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A8CF4">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8441"/>
      <w:bookmarkStart w:id="2" w:name="_Toc15377193"/>
      <w:bookmarkStart w:id="3" w:name="_Toc15396597"/>
      <w:bookmarkStart w:id="4" w:name="_Toc15377425"/>
      <w:bookmarkStart w:id="5" w:name="_Toc15306267"/>
    </w:p>
    <w:p w14:paraId="53C8DC8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BDDC6C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5352764C">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032E0B24">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27C4A21">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1DDAF3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444F6DA">
      <w:pPr>
        <w:pStyle w:val="5"/>
        <w:jc w:val="center"/>
        <w:rPr>
          <w:rFonts w:hint="eastAsia" w:ascii="Times New Roman" w:hAnsi="Times New Roman" w:eastAsia="方正小标宋简体" w:cs="Times New Roman"/>
          <w:color w:val="auto"/>
          <w:kern w:val="2"/>
          <w:sz w:val="44"/>
          <w:szCs w:val="44"/>
          <w:highlight w:val="none"/>
          <w:lang w:val="en-US" w:eastAsia="zh-CN" w:bidi="ar-S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6" w:name="_Toc15396598"/>
      <w:bookmarkStart w:id="7" w:name="_Toc15396476"/>
      <w:bookmarkStart w:id="8" w:name="_Toc15377426"/>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四川省阿坝藏族羌族自治州自然资源局部门决算</w:t>
      </w:r>
      <w:bookmarkEnd w:id="6"/>
      <w:bookmarkEnd w:id="7"/>
      <w:bookmarkEnd w:id="8"/>
      <w:bookmarkEnd w:id="9"/>
      <w:bookmarkEnd w:id="10"/>
      <w:bookmarkEnd w:id="11"/>
      <w:r>
        <w:rPr>
          <w:rFonts w:hint="eastAsia" w:ascii="Times New Roman" w:hAnsi="Times New Roman" w:eastAsia="方正小标宋简体" w:cs="Times New Roman"/>
          <w:color w:val="auto"/>
          <w:kern w:val="2"/>
          <w:sz w:val="44"/>
          <w:szCs w:val="44"/>
          <w:highlight w:val="none"/>
          <w:lang w:val="en-US" w:eastAsia="zh-CN" w:bidi="ar-SA"/>
        </w:rPr>
        <w:t>公开报告</w:t>
      </w:r>
    </w:p>
    <w:p w14:paraId="72B89E4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 </w:t>
      </w:r>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p w14:paraId="42E987A8">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40053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0935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F9B4863">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50CE2F7">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986B9C">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1CF04FD">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4F1987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3B0FCE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073B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BC0B427">
      <w:pPr>
        <w:pStyle w:val="2"/>
        <w:jc w:val="center"/>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bookmarkStart w:id="12" w:name="_Toc15377196"/>
      <w:bookmarkStart w:id="13" w:name="_Toc15396599"/>
    </w:p>
    <w:p w14:paraId="5E7063D0">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00CBD749">
      <w:pPr>
        <w:widowControl/>
        <w:jc w:val="left"/>
        <w:rPr>
          <w:rFonts w:ascii="Times New Roman" w:hAnsi="Times New Roman" w:eastAsia="黑体"/>
          <w:color w:val="auto"/>
          <w:sz w:val="32"/>
          <w:szCs w:val="32"/>
          <w:highlight w:val="none"/>
        </w:rPr>
      </w:pPr>
    </w:p>
    <w:p w14:paraId="3E79FC6C">
      <w:pPr>
        <w:pStyle w:val="3"/>
        <w:rPr>
          <w:rStyle w:val="29"/>
          <w:rFonts w:hint="eastAsia" w:ascii="Times New Roman" w:hAnsi="Times New Roman" w:eastAsia="黑体"/>
          <w:b w:val="0"/>
          <w:bCs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33F83FB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bookmarkStart w:id="16" w:name="_Toc15377200"/>
      <w:bookmarkStart w:id="17" w:name="_Toc15396601"/>
      <w:r>
        <w:rPr>
          <w:rFonts w:hint="eastAsia" w:ascii="仿宋_GB2312" w:hAnsi="仿宋_GB2312" w:eastAsia="仿宋_GB2312" w:cs="仿宋_GB2312"/>
          <w:sz w:val="32"/>
          <w:szCs w:val="32"/>
          <w:lang w:val="en-US" w:eastAsia="zh-CN"/>
        </w:rPr>
        <w:t>按照中共阿坝州委办公室 阿坝州人民政府办公室关于印</w:t>
      </w:r>
      <w:r>
        <w:rPr>
          <w:rFonts w:hint="eastAsia" w:ascii="仿宋_GB2312" w:hAnsi="仿宋_GB2312" w:eastAsia="仿宋_GB2312" w:cs="仿宋_GB2312"/>
          <w:color w:val="auto"/>
          <w:sz w:val="32"/>
          <w:szCs w:val="32"/>
          <w:lang w:val="en-US" w:eastAsia="zh-CN"/>
        </w:rPr>
        <w:t>发《阿坝州自然资源局职能配置、内设机构和人员编制规定》的</w:t>
      </w:r>
      <w:r>
        <w:rPr>
          <w:rFonts w:hint="eastAsia" w:ascii="仿宋_GB2312" w:hAnsi="仿宋_GB2312" w:eastAsia="仿宋_GB2312" w:cs="仿宋_GB2312"/>
          <w:sz w:val="32"/>
          <w:szCs w:val="32"/>
          <w:lang w:val="en-US" w:eastAsia="zh-CN"/>
        </w:rPr>
        <w:t>通知（阿委办发〔2024〕58号）规定，阿坝藏族羌族自治州自然资源局负责贯彻落实党中央关于自然资源工</w:t>
      </w:r>
      <w:r>
        <w:rPr>
          <w:rFonts w:hint="eastAsia" w:ascii="仿宋_GB2312" w:hAnsi="仿宋_GB2312" w:eastAsia="仿宋_GB2312" w:cs="仿宋_GB2312"/>
          <w:sz w:val="32"/>
          <w:szCs w:val="32"/>
        </w:rPr>
        <w:t>作的方针政策和省委、州委决策部署，把坚持和加强党中央对自然资源工作的集中统一领导落实到履行职责过程中。主要职责是：</w:t>
      </w:r>
    </w:p>
    <w:p w14:paraId="3244E1E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按照规定权限，履行全民所有土地、矿产、森林、草原、湿地、水等自然资源资产所有者职责和所有国土空间用途管制职责。组织起草、拟订全州自然资源和国土空间规划等地方性法规、规章草案，制定有关政策措施并监督检查执行情况。</w:t>
      </w:r>
    </w:p>
    <w:p w14:paraId="3116A77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（二）负责全州自然资源调查监测评价。依照自然资源调查监测评价的指标体系和统计标准，建立统一规范的自然资源调查</w:t>
      </w:r>
      <w:r>
        <w:rPr>
          <w:rFonts w:hint="eastAsia" w:ascii="仿宋_GB2312" w:hAnsi="仿宋_GB2312" w:eastAsia="仿宋_GB2312" w:cs="仿宋_GB2312"/>
          <w:sz w:val="32"/>
          <w:szCs w:val="32"/>
          <w:lang w:val="en-US" w:eastAsia="zh-CN"/>
        </w:rPr>
        <w:t>监测评价制度。实施自然资源基础调查、专项调查和监测。负责自然资源调查监测评价成果的监督管理和信息发布。指导县（市）</w:t>
      </w:r>
      <w:r>
        <w:rPr>
          <w:rFonts w:hint="eastAsia" w:ascii="仿宋_GB2312" w:hAnsi="仿宋_GB2312" w:eastAsia="仿宋_GB2312" w:cs="仿宋_GB2312"/>
          <w:sz w:val="32"/>
          <w:szCs w:val="32"/>
        </w:rPr>
        <w:t>自然资源调查监测评价工作。</w:t>
      </w:r>
    </w:p>
    <w:p w14:paraId="1FE88A9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全州自然资源统一确权登记工作。组织实施各类自然资源和不动产统一确权登记、权籍调查、不动产测绘、争议调处、成果应用的制度、标准、规范。建立健全全州自然资源和不动产登记信息管理基础平台。负责自然资源和不动产登记资料收集、整理、共享、汇交管理等。指导监督自然资源和不动产确权登记工作。</w:t>
      </w:r>
    </w:p>
    <w:p w14:paraId="5FF1A12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全州自然资源资产有偿使用工作。建立全民所有自然资源资产统计制度，负责全民所有自然资源资产核算。编制全民所有自然资源资产负债表，依照有关标准组织考核。按照规定权限，制定全民所有自然资源资产划拨、出让、租赁、作价出资和土地储备政策，合理配置全民所有自然资源资产。负责自然资源资产价值评估管理，依法收缴相关资产收益。</w:t>
      </w:r>
    </w:p>
    <w:p w14:paraId="6C544B5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负责全州自然资源的合理开发利用。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筹的政策措施。</w:t>
      </w:r>
    </w:p>
    <w:p w14:paraId="7679AD5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（六）负责建立全州空间规划体系并监督实施，推进主体功</w:t>
      </w:r>
      <w:r>
        <w:rPr>
          <w:rFonts w:hint="eastAsia" w:ascii="仿宋_GB2312" w:hAnsi="仿宋_GB2312" w:eastAsia="仿宋_GB2312" w:cs="仿宋_GB2312"/>
          <w:sz w:val="32"/>
          <w:szCs w:val="32"/>
          <w:lang w:val="en-US" w:eastAsia="zh-CN"/>
        </w:rPr>
        <w:t>能区战略和制度，组织编制并监督实施国土空间规划和相关专项</w:t>
      </w:r>
      <w:r>
        <w:rPr>
          <w:rFonts w:hint="eastAsia" w:ascii="仿宋_GB2312" w:hAnsi="仿宋_GB2312" w:eastAsia="仿宋_GB2312" w:cs="仿宋_GB2312"/>
          <w:sz w:val="32"/>
          <w:szCs w:val="32"/>
        </w:rPr>
        <w:t>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政策并监督实施。组织拟订并实施土地等自然资源年度利用计划。负责土地等国土空间用途转用工作。负责土地征收征用管理。</w:t>
      </w:r>
    </w:p>
    <w:p w14:paraId="568F918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负责统筹全州国土空间生态修复。牵头组织编制全州国土空间生态修复规划并实施有关生态修复重大工程。负责开展国土空间综合整治、土地整理复垦、矿山地质环境恢复治理等工作。牵头建立和实施生态保护补偿制度，制定合理利用社会资金进行生态修复的政策措施，提出重大备选项目。</w:t>
      </w:r>
    </w:p>
    <w:p w14:paraId="6CB82DF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组织实施最严格的耕地保护制度。牵头拟订并实施全州耕地保护政策，负责耕地数量、质量、生态保护。组织实施耕地保护责任目标考核和永久基本农田特殊保护。完善耕地占补平衡制度，监督占用耕地补偿制度执行情况。</w:t>
      </w:r>
    </w:p>
    <w:p w14:paraId="0EC4ED3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负责管理全州地质勘查行业和地质工作。拟订全州地质勘查规划并监督检查执行情况。管理州级地质勘查项目。组织实施重大地质矿产勘查专项。负责地质灾害预防和治理，监督管理地下水过量开采及引发的地面沉降等地质问题。负责古生物化石的监督管理。</w:t>
      </w:r>
    </w:p>
    <w:p w14:paraId="153D586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（十）负责落实综合防灾减灾规划相关要求，组织编制并实</w:t>
      </w:r>
      <w:r>
        <w:rPr>
          <w:rFonts w:hint="eastAsia" w:ascii="仿宋_GB2312" w:hAnsi="仿宋_GB2312" w:eastAsia="仿宋_GB2312" w:cs="仿宋_GB2312"/>
          <w:sz w:val="32"/>
          <w:szCs w:val="32"/>
          <w:lang w:val="en-US" w:eastAsia="zh-CN"/>
        </w:rPr>
        <w:t>施地质灾害防治规划。组织、指导、协调和监督地质灾害调查评</w:t>
      </w:r>
      <w:r>
        <w:rPr>
          <w:rFonts w:hint="eastAsia" w:ascii="仿宋_GB2312" w:hAnsi="仿宋_GB2312" w:eastAsia="仿宋_GB2312" w:cs="仿宋_GB2312"/>
          <w:sz w:val="32"/>
          <w:szCs w:val="32"/>
        </w:rPr>
        <w:t>价及隐患的普查、详查、排查。组织、指导开展群测群防、专业监测和预报预警等工作，组织、指导开展地质灾害工程治理工作。承担地质灾害应急救援的技术保障工作。</w:t>
      </w:r>
    </w:p>
    <w:p w14:paraId="59DF2ED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全州矿产资源管理工作。负责矿产资源查明、占用储量的核实、登记、备案。负责压覆矿产资源核实工作。负责矿业权管理。会同有关部门承担保护性开采的特定矿种、优势矿产的调控及相关管理工作。监督指导矿产资源合理利用和保护。</w:t>
      </w:r>
    </w:p>
    <w:p w14:paraId="3B1FD8E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负责全州测绘地理信息工作。负责基础测绘地理信息工作的统一监督管理，负责全州测绘单位的测绘资格审查、测绘工作证件、测绘任务备案管理，指导测量标志的管理和保护，管理全州各级行政区域测绘工作。</w:t>
      </w:r>
    </w:p>
    <w:p w14:paraId="275CA38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推动全州自然资源领域科技发展和对外合作。制定并实施全州自然资源领域科技创新发展和人才培养规划、计划。组织实施重大科技专项及创新能力建设，推进自然资源信息化和信息资料的公共服务。组织开展全州自然资源系统对外交流合作。</w:t>
      </w:r>
    </w:p>
    <w:p w14:paraId="4215CC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配合国家、省对县（市）政府落实党中央、国务院关于自然资源和国土空间规划的重大方针政策、决策部署及法律法规执行情况进行督察。按照州委、州政府安排，组织实施自然资源督察相关工作。查处、督办全州国土空间规划和自然资源重大违法案件，组织协调跨区域执法。指导县（市）有关行政执法工作。</w:t>
      </w:r>
    </w:p>
    <w:p w14:paraId="4C4D067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（十五）负责职责范围内的安全生产和职业健康、生态环境保护、审批服务便民化等工作。</w:t>
      </w:r>
    </w:p>
    <w:p w14:paraId="4FCC0726">
      <w:pPr>
        <w:pStyle w:val="3"/>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（十六）完成州委、州政府交办的其他任务。</w:t>
      </w:r>
    </w:p>
    <w:p w14:paraId="74A5CECB">
      <w:pPr>
        <w:pStyle w:val="3"/>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479429CD">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四川省阿坝藏族羌族自治州自然资源局下属二级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15B0EFF8">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四川省阿坝藏族羌族自治州自然资源局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02ABF343">
      <w:pPr>
        <w:pStyle w:val="5"/>
        <w:numPr>
          <w:ilvl w:val="0"/>
          <w:numId w:val="1"/>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8" w:name="_Toc15377202"/>
      <w:bookmarkStart w:id="19" w:name="_Toc15378449"/>
      <w:bookmarkStart w:id="20" w:name="_Toc15377433"/>
      <w:bookmarkStart w:id="21" w:name="_Toc15306276"/>
      <w:r>
        <w:rPr>
          <w:rFonts w:hint="eastAsia" w:ascii="Times New Roman" w:hAnsi="Times New Roman" w:eastAsia="仿宋_GB2312" w:cs="仿宋_GB2312"/>
          <w:color w:val="auto"/>
          <w:sz w:val="32"/>
          <w:szCs w:val="32"/>
          <w:highlight w:val="none"/>
        </w:rPr>
        <w:t>阿坝藏族羌族自治州自然资源局（本级）</w:t>
      </w:r>
      <w:bookmarkEnd w:id="18"/>
      <w:bookmarkEnd w:id="19"/>
      <w:bookmarkEnd w:id="20"/>
      <w:bookmarkEnd w:id="21"/>
    </w:p>
    <w:p w14:paraId="16D6126E">
      <w:pPr>
        <w:pStyle w:val="5"/>
        <w:numPr>
          <w:ilvl w:val="0"/>
          <w:numId w:val="1"/>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22" w:name="_Toc15377203"/>
      <w:bookmarkStart w:id="23" w:name="_Toc15377434"/>
      <w:bookmarkStart w:id="24" w:name="_Toc15378450"/>
      <w:bookmarkStart w:id="25" w:name="_Toc15306277"/>
      <w:r>
        <w:rPr>
          <w:rFonts w:hint="eastAsia" w:ascii="Times New Roman" w:hAnsi="Times New Roman" w:eastAsia="仿宋_GB2312" w:cs="仿宋_GB2312"/>
          <w:color w:val="auto"/>
          <w:sz w:val="32"/>
          <w:szCs w:val="32"/>
          <w:highlight w:val="none"/>
        </w:rPr>
        <w:t>阿坝州不动产登记中心和修护防治研究所</w:t>
      </w:r>
      <w:bookmarkEnd w:id="22"/>
      <w:bookmarkEnd w:id="23"/>
      <w:bookmarkEnd w:id="24"/>
      <w:bookmarkEnd w:id="25"/>
      <w:r>
        <w:rPr>
          <w:rFonts w:hint="eastAsia" w:ascii="Times New Roman" w:hAnsi="Times New Roman" w:eastAsia="仿宋_GB2312" w:cs="仿宋_GB2312"/>
          <w:color w:val="auto"/>
          <w:sz w:val="32"/>
          <w:szCs w:val="32"/>
          <w:highlight w:val="none"/>
          <w:lang w:eastAsia="zh-CN"/>
        </w:rPr>
        <w:t>（含耕保中心）</w:t>
      </w:r>
    </w:p>
    <w:p w14:paraId="3D8F1BBB">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DDDF530">
      <w:pPr>
        <w:pStyle w:val="2"/>
        <w:jc w:val="center"/>
        <w:rPr>
          <w:rFonts w:hint="eastAsia" w:ascii="Times New Roman" w:hAnsi="Times New Roman" w:eastAsia="方正小标宋简体" w:cs="方正小标宋简体"/>
          <w:b w:val="0"/>
          <w:color w:val="auto"/>
          <w:highlight w:val="none"/>
        </w:rPr>
      </w:pPr>
      <w:bookmarkStart w:id="26" w:name="_Toc15377204"/>
      <w:bookmarkStart w:id="2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6"/>
      <w:bookmarkEnd w:id="27"/>
    </w:p>
    <w:p w14:paraId="60536CE4">
      <w:pPr>
        <w:rPr>
          <w:rFonts w:ascii="Times New Roman" w:hAnsi="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8" w:name="_Toc15396603"/>
      <w:bookmarkStart w:id="2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8"/>
      <w:bookmarkEnd w:id="29"/>
    </w:p>
    <w:p w14:paraId="40B5A692">
      <w:pPr>
        <w:ind w:firstLine="800" w:firstLineChars="250"/>
        <w:rPr>
          <w:rFonts w:hint="eastAsia" w:ascii="仿宋_GB2312" w:hAnsi="Times New Roman" w:eastAsia="仿宋_GB2312" w:cs="宋体"/>
          <w:sz w:val="32"/>
          <w:szCs w:val="32"/>
          <w:lang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Times New Roman" w:eastAsia="仿宋_GB2312" w:cs="Times New Roman"/>
          <w:sz w:val="32"/>
          <w:szCs w:val="32"/>
          <w:lang w:val="en-US" w:eastAsia="zh-CN"/>
        </w:rPr>
        <w:t>7626.55</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与</w:t>
      </w: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仿宋_GB2312" w:eastAsia="仿宋_GB2312"/>
          <w:sz w:val="32"/>
          <w:szCs w:val="32"/>
          <w:lang w:val="en-US" w:eastAsia="zh-CN"/>
        </w:rPr>
        <w:t>4517.98</w:t>
      </w:r>
      <w:r>
        <w:rPr>
          <w:rFonts w:hint="eastAsia" w:ascii="仿宋_GB2312" w:hAnsi="Times New Roman" w:eastAsia="仿宋_GB2312" w:cs="Times New Roman"/>
          <w:sz w:val="32"/>
          <w:szCs w:val="32"/>
        </w:rPr>
        <w:t>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Times New Roman" w:eastAsia="仿宋_GB2312" w:cs="Times New Roman"/>
          <w:sz w:val="32"/>
          <w:szCs w:val="32"/>
          <w:lang w:val="en-US" w:eastAsia="zh-CN"/>
        </w:rPr>
        <w:t>3108.57</w:t>
      </w:r>
      <w:r>
        <w:rPr>
          <w:rFonts w:hint="eastAsia" w:ascii="Times New Roman" w:hAnsi="Times New Roman" w:eastAsia="仿宋_GB2312" w:cs="仿宋_GB2312"/>
          <w:color w:val="auto"/>
          <w:sz w:val="32"/>
          <w:szCs w:val="32"/>
          <w:highlight w:val="none"/>
        </w:rPr>
        <w:t>万元，增长</w:t>
      </w:r>
      <w:r>
        <w:rPr>
          <w:rFonts w:hint="eastAsia" w:ascii="仿宋_GB2312" w:hAnsi="Times New Roman" w:eastAsia="仿宋_GB2312" w:cs="Times New Roman"/>
          <w:sz w:val="32"/>
          <w:szCs w:val="32"/>
          <w:lang w:val="en-US" w:eastAsia="zh-CN"/>
        </w:rPr>
        <w:t>68.8</w:t>
      </w:r>
      <w:r>
        <w:rPr>
          <w:rFonts w:hint="eastAsia" w:ascii="Times New Roman" w:hAnsi="Times New Roman" w:eastAsia="仿宋_GB2312" w:cs="仿宋_GB2312"/>
          <w:color w:val="auto"/>
          <w:sz w:val="32"/>
          <w:szCs w:val="32"/>
          <w:highlight w:val="none"/>
        </w:rPr>
        <w:t>%。主要变动原因是</w:t>
      </w:r>
      <w:r>
        <w:rPr>
          <w:rFonts w:hint="eastAsia" w:ascii="仿宋_GB2312" w:hAnsi="Times New Roman" w:eastAsia="仿宋_GB2312" w:cs="Times New Roman"/>
          <w:sz w:val="32"/>
          <w:szCs w:val="32"/>
        </w:rPr>
        <w:t>人员变动、公务用车更新和年中增加中省重大建设项目</w:t>
      </w:r>
      <w:r>
        <w:rPr>
          <w:rFonts w:hint="eastAsia" w:ascii="仿宋_GB2312" w:hAnsi="Times New Roman" w:eastAsia="仿宋_GB2312" w:cs="Times New Roman"/>
          <w:sz w:val="32"/>
          <w:szCs w:val="32"/>
          <w:lang w:eastAsia="zh-CN"/>
        </w:rPr>
        <w:t>，</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仿宋_GB2312" w:hAnsi="Times New Roman" w:eastAsia="仿宋_GB2312" w:cs="宋体"/>
          <w:sz w:val="32"/>
          <w:szCs w:val="32"/>
          <w:lang w:bidi="ar-SA"/>
        </w:rPr>
        <w:t>大幅</w:t>
      </w:r>
      <w:r>
        <w:rPr>
          <w:rFonts w:hint="eastAsia" w:ascii="仿宋_GB2312" w:hAnsi="Times New Roman" w:eastAsia="仿宋_GB2312" w:cs="宋体"/>
          <w:sz w:val="32"/>
          <w:szCs w:val="32"/>
          <w:lang w:eastAsia="zh-CN" w:bidi="ar-SA"/>
        </w:rPr>
        <w:t>增加</w:t>
      </w:r>
      <w:r>
        <w:rPr>
          <w:rFonts w:hint="eastAsia" w:ascii="仿宋_GB2312" w:hAnsi="Times New Roman" w:eastAsia="仿宋_GB2312" w:cs="宋体"/>
          <w:sz w:val="32"/>
          <w:szCs w:val="32"/>
          <w:lang w:bidi="ar-SA"/>
        </w:rPr>
        <w:t>。</w:t>
      </w:r>
    </w:p>
    <w:p w14:paraId="0347A7B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1093470</wp:posOffset>
            </wp:positionH>
            <wp:positionV relativeFrom="paragraph">
              <wp:posOffset>93980</wp:posOffset>
            </wp:positionV>
            <wp:extent cx="3447415" cy="3002915"/>
            <wp:effectExtent l="4445" t="4445" r="15240" b="2159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0" w:name="_Toc15396604"/>
      <w:bookmarkStart w:id="31" w:name="_Toc15377206"/>
      <w:r>
        <w:rPr>
          <w:rFonts w:hint="eastAsia" w:ascii="Times New Roman" w:hAnsi="Times New Roman" w:eastAsia="黑体"/>
          <w:color w:val="auto"/>
          <w:sz w:val="32"/>
          <w:szCs w:val="32"/>
          <w:highlight w:val="none"/>
          <w:lang w:eastAsia="zh-CN"/>
        </w:rPr>
        <w:t>二、收入决算情况说明</w:t>
      </w:r>
      <w:bookmarkEnd w:id="30"/>
      <w:bookmarkEnd w:id="31"/>
    </w:p>
    <w:p w14:paraId="0B837FB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Times New Roman" w:eastAsia="仿宋_GB2312" w:cs="Times New Roman"/>
          <w:sz w:val="32"/>
          <w:szCs w:val="32"/>
          <w:lang w:val="en-US" w:eastAsia="zh-CN"/>
        </w:rPr>
        <w:t>7626.55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Times New Roman" w:eastAsia="仿宋_GB2312" w:cs="Times New Roman"/>
          <w:sz w:val="32"/>
          <w:szCs w:val="32"/>
          <w:lang w:val="en-US" w:eastAsia="zh-CN"/>
        </w:rPr>
        <w:t>7626.55</w:t>
      </w:r>
      <w:r>
        <w:rPr>
          <w:rFonts w:hint="eastAsia" w:ascii="Times New Roman" w:hAnsi="Times New Roman" w:eastAsia="仿宋_GB2312" w:cs="仿宋_GB2312"/>
          <w:color w:val="auto"/>
          <w:sz w:val="32"/>
          <w:szCs w:val="32"/>
          <w:highlight w:val="none"/>
          <w:lang w:eastAsia="zh-CN"/>
        </w:rPr>
        <w:t>万元，占</w:t>
      </w:r>
      <w:r>
        <w:rPr>
          <w:rFonts w:hint="eastAsia" w:ascii="仿宋_GB2312" w:hAnsi="Times New Roman" w:eastAsia="仿宋_GB2312" w:cs="Times New Roman"/>
          <w:sz w:val="32"/>
          <w:szCs w:val="32"/>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lang w:eastAsia="zh-CN"/>
        </w:rPr>
        <w:t>收入合计</w:t>
      </w:r>
      <w:r>
        <w:rPr>
          <w:rFonts w:hint="eastAsia" w:ascii="仿宋_GB2312" w:eastAsia="仿宋_GB2312"/>
          <w:sz w:val="32"/>
          <w:szCs w:val="32"/>
          <w:lang w:val="en-US" w:eastAsia="zh-CN"/>
        </w:rPr>
        <w:t>4517.98</w:t>
      </w:r>
      <w:r>
        <w:rPr>
          <w:rFonts w:hint="eastAsia" w:ascii="仿宋_GB2312" w:eastAsia="仿宋_GB2312"/>
          <w:sz w:val="32"/>
          <w:szCs w:val="32"/>
        </w:rPr>
        <w:t>万元,其中</w:t>
      </w:r>
      <w:r>
        <w:rPr>
          <w:rFonts w:hint="eastAsia" w:ascii="Times New Roman" w:hAnsi="Times New Roman" w:eastAsia="仿宋_GB2312" w:cs="仿宋_GB2312"/>
          <w:color w:val="auto"/>
          <w:sz w:val="32"/>
          <w:szCs w:val="32"/>
          <w:highlight w:val="none"/>
          <w:lang w:eastAsia="zh-CN"/>
        </w:rPr>
        <w:t>：一般公共预算财政拨款收入</w:t>
      </w:r>
      <w:r>
        <w:rPr>
          <w:rFonts w:hint="eastAsia" w:ascii="仿宋_GB2312" w:eastAsia="仿宋_GB2312"/>
          <w:sz w:val="32"/>
          <w:szCs w:val="32"/>
          <w:lang w:val="en-US" w:eastAsia="zh-CN"/>
        </w:rPr>
        <w:t>4517.98</w:t>
      </w:r>
      <w:r>
        <w:rPr>
          <w:rFonts w:hint="eastAsia" w:ascii="仿宋_GB2312" w:eastAsia="仿宋_GB2312"/>
          <w:sz w:val="32"/>
          <w:szCs w:val="32"/>
        </w:rPr>
        <w:t>万元，占总收入的100%。</w:t>
      </w:r>
      <w:r>
        <w:rPr>
          <w:rFonts w:hint="eastAsia" w:ascii="仿宋_GB2312" w:eastAsia="仿宋_GB2312"/>
          <w:sz w:val="32"/>
          <w:szCs w:val="32"/>
          <w:lang w:eastAsia="zh-CN"/>
        </w:rPr>
        <w:t>本年度</w:t>
      </w:r>
      <w:r>
        <w:rPr>
          <w:rFonts w:hint="eastAsia" w:ascii="仿宋_GB2312" w:eastAsia="仿宋_GB2312"/>
          <w:sz w:val="32"/>
          <w:szCs w:val="32"/>
        </w:rPr>
        <w:t>较202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增加3108.57</w:t>
      </w:r>
      <w:r>
        <w:rPr>
          <w:rFonts w:hint="eastAsia" w:ascii="仿宋_GB2312" w:eastAsia="仿宋_GB2312"/>
          <w:sz w:val="32"/>
          <w:szCs w:val="32"/>
        </w:rPr>
        <w:t>万元，</w:t>
      </w:r>
      <w:r>
        <w:rPr>
          <w:rFonts w:hint="eastAsia" w:ascii="仿宋_GB2312" w:eastAsia="仿宋_GB2312"/>
          <w:sz w:val="32"/>
          <w:szCs w:val="32"/>
          <w:lang w:val="en-US" w:eastAsia="zh-CN"/>
        </w:rPr>
        <w:t>增长68.8</w:t>
      </w:r>
      <w:r>
        <w:rPr>
          <w:rFonts w:hint="eastAsia" w:ascii="仿宋_GB2312" w:eastAsia="仿宋_GB2312"/>
          <w:sz w:val="32"/>
          <w:szCs w:val="32"/>
        </w:rPr>
        <w:t>%。</w:t>
      </w:r>
      <w:r>
        <w:rPr>
          <w:rFonts w:hint="eastAsia" w:ascii="仿宋_GB2312" w:eastAsia="仿宋_GB2312"/>
          <w:sz w:val="32"/>
          <w:szCs w:val="32"/>
          <w:lang w:eastAsia="zh-CN"/>
        </w:rPr>
        <w:t>增加</w:t>
      </w:r>
      <w:r>
        <w:rPr>
          <w:rFonts w:hint="eastAsia" w:ascii="仿宋_GB2312" w:eastAsia="仿宋_GB2312"/>
          <w:sz w:val="32"/>
          <w:szCs w:val="32"/>
        </w:rPr>
        <w:t>原因：</w:t>
      </w:r>
      <w:r>
        <w:rPr>
          <w:rFonts w:hint="eastAsia" w:ascii="仿宋_GB2312" w:hAnsi="Times New Roman" w:eastAsia="仿宋_GB2312" w:cs="Times New Roman"/>
          <w:sz w:val="32"/>
          <w:szCs w:val="32"/>
        </w:rPr>
        <w:t>年中增加中省重大建设</w:t>
      </w:r>
      <w:r>
        <w:rPr>
          <w:rFonts w:hint="eastAsia" w:ascii="仿宋_GB2312" w:eastAsia="仿宋_GB2312"/>
          <w:sz w:val="32"/>
          <w:szCs w:val="32"/>
        </w:rPr>
        <w:t>项目</w:t>
      </w:r>
      <w:r>
        <w:rPr>
          <w:rFonts w:hint="eastAsia" w:ascii="仿宋_GB2312" w:eastAsia="仿宋_GB2312"/>
          <w:sz w:val="32"/>
          <w:szCs w:val="32"/>
          <w:lang w:eastAsia="zh-CN"/>
        </w:rPr>
        <w:t>，收入大幅增加</w:t>
      </w:r>
      <w:r>
        <w:rPr>
          <w:rFonts w:hint="eastAsia" w:ascii="Times New Roman" w:hAnsi="Times New Roman" w:eastAsia="仿宋_GB2312" w:cs="仿宋_GB2312"/>
          <w:color w:val="auto"/>
          <w:sz w:val="32"/>
          <w:szCs w:val="32"/>
          <w:highlight w:val="none"/>
          <w:lang w:eastAsia="zh-CN"/>
        </w:rPr>
        <w:t>。</w:t>
      </w:r>
    </w:p>
    <w:p w14:paraId="2172484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685165</wp:posOffset>
            </wp:positionH>
            <wp:positionV relativeFrom="paragraph">
              <wp:posOffset>306070</wp:posOffset>
            </wp:positionV>
            <wp:extent cx="4128135" cy="2628900"/>
            <wp:effectExtent l="4445" t="4445" r="20320" b="1460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图2：收入决算结构图</w:t>
      </w: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2" w:name="_Toc15396605"/>
      <w:bookmarkStart w:id="3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2"/>
      <w:bookmarkEnd w:id="33"/>
    </w:p>
    <w:p w14:paraId="3352F21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Times New Roman" w:eastAsia="仿宋_GB2312" w:cs="Times New Roman"/>
          <w:sz w:val="32"/>
          <w:szCs w:val="32"/>
          <w:lang w:val="en-US" w:eastAsia="zh-CN"/>
        </w:rPr>
        <w:t>7626.55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 w:eastAsia="仿宋_GB2312" w:cs="Times New Roman"/>
          <w:sz w:val="32"/>
          <w:szCs w:val="32"/>
          <w:highlight w:val="none"/>
          <w:lang w:val="en-US" w:eastAsia="zh-CN"/>
        </w:rPr>
        <w:t>1663.18</w:t>
      </w:r>
      <w:r>
        <w:rPr>
          <w:rFonts w:hint="eastAsia" w:ascii="Times New Roman" w:hAnsi="Times New Roman" w:eastAsia="仿宋_GB2312" w:cs="仿宋_GB2312"/>
          <w:color w:val="auto"/>
          <w:sz w:val="32"/>
          <w:szCs w:val="32"/>
          <w:highlight w:val="none"/>
          <w:lang w:eastAsia="zh-CN"/>
        </w:rPr>
        <w:t>万元</w:t>
      </w:r>
      <w:r>
        <w:rPr>
          <w:rFonts w:hint="eastAsia" w:ascii="仿宋_GB2312" w:hAnsi="仿宋" w:eastAsia="仿宋_GB2312" w:cs="Times New Roman"/>
          <w:sz w:val="32"/>
          <w:szCs w:val="32"/>
          <w:highlight w:val="none"/>
        </w:rPr>
        <w:t>（人员经费</w:t>
      </w:r>
      <w:r>
        <w:rPr>
          <w:rFonts w:hint="eastAsia" w:ascii="仿宋_GB2312" w:hAnsi="仿宋" w:eastAsia="仿宋_GB2312" w:cs="Times New Roman"/>
          <w:color w:val="auto"/>
          <w:sz w:val="32"/>
          <w:szCs w:val="32"/>
          <w:highlight w:val="none"/>
          <w:lang w:val="en-US" w:eastAsia="zh-CN"/>
        </w:rPr>
        <w:t>1490.65</w:t>
      </w:r>
      <w:r>
        <w:rPr>
          <w:rFonts w:hint="eastAsia" w:ascii="仿宋_GB2312" w:hAnsi="仿宋" w:eastAsia="仿宋_GB2312" w:cs="Times New Roman"/>
          <w:sz w:val="32"/>
          <w:szCs w:val="32"/>
          <w:highlight w:val="none"/>
        </w:rPr>
        <w:t>万元、公用经费</w:t>
      </w:r>
      <w:r>
        <w:rPr>
          <w:rFonts w:hint="eastAsia" w:ascii="仿宋_GB2312" w:hAnsi="仿宋" w:eastAsia="仿宋_GB2312" w:cs="Times New Roman"/>
          <w:color w:val="auto"/>
          <w:sz w:val="32"/>
          <w:szCs w:val="32"/>
          <w:highlight w:val="none"/>
          <w:lang w:val="en-US" w:eastAsia="zh-CN"/>
        </w:rPr>
        <w:t>172.54</w:t>
      </w:r>
      <w:r>
        <w:rPr>
          <w:rFonts w:hint="eastAsia" w:ascii="仿宋_GB2312" w:hAnsi="仿宋" w:eastAsia="仿宋_GB2312" w:cs="Times New Roman"/>
          <w:sz w:val="32"/>
          <w:szCs w:val="32"/>
          <w:highlight w:val="none"/>
        </w:rPr>
        <w:t>万元）</w:t>
      </w:r>
      <w:r>
        <w:rPr>
          <w:rFonts w:hint="eastAsia" w:ascii="Times New Roman" w:hAnsi="Times New Roman"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21.8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 w:eastAsia="仿宋_GB2312" w:cs="Times New Roman"/>
          <w:sz w:val="32"/>
          <w:szCs w:val="32"/>
          <w:highlight w:val="none"/>
          <w:lang w:val="en-US" w:eastAsia="zh-CN"/>
        </w:rPr>
        <w:t>5963.36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 w:eastAsia="仿宋_GB2312" w:cs="Times New Roman"/>
          <w:sz w:val="32"/>
          <w:szCs w:val="32"/>
          <w:highlight w:val="none"/>
          <w:lang w:val="en-US" w:eastAsia="zh-CN"/>
        </w:rPr>
        <w:t>78.2</w:t>
      </w:r>
      <w:r>
        <w:rPr>
          <w:rFonts w:hint="eastAsia" w:ascii="Times New Roman" w:hAnsi="Times New Roman" w:eastAsia="仿宋_GB2312" w:cs="仿宋_GB2312"/>
          <w:color w:val="auto"/>
          <w:sz w:val="32"/>
          <w:szCs w:val="32"/>
          <w:highlight w:val="none"/>
          <w:lang w:eastAsia="zh-CN"/>
        </w:rPr>
        <w:t>%。</w:t>
      </w:r>
    </w:p>
    <w:p w14:paraId="41C369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 w:eastAsia="仿宋_GB2312"/>
          <w:sz w:val="32"/>
          <w:szCs w:val="32"/>
          <w:lang w:eastAsia="zh-CN"/>
        </w:rPr>
        <w:pict>
          <v:shape id="Object 10" o:spid="_x0000_s1034" o:spt="75" alt="olechartimg_1768987797881008_187650756719616" type="#_x0000_t75" style="position:absolute;left:0pt;margin-left:81.85pt;margin-top:10.75pt;height:222.75pt;width:273pt;mso-wrap-distance-bottom:0pt;mso-wrap-distance-top:0pt;z-index:251661312;mso-width-relative:page;mso-height-relative:page;" o:ole="t" filled="f" o:preferrelative="t" stroked="f" coordsize="21600,21600">
            <v:path/>
            <v:fill on="f" focussize="0,0"/>
            <v:stroke on="f"/>
            <v:imagedata r:id="rId13" o:title="olechartimg_1768987797881008_187650756719616"/>
            <o:lock v:ext="edit" aspectratio="t"/>
            <w10:wrap type="topAndBottom"/>
          </v:shape>
          <o:OLEObject Type="Embed" ProgID="Excel.Sheet.8" ShapeID="Object 10" DrawAspect="Content" ObjectID="_1468075725" r:id="rId12">
            <o:LockedField>false</o:LockedField>
          </o:OLEObject>
        </w:pict>
      </w:r>
      <w:r>
        <w:rPr>
          <w:rFonts w:hint="eastAsia" w:ascii="Times New Roman" w:hAnsi="Times New Roman" w:eastAsia="仿宋_GB2312" w:cs="仿宋_GB2312"/>
          <w:color w:val="auto"/>
          <w:sz w:val="32"/>
          <w:szCs w:val="32"/>
          <w:highlight w:val="none"/>
          <w:lang w:eastAsia="zh-CN"/>
        </w:rPr>
        <w:t>图3：支出决算结构图</w:t>
      </w:r>
    </w:p>
    <w:p w14:paraId="466ACD89">
      <w:pPr>
        <w:spacing w:line="600" w:lineRule="exact"/>
        <w:ind w:firstLine="640" w:firstLineChars="200"/>
        <w:outlineLvl w:val="1"/>
        <w:rPr>
          <w:rStyle w:val="29"/>
          <w:rFonts w:ascii="Times New Roman" w:hAnsi="Times New Roman" w:eastAsia="黑体"/>
          <w:b w:val="0"/>
          <w:color w:val="auto"/>
          <w:highlight w:val="none"/>
        </w:rPr>
      </w:pPr>
      <w:bookmarkStart w:id="34" w:name="_Toc15396606"/>
      <w:bookmarkStart w:id="3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4"/>
      <w:bookmarkEnd w:id="35"/>
    </w:p>
    <w:p w14:paraId="52C2387E">
      <w:pPr>
        <w:ind w:firstLine="800" w:firstLineChars="25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Times New Roman" w:eastAsia="仿宋_GB2312" w:cs="Times New Roman"/>
          <w:sz w:val="32"/>
          <w:szCs w:val="32"/>
          <w:lang w:val="en-US" w:eastAsia="zh-CN"/>
        </w:rPr>
        <w:t>7626.55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仿宋_GB2312" w:hAnsi="Times New Roman" w:eastAsia="仿宋_GB2312" w:cs="Times New Roman"/>
          <w:sz w:val="32"/>
          <w:szCs w:val="32"/>
          <w:lang w:val="en-US" w:eastAsia="zh-CN"/>
        </w:rPr>
        <w:t>3108.57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Times New Roman" w:eastAsia="仿宋_GB2312" w:cs="Times New Roman"/>
          <w:sz w:val="32"/>
          <w:szCs w:val="32"/>
          <w:lang w:val="en-US" w:eastAsia="zh-CN"/>
        </w:rPr>
        <w:t>68.8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Times New Roman" w:eastAsia="仿宋_GB2312" w:cs="Times New Roman"/>
          <w:sz w:val="32"/>
          <w:szCs w:val="32"/>
        </w:rPr>
        <w:t>年中增加中省重大建设项目</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财政拨款收入</w:t>
      </w:r>
      <w:r>
        <w:rPr>
          <w:rFonts w:hint="eastAsia" w:ascii="仿宋_GB2312" w:hAnsi="Times New Roman" w:eastAsia="仿宋_GB2312" w:cs="宋体"/>
          <w:sz w:val="32"/>
          <w:szCs w:val="32"/>
          <w:lang w:bidi="ar-SA"/>
        </w:rPr>
        <w:t>大幅</w:t>
      </w:r>
      <w:r>
        <w:rPr>
          <w:rFonts w:hint="eastAsia" w:ascii="仿宋_GB2312" w:hAnsi="Times New Roman" w:eastAsia="仿宋_GB2312" w:cs="宋体"/>
          <w:sz w:val="32"/>
          <w:szCs w:val="32"/>
          <w:lang w:eastAsia="zh-CN" w:bidi="ar-SA"/>
        </w:rPr>
        <w:t>增加</w:t>
      </w:r>
      <w:r>
        <w:rPr>
          <w:rFonts w:hint="eastAsia" w:ascii="仿宋_GB2312" w:hAnsi="Times New Roman" w:eastAsia="仿宋_GB2312" w:cs="宋体"/>
          <w:sz w:val="32"/>
          <w:szCs w:val="32"/>
          <w:lang w:bidi="ar-SA"/>
        </w:rPr>
        <w:t>。</w:t>
      </w:r>
    </w:p>
    <w:p w14:paraId="5C056102">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198755</wp:posOffset>
            </wp:positionH>
            <wp:positionV relativeFrom="paragraph">
              <wp:posOffset>137795</wp:posOffset>
            </wp:positionV>
            <wp:extent cx="4978400" cy="1954530"/>
            <wp:effectExtent l="4445" t="4445" r="8255" b="2222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6083FCA9">
      <w:pPr>
        <w:spacing w:line="600" w:lineRule="exact"/>
        <w:ind w:firstLine="640" w:firstLineChars="200"/>
        <w:outlineLvl w:val="1"/>
        <w:rPr>
          <w:rStyle w:val="29"/>
          <w:rFonts w:ascii="Times New Roman" w:hAnsi="Times New Roman" w:eastAsia="黑体"/>
          <w:b w:val="0"/>
          <w:color w:val="auto"/>
          <w:highlight w:val="none"/>
        </w:rPr>
      </w:pPr>
      <w:bookmarkStart w:id="36" w:name="_Toc15377209"/>
      <w:bookmarkStart w:id="3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6"/>
      <w:bookmarkEnd w:id="37"/>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8"/>
    </w:p>
    <w:p w14:paraId="2B079A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Times New Roman" w:eastAsia="仿宋_GB2312" w:cs="Times New Roman"/>
          <w:sz w:val="32"/>
          <w:szCs w:val="32"/>
          <w:lang w:val="en-US" w:eastAsia="zh-CN"/>
        </w:rPr>
        <w:t>7626.55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ascii="仿宋_GB2312" w:hAnsi="Times New Roman" w:eastAsia="仿宋_GB2312" w:cs="Times New Roman"/>
          <w:sz w:val="32"/>
          <w:szCs w:val="32"/>
          <w:lang w:val="en-US" w:eastAsia="zh-CN"/>
        </w:rPr>
        <w:t>3108.57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Times New Roman" w:eastAsia="仿宋_GB2312" w:cs="Times New Roman"/>
          <w:sz w:val="32"/>
          <w:szCs w:val="32"/>
          <w:lang w:val="en-US" w:eastAsia="zh-CN"/>
        </w:rPr>
        <w:t>68.8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Times New Roman" w:eastAsia="仿宋_GB2312" w:cs="Times New Roman"/>
          <w:sz w:val="32"/>
          <w:szCs w:val="32"/>
        </w:rPr>
        <w:t>年中增加中省重大建设项目</w:t>
      </w:r>
      <w:r>
        <w:rPr>
          <w:rFonts w:hint="eastAsia" w:ascii="仿宋_GB2312" w:hAnsi="Times New Roman" w:eastAsia="仿宋_GB2312" w:cs="Times New Roman"/>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Times New Roman" w:eastAsia="仿宋_GB2312" w:cs="宋体"/>
          <w:sz w:val="32"/>
          <w:szCs w:val="32"/>
          <w:lang w:bidi="ar-SA"/>
        </w:rPr>
        <w:t>大幅</w:t>
      </w:r>
      <w:r>
        <w:rPr>
          <w:rFonts w:hint="eastAsia" w:ascii="仿宋_GB2312" w:hAnsi="Times New Roman" w:eastAsia="仿宋_GB2312" w:cs="宋体"/>
          <w:sz w:val="32"/>
          <w:szCs w:val="32"/>
          <w:lang w:eastAsia="zh-CN" w:bidi="ar-SA"/>
        </w:rPr>
        <w:t>增加</w:t>
      </w:r>
      <w:r>
        <w:rPr>
          <w:rFonts w:hint="eastAsia" w:ascii="仿宋_GB2312" w:eastAsia="仿宋_GB2312" w:cs="宋体"/>
          <w:sz w:val="32"/>
          <w:szCs w:val="32"/>
          <w:lang w:eastAsia="zh-CN" w:bidi="ar-SA"/>
        </w:rPr>
        <w:t>。</w:t>
      </w:r>
    </w:p>
    <w:p w14:paraId="46281DA4">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p>
    <w:p w14:paraId="2A3C1818">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p>
    <w:p w14:paraId="6E04CE2B">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p>
    <w:p w14:paraId="0B0C54DC">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p>
    <w:p w14:paraId="3597CBAE">
      <w:pPr>
        <w:spacing w:line="600" w:lineRule="exact"/>
        <w:jc w:val="center"/>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528955</wp:posOffset>
            </wp:positionH>
            <wp:positionV relativeFrom="paragraph">
              <wp:posOffset>115570</wp:posOffset>
            </wp:positionV>
            <wp:extent cx="4091940" cy="2012950"/>
            <wp:effectExtent l="4445" t="5080" r="18415" b="2032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bookmarkStart w:id="39" w:name="_Toc15377211"/>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39"/>
    </w:p>
    <w:p w14:paraId="79C5F7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Times New Roman" w:eastAsia="仿宋_GB2312" w:cs="Times New Roman"/>
          <w:color w:val="auto"/>
          <w:sz w:val="32"/>
          <w:szCs w:val="32"/>
          <w:lang w:val="en-US" w:eastAsia="zh-CN"/>
        </w:rPr>
        <w:t>7626.55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_GB2312" w:eastAsia="仿宋_GB2312" w:cs="宋体"/>
          <w:sz w:val="32"/>
          <w:szCs w:val="32"/>
          <w:lang w:bidi="ar-SA"/>
        </w:rPr>
        <w:t>社会保障和就业支出</w:t>
      </w:r>
      <w:r>
        <w:rPr>
          <w:rFonts w:hint="eastAsia" w:ascii="仿宋_GB2312" w:eastAsia="仿宋_GB2312" w:cs="宋体"/>
          <w:sz w:val="32"/>
          <w:szCs w:val="32"/>
          <w:lang w:val="en-US" w:eastAsia="zh-CN" w:bidi="ar-SA"/>
        </w:rPr>
        <w:t>218.71</w:t>
      </w:r>
      <w:r>
        <w:rPr>
          <w:rFonts w:hint="eastAsia" w:ascii="仿宋_GB2312" w:eastAsia="仿宋_GB2312" w:cs="宋体"/>
          <w:sz w:val="32"/>
          <w:szCs w:val="32"/>
          <w:lang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w:t>
      </w:r>
    </w:p>
    <w:p w14:paraId="1BBB880B">
      <w:pPr>
        <w:rPr>
          <w:rFonts w:hint="eastAsia" w:ascii="仿宋_GB2312" w:eastAsia="仿宋_GB2312" w:cs="宋体"/>
          <w:sz w:val="32"/>
          <w:szCs w:val="32"/>
          <w:lang w:eastAsia="zh-CN" w:bidi="ar-SA"/>
        </w:rPr>
      </w:pPr>
      <w:r>
        <w:rPr>
          <w:rFonts w:hint="eastAsia" w:ascii="仿宋_GB2312" w:eastAsia="仿宋_GB2312" w:cs="宋体"/>
          <w:sz w:val="32"/>
          <w:szCs w:val="32"/>
          <w:lang w:bidi="ar-SA"/>
        </w:rPr>
        <w:t>卫生健康支出</w:t>
      </w:r>
      <w:r>
        <w:rPr>
          <w:rFonts w:hint="eastAsia" w:ascii="仿宋_GB2312" w:eastAsia="仿宋_GB2312" w:cs="宋体"/>
          <w:sz w:val="32"/>
          <w:szCs w:val="32"/>
          <w:lang w:val="en-US" w:eastAsia="zh-CN" w:bidi="ar-SA"/>
        </w:rPr>
        <w:t>77.68</w:t>
      </w:r>
      <w:r>
        <w:rPr>
          <w:rFonts w:hint="eastAsia" w:ascii="仿宋_GB2312" w:eastAsia="仿宋_GB2312" w:cs="宋体"/>
          <w:sz w:val="32"/>
          <w:szCs w:val="32"/>
          <w:lang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宋体"/>
          <w:sz w:val="32"/>
          <w:szCs w:val="32"/>
          <w:lang w:val="en-US" w:eastAsia="zh-CN" w:bidi="ar-SA"/>
        </w:rPr>
        <w:t>节能环保</w:t>
      </w:r>
      <w:r>
        <w:rPr>
          <w:rFonts w:hint="eastAsia" w:ascii="仿宋_GB2312" w:eastAsia="仿宋_GB2312" w:cs="宋体"/>
          <w:sz w:val="32"/>
          <w:szCs w:val="32"/>
          <w:lang w:bidi="ar-SA"/>
        </w:rPr>
        <w:t>支出</w:t>
      </w:r>
      <w:r>
        <w:rPr>
          <w:rFonts w:hint="eastAsia" w:ascii="仿宋_GB2312" w:eastAsia="仿宋_GB2312" w:cs="宋体"/>
          <w:sz w:val="32"/>
          <w:szCs w:val="32"/>
          <w:lang w:val="en-US" w:eastAsia="zh-CN" w:bidi="ar-SA"/>
        </w:rPr>
        <w:t>45万元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宋体"/>
          <w:sz w:val="32"/>
          <w:szCs w:val="32"/>
          <w:lang w:bidi="ar-SA"/>
        </w:rPr>
        <w:t>自然资源海洋气象支出</w:t>
      </w:r>
      <w:r>
        <w:rPr>
          <w:rFonts w:hint="eastAsia" w:ascii="仿宋_GB2312" w:eastAsia="仿宋_GB2312" w:cs="宋体"/>
          <w:sz w:val="32"/>
          <w:szCs w:val="32"/>
          <w:lang w:val="en-US" w:eastAsia="zh-CN" w:bidi="ar-SA"/>
        </w:rPr>
        <w:t>7135.85万</w:t>
      </w:r>
      <w:r>
        <w:rPr>
          <w:rFonts w:hint="eastAsia" w:ascii="仿宋_GB2312" w:eastAsia="仿宋_GB2312" w:cs="宋体"/>
          <w:sz w:val="32"/>
          <w:szCs w:val="32"/>
          <w:lang w:bidi="ar-SA"/>
        </w:rPr>
        <w:t>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93.6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宋体"/>
          <w:sz w:val="32"/>
          <w:szCs w:val="32"/>
          <w:lang w:bidi="ar-SA"/>
        </w:rPr>
        <w:t>住房保障支出</w:t>
      </w:r>
      <w:r>
        <w:rPr>
          <w:rFonts w:hint="eastAsia" w:ascii="仿宋_GB2312" w:eastAsia="仿宋_GB2312" w:cs="宋体"/>
          <w:sz w:val="32"/>
          <w:szCs w:val="32"/>
          <w:lang w:val="en-US" w:eastAsia="zh-CN" w:bidi="ar-SA"/>
        </w:rPr>
        <w:t>108.93</w:t>
      </w:r>
      <w:r>
        <w:rPr>
          <w:rFonts w:hint="eastAsia" w:ascii="仿宋_GB2312" w:eastAsia="仿宋_GB2312" w:cs="宋体"/>
          <w:sz w:val="32"/>
          <w:szCs w:val="32"/>
          <w:lang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宋体"/>
          <w:sz w:val="32"/>
          <w:szCs w:val="32"/>
          <w:lang w:bidi="ar-SA"/>
        </w:rPr>
        <w:t>灾害防治及应急管理支出</w:t>
      </w:r>
      <w:r>
        <w:rPr>
          <w:rFonts w:hint="eastAsia" w:ascii="仿宋_GB2312" w:eastAsia="仿宋_GB2312" w:cs="宋体"/>
          <w:sz w:val="32"/>
          <w:szCs w:val="32"/>
          <w:lang w:val="en-US" w:eastAsia="zh-CN" w:bidi="ar-SA"/>
        </w:rPr>
        <w:t>40.37</w:t>
      </w:r>
      <w:r>
        <w:rPr>
          <w:rFonts w:hint="eastAsia" w:ascii="仿宋_GB2312" w:eastAsia="仿宋_GB2312" w:cs="宋体"/>
          <w:sz w:val="32"/>
          <w:szCs w:val="32"/>
          <w:lang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7F51E8D">
      <w:pPr>
        <w:ind w:firstLine="800" w:firstLineChars="25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宋体"/>
          <w:sz w:val="32"/>
          <w:szCs w:val="32"/>
          <w:lang w:eastAsia="zh-CN" w:bidi="ar-SA"/>
        </w:rPr>
        <w:pict>
          <v:shape id="Object 9" o:spid="_x0000_s1040" o:spt="75" alt="olechartimg_1768987448525539_187651918458112" type="#_x0000_t75" style="position:absolute;left:0pt;margin-left:96.15pt;margin-top:7.25pt;height:222.75pt;width:258.75pt;mso-wrap-distance-bottom:0pt;mso-wrap-distance-top:0pt;z-index:251665408;mso-width-relative:page;mso-height-relative:page;" o:ole="t" filled="f" o:preferrelative="t" stroked="f" coordsize="21600,21600">
            <v:path/>
            <v:fill on="f" focussize="0,0"/>
            <v:stroke on="f"/>
            <v:imagedata r:id="rId17" o:title="olechartimg_1768987448525539_187651918458112"/>
            <o:lock v:ext="edit" aspectratio="t"/>
            <w10:wrap type="topAndBottom"/>
          </v:shape>
          <o:OLEObject Type="Embed" ProgID="Excel.Sheet.8" ShapeID="Object 9" DrawAspect="Content" ObjectID="_1468075726" r:id="rId16">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0"/>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1" w:name="_Toc15377444"/>
      <w:bookmarkStart w:id="42" w:name="_Toc15377213"/>
      <w:bookmarkStart w:id="4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Times New Roman" w:eastAsia="仿宋_GB2312" w:cs="Times New Roman"/>
          <w:sz w:val="32"/>
          <w:szCs w:val="32"/>
          <w:lang w:val="en-US" w:eastAsia="zh-CN"/>
        </w:rPr>
        <w:t>7626.55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1"/>
      <w:bookmarkEnd w:id="42"/>
      <w:bookmarkEnd w:id="43"/>
    </w:p>
    <w:p w14:paraId="4A3CBF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社会保障和就业支出：机关事业单位基本养老保险缴费208（类）05（款）05（项）：支出决算为</w:t>
      </w:r>
      <w:r>
        <w:rPr>
          <w:rFonts w:hint="eastAsia" w:eastAsia="仿宋_GB2312" w:cs="仿宋_GB2312"/>
          <w:color w:val="auto"/>
          <w:kern w:val="2"/>
          <w:sz w:val="32"/>
          <w:szCs w:val="32"/>
          <w:highlight w:val="none"/>
          <w:lang w:val="en-US" w:eastAsia="zh-CN" w:bidi="ar-SA"/>
        </w:rPr>
        <w:t>131.23</w:t>
      </w:r>
      <w:r>
        <w:rPr>
          <w:rFonts w:hint="eastAsia" w:ascii="Times New Roman" w:hAnsi="Times New Roman" w:eastAsia="仿宋_GB2312" w:cs="仿宋_GB2312"/>
          <w:color w:val="auto"/>
          <w:kern w:val="2"/>
          <w:sz w:val="32"/>
          <w:szCs w:val="32"/>
          <w:highlight w:val="none"/>
          <w:lang w:val="en-US" w:eastAsia="zh-CN" w:bidi="ar-SA"/>
        </w:rPr>
        <w:t>万元，完成预算100%；机关事业单位职业年金缴费208（类）05（款）06（项）支出决算为</w:t>
      </w:r>
      <w:r>
        <w:rPr>
          <w:rFonts w:hint="eastAsia" w:eastAsia="仿宋_GB2312" w:cs="仿宋_GB2312"/>
          <w:color w:val="auto"/>
          <w:kern w:val="2"/>
          <w:sz w:val="32"/>
          <w:szCs w:val="32"/>
          <w:highlight w:val="none"/>
          <w:lang w:val="en-US" w:eastAsia="zh-CN" w:bidi="ar-SA"/>
        </w:rPr>
        <w:t>65.61</w:t>
      </w:r>
      <w:r>
        <w:rPr>
          <w:rFonts w:hint="eastAsia" w:ascii="Times New Roman" w:hAnsi="Times New Roman" w:eastAsia="仿宋_GB2312" w:cs="仿宋_GB2312"/>
          <w:color w:val="auto"/>
          <w:kern w:val="2"/>
          <w:sz w:val="32"/>
          <w:szCs w:val="32"/>
          <w:highlight w:val="none"/>
          <w:lang w:val="en-US" w:eastAsia="zh-CN" w:bidi="ar-SA"/>
        </w:rPr>
        <w:t>万元，完成预算100%；其他行政事业单位养老208（类）05（款）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（项）支出决算为</w:t>
      </w:r>
      <w:r>
        <w:rPr>
          <w:rFonts w:hint="eastAsia" w:eastAsia="仿宋_GB2312" w:cs="仿宋_GB2312"/>
          <w:color w:val="auto"/>
          <w:kern w:val="2"/>
          <w:sz w:val="32"/>
          <w:szCs w:val="32"/>
          <w:highlight w:val="none"/>
          <w:lang w:val="en-US" w:eastAsia="zh-CN" w:bidi="ar-SA"/>
        </w:rPr>
        <w:t>21.87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13693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卫生健康支出：行政单位医疗210（类）11（款）01（项）: 支出决算为</w:t>
      </w:r>
      <w:r>
        <w:rPr>
          <w:rFonts w:hint="eastAsia" w:eastAsia="仿宋_GB2312" w:cs="仿宋_GB2312"/>
          <w:color w:val="auto"/>
          <w:kern w:val="2"/>
          <w:sz w:val="32"/>
          <w:szCs w:val="32"/>
          <w:highlight w:val="none"/>
          <w:lang w:val="en-US" w:eastAsia="zh-CN" w:bidi="ar-SA"/>
        </w:rPr>
        <w:t>47.06</w:t>
      </w:r>
      <w:r>
        <w:rPr>
          <w:rFonts w:hint="eastAsia" w:ascii="Times New Roman" w:hAnsi="Times New Roman" w:eastAsia="仿宋_GB2312" w:cs="仿宋_GB2312"/>
          <w:color w:val="auto"/>
          <w:kern w:val="2"/>
          <w:sz w:val="32"/>
          <w:szCs w:val="32"/>
          <w:highlight w:val="none"/>
          <w:lang w:val="en-US" w:eastAsia="zh-CN" w:bidi="ar-SA"/>
        </w:rPr>
        <w:t>万元，完成预算100%；事业单位医疗210（类）11（款）02（项）: 支出决算为</w:t>
      </w:r>
      <w:r>
        <w:rPr>
          <w:rFonts w:hint="eastAsia" w:eastAsia="仿宋_GB2312" w:cs="仿宋_GB2312"/>
          <w:color w:val="auto"/>
          <w:kern w:val="2"/>
          <w:sz w:val="32"/>
          <w:szCs w:val="32"/>
          <w:highlight w:val="none"/>
          <w:lang w:val="en-US" w:eastAsia="zh-CN" w:bidi="ar-SA"/>
        </w:rPr>
        <w:t>25.85</w:t>
      </w:r>
      <w:r>
        <w:rPr>
          <w:rFonts w:hint="eastAsia" w:ascii="Times New Roman" w:hAnsi="Times New Roman" w:eastAsia="仿宋_GB2312" w:cs="仿宋_GB2312"/>
          <w:color w:val="auto"/>
          <w:kern w:val="2"/>
          <w:sz w:val="32"/>
          <w:szCs w:val="32"/>
          <w:highlight w:val="none"/>
          <w:lang w:val="en-US" w:eastAsia="zh-CN" w:bidi="ar-SA"/>
        </w:rPr>
        <w:t>万元，完成预算100%；其他行政事业单位医疗210（类）11（款）99（项）: 支出决算为</w:t>
      </w:r>
      <w:r>
        <w:rPr>
          <w:rFonts w:hint="eastAsia" w:eastAsia="仿宋_GB2312" w:cs="仿宋_GB2312"/>
          <w:color w:val="auto"/>
          <w:kern w:val="2"/>
          <w:sz w:val="32"/>
          <w:szCs w:val="32"/>
          <w:highlight w:val="none"/>
          <w:lang w:val="en-US" w:eastAsia="zh-CN" w:bidi="ar-SA"/>
        </w:rPr>
        <w:t>4.77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D86D2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3.节能环保支出</w:t>
      </w:r>
      <w:r>
        <w:rPr>
          <w:rFonts w:hint="eastAsia" w:eastAsia="仿宋_GB2312" w:cs="仿宋_GB2312"/>
          <w:color w:val="auto"/>
          <w:kern w:val="2"/>
          <w:sz w:val="32"/>
          <w:szCs w:val="32"/>
          <w:highlight w:val="none"/>
          <w:lang w:val="en-US" w:eastAsia="zh-CN" w:bidi="ar-SA"/>
        </w:rPr>
        <w:t>，大气211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C49FD2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4.自然资源海洋气象等支出</w:t>
      </w:r>
      <w:r>
        <w:rPr>
          <w:rFonts w:hint="eastAsia" w:eastAsia="仿宋_GB2312" w:cs="仿宋_GB2312"/>
          <w:color w:val="auto"/>
          <w:kern w:val="2"/>
          <w:sz w:val="32"/>
          <w:szCs w:val="32"/>
          <w:highlight w:val="none"/>
          <w:lang w:val="en-US" w:eastAsia="zh-CN" w:bidi="ar-SA"/>
        </w:rPr>
        <w:t>，行政运行220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813.01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；一般行政管理事务220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436.77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自然资源规划及管理</w:t>
      </w:r>
      <w:r>
        <w:rPr>
          <w:rFonts w:hint="eastAsia" w:eastAsia="仿宋_GB2312" w:cs="仿宋_GB2312"/>
          <w:color w:val="auto"/>
          <w:kern w:val="2"/>
          <w:sz w:val="32"/>
          <w:szCs w:val="32"/>
          <w:highlight w:val="none"/>
          <w:lang w:val="en-US" w:eastAsia="zh-CN" w:bidi="ar-SA"/>
        </w:rPr>
        <w:t>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114.08万元，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；自然资源利用与保护220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5099.92万元，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；自然资源行业业务管理220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支出41.55万元，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；自然资源调查与确权登记220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支出152.07万元，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；地质矿产资源与环境调查220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支出9.8万元，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；事业运行220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支出444.85万元，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；其他自然资源事务220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支出23.8万元，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3AE3AF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5.住房保障支出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107.73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；购房补贴221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支出决算为1.2万元，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2DA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6.灾害防治及应急管理支出</w:t>
      </w:r>
      <w:r>
        <w:rPr>
          <w:rFonts w:hint="eastAsia" w:eastAsia="仿宋_GB2312" w:cs="仿宋_GB2312"/>
          <w:color w:val="auto"/>
          <w:kern w:val="2"/>
          <w:sz w:val="32"/>
          <w:szCs w:val="32"/>
          <w:highlight w:val="none"/>
          <w:lang w:val="en-US" w:eastAsia="zh-CN" w:bidi="ar-SA"/>
        </w:rPr>
        <w:t>，地质灾害防治224</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40.37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5EF764D">
      <w:pPr>
        <w:tabs>
          <w:tab w:val="right" w:pos="8306"/>
        </w:tabs>
        <w:spacing w:line="600" w:lineRule="exact"/>
        <w:ind w:firstLine="640"/>
        <w:outlineLvl w:val="1"/>
        <w:rPr>
          <w:rStyle w:val="29"/>
          <w:rFonts w:ascii="Times New Roman" w:hAnsi="Times New Roman"/>
          <w:color w:val="auto"/>
          <w:highlight w:val="none"/>
        </w:rPr>
      </w:pPr>
      <w:bookmarkStart w:id="44" w:name="_Toc15396608"/>
      <w:bookmarkStart w:id="4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4"/>
      <w:bookmarkEnd w:id="45"/>
      <w:r>
        <w:rPr>
          <w:rStyle w:val="29"/>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一般公共预算财政拨款基本支出1663.18万元，其中：</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1490.65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172.54万元，主要包括：办公费、印刷费、咨询费、手续费、水费、电费、邮电费、取暖费、物业管理费、差旅费、维修（护）费、租赁费、会议费、培训费、劳务费、委托业务费、工会经费、福利费、公务用车运行维护费、其他交通费、其他商品和服务支出、办公设备购置、专用设备购置、信息网络及软件购置更新、其他资本性支出等。</w:t>
      </w:r>
    </w:p>
    <w:p w14:paraId="75A1DDF0">
      <w:pPr>
        <w:spacing w:line="600" w:lineRule="exact"/>
        <w:ind w:firstLine="640"/>
        <w:outlineLvl w:val="1"/>
        <w:rPr>
          <w:rStyle w:val="29"/>
          <w:rFonts w:ascii="Times New Roman" w:hAnsi="Times New Roman" w:eastAsia="黑体"/>
          <w:b w:val="0"/>
          <w:color w:val="auto"/>
          <w:highlight w:val="none"/>
        </w:rPr>
      </w:pPr>
      <w:bookmarkStart w:id="46" w:name="_Toc15396609"/>
      <w:bookmarkStart w:id="4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6"/>
      <w:bookmarkEnd w:id="47"/>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8"/>
    </w:p>
    <w:p w14:paraId="411F3B81">
      <w:pPr>
        <w:snapToGrid w:val="0"/>
        <w:spacing w:line="520" w:lineRule="exact"/>
        <w:ind w:firstLine="640" w:firstLineChars="200"/>
        <w:rPr>
          <w:rFonts w:hint="eastAsia" w:ascii="仿宋_GB2312" w:hAnsi="仿宋" w:eastAsia="仿宋_GB2312" w:cs="仿宋"/>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eastAsia="仿宋_GB2312"/>
          <w:b w:val="0"/>
          <w:bCs w:val="0"/>
          <w:color w:val="auto"/>
          <w:sz w:val="32"/>
          <w:szCs w:val="32"/>
          <w:lang w:val="en-US" w:eastAsia="zh-CN"/>
        </w:rPr>
        <w:t>215.41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98.8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年“三公”经费支出为</w:t>
      </w:r>
      <w:r>
        <w:rPr>
          <w:rFonts w:hint="eastAsia" w:ascii="仿宋_GB2312" w:eastAsia="仿宋_GB2312"/>
          <w:sz w:val="32"/>
          <w:szCs w:val="32"/>
          <w:lang w:val="en-US" w:eastAsia="zh-CN"/>
        </w:rPr>
        <w:t>106.44</w:t>
      </w:r>
      <w:r>
        <w:rPr>
          <w:rFonts w:hint="eastAsia" w:ascii="仿宋_GB2312" w:eastAsia="仿宋_GB2312"/>
          <w:sz w:val="32"/>
          <w:szCs w:val="32"/>
        </w:rPr>
        <w:t>万元</w:t>
      </w:r>
      <w:r>
        <w:rPr>
          <w:rFonts w:hint="eastAsia" w:ascii="仿宋_GB2312" w:eastAsia="仿宋_GB2312"/>
          <w:sz w:val="32"/>
          <w:szCs w:val="32"/>
          <w:lang w:eastAsia="zh-CN"/>
        </w:rPr>
        <w:t>。本年度</w:t>
      </w:r>
      <w:r>
        <w:rPr>
          <w:rFonts w:hint="eastAsia" w:ascii="Times New Roman" w:hAnsi="Times New Roman" w:eastAsia="仿宋_GB2312" w:cs="仿宋_GB2312"/>
          <w:color w:val="auto"/>
          <w:kern w:val="2"/>
          <w:sz w:val="32"/>
          <w:szCs w:val="32"/>
          <w:highlight w:val="none"/>
          <w:lang w:val="en-US" w:eastAsia="zh-CN" w:bidi="ar-SA"/>
        </w:rPr>
        <w:t>较</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eastAsia="仿宋_GB2312"/>
          <w:sz w:val="32"/>
          <w:szCs w:val="32"/>
          <w:lang w:val="en-US" w:eastAsia="zh-CN"/>
        </w:rPr>
        <w:t>108.97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eastAsia="仿宋_GB2312"/>
          <w:sz w:val="32"/>
          <w:szCs w:val="32"/>
          <w:lang w:val="en-US" w:eastAsia="zh-CN"/>
        </w:rPr>
        <w:t>102.4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仿宋_GB2312" w:hAnsi="Times New Roman" w:eastAsia="仿宋_GB2312" w:cs="Times New Roman"/>
          <w:sz w:val="32"/>
          <w:szCs w:val="32"/>
        </w:rPr>
        <w:t>主要原因是：本年采购更新公务用车两辆</w:t>
      </w:r>
      <w:r>
        <w:rPr>
          <w:rFonts w:hint="eastAsia" w:ascii="仿宋_GB2312" w:hAnsi="仿宋" w:eastAsia="仿宋_GB2312" w:cs="仿宋"/>
          <w:sz w:val="32"/>
          <w:szCs w:val="32"/>
        </w:rPr>
        <w:t>。</w:t>
      </w:r>
    </w:p>
    <w:p w14:paraId="1A7DB6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小于</w:t>
      </w:r>
      <w:r>
        <w:rPr>
          <w:rFonts w:hint="eastAsia" w:ascii="Times New Roman" w:hAnsi="Times New Roman" w:eastAsia="仿宋_GB2312" w:cs="仿宋_GB2312"/>
          <w:color w:val="auto"/>
          <w:kern w:val="2"/>
          <w:sz w:val="32"/>
          <w:szCs w:val="32"/>
          <w:highlight w:val="none"/>
          <w:lang w:val="en-US" w:eastAsia="zh-CN" w:bidi="ar-SA"/>
        </w:rPr>
        <w:t>预算数的主要原因是</w:t>
      </w:r>
      <w:r>
        <w:rPr>
          <w:rFonts w:hint="eastAsia" w:eastAsia="仿宋_GB2312" w:cs="仿宋_GB2312"/>
          <w:color w:val="auto"/>
          <w:kern w:val="2"/>
          <w:sz w:val="32"/>
          <w:szCs w:val="32"/>
          <w:highlight w:val="none"/>
          <w:lang w:val="en-US" w:eastAsia="zh-CN" w:bidi="ar-SA"/>
        </w:rPr>
        <w:t>公务用车购置环节控制支出、节约使用资金，实际支付金额低于全年预算。</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9"/>
    </w:p>
    <w:p w14:paraId="14D1BA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345440</wp:posOffset>
            </wp:positionH>
            <wp:positionV relativeFrom="paragraph">
              <wp:posOffset>1658620</wp:posOffset>
            </wp:positionV>
            <wp:extent cx="4692015" cy="2395220"/>
            <wp:effectExtent l="4445" t="4445" r="8890" b="1968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eastAsia="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eastAsia="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eastAsia="仿宋_GB2312"/>
          <w:b w:val="0"/>
          <w:bCs w:val="0"/>
          <w:color w:val="auto"/>
          <w:sz w:val="32"/>
          <w:szCs w:val="32"/>
          <w:lang w:val="en-US" w:eastAsia="zh-CN"/>
        </w:rPr>
        <w:t>215.41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42E8B9F8">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76D5CF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减少0万元，下降0%。</w:t>
      </w:r>
    </w:p>
    <w:p w14:paraId="6F39B247">
      <w:pPr>
        <w:snapToGrid w:val="0"/>
        <w:spacing w:line="520" w:lineRule="exact"/>
        <w:ind w:firstLine="643" w:firstLineChars="200"/>
        <w:rPr>
          <w:rFonts w:hint="eastAsia" w:ascii="仿宋_GB2312" w:hAnsi="仿宋" w:eastAsia="仿宋_GB2312" w:cs="仿宋"/>
          <w:sz w:val="32"/>
          <w:szCs w:val="32"/>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b w:val="0"/>
          <w:bCs w:val="0"/>
          <w:color w:val="auto"/>
          <w:sz w:val="32"/>
          <w:szCs w:val="32"/>
          <w:lang w:val="en-US" w:eastAsia="zh-CN"/>
        </w:rPr>
        <w:t>215.41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98.8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eastAsia="仿宋_GB2312"/>
          <w:sz w:val="32"/>
          <w:szCs w:val="32"/>
          <w:lang w:val="en-US" w:eastAsia="zh-CN"/>
        </w:rPr>
        <w:t>108.97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eastAsia="仿宋_GB2312"/>
          <w:sz w:val="32"/>
          <w:szCs w:val="32"/>
          <w:lang w:val="en-US" w:eastAsia="zh-CN"/>
        </w:rPr>
        <w:t>102.4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Times New Roman" w:eastAsia="仿宋_GB2312" w:cs="Times New Roman"/>
          <w:sz w:val="32"/>
          <w:szCs w:val="32"/>
        </w:rPr>
        <w:t>本年采购更新公务用车两辆</w:t>
      </w:r>
      <w:r>
        <w:rPr>
          <w:rFonts w:hint="eastAsia" w:ascii="仿宋_GB2312" w:hAnsi="仿宋" w:eastAsia="仿宋_GB2312" w:cs="仿宋"/>
          <w:sz w:val="32"/>
          <w:szCs w:val="32"/>
        </w:rPr>
        <w:t>。</w:t>
      </w:r>
    </w:p>
    <w:p w14:paraId="14664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117.42</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117.42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保障自然资源领域地质灾害防治、执法巡查、耕地保护及各类外业调查核实等工作开展</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w:t>
      </w:r>
    </w:p>
    <w:p w14:paraId="79BC25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保障自然资源领域地质灾害防治、执法巡查、耕地保护、土地调查、国土空间规划及日常公务出行等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2DC2D5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ascii="仿宋_GB2312" w:hAnsi="仿宋_GB2312" w:eastAsia="仿宋_GB2312" w:cs="仿宋_GB2312"/>
          <w:sz w:val="32"/>
          <w:szCs w:val="32"/>
        </w:rPr>
        <w:t>0.36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%。主要原因是2025年</w:t>
      </w:r>
      <w:r>
        <w:rPr>
          <w:rFonts w:hint="eastAsia" w:eastAsia="仿宋_GB2312" w:cs="仿宋_GB2312"/>
          <w:color w:val="auto"/>
          <w:kern w:val="2"/>
          <w:sz w:val="32"/>
          <w:szCs w:val="32"/>
          <w:highlight w:val="none"/>
          <w:lang w:val="en-US" w:eastAsia="zh-CN" w:bidi="ar-SA"/>
        </w:rPr>
        <w:t>度</w:t>
      </w:r>
      <w:r>
        <w:rPr>
          <w:rFonts w:hint="eastAsia" w:ascii="Times New Roman" w:hAnsi="Times New Roman" w:eastAsia="仿宋_GB2312" w:cs="仿宋_GB2312"/>
          <w:color w:val="auto"/>
          <w:kern w:val="2"/>
          <w:sz w:val="32"/>
          <w:szCs w:val="32"/>
          <w:highlight w:val="none"/>
          <w:lang w:val="en-US" w:eastAsia="zh-CN" w:bidi="ar-SA"/>
        </w:rPr>
        <w:t>无公函接待。其中：</w:t>
      </w:r>
    </w:p>
    <w:p w14:paraId="44C503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A6631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4CEB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0" w:name="_Toc15396610"/>
      <w:bookmarkStart w:id="51" w:name="_Toc15377218"/>
    </w:p>
    <w:p w14:paraId="75DA8B5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0"/>
      <w:bookmarkEnd w:id="51"/>
    </w:p>
    <w:p w14:paraId="53148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，与上年持平。</w:t>
      </w:r>
    </w:p>
    <w:p w14:paraId="6EDF50E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2" w:name="_Toc15396611"/>
      <w:bookmarkStart w:id="5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2"/>
      <w:bookmarkEnd w:id="53"/>
    </w:p>
    <w:p w14:paraId="09193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%，与上年持平。</w:t>
      </w:r>
    </w:p>
    <w:p w14:paraId="7603ABE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4" w:name="_Toc15377221"/>
      <w:bookmarkStart w:id="5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4"/>
      <w:bookmarkEnd w:id="55"/>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172.54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26.78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s="宋体"/>
          <w:color w:val="auto"/>
          <w:sz w:val="32"/>
          <w:szCs w:val="32"/>
          <w:lang w:eastAsia="zh-CN" w:bidi="ar-SA"/>
        </w:rPr>
        <w:t>厉</w:t>
      </w:r>
      <w:r>
        <w:rPr>
          <w:rFonts w:hint="eastAsia" w:ascii="仿宋_GB2312" w:eastAsia="仿宋_GB2312" w:cs="宋体"/>
          <w:sz w:val="32"/>
          <w:szCs w:val="32"/>
          <w:lang w:eastAsia="zh-CN" w:bidi="ar-SA"/>
        </w:rPr>
        <w:t>行节约大力压减公用经费支出。</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政府采购支出总额309.57万元，其中：政府采购货物支出</w:t>
      </w:r>
      <w:r>
        <w:rPr>
          <w:rFonts w:hint="eastAsia" w:eastAsia="仿宋_GB2312" w:cs="仿宋_GB2312"/>
          <w:color w:val="auto"/>
          <w:kern w:val="2"/>
          <w:sz w:val="32"/>
          <w:szCs w:val="32"/>
          <w:highlight w:val="none"/>
          <w:lang w:val="en-US" w:eastAsia="zh-CN" w:bidi="ar-SA"/>
        </w:rPr>
        <w:t>2.64</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306.93</w:t>
      </w:r>
      <w:r>
        <w:rPr>
          <w:rFonts w:hint="eastAsia" w:ascii="Times New Roman" w:hAnsi="Times New Roman" w:eastAsia="仿宋_GB2312" w:cs="仿宋_GB2312"/>
          <w:color w:val="auto"/>
          <w:kern w:val="2"/>
          <w:sz w:val="32"/>
          <w:szCs w:val="32"/>
          <w:highlight w:val="none"/>
          <w:lang w:val="en-US" w:eastAsia="zh-CN" w:bidi="ar-SA"/>
        </w:rPr>
        <w:t>万元。主要用于阿坝州耕地林地园地空间治理“一张图”建设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州级地质灾害自动化实时监测项目运行维护</w:t>
      </w:r>
      <w:r>
        <w:rPr>
          <w:rFonts w:hint="eastAsia" w:eastAsia="仿宋_GB2312" w:cs="仿宋_GB2312"/>
          <w:color w:val="auto"/>
          <w:kern w:val="2"/>
          <w:sz w:val="32"/>
          <w:szCs w:val="32"/>
          <w:highlight w:val="none"/>
          <w:lang w:val="en-US" w:eastAsia="zh-CN" w:bidi="ar-SA"/>
        </w:rPr>
        <w:t>、卫片执法监督检查及技术服务以及国土资源掌上一张图系统维护、阿坝州“十五五”地质灾害防治专项规划编制、阿坝州自然资源局水资源基础调查州级汇总、阿坝州第五轮矿产资源总体规划（2026-2030年）编制、2025年建设项目用地预审、用地报批和国土空间规划审查、州级耕地流入流出汇总及方案编制技术服务、2025年全民所有自然资源资产清查工作、卫片执法监督检查及技术服务等自然资源管理相关专项工作</w:t>
      </w:r>
      <w:r>
        <w:rPr>
          <w:rFonts w:hint="eastAsia" w:ascii="Times New Roman" w:hAnsi="Times New Roman" w:eastAsia="仿宋_GB2312" w:cs="仿宋_GB2312"/>
          <w:color w:val="auto"/>
          <w:kern w:val="2"/>
          <w:sz w:val="32"/>
          <w:szCs w:val="32"/>
          <w:highlight w:val="none"/>
          <w:lang w:val="en-US" w:eastAsia="zh-CN" w:bidi="ar-SA"/>
        </w:rPr>
        <w:t>。授予中小企业合同金额69.1万元，占政府采购支出总额的</w:t>
      </w:r>
      <w:r>
        <w:rPr>
          <w:rFonts w:hint="eastAsia" w:eastAsia="仿宋_GB2312" w:cs="仿宋_GB2312"/>
          <w:color w:val="auto"/>
          <w:kern w:val="2"/>
          <w:sz w:val="32"/>
          <w:szCs w:val="32"/>
          <w:highlight w:val="none"/>
          <w:lang w:val="en-US" w:eastAsia="zh-CN" w:bidi="ar-SA"/>
        </w:rPr>
        <w:t>22.3</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5941BD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共有</w:t>
      </w:r>
      <w:r>
        <w:rPr>
          <w:rFonts w:hint="eastAsia" w:eastAsia="仿宋_GB2312" w:cs="仿宋_GB2312"/>
          <w:color w:val="auto"/>
          <w:kern w:val="2"/>
          <w:sz w:val="32"/>
          <w:szCs w:val="32"/>
          <w:highlight w:val="none"/>
          <w:lang w:val="en-US" w:eastAsia="zh-CN" w:bidi="ar-SA"/>
        </w:rPr>
        <w:t>公务用车6</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辆，其他用车主要用于</w:t>
      </w:r>
      <w:r>
        <w:rPr>
          <w:rFonts w:hint="eastAsia" w:eastAsia="仿宋_GB2312" w:cs="仿宋_GB2312"/>
          <w:color w:val="auto"/>
          <w:kern w:val="2"/>
          <w:sz w:val="32"/>
          <w:szCs w:val="32"/>
          <w:highlight w:val="none"/>
          <w:lang w:val="en-US" w:eastAsia="zh-CN" w:bidi="ar-SA"/>
        </w:rPr>
        <w:t>保障自然资源领域地质灾害防治、执法巡查、耕地保护、土地调查、国土空间规划及日常公务出行等。</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在2025年度，组织对阿坝州耕地林地园地空间治理“一张图”建设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州级地质灾害自动化实时监测项目运行维护</w:t>
      </w:r>
      <w:r>
        <w:rPr>
          <w:rFonts w:hint="eastAsia" w:eastAsia="仿宋_GB2312" w:cs="仿宋_GB2312"/>
          <w:color w:val="auto"/>
          <w:kern w:val="2"/>
          <w:sz w:val="32"/>
          <w:szCs w:val="32"/>
          <w:highlight w:val="none"/>
          <w:lang w:val="en-US" w:eastAsia="zh-CN" w:bidi="ar-SA"/>
        </w:rPr>
        <w:t>、卫片执法监督检查及技术服务以及国土资源掌上一张图系统维护</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个项目涉及</w:t>
      </w:r>
      <w:r>
        <w:rPr>
          <w:rFonts w:hint="eastAsia" w:eastAsia="仿宋_GB2312" w:cs="仿宋_GB2312"/>
          <w:color w:val="auto"/>
          <w:kern w:val="2"/>
          <w:sz w:val="32"/>
          <w:szCs w:val="32"/>
          <w:highlight w:val="none"/>
          <w:lang w:val="en-US" w:eastAsia="zh-CN" w:bidi="ar-SA"/>
        </w:rPr>
        <w:t>预算</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ascii="仿宋_GB2312" w:hAnsi="仿宋" w:eastAsia="仿宋_GB2312" w:cs="Times New Roman"/>
          <w:sz w:val="32"/>
          <w:szCs w:val="32"/>
          <w:highlight w:val="none"/>
          <w:lang w:val="en-US" w:eastAsia="zh-CN"/>
        </w:rPr>
        <w:t>5976.14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1A7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阿坝州自然资源局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部门预算（含部门预算项目）绩效自评报告等专项预算项目绩效自评报告，其中，</w:t>
      </w:r>
      <w:r>
        <w:rPr>
          <w:rFonts w:hint="eastAsia" w:eastAsia="仿宋_GB2312" w:cs="仿宋_GB2312"/>
          <w:color w:val="auto"/>
          <w:kern w:val="2"/>
          <w:sz w:val="32"/>
          <w:szCs w:val="32"/>
          <w:highlight w:val="none"/>
          <w:lang w:val="en-US" w:eastAsia="zh-CN" w:bidi="ar-SA"/>
        </w:rPr>
        <w:t>阿坝州自然资源局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14:paraId="7D672F0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9" w:name="_Toc15377225"/>
      <w:bookmarkStart w:id="6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p>
    <w:p w14:paraId="38C013ED">
      <w:pPr>
        <w:spacing w:line="600" w:lineRule="exact"/>
        <w:jc w:val="left"/>
        <w:rPr>
          <w:rFonts w:ascii="Times New Roman" w:hAnsi="Times New Roman"/>
          <w:b/>
          <w:color w:val="auto"/>
          <w:sz w:val="44"/>
          <w:szCs w:val="44"/>
          <w:highlight w:val="none"/>
        </w:rPr>
      </w:pPr>
    </w:p>
    <w:p w14:paraId="441C1B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1BAA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65CAB3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0AA1B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0CF8BD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D0F7B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712BA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9B9B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68C01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9.社会保障和就业（类）……（款）……（项）：指</w:t>
      </w:r>
      <w:r>
        <w:rPr>
          <w:rFonts w:hint="eastAsia" w:eastAsia="仿宋_GB2312" w:cs="仿宋_GB2312"/>
          <w:color w:val="auto"/>
          <w:kern w:val="2"/>
          <w:sz w:val="32"/>
          <w:szCs w:val="32"/>
          <w:highlight w:val="none"/>
          <w:lang w:val="en-US" w:eastAsia="zh-CN" w:bidi="ar-SA"/>
        </w:rPr>
        <w:t>政府在社会保障与就业方面的支出。</w:t>
      </w:r>
    </w:p>
    <w:p w14:paraId="5DDFD1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.卫生健康（类）……（款）……（项）：指</w:t>
      </w:r>
      <w:r>
        <w:rPr>
          <w:rFonts w:hint="eastAsia" w:eastAsia="仿宋_GB2312" w:cs="仿宋_GB2312"/>
          <w:color w:val="auto"/>
          <w:kern w:val="2"/>
          <w:sz w:val="32"/>
          <w:szCs w:val="32"/>
          <w:highlight w:val="none"/>
          <w:lang w:val="en-US" w:eastAsia="zh-CN" w:bidi="ar-SA"/>
        </w:rPr>
        <w:t>政府卫生健康方面的支出。</w:t>
      </w:r>
    </w:p>
    <w:p w14:paraId="0793BB0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政府节能环保支出。</w:t>
      </w:r>
    </w:p>
    <w:p w14:paraId="5C4AC9E1">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.自然资源海洋气象等（类）……（款）……（项）：指</w:t>
      </w:r>
      <w:r>
        <w:rPr>
          <w:rFonts w:hint="eastAsia" w:eastAsia="仿宋_GB2312" w:cs="仿宋_GB2312"/>
          <w:color w:val="auto"/>
          <w:kern w:val="2"/>
          <w:sz w:val="32"/>
          <w:szCs w:val="32"/>
          <w:highlight w:val="none"/>
          <w:lang w:val="en-US" w:eastAsia="zh-CN" w:bidi="ar-SA"/>
        </w:rPr>
        <w:t>政府用于自然资源、海洋、测绘、气象等公益服务事业方面的支出。</w:t>
      </w:r>
    </w:p>
    <w:p w14:paraId="7ACEAD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.住房保障（类）……（款）……（项）：指</w:t>
      </w:r>
      <w:r>
        <w:rPr>
          <w:rFonts w:hint="eastAsia" w:eastAsia="仿宋_GB2312" w:cs="仿宋_GB2312"/>
          <w:color w:val="auto"/>
          <w:kern w:val="2"/>
          <w:sz w:val="32"/>
          <w:szCs w:val="32"/>
          <w:highlight w:val="none"/>
          <w:lang w:val="en-US" w:eastAsia="zh-CN" w:bidi="ar-SA"/>
        </w:rPr>
        <w:t>政府用于住房方面的支出。</w:t>
      </w:r>
    </w:p>
    <w:p w14:paraId="76D3D70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灾害防治及应急管理</w:t>
      </w:r>
      <w:r>
        <w:rPr>
          <w:rFonts w:hint="eastAsia" w:ascii="Times New Roman" w:hAnsi="Times New Roman" w:eastAsia="仿宋_GB2312" w:cs="仿宋_GB2312"/>
          <w:color w:val="auto"/>
          <w:kern w:val="2"/>
          <w:sz w:val="32"/>
          <w:szCs w:val="32"/>
          <w:highlight w:val="none"/>
          <w:lang w:val="en-US" w:eastAsia="zh-CN" w:bidi="ar-SA"/>
        </w:rPr>
        <w:t>（类）……（款）……（项）：指</w:t>
      </w:r>
      <w:r>
        <w:rPr>
          <w:rFonts w:hint="eastAsia" w:eastAsia="仿宋_GB2312" w:cs="仿宋_GB2312"/>
          <w:color w:val="auto"/>
          <w:kern w:val="2"/>
          <w:sz w:val="32"/>
          <w:szCs w:val="32"/>
          <w:highlight w:val="none"/>
          <w:lang w:val="en-US" w:eastAsia="zh-CN" w:bidi="ar-SA"/>
        </w:rPr>
        <w:t>政府用于自然灾害防治、安全生产监管及应急管理等方面的支出。</w:t>
      </w:r>
    </w:p>
    <w:p w14:paraId="0F0A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BABB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64591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144B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ECF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07BE49">
      <w:pPr>
        <w:spacing w:line="600" w:lineRule="exact"/>
        <w:jc w:val="center"/>
        <w:rPr>
          <w:rStyle w:val="28"/>
          <w:rFonts w:hint="eastAsia" w:ascii="Times New Roman" w:hAnsi="Times New Roman" w:eastAsia="黑体"/>
          <w:b w:val="0"/>
          <w:color w:val="auto"/>
          <w:highlight w:val="none"/>
          <w:lang w:eastAsia="zh-CN"/>
        </w:rPr>
      </w:pPr>
      <w:bookmarkStart w:id="6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2"/>
    </w:p>
    <w:p w14:paraId="410C4E6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71B8BE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AEDB44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203E0F3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A01C84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155485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2498C97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23C0013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eastAsia" w:ascii="仿宋_GB2312" w:hAnsi="Times New Roman" w:eastAsia="仿宋_GB2312" w:cs="Times New Roman"/>
          <w:kern w:val="2"/>
          <w:sz w:val="32"/>
          <w:szCs w:val="32"/>
          <w:u w:val="none"/>
        </w:rPr>
        <w:t>阿坝藏族羌族自治州自然资源局</w:t>
      </w:r>
      <w:r>
        <w:rPr>
          <w:rFonts w:hint="default" w:ascii="仿宋_GB2312" w:hAnsi="Times New Roman" w:eastAsia="仿宋_GB2312" w:cs="Times New Roman"/>
          <w:kern w:val="2"/>
          <w:sz w:val="32"/>
          <w:szCs w:val="32"/>
          <w:u w:val="none"/>
        </w:rPr>
        <w:t>属一级预算单位，下属二级预算单位</w:t>
      </w:r>
      <w:r>
        <w:rPr>
          <w:rFonts w:hint="eastAsia" w:ascii="仿宋_GB2312" w:hAnsi="Times New Roman" w:eastAsia="仿宋_GB2312" w:cs="Times New Roman"/>
          <w:kern w:val="2"/>
          <w:sz w:val="32"/>
          <w:szCs w:val="32"/>
          <w:u w:val="none"/>
          <w:lang w:val="en-US" w:eastAsia="zh-CN"/>
        </w:rPr>
        <w:t>3</w:t>
      </w:r>
      <w:r>
        <w:rPr>
          <w:rFonts w:hint="default" w:ascii="仿宋_GB2312" w:hAnsi="Times New Roman" w:eastAsia="仿宋_GB2312" w:cs="Times New Roman"/>
          <w:kern w:val="2"/>
          <w:sz w:val="32"/>
          <w:szCs w:val="32"/>
          <w:u w:val="none"/>
        </w:rPr>
        <w:t>个：阿坝州国土空间生态修复与地质灾害防治研究所</w:t>
      </w:r>
      <w:r>
        <w:rPr>
          <w:rFonts w:hint="eastAsia" w:ascii="仿宋_GB2312" w:hAnsi="Times New Roman" w:eastAsia="仿宋_GB2312" w:cs="Times New Roman"/>
          <w:kern w:val="2"/>
          <w:sz w:val="32"/>
          <w:szCs w:val="32"/>
          <w:u w:val="none"/>
        </w:rPr>
        <w:t>（简称修防所）</w:t>
      </w:r>
      <w:r>
        <w:rPr>
          <w:rFonts w:hint="eastAsia" w:ascii="仿宋_GB2312" w:hAnsi="Times New Roman" w:eastAsia="仿宋_GB2312" w:cs="Times New Roman"/>
          <w:kern w:val="2"/>
          <w:sz w:val="32"/>
          <w:szCs w:val="32"/>
          <w:u w:val="none"/>
          <w:lang w:eastAsia="zh-CN"/>
        </w:rPr>
        <w:t>、</w:t>
      </w:r>
      <w:r>
        <w:rPr>
          <w:rFonts w:hint="default" w:ascii="仿宋_GB2312" w:hAnsi="Times New Roman" w:eastAsia="仿宋_GB2312" w:cs="Times New Roman"/>
          <w:kern w:val="2"/>
          <w:sz w:val="32"/>
          <w:szCs w:val="32"/>
          <w:u w:val="none"/>
        </w:rPr>
        <w:t>阿坝州不动产登记中心</w:t>
      </w:r>
      <w:r>
        <w:rPr>
          <w:rFonts w:hint="eastAsia" w:ascii="仿宋_GB2312" w:hAnsi="Times New Roman" w:eastAsia="仿宋_GB2312" w:cs="Times New Roman"/>
          <w:kern w:val="2"/>
          <w:sz w:val="32"/>
          <w:szCs w:val="32"/>
          <w:u w:val="none"/>
        </w:rPr>
        <w:t>（简称不动产登记中心）</w:t>
      </w:r>
      <w:r>
        <w:rPr>
          <w:rFonts w:hint="eastAsia" w:ascii="仿宋_GB2312" w:hAnsi="Times New Roman" w:eastAsia="仿宋_GB2312" w:cs="Times New Roman"/>
          <w:kern w:val="2"/>
          <w:sz w:val="32"/>
          <w:szCs w:val="32"/>
          <w:u w:val="none"/>
          <w:lang w:eastAsia="zh-CN"/>
        </w:rPr>
        <w:t>、</w:t>
      </w:r>
      <w:r>
        <w:rPr>
          <w:rFonts w:hint="eastAsia" w:ascii="仿宋_GB2312" w:hAnsi="Times New Roman" w:eastAsia="仿宋_GB2312" w:cs="Times New Roman"/>
          <w:kern w:val="2"/>
          <w:sz w:val="32"/>
          <w:szCs w:val="32"/>
          <w:u w:val="none"/>
          <w:lang w:val="en-US" w:eastAsia="zh-CN"/>
        </w:rPr>
        <w:t>阿坝州耕地保护中心</w:t>
      </w:r>
      <w:r>
        <w:rPr>
          <w:rFonts w:hint="eastAsia" w:ascii="仿宋_GB2312" w:hAnsi="Times New Roman" w:eastAsia="仿宋_GB2312" w:cs="Times New Roman"/>
          <w:kern w:val="2"/>
          <w:sz w:val="32"/>
          <w:szCs w:val="32"/>
          <w:u w:val="none"/>
        </w:rPr>
        <w:t>（简称</w:t>
      </w:r>
      <w:r>
        <w:rPr>
          <w:rFonts w:hint="eastAsia" w:ascii="仿宋_GB2312" w:hAnsi="Times New Roman" w:eastAsia="仿宋_GB2312" w:cs="Times New Roman"/>
          <w:kern w:val="2"/>
          <w:sz w:val="32"/>
          <w:szCs w:val="32"/>
          <w:u w:val="none"/>
          <w:lang w:val="en-US" w:eastAsia="zh-CN"/>
        </w:rPr>
        <w:t>耕保中心</w:t>
      </w:r>
      <w:r>
        <w:rPr>
          <w:rFonts w:hint="eastAsia" w:ascii="仿宋_GB2312" w:hAnsi="Times New Roman" w:eastAsia="仿宋_GB2312" w:cs="Times New Roman"/>
          <w:kern w:val="2"/>
          <w:sz w:val="32"/>
          <w:szCs w:val="32"/>
          <w:u w:val="none"/>
        </w:rPr>
        <w:t>）</w:t>
      </w:r>
      <w:r>
        <w:rPr>
          <w:rFonts w:hint="eastAsia" w:ascii="仿宋_GB2312" w:hAnsi="Times New Roman" w:eastAsia="仿宋_GB2312" w:cs="Times New Roman"/>
          <w:kern w:val="2"/>
          <w:sz w:val="32"/>
          <w:szCs w:val="32"/>
          <w:u w:val="none"/>
          <w:lang w:eastAsia="zh-CN"/>
        </w:rPr>
        <w:t>，均</w:t>
      </w:r>
      <w:r>
        <w:rPr>
          <w:rFonts w:hint="eastAsia" w:ascii="仿宋_GB2312" w:hAnsi="Times New Roman" w:cs="Times New Roman"/>
          <w:kern w:val="2"/>
          <w:sz w:val="32"/>
          <w:szCs w:val="32"/>
          <w:u w:val="none"/>
          <w:lang w:eastAsia="zh-CN"/>
        </w:rPr>
        <w:t>属</w:t>
      </w:r>
      <w:r>
        <w:rPr>
          <w:rFonts w:hint="default" w:ascii="仿宋_GB2312" w:hAnsi="Times New Roman" w:eastAsia="仿宋_GB2312" w:cs="Times New Roman"/>
          <w:kern w:val="2"/>
          <w:sz w:val="32"/>
          <w:szCs w:val="32"/>
          <w:u w:val="none"/>
        </w:rPr>
        <w:t>财政全额拨款事业单位</w:t>
      </w:r>
      <w:r>
        <w:rPr>
          <w:rFonts w:hint="default" w:ascii="Times New Roman" w:hAnsi="Times New Roman" w:eastAsia="仿宋_GB2312" w:cs="仿宋_GB2312"/>
          <w:color w:val="auto"/>
          <w:kern w:val="2"/>
          <w:sz w:val="32"/>
          <w:szCs w:val="32"/>
          <w:highlight w:val="none"/>
          <w:lang w:val="en-US" w:eastAsia="zh-CN" w:bidi="ar-SA"/>
        </w:rPr>
        <w:t>。</w:t>
      </w:r>
    </w:p>
    <w:p w14:paraId="29BF42E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6E603D04">
      <w:pPr>
        <w:keepNext w:val="0"/>
        <w:keepLines w:val="0"/>
        <w:pageBreakBefore w:val="0"/>
        <w:widowControl w:val="0"/>
        <w:numPr>
          <w:ilvl w:val="0"/>
          <w:numId w:val="0"/>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按照中共阿坝州委办公室 阿坝州人民政府办公室关于印发《阿坝州自然资源局</w:t>
      </w:r>
      <w:r>
        <w:rPr>
          <w:rFonts w:hint="eastAsia" w:ascii="仿宋_GB2312" w:hAnsi="Times New Roman" w:eastAsia="仿宋_GB2312" w:cs="Times New Roman"/>
          <w:kern w:val="2"/>
          <w:sz w:val="32"/>
          <w:szCs w:val="32"/>
          <w:u w:val="none"/>
          <w:lang w:val="zh-CN" w:eastAsia="zh-CN"/>
        </w:rPr>
        <w:t>职能配置、内设机构和人员编制规定》的通知</w:t>
      </w:r>
      <w:r>
        <w:rPr>
          <w:rFonts w:hint="eastAsia" w:ascii="仿宋_GB2312" w:hAnsi="Times New Roman" w:eastAsia="仿宋_GB2312" w:cs="Times New Roman"/>
          <w:color w:val="auto"/>
          <w:kern w:val="2"/>
          <w:sz w:val="32"/>
          <w:szCs w:val="32"/>
          <w:highlight w:val="none"/>
          <w:u w:val="none"/>
          <w:lang w:val="zh-CN" w:eastAsia="zh-CN"/>
        </w:rPr>
        <w:t>（阿委办〔2024〕58号）规定，阿坝藏族羌族自治州自然资源局负责</w:t>
      </w:r>
      <w:r>
        <w:rPr>
          <w:rFonts w:hint="eastAsia" w:ascii="仿宋_GB2312" w:hAnsi="Times New Roman" w:eastAsia="仿宋_GB2312" w:cs="Times New Roman"/>
          <w:kern w:val="2"/>
          <w:sz w:val="32"/>
          <w:szCs w:val="32"/>
          <w:highlight w:val="none"/>
          <w:u w:val="none"/>
          <w:lang w:val="zh-CN" w:eastAsia="zh-CN"/>
        </w:rPr>
        <w:t>贯彻落实党中央关于自</w:t>
      </w:r>
      <w:r>
        <w:rPr>
          <w:rFonts w:hint="eastAsia" w:ascii="仿宋_GB2312" w:hAnsi="仿宋_GB2312" w:eastAsia="仿宋_GB2312" w:cs="仿宋_GB2312"/>
          <w:sz w:val="32"/>
          <w:szCs w:val="32"/>
          <w:highlight w:val="none"/>
          <w:lang w:val="zh-CN" w:eastAsia="zh-CN"/>
        </w:rPr>
        <w:t>然资源工作的方</w:t>
      </w:r>
      <w:r>
        <w:rPr>
          <w:rFonts w:hint="eastAsia" w:ascii="仿宋_GB2312" w:hAnsi="仿宋_GB2312" w:eastAsia="仿宋_GB2312" w:cs="仿宋_GB2312"/>
          <w:sz w:val="32"/>
          <w:szCs w:val="32"/>
          <w:lang w:val="zh-CN" w:eastAsia="zh-CN"/>
        </w:rPr>
        <w:t>针政策和省委、州委决策部署，把坚持和加强党中央对自然资源工作的集中统一领导落实到履行职责过程中。主要职责是：</w:t>
      </w:r>
    </w:p>
    <w:p w14:paraId="063446EA">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按照规定权限，履行全民所有土地、矿产、森林、草原、湿地、水等自然资源资产所有者职责和所有国土空间用途管制职责。组织起草、拟订全州自然资源和国土空间规划等地方性法规、规章草案，制定有关政策措施并监督检查执行情况。</w:t>
      </w:r>
    </w:p>
    <w:p w14:paraId="0668CF4E">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调查监测评价。依照自然资源调查监测评价的指标体系和统计标准，建立统一规范的自然资源调查监测评价制度。实施自然资源基础调查、专项调查和监测。负责自然资源调查监测评价成果的监督管理和信息发布。指导县（市）自然资源调查监测评价工作。</w:t>
      </w:r>
    </w:p>
    <w:p w14:paraId="34776457">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统一确权登记工作。组织实施各类自然资源和不动产统一确权登记、权籍调查、不动产测绘、争议调处、成果应用的制度、标准、规范。建立健全全州自然资源和不动产登记信息管理基础平台。负责自然资源和不动产登记资料收集、整理、共享、汇交管理等。指导监督自然资源和不动产确权登记工作。</w:t>
      </w:r>
    </w:p>
    <w:p w14:paraId="349C4091">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资产有偿使用工作。建立全民所有自然资源资产统计制度，负责全民所有自然资源资产核算。编制全民所有自然资源资产负债表，依照有关标准组织考核。按照规定权限，制定全民所有自然资源资产划拨、出让、租赁、作价出资和土地储备政策，合理配置全民所有自然资源资产。负责自然资源资产价值评估管理，依法收缴相关资产收益。</w:t>
      </w:r>
    </w:p>
    <w:p w14:paraId="083BEEFC">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的合理开发利用。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筹的政策措施。</w:t>
      </w:r>
    </w:p>
    <w:p w14:paraId="38D182EE">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建立全州空间规划体系并监督实施，推进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政策并监督实施。组织拟订并实施土地等自然资源年度利用计划。负责土地等国土空间用途转用工作。负责土地征收征用管理。</w:t>
      </w:r>
    </w:p>
    <w:p w14:paraId="15232D5F">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统筹全州国土空间生态修复。牵头组织编制全州国土空间生态修复规划并实施有关生态修复重大工程。负责开展国土空间综合整治、土地整理复垦、矿山地质环境恢复治理等工作。牵头建立和实施生态保护补偿制度，制定合理利用社会资金进行生态修复的政策措施，提出重大备选项目。</w:t>
      </w:r>
    </w:p>
    <w:p w14:paraId="7CE91F34">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组织实施最严格的耕地保护制度。牵头拟订并实施全州耕地保护政策，负责耕地数量、质量、生态保护。组织实施耕地保护责任目标考核和永久基本农田特殊保护。完善耕地占补平衡制度，监督占用耕地补偿制度执行情况。</w:t>
      </w:r>
    </w:p>
    <w:p w14:paraId="2A4FE5D8">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管理全州地质勘查行业和地质工作。拟订全州地质勘查规划并监督检查执行情况。管理州级地质勘查项目。组织实施重大地质矿产勘查专项。负责地质灾害预防和治理，监督管理地下水过量开采及引发的地面沉降等地质问题。负责古生物化石的监督管理。</w:t>
      </w:r>
    </w:p>
    <w:p w14:paraId="758C1CC9">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落实综合防灾减灾规划相关要求，组织编制并实施地质灾害防治规划。组织、指导、协调和监督地质灾害调查评价及隐患的普查、详查、排查。组织、指导开展群测群防、专业监测和预报预警等工作，组织、指导开展地质灾害工程治理工作。承担地质灾害应急救援的技术保障工作。</w:t>
      </w:r>
    </w:p>
    <w:p w14:paraId="3E741EA5">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矿产资源管理工作。负责矿产资源查明、占用储量的核实、登记、备案。负责压覆矿产资源核实工作。负责矿业权管理。会同有关部门承担保护性开采的特定矿种、优势矿产的调控及相关管理工作。监督指导矿产资源合理利用和保护。</w:t>
      </w:r>
    </w:p>
    <w:p w14:paraId="42B45BA6">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负责全州测绘地理信息工作。负责基础测绘地理信息工作的统一监督管理，负责全州测绘单位的测绘资格审查、测绘工作证件、测绘任务备案管理，指导测量标志的管理和保护，管理全州各级行政区域测绘工作。</w:t>
      </w:r>
    </w:p>
    <w:p w14:paraId="3F49BF3C">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推动全州自然资源领域科技发展和对外合作。制定并实施全州自然资源领域科技创新发展和人才培养规划、计划。组织实施重大科技专项及创新能力建设，推进自然资源信息化和信息资料的公共服务。组织开展全州自然资源系统对外交流合作。</w:t>
      </w:r>
    </w:p>
    <w:p w14:paraId="14720558">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配合国家、省对县（市）政府落实党中央、国务院关于自然资源和国土空间规划的重大方针政策、决策部署及法律法规执行情况进行</w:t>
      </w:r>
      <w:r>
        <w:rPr>
          <w:rFonts w:hint="eastAsia" w:ascii="仿宋_GB2312" w:hAnsi="仿宋_GB2312" w:eastAsia="仿宋_GB2312" w:cs="仿宋_GB2312"/>
          <w:sz w:val="32"/>
          <w:szCs w:val="32"/>
          <w:u w:val="none"/>
          <w:lang w:val="zh-CN" w:eastAsia="zh-CN"/>
        </w:rPr>
        <w:t>督察</w:t>
      </w:r>
      <w:r>
        <w:rPr>
          <w:rFonts w:hint="eastAsia" w:ascii="仿宋_GB2312" w:hAnsi="仿宋_GB2312" w:eastAsia="仿宋_GB2312" w:cs="仿宋_GB2312"/>
          <w:sz w:val="32"/>
          <w:szCs w:val="32"/>
          <w:lang w:val="zh-CN" w:eastAsia="zh-CN"/>
        </w:rPr>
        <w:t>。按照州委、州政府安排，组织实施自然资源督察相关工作。查处、督办全州国土空间规划和自然资源重大违法案件，组织协调跨区域执法。指导县（市）有关行政执法工作。</w:t>
      </w:r>
    </w:p>
    <w:p w14:paraId="40A18AC0">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ascii="Times New Roman" w:hAnsi="Times New Roman" w:eastAsia="楷体_GB2312" w:cs="Times New Roman"/>
          <w:b/>
          <w:bCs/>
          <w:color w:val="000000"/>
          <w:kern w:val="0"/>
          <w:sz w:val="32"/>
          <w:szCs w:val="32"/>
          <w:shd w:val="clear" w:color="auto" w:fill="FFFFFF"/>
          <w:lang w:val="zh-CN"/>
        </w:rPr>
      </w:pPr>
      <w:r>
        <w:rPr>
          <w:rFonts w:hint="eastAsia" w:ascii="仿宋_GB2312" w:hAnsi="仿宋_GB2312" w:eastAsia="仿宋_GB2312" w:cs="仿宋_GB2312"/>
          <w:sz w:val="32"/>
          <w:szCs w:val="32"/>
          <w:lang w:val="zh-CN" w:eastAsia="zh-CN"/>
        </w:rPr>
        <w:t>负责职责范围内的安全生产和职业健康、生态环境保护、审批服务便民化等工作。</w:t>
      </w:r>
    </w:p>
    <w:p w14:paraId="6118B28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sz w:val="32"/>
          <w:szCs w:val="32"/>
          <w:lang w:val="zh-CN" w:eastAsia="zh-CN"/>
        </w:rPr>
        <w:t>完成州委、州政府交办的其他任务</w:t>
      </w:r>
      <w:r>
        <w:rPr>
          <w:rFonts w:hint="eastAsia" w:ascii="Times New Roman" w:hAnsi="Times New Roman" w:eastAsia="仿宋_GB2312" w:cs="Times New Roman"/>
          <w:sz w:val="32"/>
          <w:szCs w:val="32"/>
          <w:lang w:val="en-US" w:eastAsia="zh-CN"/>
        </w:rPr>
        <w:t>。</w:t>
      </w:r>
    </w:p>
    <w:p w14:paraId="4813325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62954F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eastAsia" w:ascii="Times New Roman" w:hAnsi="Times New Roman" w:eastAsia="仿宋_GB2312" w:cs="Times New Roman"/>
          <w:color w:val="auto"/>
          <w:sz w:val="32"/>
          <w:szCs w:val="32"/>
          <w:lang w:val="en-US" w:eastAsia="zh-CN"/>
        </w:rPr>
        <w:t>截至2025年末，阿坝州自然资源局及下属单位编制情况：局机</w:t>
      </w:r>
      <w:bookmarkStart w:id="78" w:name="_GoBack"/>
      <w:bookmarkEnd w:id="78"/>
      <w:r>
        <w:rPr>
          <w:rFonts w:hint="eastAsia" w:ascii="Times New Roman" w:hAnsi="Times New Roman" w:eastAsia="仿宋_GB2312" w:cs="Times New Roman"/>
          <w:color w:val="auto"/>
          <w:sz w:val="32"/>
          <w:szCs w:val="32"/>
          <w:lang w:val="en-US" w:eastAsia="zh-CN"/>
        </w:rPr>
        <w:t>关：行政编制2</w:t>
      </w:r>
      <w:r>
        <w:rPr>
          <w:rFonts w:hint="eastAsia"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lang w:val="en-US" w:eastAsia="zh-CN"/>
        </w:rPr>
        <w:t>个，行政工勤编制4个；州国土空间生态修复与地质灾害防治研究所事业编制1</w:t>
      </w:r>
      <w:r>
        <w:rPr>
          <w:rFonts w:hint="eastAsia"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个，州不动产登记中心事业编制1</w:t>
      </w:r>
      <w:r>
        <w:rPr>
          <w:rFonts w:hint="eastAsia"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个，州耕地保护中心事业编制9个。截至2025年末，阿坝州自然资源局及下属单位实有人数59人，其中行政人员26人，行政工勤4人，较上年新增</w:t>
      </w:r>
      <w:r>
        <w:rPr>
          <w:rFonts w:hint="eastAsia" w:ascii="Times New Roman" w:hAnsi="Times New Roman" w:eastAsia="仿宋_GB2312" w:cs="Times New Roman"/>
          <w:sz w:val="32"/>
          <w:szCs w:val="32"/>
          <w:lang w:val="en-US" w:eastAsia="zh-CN"/>
        </w:rPr>
        <w:t>行政人员5人，退休1人。事业人员29名，含3名事业工勤人员。本年新增事业人员9名，退休1名。</w:t>
      </w:r>
    </w:p>
    <w:p w14:paraId="1772C63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1B50158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0858DF4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Times New Roman" w:hAnsi="Times New Roman" w:eastAsia="仿宋_GB2312" w:cs="Times New Roman"/>
          <w:sz w:val="32"/>
          <w:szCs w:val="32"/>
          <w:lang w:val="en-US" w:eastAsia="zh-CN"/>
        </w:rPr>
        <w:t>2025年部门预算总收入为1830.16万元，均为财政拨款收入，其中：一般公共预算拨款收入1830.16万元，占收入预算的百分比为100%；事业收入0万元；其他收入0万元。2025年部门决算总收入为7626.55万元，均为财政拨款收入，其中：一般公共预算拨款收入7626.55万元，占收入预算的百分比为100%；事业收入0万元；其他收入0万元。</w:t>
      </w:r>
    </w:p>
    <w:p w14:paraId="6718B89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5982DB0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2025年部门预算总支出为1830.16万元，其中：基本运行支出年初预算数为1310.53万元，占预算支出的71.61%（人员经费1130.05万元、日常公用经费180.48万元），项目运行支出预算数为519.63万元，占预算支出的28.39%。</w:t>
      </w:r>
    </w:p>
    <w:p w14:paraId="4866467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2025部门决算总支出为7626.55万元,其中基本运行支出数为1663.18万元，占预算支出的21.81%（人员经费1490.65万元、公用经费172.54万元），项目运行支出数为5963.36万元，占预算支出的78.19%。我局一般公共预算收支与决算收支差异较大，主要原因是年中增加中省重大建设项目，资金安排增加。     </w:t>
      </w:r>
    </w:p>
    <w:p w14:paraId="414242AA">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人员经费保障支出</w:t>
      </w:r>
    </w:p>
    <w:p w14:paraId="24C7331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2025年我局下达工资性支出预算、社会保障缴费等人员经费类预算项目1490.65万元，截至12月实现支出1490.65万元，达到预算金额100%。</w:t>
      </w:r>
    </w:p>
    <w:p w14:paraId="59D848F6">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定额公用经费支出（含公务用车购置费）</w:t>
      </w:r>
    </w:p>
    <w:p w14:paraId="5E8BC86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2025年我局共下达定额公用经费172.54万元，实现支付172.54万元，支付进度达到100%。</w:t>
      </w:r>
    </w:p>
    <w:p w14:paraId="6EA10D99">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项目经费支出</w:t>
      </w:r>
    </w:p>
    <w:p w14:paraId="6A47357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项目运行全年预算数为5963.36万元，实现支出5963.36万元。其中30万及以上项目10个,总金额5498.49万元，支付5395.66万元。支出率98.13%。</w:t>
      </w:r>
    </w:p>
    <w:p w14:paraId="5A94089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lang w:val="zh-CN" w:eastAsia="zh-CN"/>
        </w:rPr>
      </w:pPr>
      <w:r>
        <w:rPr>
          <w:rFonts w:hint="eastAsia" w:ascii="Times New Roman" w:hAnsi="Times New Roman" w:eastAsia="仿宋_GB2312" w:cs="Times New Roman"/>
          <w:sz w:val="32"/>
          <w:szCs w:val="32"/>
          <w:lang w:val="en-US" w:eastAsia="zh-CN"/>
        </w:rPr>
        <w:t>我局当年新增若尔盖山水工程提质增效项目，总金额5000万元，该项目全额支出;地质灾害防治和耕地林地园地空间治理“一张图”建设项目支出88.87万元；阿坝州耕地林地园地空间治理“一张图”建设项目预算资金75.73万元，招标价格74.15万元，当年实际支出74.15万元；阿坝州规划展览馆陈列展览项目支出50.72万元。</w:t>
      </w:r>
    </w:p>
    <w:p w14:paraId="31B46B8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1F36AD1B">
      <w:pPr>
        <w:widowControl/>
        <w:adjustRightInd w:val="0"/>
        <w:snapToGrid w:val="0"/>
        <w:spacing w:line="578" w:lineRule="exact"/>
        <w:ind w:firstLine="960" w:firstLineChars="300"/>
        <w:contextualSpacing/>
        <w:jc w:val="left"/>
        <w:rPr>
          <w:rFonts w:hint="eastAsia" w:ascii="Times New Roman" w:hAnsi="Times New Roman" w:eastAsia="仿宋_GB2312" w:cs="Times New Roman"/>
          <w:b/>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年决算报表</w:t>
      </w:r>
      <w:r>
        <w:rPr>
          <w:rFonts w:ascii="Times New Roman" w:hAnsi="Times New Roman" w:eastAsia="仿宋_GB2312" w:cs="Times New Roman"/>
          <w:color w:val="000000"/>
          <w:kern w:val="0"/>
          <w:sz w:val="32"/>
          <w:szCs w:val="32"/>
          <w:shd w:val="clear" w:color="auto" w:fill="FFFFFF"/>
        </w:rPr>
        <w:t>结转结余情况</w:t>
      </w:r>
      <w:r>
        <w:rPr>
          <w:rFonts w:hint="eastAsia" w:ascii="Times New Roman" w:hAnsi="Times New Roman" w:eastAsia="仿宋_GB2312" w:cs="Times New Roman"/>
          <w:color w:val="000000"/>
          <w:kern w:val="0"/>
          <w:sz w:val="32"/>
          <w:szCs w:val="32"/>
          <w:shd w:val="clear" w:color="auto" w:fill="FFFFFF"/>
          <w:lang w:eastAsia="zh-CN"/>
        </w:rPr>
        <w:t>：</w:t>
      </w:r>
    </w:p>
    <w:tbl>
      <w:tblPr>
        <w:tblStyle w:val="1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7"/>
        <w:gridCol w:w="539"/>
        <w:gridCol w:w="603"/>
        <w:gridCol w:w="573"/>
        <w:gridCol w:w="689"/>
        <w:gridCol w:w="1015"/>
        <w:gridCol w:w="549"/>
        <w:gridCol w:w="406"/>
        <w:gridCol w:w="781"/>
        <w:gridCol w:w="700"/>
        <w:gridCol w:w="700"/>
        <w:gridCol w:w="614"/>
        <w:gridCol w:w="969"/>
      </w:tblGrid>
      <w:tr w14:paraId="0CC6E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4FACA4E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4F8B393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资金性质</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6BA0C84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功能科目名称</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01964F4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政府经济科目名称</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13FD936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文件依据</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EB4B88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摘要</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8C0E5A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资金年度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6D9E17C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结转类型</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52F36B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初始金额</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459ECCE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已分配资金</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1211835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结转额度</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070A48F">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结转原因</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D469CD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备注</w:t>
            </w:r>
          </w:p>
        </w:tc>
      </w:tr>
      <w:tr w14:paraId="49DF4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B8BC26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780FECF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13E4FA9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43529EE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4856C1E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追加州本级信息化项目资金-A129</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425889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州级地质灾害自动化实时监测项目运行维护</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C634A0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56218F7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4DA1BB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3CB417C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118400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57A7D8D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181600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F9886D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17EE321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2025年10月31日下达该经费，时间较紧无法全额支出</w:t>
            </w:r>
          </w:p>
        </w:tc>
      </w:tr>
      <w:tr w14:paraId="7EA8F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38C3FA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56F5D9A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14C18A5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一般行政管理事务</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68B368F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07A9AC2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阿州财预A045</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8879A3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地质灾害防治和耕地林地园地空间治理“一张图”建设项目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4B79F58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07FC073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0FBA7E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1242800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414160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888700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9B2C71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354100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629F22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7BF10D7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项目尾款需在2026年支出</w:t>
            </w:r>
          </w:p>
        </w:tc>
      </w:tr>
      <w:tr w14:paraId="3A9E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7137431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3C82B19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3C53E98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自然资源调查与确权登记</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37CA986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152171E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2025年预算大本</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8E6BCE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阿坝州自然资源局2025年“房地一体”州级验收技术服务</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6410128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18E7E4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0B3766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250000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6F39DCC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214200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EA6179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35800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99A49F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73425FD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待省自然资源厅批复通过后支付尾款</w:t>
            </w:r>
          </w:p>
        </w:tc>
      </w:tr>
      <w:tr w14:paraId="577E1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6676DF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4</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3912875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31C35E8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一般行政管理事务</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5732C65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02F4745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项目前期002</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8ECE32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阿坝州“十五五”地质灾害防治专项规划编制</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4A3CAD1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157593D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A1672F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555900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523F47A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324000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2BC7F47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231900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5C4FBF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391585C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需州人民政府批准按规定程序印发，2026年支付尾款</w:t>
            </w:r>
          </w:p>
        </w:tc>
      </w:tr>
      <w:tr w14:paraId="62D6C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B3E338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7D2D72B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4FAE180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3806295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016C9C8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追加州本级信息化项目资金-A129</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1D48DE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地质灾害防治应急视频调度系统运行维护维修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4DDCA4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522BD9F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6FD012A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188000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1D1914F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88300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6CB59F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99700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D6AA38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401A33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2025年10月31日下达该经费，时间较紧无法全额支出</w:t>
            </w:r>
          </w:p>
        </w:tc>
      </w:tr>
      <w:tr w14:paraId="7FD1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423D09D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6</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BEB4B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22DEA23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自然资源利用与保护</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0ACD773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14AC1DD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部门预算</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1C305D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若尔盖山水工程宣传推广项目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327FCEC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3CBB826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2FEF72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900000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2CA904E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135200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0785A7D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764800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EE1F92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F56F60C">
            <w:pPr>
              <w:jc w:val="center"/>
              <w:rPr>
                <w:rFonts w:hint="eastAsia" w:ascii="宋体" w:hAnsi="宋体" w:eastAsia="宋体" w:cs="宋体"/>
                <w:b/>
                <w:bCs/>
                <w:i w:val="0"/>
                <w:iCs w:val="0"/>
                <w:color w:val="000000"/>
                <w:sz w:val="16"/>
                <w:szCs w:val="16"/>
                <w:u w:val="none"/>
              </w:rPr>
            </w:pPr>
          </w:p>
        </w:tc>
      </w:tr>
      <w:tr w14:paraId="58441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1"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5CEBE91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7</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0E0B9D7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5A02037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自然资源利用与保护</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7D58042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286DAD8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2025年预算大本</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BE00FA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2025年度阿坝州历史遗留矿山图斑变更核查技术服务项目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8516F3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2895146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73BE3AC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34AC6F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45000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6173D1F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155000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0D9B2D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692CACC">
            <w:pPr>
              <w:jc w:val="center"/>
              <w:rPr>
                <w:rFonts w:hint="eastAsia" w:ascii="宋体" w:hAnsi="宋体" w:eastAsia="宋体" w:cs="宋体"/>
                <w:b/>
                <w:bCs/>
                <w:i w:val="0"/>
                <w:iCs w:val="0"/>
                <w:color w:val="000000"/>
                <w:sz w:val="16"/>
                <w:szCs w:val="16"/>
                <w:u w:val="none"/>
              </w:rPr>
            </w:pPr>
          </w:p>
        </w:tc>
      </w:tr>
      <w:tr w14:paraId="5BB6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40E6E53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8</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67ED0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002E8AF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自然资源规划及管理</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6FD1ED5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600C4C0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2025年预算大本</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000155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阿坝州国土空间总体规划城市体检评估</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00AD917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60D9000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A28FF0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250000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2A56917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56700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472C1B3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193300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63CDA6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29F6988">
            <w:pPr>
              <w:jc w:val="center"/>
              <w:rPr>
                <w:rFonts w:hint="eastAsia" w:ascii="宋体" w:hAnsi="宋体" w:eastAsia="宋体" w:cs="宋体"/>
                <w:b/>
                <w:bCs/>
                <w:i w:val="0"/>
                <w:iCs w:val="0"/>
                <w:color w:val="000000"/>
                <w:sz w:val="16"/>
                <w:szCs w:val="16"/>
                <w:u w:val="none"/>
              </w:rPr>
            </w:pPr>
          </w:p>
        </w:tc>
      </w:tr>
    </w:tbl>
    <w:p w14:paraId="2DFB57BF">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p>
    <w:p w14:paraId="63CAC2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10742184">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bookmarkStart w:id="63" w:name="_Hlk110546638"/>
    </w:p>
    <w:p w14:paraId="1CF6C419">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1.</w:t>
      </w:r>
      <w:r>
        <w:rPr>
          <w:rFonts w:ascii="Times New Roman" w:hAnsi="Times New Roman" w:eastAsia="楷体_GB2312" w:cs="Times New Roman"/>
          <w:b/>
          <w:bCs/>
          <w:color w:val="000000"/>
          <w:kern w:val="0"/>
          <w:sz w:val="32"/>
          <w:szCs w:val="32"/>
          <w:shd w:val="clear" w:color="auto" w:fill="FFFFFF"/>
          <w:lang w:val="zh-CN"/>
        </w:rPr>
        <w:t>履职效能</w:t>
      </w:r>
    </w:p>
    <w:p w14:paraId="72B1C04A">
      <w:pPr>
        <w:adjustRightInd w:val="0"/>
        <w:snapToGrid w:val="0"/>
        <w:spacing w:line="578" w:lineRule="exact"/>
        <w:ind w:firstLine="640" w:firstLineChars="200"/>
        <w:contextualSpacing/>
        <w:jc w:val="left"/>
        <w:rPr>
          <w:rFonts w:hint="eastAsia" w:ascii="仿宋_GB2312" w:hAnsi="仿宋_GB2312" w:eastAsia="仿宋_GB2312" w:cs="仿宋_GB2312"/>
          <w:color w:val="auto"/>
          <w:kern w:val="2"/>
          <w:sz w:val="32"/>
          <w:szCs w:val="32"/>
          <w:u w:val="none"/>
          <w:lang w:val="en-US" w:eastAsia="zh-CN"/>
        </w:rPr>
      </w:pPr>
      <w:r>
        <w:rPr>
          <w:rFonts w:hint="eastAsia" w:ascii="Times New Roman" w:hAnsi="Times New Roman"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en-US" w:eastAsia="zh-CN"/>
        </w:rPr>
        <w:t>1</w:t>
      </w:r>
      <w:r>
        <w:rPr>
          <w:rFonts w:hint="eastAsia" w:ascii="Times New Roman" w:hAnsi="Times New Roman" w:eastAsia="仿宋_GB2312" w:cs="Times New Roman"/>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产出指标中数量指标：</w:t>
      </w:r>
      <w:r>
        <w:rPr>
          <w:rFonts w:hint="eastAsia" w:ascii="仿宋_GB2312" w:hAnsi="仿宋_GB2312" w:eastAsia="仿宋_GB2312" w:cs="仿宋_GB2312"/>
          <w:kern w:val="2"/>
          <w:sz w:val="32"/>
          <w:szCs w:val="32"/>
          <w:u w:val="none"/>
        </w:rPr>
        <w:t>公用经费支出是我局日常运转重要的保障，尤其是在应对</w:t>
      </w:r>
      <w:r>
        <w:rPr>
          <w:rFonts w:hint="eastAsia" w:ascii="仿宋_GB2312" w:hAnsi="仿宋_GB2312" w:eastAsia="仿宋_GB2312" w:cs="仿宋_GB2312"/>
          <w:color w:val="auto"/>
          <w:kern w:val="2"/>
          <w:sz w:val="32"/>
          <w:szCs w:val="32"/>
          <w:u w:val="none"/>
        </w:rPr>
        <w:t>地质灾害处置，应急</w:t>
      </w:r>
      <w:r>
        <w:rPr>
          <w:rFonts w:hint="eastAsia" w:ascii="仿宋_GB2312" w:hAnsi="仿宋_GB2312" w:eastAsia="仿宋_GB2312" w:cs="仿宋_GB2312"/>
          <w:color w:val="auto"/>
          <w:kern w:val="2"/>
          <w:sz w:val="32"/>
          <w:szCs w:val="32"/>
          <w:u w:val="none"/>
          <w:lang w:val="en-US" w:eastAsia="zh-CN"/>
        </w:rPr>
        <w:t>抢</w:t>
      </w:r>
      <w:r>
        <w:rPr>
          <w:rFonts w:hint="eastAsia" w:ascii="仿宋_GB2312" w:hAnsi="仿宋_GB2312" w:eastAsia="仿宋_GB2312" w:cs="仿宋_GB2312"/>
          <w:color w:val="auto"/>
          <w:kern w:val="2"/>
          <w:sz w:val="32"/>
          <w:szCs w:val="32"/>
          <w:u w:val="none"/>
        </w:rPr>
        <w:t>险保障，国土空间规划编制、生态修复矿山管理和处理其他地质灾害突发情况等工作中发挥重要意义。</w:t>
      </w:r>
      <w:r>
        <w:rPr>
          <w:rFonts w:hint="eastAsia" w:ascii="仿宋_GB2312" w:hAnsi="仿宋_GB2312" w:eastAsia="仿宋_GB2312" w:cs="仿宋_GB2312"/>
          <w:color w:val="auto"/>
          <w:kern w:val="2"/>
          <w:sz w:val="32"/>
          <w:szCs w:val="32"/>
          <w:u w:val="none"/>
          <w:lang w:val="en-US" w:eastAsia="zh-CN"/>
        </w:rPr>
        <w:t>指标值“支出金额≤199.32万元”，2025年实际完成值172.54万元，做到了厉行节约，压减了经费支出。</w:t>
      </w:r>
    </w:p>
    <w:p w14:paraId="222592D9">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color w:val="000000"/>
          <w:kern w:val="0"/>
          <w:sz w:val="32"/>
          <w:szCs w:val="32"/>
          <w:shd w:val="clear" w:color="auto" w:fill="FFFFFF"/>
          <w:lang w:val="en-US" w:eastAsia="zh-CN"/>
        </w:rPr>
        <w:t>（2）产出指标中数量指标：人员经费支出</w:t>
      </w:r>
      <w:r>
        <w:rPr>
          <w:rFonts w:hint="eastAsia" w:ascii="仿宋_GB2312" w:hAnsi="仿宋_GB2312" w:eastAsia="仿宋_GB2312" w:cs="仿宋_GB2312"/>
          <w:kern w:val="2"/>
          <w:sz w:val="32"/>
          <w:szCs w:val="32"/>
          <w:u w:val="none"/>
        </w:rPr>
        <w:t>实现了全额保障应缴尽缴，不存在工资发放和社保缴费不达标情况。实现了干部职工所有缴费，没有一人被落下，没有一人缺</w:t>
      </w:r>
      <w:r>
        <w:rPr>
          <w:rFonts w:hint="eastAsia" w:ascii="仿宋_GB2312" w:hAnsi="仿宋_GB2312" w:eastAsia="仿宋_GB2312" w:cs="仿宋_GB2312"/>
          <w:color w:val="auto"/>
          <w:kern w:val="2"/>
          <w:sz w:val="32"/>
          <w:szCs w:val="32"/>
          <w:u w:val="none"/>
        </w:rPr>
        <w:t>发工资。全面保障</w:t>
      </w:r>
      <w:r>
        <w:rPr>
          <w:rFonts w:hint="eastAsia" w:ascii="仿宋_GB2312" w:hAnsi="仿宋_GB2312" w:eastAsia="仿宋_GB2312" w:cs="仿宋_GB2312"/>
          <w:color w:val="auto"/>
          <w:kern w:val="2"/>
          <w:sz w:val="32"/>
          <w:szCs w:val="32"/>
          <w:u w:val="none"/>
          <w:lang w:val="en-US" w:eastAsia="zh-CN"/>
        </w:rPr>
        <w:t>了</w:t>
      </w:r>
      <w:r>
        <w:rPr>
          <w:rFonts w:hint="eastAsia" w:ascii="仿宋_GB2312" w:hAnsi="仿宋_GB2312" w:eastAsia="仿宋_GB2312" w:cs="仿宋_GB2312"/>
          <w:color w:val="auto"/>
          <w:kern w:val="2"/>
          <w:sz w:val="32"/>
          <w:szCs w:val="32"/>
          <w:u w:val="none"/>
        </w:rPr>
        <w:t>每一名干部</w:t>
      </w:r>
      <w:r>
        <w:rPr>
          <w:rFonts w:hint="eastAsia" w:ascii="仿宋_GB2312" w:hAnsi="仿宋_GB2312" w:eastAsia="仿宋_GB2312" w:cs="仿宋_GB2312"/>
          <w:color w:val="auto"/>
          <w:kern w:val="2"/>
          <w:sz w:val="32"/>
          <w:szCs w:val="32"/>
          <w:u w:val="none"/>
          <w:lang w:val="en-US" w:eastAsia="zh-CN"/>
        </w:rPr>
        <w:t>职工</w:t>
      </w:r>
      <w:r>
        <w:rPr>
          <w:rFonts w:hint="eastAsia" w:ascii="仿宋_GB2312" w:hAnsi="仿宋_GB2312" w:eastAsia="仿宋_GB2312" w:cs="仿宋_GB2312"/>
          <w:color w:val="auto"/>
          <w:kern w:val="2"/>
          <w:sz w:val="32"/>
          <w:szCs w:val="32"/>
          <w:u w:val="none"/>
        </w:rPr>
        <w:t>按政策要求</w:t>
      </w:r>
      <w:r>
        <w:rPr>
          <w:rFonts w:hint="eastAsia" w:ascii="仿宋_GB2312" w:hAnsi="仿宋_GB2312" w:eastAsia="仿宋_GB2312" w:cs="仿宋_GB2312"/>
          <w:color w:val="auto"/>
          <w:kern w:val="2"/>
          <w:sz w:val="32"/>
          <w:szCs w:val="32"/>
          <w:u w:val="none"/>
          <w:lang w:val="en-US" w:eastAsia="zh-CN"/>
        </w:rPr>
        <w:t>及时足额</w:t>
      </w:r>
      <w:r>
        <w:rPr>
          <w:rFonts w:hint="eastAsia" w:ascii="仿宋_GB2312" w:hAnsi="仿宋_GB2312" w:eastAsia="仿宋_GB2312" w:cs="仿宋_GB2312"/>
          <w:color w:val="auto"/>
          <w:kern w:val="2"/>
          <w:sz w:val="32"/>
          <w:szCs w:val="32"/>
          <w:u w:val="none"/>
        </w:rPr>
        <w:t>发放工资</w:t>
      </w:r>
      <w:r>
        <w:rPr>
          <w:rFonts w:hint="eastAsia" w:ascii="仿宋_GB2312" w:hAnsi="仿宋_GB2312" w:eastAsia="仿宋_GB2312" w:cs="仿宋_GB2312"/>
          <w:color w:val="00B050"/>
          <w:kern w:val="2"/>
          <w:sz w:val="32"/>
          <w:szCs w:val="32"/>
          <w:u w:val="none"/>
          <w:lang w:eastAsia="zh-CN"/>
        </w:rPr>
        <w:t>、</w:t>
      </w:r>
      <w:r>
        <w:rPr>
          <w:rFonts w:hint="eastAsia" w:ascii="仿宋_GB2312" w:hAnsi="仿宋_GB2312" w:eastAsia="仿宋_GB2312" w:cs="仿宋_GB2312"/>
          <w:color w:val="auto"/>
          <w:kern w:val="2"/>
          <w:sz w:val="32"/>
          <w:szCs w:val="32"/>
          <w:u w:val="none"/>
        </w:rPr>
        <w:t>缴存社保福利，无拖沓延迟情况。</w:t>
      </w:r>
      <w:r>
        <w:rPr>
          <w:rFonts w:hint="eastAsia" w:ascii="仿宋_GB2312" w:hAnsi="仿宋_GB2312" w:eastAsia="仿宋_GB2312" w:cs="仿宋_GB2312"/>
          <w:color w:val="auto"/>
          <w:kern w:val="2"/>
          <w:sz w:val="32"/>
          <w:szCs w:val="32"/>
          <w:u w:val="none"/>
          <w:lang w:val="en-US" w:eastAsia="zh-CN"/>
        </w:rPr>
        <w:t>指标值“支出金额≤1401.38万元”</w:t>
      </w:r>
      <w:r>
        <w:rPr>
          <w:rFonts w:hint="eastAsia" w:ascii="仿宋_GB2312" w:hAnsi="仿宋_GB2312" w:eastAsia="仿宋_GB2312" w:cs="仿宋_GB2312"/>
          <w:kern w:val="2"/>
          <w:sz w:val="32"/>
          <w:szCs w:val="32"/>
          <w:u w:val="none"/>
          <w:lang w:val="en-US" w:eastAsia="zh-CN"/>
        </w:rPr>
        <w:t>，2025年实际完成值1490.65万元。2025年新增公务员5人退休1人。事业单位新进9人，退休1人，导致实际完成值高于绩效设定指标值。</w:t>
      </w:r>
    </w:p>
    <w:p w14:paraId="2B6172E0">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（3）我局项目支出进度较缓，资金进度未达到预期效果和绩效目标，尤其是个别大金额项目支付进度较缓，较大程度的迟滞了绩效目标的实现。</w:t>
      </w:r>
    </w:p>
    <w:p w14:paraId="1D01A4CA">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质量指标，我局项目开工较早，但按照政府采购相关制度严格落实采购程序，目前未发现违规操作，徇私舞弊情况，质量达标100%。</w:t>
      </w:r>
    </w:p>
    <w:p w14:paraId="4CB4831B">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数量指标，项目支出进度达到全年目标60%，指标值“支出金额≥3578.02万元”，2025年实际完成值5963.36万元，严格按项目进</w:t>
      </w:r>
      <w:r>
        <w:rPr>
          <w:rFonts w:hint="eastAsia" w:ascii="仿宋_GB2312" w:hAnsi="仿宋_GB2312" w:eastAsia="仿宋_GB2312" w:cs="仿宋_GB2312"/>
          <w:color w:val="auto"/>
          <w:kern w:val="2"/>
          <w:sz w:val="32"/>
          <w:szCs w:val="32"/>
          <w:u w:val="none"/>
          <w:lang w:val="en-US" w:eastAsia="zh-CN"/>
        </w:rPr>
        <w:t>度支付了资金</w:t>
      </w:r>
      <w:r>
        <w:rPr>
          <w:rFonts w:hint="eastAsia" w:ascii="仿宋_GB2312" w:hAnsi="仿宋_GB2312" w:eastAsia="仿宋_GB2312" w:cs="仿宋_GB2312"/>
          <w:kern w:val="2"/>
          <w:sz w:val="32"/>
          <w:szCs w:val="32"/>
          <w:u w:val="none"/>
          <w:lang w:val="en-US" w:eastAsia="zh-CN"/>
        </w:rPr>
        <w:t>。</w:t>
      </w:r>
    </w:p>
    <w:p w14:paraId="068F2024">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ascii="Times New Roman"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kern w:val="2"/>
          <w:sz w:val="32"/>
          <w:szCs w:val="32"/>
          <w:u w:val="none"/>
          <w:lang w:val="en-US" w:eastAsia="zh-CN"/>
        </w:rPr>
        <w:t>社会效益指标，项目推进有力，资金支出能有效转化为社会生产力，达到预期效果，地质灾害隐患处置率达95%，设计行业管理指导工作成效高，该指标能</w:t>
      </w:r>
      <w:r>
        <w:rPr>
          <w:rFonts w:hint="eastAsia" w:ascii="仿宋_GB2312" w:hAnsi="Times New Roman" w:eastAsia="仿宋_GB2312" w:cs="Times New Roman"/>
          <w:kern w:val="2"/>
          <w:sz w:val="32"/>
          <w:szCs w:val="32"/>
          <w:u w:val="none"/>
        </w:rPr>
        <w:t>达标</w:t>
      </w:r>
      <w:r>
        <w:rPr>
          <w:rFonts w:hint="eastAsia" w:ascii="仿宋_GB2312" w:hAnsi="Times New Roman" w:eastAsia="仿宋_GB2312" w:cs="Times New Roman"/>
          <w:kern w:val="2"/>
          <w:sz w:val="32"/>
          <w:szCs w:val="32"/>
          <w:u w:val="none"/>
          <w:lang w:eastAsia="zh-CN"/>
        </w:rPr>
        <w:t>。</w:t>
      </w:r>
    </w:p>
    <w:p w14:paraId="42643ADD">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3" w:firstLineChars="200"/>
        <w:jc w:val="both"/>
        <w:rPr>
          <w:rFonts w:hint="eastAsia" w:ascii="仿宋_GB2312" w:hAnsi="仿宋_GB2312" w:eastAsia="仿宋_GB2312" w:cs="仿宋_GB2312"/>
          <w:b/>
          <w:bCs/>
          <w:color w:val="FF0000"/>
          <w:kern w:val="2"/>
          <w:sz w:val="32"/>
          <w:szCs w:val="32"/>
          <w:u w:val="none"/>
          <w:lang w:val="zh-CN" w:eastAsia="zh-CN"/>
        </w:rPr>
      </w:pPr>
      <w:r>
        <w:rPr>
          <w:rFonts w:ascii="Times New Roman" w:hAnsi="Times New Roman" w:eastAsia="楷体_GB2312" w:cs="Times New Roman"/>
          <w:b/>
          <w:bCs/>
          <w:color w:val="000000"/>
          <w:kern w:val="0"/>
          <w:sz w:val="32"/>
          <w:szCs w:val="32"/>
          <w:shd w:val="clear" w:color="auto" w:fill="FFFFFF"/>
        </w:rPr>
        <w:t>2</w:t>
      </w:r>
      <w:r>
        <w:rPr>
          <w:rFonts w:hint="eastAsia" w:ascii="仿宋_GB2312" w:hAnsi="仿宋_GB2312" w:eastAsia="仿宋_GB2312" w:cs="仿宋_GB2312"/>
          <w:b/>
          <w:bCs/>
          <w:kern w:val="2"/>
          <w:sz w:val="32"/>
          <w:szCs w:val="32"/>
          <w:u w:val="none"/>
          <w:lang w:val="en-US" w:eastAsia="zh-CN"/>
        </w:rPr>
        <w:t>.</w:t>
      </w:r>
      <w:r>
        <w:rPr>
          <w:rFonts w:hint="eastAsia" w:ascii="仿宋_GB2312" w:hAnsi="仿宋_GB2312" w:eastAsia="仿宋_GB2312" w:cs="仿宋_GB2312"/>
          <w:b/>
          <w:bCs/>
          <w:color w:val="auto"/>
          <w:kern w:val="2"/>
          <w:sz w:val="32"/>
          <w:szCs w:val="32"/>
          <w:u w:val="none"/>
          <w:lang w:val="zh-CN" w:eastAsia="zh-CN"/>
        </w:rPr>
        <w:t>预算管理</w:t>
      </w:r>
    </w:p>
    <w:p w14:paraId="3BF7AC06">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（1）财政拨款预算编制偏离度：本年度该指标实际完成值为323.33%，远超142.48%的控制值。该指标数值偏高，反映出预算编制与实际执行存在较大偏差，将进一步优化预算编制流程，强化业务与财务的协同衔接。</w:t>
      </w:r>
    </w:p>
    <w:p w14:paraId="18B0FBBF">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 xml:space="preserve"> （2）预算年终结余率：实际完成值为1.56%，低于1.86%的控制值，达到三年均值1.86%的水平。此指标达标且优于控制标准，本年度财政资金使用效率较高，年末结余资金控制合理，资金盘活与使用效益良好，有效保障了财政资金的高效运转。</w:t>
      </w:r>
    </w:p>
    <w:p w14:paraId="447AB498">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（3）一般性支出金额：实际支出金额为238.47万元，超出205.14万元的控制目标。一般性支出未实现压减目标，主要原因是：2025年新增公务员5</w:t>
      </w:r>
      <w:r>
        <w:rPr>
          <w:rFonts w:hint="eastAsia" w:ascii="仿宋_GB2312" w:hAnsi="仿宋_GB2312" w:eastAsia="仿宋_GB2312" w:cs="仿宋_GB2312"/>
          <w:color w:val="auto"/>
          <w:kern w:val="2"/>
          <w:sz w:val="32"/>
          <w:szCs w:val="32"/>
          <w:u w:val="none"/>
          <w:lang w:val="en-US" w:eastAsia="zh-CN"/>
        </w:rPr>
        <w:t>人，事业人员9人，</w:t>
      </w:r>
      <w:r>
        <w:rPr>
          <w:rFonts w:hint="eastAsia" w:ascii="仿宋_GB2312" w:hAnsi="仿宋_GB2312" w:eastAsia="仿宋_GB2312" w:cs="仿宋_GB2312"/>
          <w:kern w:val="2"/>
          <w:sz w:val="32"/>
          <w:szCs w:val="32"/>
          <w:u w:val="none"/>
          <w:lang w:val="en-US" w:eastAsia="zh-CN"/>
        </w:rPr>
        <w:t>导致相关公用经费增加。</w:t>
      </w:r>
    </w:p>
    <w:p w14:paraId="4212AE08">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rPr>
        <w:t>3.</w:t>
      </w:r>
      <w:r>
        <w:rPr>
          <w:rFonts w:ascii="Times New Roman" w:hAnsi="Times New Roman" w:eastAsia="楷体_GB2312" w:cs="Times New Roman"/>
          <w:b/>
          <w:bCs/>
          <w:color w:val="000000"/>
          <w:kern w:val="0"/>
          <w:sz w:val="32"/>
          <w:szCs w:val="32"/>
          <w:highlight w:val="none"/>
          <w:shd w:val="clear" w:color="auto" w:fill="FFFFFF"/>
          <w:lang w:val="zh-CN"/>
        </w:rPr>
        <w:t>财务管理</w:t>
      </w:r>
    </w:p>
    <w:p w14:paraId="3818D3A3">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ascii="Times New Roman" w:hAnsi="Times New Roman" w:eastAsia="楷体_GB2312" w:cs="Times New Roman"/>
          <w:color w:val="000000"/>
          <w:kern w:val="0"/>
          <w:sz w:val="32"/>
          <w:szCs w:val="32"/>
          <w:highlight w:val="none"/>
          <w:shd w:val="clear" w:color="auto" w:fill="FFFFFF"/>
          <w:lang w:val="zh-CN"/>
        </w:rPr>
      </w:pPr>
      <w:r>
        <w:rPr>
          <w:rFonts w:hint="eastAsia" w:ascii="仿宋_GB2312" w:hAnsi="仿宋_GB2312" w:eastAsia="仿宋_GB2312" w:cs="仿宋_GB2312"/>
          <w:kern w:val="2"/>
          <w:sz w:val="32"/>
          <w:szCs w:val="32"/>
          <w:u w:val="none"/>
          <w:lang w:val="en-US" w:eastAsia="zh-CN"/>
        </w:rPr>
        <w:t>本年度财务管理规范指标获评“优”，高于“良”的控制要求。在财务制度执行、账务处理、内控管理等方面工作扎实，财务核算精准、流程合规，财务管理水平处于优秀层级，为单位整体运营提供了坚实的财务保障。</w:t>
      </w:r>
    </w:p>
    <w:p w14:paraId="7B7A2FFF">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rPr>
        <w:t>4.</w:t>
      </w:r>
      <w:r>
        <w:rPr>
          <w:rFonts w:ascii="Times New Roman" w:hAnsi="Times New Roman" w:eastAsia="楷体_GB2312" w:cs="Times New Roman"/>
          <w:b/>
          <w:bCs/>
          <w:color w:val="000000"/>
          <w:kern w:val="0"/>
          <w:sz w:val="32"/>
          <w:szCs w:val="32"/>
          <w:highlight w:val="none"/>
          <w:shd w:val="clear" w:color="auto" w:fill="FFFFFF"/>
          <w:lang w:val="zh-CN"/>
        </w:rPr>
        <w:t>资产管理</w:t>
      </w:r>
    </w:p>
    <w:p w14:paraId="6FD11E6A">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sz w:val="32"/>
        </w:rPr>
        <w:t>资产配置预算偏离度实际完成值为0，低于20%的控制要求。资产配置均严格按照预算执行，无超配、低配或违规配置资产的情况，资产预算管理规范、严谨，资产配置效率与合理性得到充分保障</w:t>
      </w:r>
      <w:r>
        <w:rPr>
          <w:rFonts w:ascii="Times New Roman" w:hAnsi="Times New Roman" w:eastAsia="仿宋_GB2312" w:cs="Times New Roman"/>
          <w:color w:val="000000"/>
          <w:kern w:val="0"/>
          <w:sz w:val="32"/>
          <w:szCs w:val="32"/>
          <w:highlight w:val="none"/>
          <w:shd w:val="clear" w:color="auto" w:fill="FFFFFF"/>
          <w:lang w:val="zh-CN"/>
        </w:rPr>
        <w:t>。</w:t>
      </w:r>
    </w:p>
    <w:p w14:paraId="28ADDE50">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rPr>
        <w:t>5.</w:t>
      </w:r>
      <w:r>
        <w:rPr>
          <w:rFonts w:ascii="Times New Roman" w:hAnsi="Times New Roman" w:eastAsia="楷体_GB2312" w:cs="Times New Roman"/>
          <w:b/>
          <w:bCs/>
          <w:color w:val="000000"/>
          <w:kern w:val="0"/>
          <w:sz w:val="32"/>
          <w:szCs w:val="32"/>
          <w:highlight w:val="none"/>
          <w:shd w:val="clear" w:color="auto" w:fill="FFFFFF"/>
          <w:lang w:val="zh-CN"/>
        </w:rPr>
        <w:t>采购管理</w:t>
      </w:r>
    </w:p>
    <w:p w14:paraId="51FD40F0">
      <w:pPr>
        <w:adjustRightInd w:val="0"/>
        <w:snapToGrid w:val="0"/>
        <w:spacing w:line="578" w:lineRule="exact"/>
        <w:ind w:firstLine="640" w:firstLineChars="200"/>
        <w:contextualSpacing/>
        <w:jc w:val="left"/>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采购执行率实际完</w:t>
      </w:r>
      <w:r>
        <w:rPr>
          <w:rFonts w:hint="eastAsia" w:ascii="Times New Roman" w:hAnsi="Times New Roman" w:eastAsia="仿宋_GB2312" w:cs="Times New Roman"/>
          <w:color w:val="auto"/>
          <w:sz w:val="32"/>
        </w:rPr>
        <w:t>成值为80.89%，高于控制值80.75%，且优于三年均值及2023 - 2025年参考值。政府采购程序合规性落</w:t>
      </w:r>
      <w:r>
        <w:rPr>
          <w:rFonts w:hint="eastAsia" w:ascii="Times New Roman" w:hAnsi="Times New Roman" w:eastAsia="仿宋_GB2312" w:cs="Times New Roman"/>
          <w:sz w:val="32"/>
        </w:rPr>
        <w:t>实到位，采购计划执行率达标，采购工作的规范性、高效性良好，有效保障了单位物资、服务采购需求的顺利落地</w:t>
      </w:r>
      <w:r>
        <w:rPr>
          <w:rFonts w:hint="eastAsia" w:ascii="Times New Roman" w:hAnsi="Times New Roman" w:eastAsia="仿宋_GB2312" w:cs="Times New Roman"/>
          <w:sz w:val="32"/>
          <w:lang w:eastAsia="zh-CN"/>
        </w:rPr>
        <w:t>。</w:t>
      </w:r>
    </w:p>
    <w:p w14:paraId="35B2432D">
      <w:pPr>
        <w:widowControl/>
        <w:adjustRightInd w:val="0"/>
        <w:snapToGrid w:val="0"/>
        <w:spacing w:line="578" w:lineRule="exact"/>
        <w:ind w:firstLine="643" w:firstLineChars="200"/>
        <w:contextualSpacing/>
        <w:jc w:val="left"/>
        <w:rPr>
          <w:rFonts w:ascii="Times New Roman" w:hAnsi="Times New Roman" w:eastAsia="仿宋_GB2312" w:cs="Times New Roman"/>
          <w:color w:val="000000"/>
          <w:kern w:val="0"/>
          <w:sz w:val="32"/>
          <w:szCs w:val="32"/>
          <w:highlight w:val="none"/>
          <w:shd w:val="clear" w:color="auto" w:fill="FFFFFF"/>
        </w:rPr>
      </w:pPr>
      <w:r>
        <w:rPr>
          <w:rFonts w:ascii="Times New Roman" w:hAnsi="Times New Roman" w:eastAsia="楷体_GB2312" w:cs="Times New Roman"/>
          <w:b/>
          <w:bCs/>
          <w:color w:val="000000"/>
          <w:kern w:val="0"/>
          <w:sz w:val="32"/>
          <w:szCs w:val="32"/>
          <w:shd w:val="clear" w:color="auto" w:fill="FFFFFF"/>
          <w:lang w:val="zh-CN"/>
        </w:rPr>
        <w:t>（二</w:t>
      </w:r>
      <w:r>
        <w:rPr>
          <w:rFonts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楷体_GB2312" w:cs="Times New Roman"/>
          <w:b/>
          <w:bCs/>
          <w:color w:val="auto"/>
          <w:kern w:val="0"/>
          <w:sz w:val="32"/>
          <w:szCs w:val="32"/>
          <w:highlight w:val="none"/>
          <w:shd w:val="clear" w:color="auto" w:fill="FFFFFF"/>
          <w:lang w:val="zh-CN"/>
        </w:rPr>
        <w:t>部门预算项目绩效分析</w:t>
      </w:r>
    </w:p>
    <w:p w14:paraId="1FAEA2A6">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shd w:val="clear" w:color="auto" w:fill="FFFFFF"/>
        </w:rPr>
        <w:t>常年项目绩效分析</w:t>
      </w:r>
      <w:r>
        <w:rPr>
          <w:rFonts w:hint="eastAsia" w:ascii="Times New Roman" w:hAnsi="Times New Roman" w:eastAsia="仿宋_GB2312" w:cs="Times New Roman"/>
          <w:color w:val="000000"/>
          <w:kern w:val="0"/>
          <w:sz w:val="32"/>
          <w:szCs w:val="32"/>
          <w:highlight w:val="none"/>
          <w:shd w:val="clear" w:color="auto" w:fill="FFFFFF"/>
          <w:lang w:eastAsia="zh-CN"/>
        </w:rPr>
        <w:t>：</w:t>
      </w:r>
      <w:r>
        <w:rPr>
          <w:rFonts w:ascii="Times New Roman" w:hAnsi="Times New Roman" w:eastAsia="仿宋_GB2312" w:cs="Times New Roman"/>
          <w:color w:val="000000"/>
          <w:kern w:val="0"/>
          <w:sz w:val="32"/>
          <w:szCs w:val="32"/>
          <w:highlight w:val="none"/>
          <w:shd w:val="clear" w:color="auto" w:fill="FFFFFF"/>
          <w:lang w:val="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15</w:t>
      </w:r>
      <w:r>
        <w:rPr>
          <w:rFonts w:ascii="Times New Roman" w:hAnsi="Times New Roman" w:eastAsia="仿宋_GB2312" w:cs="Times New Roman"/>
          <w:color w:val="000000"/>
          <w:kern w:val="0"/>
          <w:sz w:val="32"/>
          <w:szCs w:val="32"/>
          <w:highlight w:val="none"/>
          <w:shd w:val="clear" w:color="auto" w:fill="FFFFFF"/>
          <w:lang w:val="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301.11</w:t>
      </w:r>
      <w:r>
        <w:rPr>
          <w:rFonts w:ascii="Times New Roman" w:hAnsi="Times New Roman" w:eastAsia="仿宋_GB2312" w:cs="Times New Roman"/>
          <w:color w:val="000000"/>
          <w:kern w:val="0"/>
          <w:sz w:val="32"/>
          <w:szCs w:val="32"/>
          <w:highlight w:val="none"/>
          <w:shd w:val="clear" w:color="auto" w:fill="FFFFFF"/>
          <w:lang w:val="zh-CN"/>
        </w:rPr>
        <w:t>万元，1</w:t>
      </w:r>
      <w:r>
        <w:rPr>
          <w:rFonts w:hint="eastAsia" w:ascii="Times New Roman" w:hAnsi="Times New Roman" w:eastAsia="仿宋_GB2312" w:cs="Times New Roman"/>
          <w:color w:val="000000"/>
          <w:kern w:val="0"/>
          <w:sz w:val="32"/>
          <w:szCs w:val="32"/>
          <w:highlight w:val="none"/>
          <w:shd w:val="clear" w:color="auto" w:fill="FFFFFF"/>
          <w:lang w:val="zh-CN"/>
        </w:rPr>
        <w:t>—</w:t>
      </w:r>
      <w:r>
        <w:rPr>
          <w:rFonts w:ascii="Times New Roman" w:hAnsi="Times New Roman" w:eastAsia="仿宋_GB2312" w:cs="Times New Roman"/>
          <w:color w:val="000000"/>
          <w:kern w:val="0"/>
          <w:sz w:val="32"/>
          <w:szCs w:val="32"/>
          <w:highlight w:val="none"/>
          <w:shd w:val="clear" w:color="auto" w:fill="FFFFFF"/>
          <w:lang w:val="zh-CN"/>
        </w:rPr>
        <w:t>1</w:t>
      </w:r>
      <w:r>
        <w:rPr>
          <w:rFonts w:ascii="Times New Roman" w:hAnsi="Times New Roman" w:eastAsia="仿宋_GB2312" w:cs="Times New Roman"/>
          <w:color w:val="000000"/>
          <w:kern w:val="0"/>
          <w:sz w:val="32"/>
          <w:szCs w:val="32"/>
          <w:highlight w:val="none"/>
          <w:shd w:val="clear" w:color="auto" w:fill="FFFFFF"/>
        </w:rPr>
        <w:t>2</w:t>
      </w:r>
      <w:r>
        <w:rPr>
          <w:rFonts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83.91</w:t>
      </w:r>
      <w:r>
        <w:rPr>
          <w:rFonts w:ascii="Times New Roman" w:hAnsi="Times New Roman" w:eastAsia="仿宋_GB2312" w:cs="Times New Roman"/>
          <w:color w:val="000000"/>
          <w:kern w:val="0"/>
          <w:sz w:val="32"/>
          <w:szCs w:val="32"/>
          <w:highlight w:val="none"/>
          <w:shd w:val="clear" w:color="auto" w:fill="FFFFFF"/>
          <w:lang w:val="zh-CN"/>
        </w:rPr>
        <w:t>%，其中：预算结余率大于</w:t>
      </w:r>
      <w:r>
        <w:rPr>
          <w:rFonts w:ascii="Times New Roman" w:hAnsi="Times New Roman" w:eastAsia="仿宋_GB2312" w:cs="Times New Roman"/>
          <w:color w:val="000000"/>
          <w:kern w:val="0"/>
          <w:sz w:val="32"/>
          <w:szCs w:val="32"/>
          <w:highlight w:val="none"/>
          <w:shd w:val="clear" w:color="auto" w:fill="FFFFFF"/>
        </w:rPr>
        <w:t>10%</w:t>
      </w:r>
      <w:r>
        <w:rPr>
          <w:rFonts w:ascii="Times New Roman" w:hAnsi="Times New Roman" w:eastAsia="仿宋_GB2312" w:cs="Times New Roman"/>
          <w:color w:val="000000"/>
          <w:kern w:val="0"/>
          <w:sz w:val="32"/>
          <w:szCs w:val="32"/>
          <w:highlight w:val="none"/>
          <w:shd w:val="clear" w:color="auto" w:fill="FFFFFF"/>
          <w:lang w:val="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ascii="Times New Roman" w:hAnsi="Times New Roman" w:eastAsia="仿宋_GB2312" w:cs="Times New Roman"/>
          <w:color w:val="000000"/>
          <w:kern w:val="0"/>
          <w:sz w:val="32"/>
          <w:szCs w:val="32"/>
          <w:highlight w:val="none"/>
          <w:shd w:val="clear" w:color="auto" w:fill="FFFFFF"/>
          <w:lang w:val="zh-CN"/>
        </w:rPr>
        <w:t>个。</w:t>
      </w:r>
    </w:p>
    <w:p w14:paraId="3DCCDD01">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highlight w:val="none"/>
          <w:shd w:val="clear" w:color="auto" w:fill="FFFFFF"/>
        </w:rPr>
        <w:t>阶段（</w:t>
      </w:r>
      <w:r>
        <w:rPr>
          <w:rFonts w:hint="eastAsia" w:ascii="Times New Roman" w:hAnsi="Times New Roman" w:eastAsia="仿宋_GB2312" w:cs="Times New Roman"/>
          <w:color w:val="000000"/>
          <w:kern w:val="0"/>
          <w:sz w:val="32"/>
          <w:szCs w:val="32"/>
          <w:highlight w:val="none"/>
          <w:shd w:val="clear" w:color="auto" w:fill="FFFFFF"/>
        </w:rPr>
        <w:t>含</w:t>
      </w:r>
      <w:r>
        <w:rPr>
          <w:rFonts w:ascii="Times New Roman" w:hAnsi="Times New Roman" w:eastAsia="仿宋_GB2312" w:cs="Times New Roman"/>
          <w:color w:val="000000"/>
          <w:kern w:val="0"/>
          <w:sz w:val="32"/>
          <w:szCs w:val="32"/>
          <w:highlight w:val="none"/>
          <w:shd w:val="clear" w:color="auto" w:fill="FFFFFF"/>
        </w:rPr>
        <w:t>一次性）项目绩效分析</w:t>
      </w:r>
      <w:r>
        <w:rPr>
          <w:rFonts w:hint="eastAsia" w:ascii="Times New Roman" w:hAnsi="Times New Roman" w:eastAsia="仿宋_GB2312" w:cs="Times New Roman"/>
          <w:color w:val="000000"/>
          <w:kern w:val="0"/>
          <w:sz w:val="32"/>
          <w:szCs w:val="32"/>
          <w:highlight w:val="none"/>
          <w:shd w:val="clear" w:color="auto" w:fill="FFFFFF"/>
          <w:lang w:eastAsia="zh-CN"/>
        </w:rPr>
        <w:t>：</w:t>
      </w:r>
      <w:r>
        <w:rPr>
          <w:rFonts w:ascii="Times New Roman" w:hAnsi="Times New Roman" w:eastAsia="仿宋_GB2312" w:cs="Times New Roman"/>
          <w:color w:val="000000"/>
          <w:kern w:val="0"/>
          <w:sz w:val="32"/>
          <w:szCs w:val="32"/>
          <w:highlight w:val="none"/>
          <w:shd w:val="clear" w:color="auto" w:fill="FFFFFF"/>
          <w:lang w:val="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17</w:t>
      </w:r>
      <w:r>
        <w:rPr>
          <w:rFonts w:ascii="Times New Roman" w:hAnsi="Times New Roman" w:eastAsia="仿宋_GB2312" w:cs="Times New Roman"/>
          <w:color w:val="000000"/>
          <w:kern w:val="0"/>
          <w:sz w:val="32"/>
          <w:szCs w:val="32"/>
          <w:highlight w:val="none"/>
          <w:shd w:val="clear" w:color="auto" w:fill="FFFFFF"/>
          <w:lang w:val="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zh-CN"/>
        </w:rPr>
        <w:t>5675.03</w:t>
      </w:r>
      <w:r>
        <w:rPr>
          <w:rFonts w:ascii="Times New Roman" w:hAnsi="Times New Roman" w:eastAsia="仿宋_GB2312" w:cs="Times New Roman"/>
          <w:color w:val="000000"/>
          <w:kern w:val="0"/>
          <w:sz w:val="32"/>
          <w:szCs w:val="32"/>
          <w:highlight w:val="none"/>
          <w:shd w:val="clear" w:color="auto" w:fill="FFFFFF"/>
          <w:lang w:val="zh-CN"/>
        </w:rPr>
        <w:t>万元，1</w:t>
      </w:r>
      <w:r>
        <w:rPr>
          <w:rFonts w:hint="eastAsia" w:ascii="Times New Roman" w:hAnsi="Times New Roman" w:eastAsia="仿宋_GB2312" w:cs="Times New Roman"/>
          <w:color w:val="000000"/>
          <w:kern w:val="0"/>
          <w:sz w:val="32"/>
          <w:szCs w:val="32"/>
          <w:shd w:val="clear" w:color="auto" w:fill="FFFFFF"/>
          <w:lang w:val="zh-CN"/>
        </w:rPr>
        <w:t>—</w:t>
      </w:r>
      <w:r>
        <w:rPr>
          <w:rFonts w:ascii="Times New Roman" w:hAnsi="Times New Roman" w:eastAsia="仿宋_GB2312" w:cs="Times New Roman"/>
          <w:color w:val="000000"/>
          <w:kern w:val="0"/>
          <w:sz w:val="32"/>
          <w:szCs w:val="32"/>
          <w:shd w:val="clear" w:color="auto" w:fill="FFFFFF"/>
          <w:lang w:val="zh-CN"/>
        </w:rPr>
        <w:t>1</w:t>
      </w:r>
      <w:r>
        <w:rPr>
          <w:rFonts w:ascii="Times New Roman" w:hAnsi="Times New Roman" w:eastAsia="仿宋_GB2312" w:cs="Times New Roman"/>
          <w:color w:val="000000"/>
          <w:kern w:val="0"/>
          <w:sz w:val="32"/>
          <w:szCs w:val="32"/>
          <w:shd w:val="clear" w:color="auto" w:fill="FFFFFF"/>
        </w:rPr>
        <w:t>2</w:t>
      </w:r>
      <w:r>
        <w:rPr>
          <w:rFonts w:ascii="Times New Roman" w:hAnsi="Times New Roman" w:eastAsia="仿宋_GB2312" w:cs="Times New Roman"/>
          <w:color w:val="000000"/>
          <w:kern w:val="0"/>
          <w:sz w:val="32"/>
          <w:szCs w:val="32"/>
          <w:shd w:val="clear" w:color="auto" w:fill="FFFFFF"/>
          <w:lang w:val="zh-CN"/>
        </w:rPr>
        <w:t>月预算执行总体进度为</w:t>
      </w:r>
      <w:r>
        <w:rPr>
          <w:rFonts w:hint="eastAsia" w:ascii="Times New Roman" w:hAnsi="Times New Roman" w:eastAsia="仿宋_GB2312" w:cs="Times New Roman"/>
          <w:color w:val="000000"/>
          <w:kern w:val="0"/>
          <w:sz w:val="32"/>
          <w:szCs w:val="32"/>
          <w:shd w:val="clear" w:color="auto" w:fill="FFFFFF"/>
          <w:lang w:val="en-US" w:eastAsia="zh-CN"/>
        </w:rPr>
        <w:t>98.72</w:t>
      </w:r>
      <w:r>
        <w:rPr>
          <w:rFonts w:ascii="Times New Roman" w:hAnsi="Times New Roman" w:eastAsia="仿宋_GB2312" w:cs="Times New Roman"/>
          <w:color w:val="000000"/>
          <w:kern w:val="0"/>
          <w:sz w:val="32"/>
          <w:szCs w:val="32"/>
          <w:shd w:val="clear" w:color="auto" w:fill="FFFFFF"/>
          <w:lang w:val="zh-CN"/>
        </w:rPr>
        <w:t>%，其中：预算结余率大于</w:t>
      </w:r>
      <w:r>
        <w:rPr>
          <w:rFonts w:ascii="Times New Roman" w:hAnsi="Times New Roman" w:eastAsia="仿宋_GB2312" w:cs="Times New Roman"/>
          <w:color w:val="000000"/>
          <w:kern w:val="0"/>
          <w:sz w:val="32"/>
          <w:szCs w:val="32"/>
          <w:shd w:val="clear" w:color="auto" w:fill="FFFFFF"/>
        </w:rPr>
        <w:t>10%</w:t>
      </w:r>
      <w:r>
        <w:rPr>
          <w:rFonts w:ascii="Times New Roman" w:hAnsi="Times New Roman" w:eastAsia="仿宋_GB2312" w:cs="Times New Roman"/>
          <w:color w:val="000000"/>
          <w:kern w:val="0"/>
          <w:sz w:val="32"/>
          <w:szCs w:val="32"/>
          <w:shd w:val="clear" w:color="auto" w:fill="FFFFFF"/>
          <w:lang w:val="zh-CN"/>
        </w:rPr>
        <w:t>的项目共计</w:t>
      </w:r>
      <w:r>
        <w:rPr>
          <w:rFonts w:hint="eastAsia" w:ascii="Times New Roman" w:hAnsi="Times New Roman" w:eastAsia="仿宋_GB2312" w:cs="Times New Roman"/>
          <w:color w:val="000000"/>
          <w:kern w:val="0"/>
          <w:sz w:val="32"/>
          <w:szCs w:val="32"/>
          <w:shd w:val="clear" w:color="auto" w:fill="FFFFFF"/>
          <w:lang w:val="en-US" w:eastAsia="zh-CN"/>
        </w:rPr>
        <w:t>1</w:t>
      </w:r>
      <w:r>
        <w:rPr>
          <w:rFonts w:ascii="Times New Roman" w:hAnsi="Times New Roman" w:eastAsia="仿宋_GB2312" w:cs="Times New Roman"/>
          <w:color w:val="000000"/>
          <w:kern w:val="0"/>
          <w:sz w:val="32"/>
          <w:szCs w:val="32"/>
          <w:shd w:val="clear" w:color="auto" w:fill="FFFFFF"/>
          <w:lang w:val="zh-CN"/>
        </w:rPr>
        <w:t>个。</w:t>
      </w:r>
    </w:p>
    <w:p w14:paraId="54A00675">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left"/>
        <w:textAlignment w:val="auto"/>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1.</w:t>
      </w:r>
      <w:r>
        <w:rPr>
          <w:rFonts w:ascii="Times New Roman" w:hAnsi="Times New Roman" w:eastAsia="楷体_GB2312" w:cs="Times New Roman"/>
          <w:b/>
          <w:bCs/>
          <w:color w:val="000000"/>
          <w:kern w:val="0"/>
          <w:sz w:val="32"/>
          <w:szCs w:val="32"/>
          <w:shd w:val="clear" w:color="auto" w:fill="FFFFFF"/>
          <w:lang w:val="zh-CN"/>
        </w:rPr>
        <w:t>项目决策</w:t>
      </w:r>
    </w:p>
    <w:p w14:paraId="093F88A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本单位各项目</w:t>
      </w:r>
      <w:r>
        <w:rPr>
          <w:rFonts w:hint="eastAsia" w:ascii="Times New Roman" w:hAnsi="Times New Roman" w:eastAsia="仿宋_GB2312" w:cs="Times New Roman"/>
          <w:color w:val="000000"/>
          <w:kern w:val="0"/>
          <w:sz w:val="32"/>
          <w:szCs w:val="32"/>
          <w:shd w:val="clear" w:color="auto" w:fill="FFFFFF"/>
          <w:lang w:val="en-US" w:eastAsia="zh-CN"/>
        </w:rPr>
        <w:t>开展均有相关文件支撑，严格按照单位内控管理制度要求进行</w:t>
      </w:r>
      <w:r>
        <w:rPr>
          <w:rFonts w:hint="eastAsia" w:ascii="Times New Roman" w:hAnsi="Times New Roman" w:eastAsia="仿宋_GB2312" w:cs="Times New Roman"/>
          <w:color w:val="000000"/>
          <w:kern w:val="0"/>
          <w:sz w:val="32"/>
          <w:szCs w:val="32"/>
          <w:shd w:val="clear" w:color="auto" w:fill="FFFFFF"/>
          <w:lang w:val="zh-CN" w:eastAsia="zh-CN"/>
        </w:rPr>
        <w:t>集体决策。紧</w:t>
      </w:r>
      <w:r>
        <w:rPr>
          <w:rFonts w:hint="eastAsia" w:ascii="Times New Roman" w:hAnsi="Times New Roman" w:eastAsia="仿宋_GB2312" w:cs="Times New Roman"/>
          <w:color w:val="auto"/>
          <w:kern w:val="0"/>
          <w:sz w:val="32"/>
          <w:szCs w:val="32"/>
          <w:shd w:val="clear" w:color="auto" w:fill="FFFFFF"/>
          <w:lang w:val="zh-CN" w:eastAsia="zh-CN"/>
        </w:rPr>
        <w:t>扣地</w:t>
      </w:r>
      <w:r>
        <w:rPr>
          <w:rFonts w:hint="eastAsia" w:eastAsia="仿宋_GB2312" w:cs="Times New Roman"/>
          <w:color w:val="auto"/>
          <w:kern w:val="0"/>
          <w:sz w:val="32"/>
          <w:szCs w:val="32"/>
          <w:shd w:val="clear" w:color="auto" w:fill="FFFFFF"/>
          <w:lang w:val="en-US" w:eastAsia="zh-CN"/>
        </w:rPr>
        <w:t>质</w:t>
      </w:r>
      <w:r>
        <w:rPr>
          <w:rFonts w:hint="eastAsia" w:ascii="Times New Roman" w:hAnsi="Times New Roman" w:eastAsia="仿宋_GB2312" w:cs="Times New Roman"/>
          <w:color w:val="auto"/>
          <w:kern w:val="0"/>
          <w:sz w:val="32"/>
          <w:szCs w:val="32"/>
          <w:shd w:val="clear" w:color="auto" w:fill="FFFFFF"/>
          <w:lang w:val="zh-CN" w:eastAsia="zh-CN"/>
        </w:rPr>
        <w:t>灾</w:t>
      </w:r>
      <w:r>
        <w:rPr>
          <w:rFonts w:hint="eastAsia" w:eastAsia="仿宋_GB2312" w:cs="Times New Roman"/>
          <w:color w:val="auto"/>
          <w:kern w:val="0"/>
          <w:sz w:val="32"/>
          <w:szCs w:val="32"/>
          <w:shd w:val="clear" w:color="auto" w:fill="FFFFFF"/>
          <w:lang w:val="en-US" w:eastAsia="zh-CN"/>
        </w:rPr>
        <w:t>害</w:t>
      </w:r>
      <w:r>
        <w:rPr>
          <w:rFonts w:hint="eastAsia" w:ascii="Times New Roman" w:hAnsi="Times New Roman" w:eastAsia="仿宋_GB2312" w:cs="Times New Roman"/>
          <w:color w:val="auto"/>
          <w:kern w:val="0"/>
          <w:sz w:val="32"/>
          <w:szCs w:val="32"/>
          <w:shd w:val="clear" w:color="auto" w:fill="FFFFFF"/>
          <w:lang w:val="zh-CN" w:eastAsia="zh-CN"/>
        </w:rPr>
        <w:t>防治、</w:t>
      </w:r>
      <w:r>
        <w:rPr>
          <w:rFonts w:hint="eastAsia" w:ascii="Times New Roman" w:hAnsi="Times New Roman" w:eastAsia="仿宋_GB2312" w:cs="Times New Roman"/>
          <w:color w:val="000000"/>
          <w:kern w:val="0"/>
          <w:sz w:val="32"/>
          <w:szCs w:val="32"/>
          <w:shd w:val="clear" w:color="auto" w:fill="FFFFFF"/>
          <w:lang w:val="zh-CN" w:eastAsia="zh-CN"/>
        </w:rPr>
        <w:t>国土空间规划、矿产资源管理、生态修复、调查确权等核心职能，在充分调研论证、广泛征求意见的基础上，科学设定可量化、可考核的</w:t>
      </w:r>
      <w:r>
        <w:rPr>
          <w:rFonts w:hint="eastAsia" w:ascii="Times New Roman" w:hAnsi="Times New Roman" w:eastAsia="仿宋_GB2312" w:cs="Times New Roman"/>
          <w:color w:val="000000"/>
          <w:kern w:val="0"/>
          <w:sz w:val="32"/>
          <w:szCs w:val="32"/>
          <w:shd w:val="clear" w:color="auto" w:fill="FFFFFF"/>
          <w:lang w:val="en-US" w:eastAsia="zh-CN"/>
        </w:rPr>
        <w:t>项目</w:t>
      </w:r>
      <w:r>
        <w:rPr>
          <w:rFonts w:hint="eastAsia" w:ascii="Times New Roman" w:hAnsi="Times New Roman" w:eastAsia="仿宋_GB2312" w:cs="Times New Roman"/>
          <w:color w:val="000000"/>
          <w:kern w:val="0"/>
          <w:sz w:val="32"/>
          <w:szCs w:val="32"/>
          <w:shd w:val="clear" w:color="auto" w:fill="FFFFFF"/>
          <w:lang w:val="zh-CN" w:eastAsia="zh-CN"/>
        </w:rPr>
        <w:t>绩效目标，确保</w:t>
      </w:r>
      <w:r>
        <w:rPr>
          <w:rFonts w:hint="eastAsia" w:ascii="Times New Roman" w:hAnsi="Times New Roman" w:eastAsia="仿宋_GB2312" w:cs="Times New Roman"/>
          <w:color w:val="000000"/>
          <w:kern w:val="0"/>
          <w:sz w:val="32"/>
          <w:szCs w:val="32"/>
          <w:shd w:val="clear" w:color="auto" w:fill="FFFFFF"/>
          <w:lang w:val="en-US" w:eastAsia="zh-CN"/>
        </w:rPr>
        <w:t>项目</w:t>
      </w:r>
      <w:r>
        <w:rPr>
          <w:rFonts w:hint="eastAsia" w:ascii="Times New Roman" w:hAnsi="Times New Roman" w:eastAsia="仿宋_GB2312" w:cs="Times New Roman"/>
          <w:color w:val="000000"/>
          <w:kern w:val="0"/>
          <w:sz w:val="32"/>
          <w:szCs w:val="32"/>
          <w:shd w:val="clear" w:color="auto" w:fill="FFFFFF"/>
          <w:lang w:val="zh-CN" w:eastAsia="zh-CN"/>
        </w:rPr>
        <w:t>目标与</w:t>
      </w:r>
      <w:r>
        <w:rPr>
          <w:rFonts w:hint="eastAsia" w:ascii="Times New Roman" w:hAnsi="Times New Roman" w:eastAsia="仿宋_GB2312" w:cs="Times New Roman"/>
          <w:color w:val="000000"/>
          <w:kern w:val="0"/>
          <w:sz w:val="32"/>
          <w:szCs w:val="32"/>
          <w:shd w:val="clear" w:color="auto" w:fill="FFFFFF"/>
          <w:lang w:val="en-US" w:eastAsia="zh-CN"/>
        </w:rPr>
        <w:t>中省</w:t>
      </w:r>
      <w:r>
        <w:rPr>
          <w:rFonts w:hint="eastAsia" w:ascii="Times New Roman" w:hAnsi="Times New Roman" w:eastAsia="仿宋_GB2312" w:cs="Times New Roman"/>
          <w:color w:val="000000"/>
          <w:kern w:val="0"/>
          <w:sz w:val="32"/>
          <w:szCs w:val="32"/>
          <w:shd w:val="clear" w:color="auto" w:fill="FFFFFF"/>
          <w:lang w:val="zh-CN" w:eastAsia="zh-CN"/>
        </w:rPr>
        <w:t>自然资源工作重点、</w:t>
      </w:r>
      <w:r>
        <w:rPr>
          <w:rFonts w:hint="eastAsia" w:ascii="Times New Roman" w:hAnsi="Times New Roman" w:eastAsia="仿宋_GB2312" w:cs="Times New Roman"/>
          <w:color w:val="000000"/>
          <w:kern w:val="0"/>
          <w:sz w:val="32"/>
          <w:szCs w:val="32"/>
          <w:shd w:val="clear" w:color="auto" w:fill="FFFFFF"/>
          <w:lang w:val="en-US" w:eastAsia="zh-CN"/>
        </w:rPr>
        <w:t>我州实际情况</w:t>
      </w:r>
      <w:r>
        <w:rPr>
          <w:rFonts w:hint="eastAsia" w:ascii="Times New Roman" w:hAnsi="Times New Roman" w:eastAsia="仿宋_GB2312" w:cs="Times New Roman"/>
          <w:color w:val="000000"/>
          <w:kern w:val="0"/>
          <w:sz w:val="32"/>
          <w:szCs w:val="32"/>
          <w:shd w:val="clear" w:color="auto" w:fill="FFFFFF"/>
          <w:lang w:val="zh-CN" w:eastAsia="zh-CN"/>
        </w:rPr>
        <w:t>高度契合。所有项目均</w:t>
      </w:r>
      <w:r>
        <w:rPr>
          <w:rFonts w:hint="eastAsia" w:ascii="Times New Roman" w:hAnsi="Times New Roman" w:eastAsia="仿宋_GB2312" w:cs="Times New Roman"/>
          <w:color w:val="000000"/>
          <w:kern w:val="0"/>
          <w:sz w:val="32"/>
          <w:szCs w:val="32"/>
          <w:shd w:val="clear" w:color="auto" w:fill="FFFFFF"/>
          <w:lang w:val="en-US" w:eastAsia="zh-CN"/>
        </w:rPr>
        <w:t>按照财政对项目预算绩效的编制要求</w:t>
      </w:r>
      <w:r>
        <w:rPr>
          <w:rFonts w:hint="eastAsia" w:ascii="Times New Roman" w:hAnsi="Times New Roman" w:eastAsia="仿宋_GB2312" w:cs="Times New Roman"/>
          <w:color w:val="000000"/>
          <w:kern w:val="0"/>
          <w:sz w:val="32"/>
          <w:szCs w:val="32"/>
          <w:shd w:val="clear" w:color="auto" w:fill="FFFFFF"/>
          <w:lang w:val="zh-CN" w:eastAsia="zh-CN"/>
        </w:rPr>
        <w:t>完成入库，决策流程合规、论证充分、导向精准，从源头上保障了项目实施的科学性与可行性，为后续高效推进奠定了坚实基础。</w:t>
      </w:r>
    </w:p>
    <w:p w14:paraId="175E104E">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2.项目执行</w:t>
      </w:r>
    </w:p>
    <w:p w14:paraId="4AE41FD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各项目资金执行与预算安排同向推进，严格遵守财经纪律、国库集中支付管理及项目资金管理办法，未发生超范围支出、违规调整、资金滞留等问题。按</w:t>
      </w:r>
      <w:r>
        <w:rPr>
          <w:rFonts w:hint="eastAsia" w:ascii="Times New Roman" w:hAnsi="Times New Roman" w:eastAsia="仿宋_GB2312" w:cs="Times New Roman"/>
          <w:color w:val="000000"/>
          <w:kern w:val="0"/>
          <w:sz w:val="32"/>
          <w:szCs w:val="32"/>
          <w:shd w:val="clear" w:color="auto" w:fill="FFFFFF"/>
          <w:lang w:val="en-US" w:eastAsia="zh-CN"/>
        </w:rPr>
        <w:t>项目既定</w:t>
      </w:r>
      <w:r>
        <w:rPr>
          <w:rFonts w:hint="eastAsia" w:ascii="Times New Roman" w:hAnsi="Times New Roman" w:eastAsia="仿宋_GB2312" w:cs="Times New Roman"/>
          <w:color w:val="000000"/>
          <w:kern w:val="0"/>
          <w:sz w:val="32"/>
          <w:szCs w:val="32"/>
          <w:shd w:val="clear" w:color="auto" w:fill="FFFFFF"/>
          <w:lang w:val="zh-CN" w:eastAsia="zh-CN"/>
        </w:rPr>
        <w:t>进度高质量完成地灾隐患排查治理、卫片执法监督检查、全民所有自然资源资产清查、规划编制审查、</w:t>
      </w:r>
      <w:r>
        <w:rPr>
          <w:rFonts w:hint="eastAsia" w:ascii="Times New Roman" w:hAnsi="Times New Roman" w:eastAsia="仿宋_GB2312" w:cs="Times New Roman"/>
          <w:color w:val="000000"/>
          <w:kern w:val="0"/>
          <w:sz w:val="32"/>
          <w:szCs w:val="32"/>
          <w:shd w:val="clear" w:color="auto" w:fill="FFFFFF"/>
          <w:lang w:val="en-US" w:eastAsia="zh-CN"/>
        </w:rPr>
        <w:t>矿业权勘查（开采）信息公示</w:t>
      </w:r>
      <w:r>
        <w:rPr>
          <w:rFonts w:hint="eastAsia" w:ascii="Times New Roman" w:hAnsi="Times New Roman" w:eastAsia="仿宋_GB2312" w:cs="Times New Roman"/>
          <w:color w:val="000000"/>
          <w:kern w:val="0"/>
          <w:sz w:val="32"/>
          <w:szCs w:val="32"/>
          <w:shd w:val="clear" w:color="auto" w:fill="FFFFFF"/>
          <w:lang w:val="zh-CN" w:eastAsia="zh-CN"/>
        </w:rPr>
        <w:t>、</w:t>
      </w:r>
      <w:r>
        <w:rPr>
          <w:rFonts w:hint="eastAsia" w:ascii="Times New Roman" w:hAnsi="Times New Roman" w:eastAsia="仿宋_GB2312" w:cs="Times New Roman"/>
          <w:color w:val="000000"/>
          <w:kern w:val="0"/>
          <w:sz w:val="32"/>
          <w:szCs w:val="32"/>
          <w:shd w:val="clear" w:color="auto" w:fill="FFFFFF"/>
          <w:lang w:val="en-US" w:eastAsia="zh-CN"/>
        </w:rPr>
        <w:t>耕地保护、</w:t>
      </w:r>
      <w:r>
        <w:rPr>
          <w:rFonts w:hint="eastAsia" w:ascii="Times New Roman" w:hAnsi="Times New Roman" w:eastAsia="仿宋_GB2312" w:cs="Times New Roman"/>
          <w:color w:val="000000"/>
          <w:kern w:val="0"/>
          <w:sz w:val="32"/>
          <w:szCs w:val="32"/>
          <w:shd w:val="clear" w:color="auto" w:fill="FFFFFF"/>
          <w:lang w:val="zh-CN" w:eastAsia="zh-CN"/>
        </w:rPr>
        <w:t>生态修复工程实施及自然资源确权登记等核心任务，执行流程规范有序、管控措施有力，资金使用精准，全面保障了我</w:t>
      </w:r>
      <w:r>
        <w:rPr>
          <w:rFonts w:hint="eastAsia" w:ascii="Times New Roman" w:hAnsi="Times New Roman" w:eastAsia="仿宋_GB2312" w:cs="Times New Roman"/>
          <w:color w:val="000000"/>
          <w:kern w:val="0"/>
          <w:sz w:val="32"/>
          <w:szCs w:val="32"/>
          <w:shd w:val="clear" w:color="auto" w:fill="FFFFFF"/>
          <w:lang w:val="en-US" w:eastAsia="zh-CN"/>
        </w:rPr>
        <w:t>局</w:t>
      </w:r>
      <w:r>
        <w:rPr>
          <w:rFonts w:hint="eastAsia" w:ascii="Times New Roman" w:hAnsi="Times New Roman" w:eastAsia="仿宋_GB2312" w:cs="Times New Roman"/>
          <w:color w:val="000000"/>
          <w:kern w:val="0"/>
          <w:sz w:val="32"/>
          <w:szCs w:val="32"/>
          <w:shd w:val="clear" w:color="auto" w:fill="FFFFFF"/>
          <w:lang w:val="zh-CN" w:eastAsia="zh-CN"/>
        </w:rPr>
        <w:t>各项业务工作落地见效。</w:t>
      </w:r>
    </w:p>
    <w:p w14:paraId="496C5BF9">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3.</w:t>
      </w:r>
      <w:r>
        <w:rPr>
          <w:rFonts w:ascii="Times New Roman" w:hAnsi="Times New Roman" w:eastAsia="楷体_GB2312" w:cs="Times New Roman"/>
          <w:b/>
          <w:bCs/>
          <w:color w:val="000000"/>
          <w:kern w:val="0"/>
          <w:sz w:val="32"/>
          <w:szCs w:val="32"/>
          <w:shd w:val="clear" w:color="auto" w:fill="FFFFFF"/>
          <w:lang w:val="zh-CN"/>
        </w:rPr>
        <w:t>目标实现</w:t>
      </w:r>
    </w:p>
    <w:p w14:paraId="13B92E50">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各项目均圆满完成年度目标任务，未出现重大目标偏离。通过项目实施，有效提升了地质灾害综合防治能力，筑牢了人民群众生命财产安全防线；强化了卫片执法监督与自然资源资产清查，规范了资源开发利用秩序；严格落实耕地保护田长制，牢牢守住耕地保护红线；完善了国土空间规划体系，为区域高质量发展提供了空间保障；推进了生态修复工程，筑牢了长江黄河上游生态屏障；规范了自然资源确权登记，维护了产权主体合法权益；同时保障了日常办公运转、后勤服务及业务培训等基础工作，为全局履职提供了坚实支撑。项目生态效益与社会效益显著，群众满意度及行业认可度较高。</w:t>
      </w:r>
    </w:p>
    <w:p w14:paraId="34A8D529">
      <w:pPr>
        <w:spacing w:line="578" w:lineRule="exact"/>
        <w:ind w:firstLine="640" w:firstLineChars="200"/>
        <w:jc w:val="left"/>
        <w:rPr>
          <w:rFonts w:hint="eastAsia" w:ascii="Times New Roman" w:hAnsi="Times New Roman" w:eastAsia="仿宋_GB2312" w:cs="Times New Roman"/>
          <w:sz w:val="32"/>
          <w:szCs w:val="32"/>
          <w:lang w:eastAsia="zh-CN"/>
        </w:rPr>
      </w:pPr>
      <w:r>
        <w:rPr>
          <w:rFonts w:hint="eastAsia" w:ascii="仿宋_GB2312" w:hAnsi="仿宋" w:eastAsia="仿宋_GB2312" w:cs="Times New Roman"/>
          <w:sz w:val="32"/>
          <w:szCs w:val="32"/>
          <w:lang w:val="en-US" w:eastAsia="zh-CN"/>
        </w:rPr>
        <w:t>我局</w:t>
      </w:r>
      <w:r>
        <w:rPr>
          <w:rFonts w:hint="eastAsia" w:ascii="仿宋_GB2312" w:hAnsi="仿宋" w:eastAsia="仿宋_GB2312" w:cs="Times New Roman"/>
          <w:sz w:val="32"/>
          <w:szCs w:val="32"/>
          <w:lang w:eastAsia="zh-CN"/>
        </w:rPr>
        <w:t>无</w:t>
      </w:r>
      <w:r>
        <w:rPr>
          <w:rFonts w:ascii="Times New Roman" w:hAnsi="Times New Roman" w:eastAsia="仿宋_GB2312" w:cs="Times New Roman"/>
          <w:sz w:val="32"/>
          <w:szCs w:val="32"/>
        </w:rPr>
        <w:t>政府性基金预算</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国有资本经营预算安排的常年项目</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债券资金</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政府购买服务</w:t>
      </w:r>
      <w:r>
        <w:rPr>
          <w:rFonts w:hint="eastAsia" w:ascii="Times New Roman" w:hAnsi="Times New Roman" w:eastAsia="仿宋_GB2312" w:cs="Times New Roman"/>
          <w:sz w:val="32"/>
          <w:szCs w:val="32"/>
          <w:lang w:eastAsia="zh-CN"/>
        </w:rPr>
        <w:t>。</w:t>
      </w:r>
    </w:p>
    <w:p w14:paraId="59170747">
      <w:pPr>
        <w:snapToGrid w:val="0"/>
        <w:spacing w:line="578" w:lineRule="exact"/>
        <w:ind w:firstLine="643" w:firstLineChars="200"/>
        <w:jc w:val="left"/>
        <w:rPr>
          <w:rFonts w:ascii="Times New Roman" w:hAnsi="Times New Roman" w:eastAsia="楷体_GB2312" w:cs="Times New Roman"/>
          <w:b/>
          <w:bCs/>
          <w:sz w:val="32"/>
          <w:szCs w:val="32"/>
          <w:highlight w:val="yellow"/>
          <w:lang w:val="zh-CN"/>
        </w:rPr>
      </w:pPr>
      <w:r>
        <w:rPr>
          <w:rFonts w:ascii="Times New Roman" w:hAnsi="Times New Roman" w:eastAsia="楷体_GB2312" w:cs="Times New Roman"/>
          <w:b/>
          <w:bCs/>
          <w:color w:val="000000"/>
          <w:kern w:val="0"/>
          <w:sz w:val="32"/>
          <w:szCs w:val="32"/>
          <w:shd w:val="clear" w:color="auto" w:fill="FFFFFF"/>
          <w:lang w:val="zh-CN"/>
        </w:rPr>
        <w:t>（三）</w:t>
      </w:r>
      <w:r>
        <w:rPr>
          <w:rFonts w:ascii="Times New Roman" w:hAnsi="Times New Roman" w:eastAsia="楷体_GB2312" w:cs="Times New Roman"/>
          <w:b/>
          <w:bCs/>
          <w:sz w:val="32"/>
          <w:szCs w:val="32"/>
          <w:highlight w:val="none"/>
          <w:lang w:val="zh-CN"/>
        </w:rPr>
        <w:t>绩效结果应用情况</w:t>
      </w:r>
    </w:p>
    <w:p w14:paraId="1FDB05A0">
      <w:pPr>
        <w:snapToGrid w:val="0"/>
        <w:spacing w:line="578" w:lineRule="exact"/>
        <w:ind w:firstLine="640" w:firstLineChars="200"/>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我局高度重视绩效结果的运用，将其作为优化资源配置、提升管理效能的重要抓手。将项目绩效结果与</w:t>
      </w:r>
      <w:r>
        <w:rPr>
          <w:rFonts w:hint="eastAsia" w:ascii="Times New Roman" w:hAnsi="Times New Roman" w:eastAsia="仿宋_GB2312" w:cs="Times New Roman"/>
          <w:color w:val="000000"/>
          <w:kern w:val="0"/>
          <w:sz w:val="32"/>
          <w:szCs w:val="32"/>
          <w:shd w:val="clear" w:color="auto" w:fill="FFFFFF"/>
          <w:lang w:val="en-US" w:eastAsia="zh-CN"/>
        </w:rPr>
        <w:t>来年项目预算</w:t>
      </w:r>
      <w:r>
        <w:rPr>
          <w:rFonts w:hint="eastAsia" w:ascii="Times New Roman" w:hAnsi="Times New Roman" w:eastAsia="仿宋_GB2312" w:cs="Times New Roman"/>
          <w:color w:val="000000"/>
          <w:kern w:val="0"/>
          <w:sz w:val="32"/>
          <w:szCs w:val="32"/>
          <w:shd w:val="clear" w:color="auto" w:fill="FFFFFF"/>
          <w:lang w:val="zh-CN"/>
        </w:rPr>
        <w:t>资金分配挂钩，优先保</w:t>
      </w:r>
      <w:r>
        <w:rPr>
          <w:rFonts w:hint="eastAsia" w:ascii="Times New Roman" w:hAnsi="Times New Roman" w:eastAsia="仿宋_GB2312" w:cs="Times New Roman"/>
          <w:color w:val="auto"/>
          <w:kern w:val="0"/>
          <w:sz w:val="32"/>
          <w:szCs w:val="32"/>
          <w:shd w:val="clear" w:color="auto" w:fill="FFFFFF"/>
          <w:lang w:val="zh-CN"/>
        </w:rPr>
        <w:t>障成效突出、</w:t>
      </w:r>
      <w:r>
        <w:rPr>
          <w:rFonts w:hint="eastAsia" w:ascii="Times New Roman" w:hAnsi="Times New Roman" w:eastAsia="仿宋_GB2312" w:cs="Times New Roman"/>
          <w:color w:val="auto"/>
          <w:kern w:val="0"/>
          <w:sz w:val="32"/>
          <w:szCs w:val="32"/>
          <w:shd w:val="clear" w:color="auto" w:fill="FFFFFF"/>
          <w:lang w:val="en-US" w:eastAsia="zh-CN"/>
        </w:rPr>
        <w:t>关系民生</w:t>
      </w:r>
      <w:r>
        <w:rPr>
          <w:rFonts w:hint="eastAsia" w:ascii="Times New Roman" w:hAnsi="Times New Roman" w:eastAsia="仿宋_GB2312" w:cs="Times New Roman"/>
          <w:color w:val="auto"/>
          <w:kern w:val="0"/>
          <w:sz w:val="32"/>
          <w:szCs w:val="32"/>
          <w:shd w:val="clear" w:color="auto" w:fill="FFFFFF"/>
          <w:lang w:val="zh-CN"/>
        </w:rPr>
        <w:t>的项目</w:t>
      </w:r>
      <w:r>
        <w:rPr>
          <w:rFonts w:hint="eastAsia" w:ascii="Times New Roman" w:hAnsi="Times New Roman" w:eastAsia="仿宋_GB2312" w:cs="Times New Roman"/>
          <w:color w:val="000000"/>
          <w:kern w:val="0"/>
          <w:sz w:val="32"/>
          <w:szCs w:val="32"/>
          <w:shd w:val="clear" w:color="auto" w:fill="FFFFFF"/>
          <w:lang w:val="zh-CN"/>
        </w:rPr>
        <w:t>，对薄弱环节及时调整优化，推动业务提质增效。按照财政信息公开要求，在规定渠道公开</w:t>
      </w:r>
      <w:r>
        <w:rPr>
          <w:rFonts w:hint="eastAsia" w:ascii="Times New Roman" w:hAnsi="Times New Roman" w:eastAsia="仿宋_GB2312" w:cs="Times New Roman"/>
          <w:color w:val="000000"/>
          <w:kern w:val="0"/>
          <w:sz w:val="32"/>
          <w:szCs w:val="32"/>
          <w:shd w:val="clear" w:color="auto" w:fill="FFFFFF"/>
          <w:lang w:val="en-US" w:eastAsia="zh-CN"/>
        </w:rPr>
        <w:t>部门整体绩效、</w:t>
      </w:r>
      <w:r>
        <w:rPr>
          <w:rFonts w:hint="eastAsia" w:ascii="Times New Roman" w:hAnsi="Times New Roman" w:eastAsia="仿宋_GB2312" w:cs="Times New Roman"/>
          <w:color w:val="000000"/>
          <w:kern w:val="0"/>
          <w:sz w:val="32"/>
          <w:szCs w:val="32"/>
          <w:shd w:val="clear" w:color="auto" w:fill="FFFFFF"/>
          <w:lang w:val="zh-CN"/>
        </w:rPr>
        <w:t>项目绩效、自评结果等内容，主动接受社会监督，提升工作透明度。针对绩效评价发现的问题，建立台账逐项整改，及时反馈整改落实情况，形成“评价—反馈—整改—提升”的</w:t>
      </w:r>
      <w:r>
        <w:rPr>
          <w:rFonts w:hint="eastAsia" w:ascii="Times New Roman" w:hAnsi="Times New Roman" w:eastAsia="仿宋_GB2312" w:cs="Times New Roman"/>
          <w:color w:val="000000"/>
          <w:kern w:val="0"/>
          <w:sz w:val="32"/>
          <w:szCs w:val="32"/>
          <w:shd w:val="clear" w:color="auto" w:fill="FFFFFF"/>
          <w:lang w:val="en-US" w:eastAsia="zh-CN"/>
        </w:rPr>
        <w:t>绩效</w:t>
      </w:r>
      <w:r>
        <w:rPr>
          <w:rFonts w:hint="eastAsia" w:ascii="Times New Roman" w:hAnsi="Times New Roman" w:eastAsia="仿宋_GB2312" w:cs="Times New Roman"/>
          <w:color w:val="000000"/>
          <w:kern w:val="0"/>
          <w:sz w:val="32"/>
          <w:szCs w:val="32"/>
          <w:shd w:val="clear" w:color="auto" w:fill="FFFFFF"/>
          <w:lang w:val="zh-CN"/>
        </w:rPr>
        <w:t>管理闭环机制。</w:t>
      </w:r>
    </w:p>
    <w:p w14:paraId="0F9A517C">
      <w:pPr>
        <w:snapToGrid w:val="0"/>
        <w:spacing w:line="578" w:lineRule="exact"/>
        <w:ind w:firstLine="643" w:firstLineChars="200"/>
        <w:jc w:val="left"/>
        <w:rPr>
          <w:rFonts w:hint="eastAsia" w:ascii="Times New Roman" w:hAnsi="Times New Roman" w:eastAsia="楷体_GB2312" w:cs="Times New Roman"/>
          <w:b/>
          <w:bCs/>
          <w:color w:val="000000"/>
          <w:kern w:val="0"/>
          <w:sz w:val="32"/>
          <w:szCs w:val="32"/>
          <w:shd w:val="clear" w:color="auto" w:fill="FFFFFF"/>
          <w:lang w:val="en-US" w:eastAsia="zh-CN"/>
        </w:rPr>
      </w:pP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en-US" w:eastAsia="zh-CN"/>
        </w:rPr>
        <w:t>四</w:t>
      </w: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en-US" w:eastAsia="zh-CN"/>
        </w:rPr>
        <w:t>专项预算项目自评</w:t>
      </w:r>
    </w:p>
    <w:p w14:paraId="678B66A1">
      <w:pPr>
        <w:snapToGrid w:val="0"/>
        <w:spacing w:line="578" w:lineRule="exact"/>
        <w:ind w:firstLine="640" w:firstLineChars="200"/>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en-US" w:eastAsia="zh-CN"/>
        </w:rPr>
        <w:t>我局专项预算项目已按中央、省级下发专项绩效评价通知及指标体系要求执行，相关数据报告已上报。</w:t>
      </w:r>
    </w:p>
    <w:p w14:paraId="0CFC59CA">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14:paraId="5FAE2905">
      <w:pPr>
        <w:widowControl/>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（一）评价结论</w:t>
      </w:r>
    </w:p>
    <w:p w14:paraId="1A5D220A">
      <w:pPr>
        <w:widowControl/>
        <w:adjustRightInd w:val="0"/>
        <w:snapToGrid w:val="0"/>
        <w:spacing w:line="578" w:lineRule="exact"/>
        <w:ind w:firstLine="640" w:firstLineChars="200"/>
        <w:contextualSpacing/>
        <w:jc w:val="left"/>
        <w:rPr>
          <w:rFonts w:ascii="Times New Roman" w:hAnsi="Times New Roman" w:eastAsia="楷体_GB2312" w:cs="Times New Roman"/>
          <w:b/>
          <w:bCs/>
          <w:color w:val="auto"/>
          <w:kern w:val="0"/>
          <w:sz w:val="32"/>
          <w:szCs w:val="32"/>
          <w:shd w:val="clear" w:color="auto" w:fill="FFFFFF"/>
        </w:rPr>
      </w:pPr>
      <w:r>
        <w:rPr>
          <w:rFonts w:hint="eastAsia" w:ascii="仿宋_GB2312" w:hAnsi="仿宋_GB2312" w:eastAsia="仿宋_GB2312" w:cs="仿宋_GB2312"/>
          <w:kern w:val="0"/>
          <w:sz w:val="32"/>
          <w:szCs w:val="32"/>
        </w:rPr>
        <w:t>我局202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年积极响应预算绩效管理评价，按照相关要求落实项目经费支出，全年整体支出情况良好，个别项目受国家政策调整影响</w:t>
      </w:r>
      <w:r>
        <w:rPr>
          <w:rFonts w:hint="eastAsia" w:ascii="仿宋_GB2312" w:hAnsi="仿宋_GB2312" w:eastAsia="仿宋_GB2312" w:cs="仿宋_GB2312"/>
          <w:color w:val="auto"/>
          <w:kern w:val="0"/>
          <w:sz w:val="32"/>
          <w:szCs w:val="32"/>
        </w:rPr>
        <w:t>无法</w:t>
      </w:r>
      <w:r>
        <w:rPr>
          <w:rFonts w:hint="eastAsia" w:ascii="仿宋_GB2312" w:hAnsi="仿宋_GB2312" w:eastAsia="仿宋_GB2312" w:cs="仿宋_GB2312"/>
          <w:color w:val="auto"/>
          <w:kern w:val="0"/>
          <w:sz w:val="32"/>
          <w:szCs w:val="32"/>
          <w:lang w:val="en-US" w:eastAsia="zh-CN"/>
        </w:rPr>
        <w:t>实施</w:t>
      </w:r>
      <w:r>
        <w:rPr>
          <w:rFonts w:hint="eastAsia" w:ascii="仿宋_GB2312" w:hAnsi="仿宋_GB2312" w:eastAsia="仿宋_GB2312" w:cs="仿宋_GB2312"/>
          <w:color w:val="auto"/>
          <w:kern w:val="0"/>
          <w:sz w:val="32"/>
          <w:szCs w:val="32"/>
        </w:rPr>
        <w:t>，或进度</w:t>
      </w:r>
      <w:r>
        <w:rPr>
          <w:rFonts w:hint="eastAsia" w:ascii="仿宋_GB2312" w:hAnsi="仿宋_GB2312" w:eastAsia="仿宋_GB2312" w:cs="仿宋_GB2312"/>
          <w:color w:val="auto"/>
          <w:kern w:val="0"/>
          <w:sz w:val="32"/>
          <w:szCs w:val="32"/>
          <w:lang w:val="en-US" w:eastAsia="zh-CN"/>
        </w:rPr>
        <w:t>较缓</w:t>
      </w:r>
      <w:r>
        <w:rPr>
          <w:rFonts w:hint="eastAsia" w:ascii="仿宋_GB2312" w:hAnsi="仿宋_GB2312" w:eastAsia="仿宋_GB2312" w:cs="仿宋_GB2312"/>
          <w:color w:val="auto"/>
          <w:kern w:val="0"/>
          <w:sz w:val="32"/>
          <w:szCs w:val="32"/>
        </w:rPr>
        <w:t>，现对我局项目绩效自评为</w:t>
      </w:r>
      <w:r>
        <w:rPr>
          <w:rFonts w:hint="eastAsia" w:ascii="仿宋_GB2312" w:hAnsi="仿宋_GB2312" w:eastAsia="仿宋_GB2312" w:cs="仿宋_GB2312"/>
          <w:color w:val="auto"/>
          <w:kern w:val="0"/>
          <w:sz w:val="32"/>
          <w:szCs w:val="32"/>
          <w:lang w:val="en-US" w:eastAsia="zh-CN"/>
        </w:rPr>
        <w:t>84</w:t>
      </w:r>
      <w:r>
        <w:rPr>
          <w:rFonts w:hint="eastAsia" w:ascii="仿宋_GB2312" w:hAnsi="仿宋_GB2312" w:eastAsia="仿宋_GB2312" w:cs="仿宋_GB2312"/>
          <w:color w:val="auto"/>
          <w:kern w:val="0"/>
          <w:sz w:val="32"/>
          <w:szCs w:val="32"/>
        </w:rPr>
        <w:t>分。</w:t>
      </w:r>
    </w:p>
    <w:p w14:paraId="24006344">
      <w:pPr>
        <w:widowControl/>
        <w:adjustRightInd w:val="0"/>
        <w:snapToGrid w:val="0"/>
        <w:spacing w:line="578" w:lineRule="exact"/>
        <w:ind w:firstLine="643" w:firstLineChars="200"/>
        <w:contextualSpacing/>
        <w:jc w:val="left"/>
        <w:rPr>
          <w:rFonts w:ascii="Times New Roman" w:hAnsi="Times New Roman" w:eastAsia="仿宋_GB2312" w:cs="Times New Roman"/>
          <w:color w:val="auto"/>
          <w:w w:val="95"/>
          <w:kern w:val="0"/>
          <w:sz w:val="32"/>
          <w:szCs w:val="32"/>
        </w:rPr>
      </w:pPr>
      <w:r>
        <w:rPr>
          <w:rFonts w:ascii="Times New Roman" w:hAnsi="Times New Roman" w:eastAsia="楷体_GB2312" w:cs="Times New Roman"/>
          <w:b/>
          <w:bCs/>
          <w:color w:val="auto"/>
          <w:kern w:val="0"/>
          <w:sz w:val="32"/>
          <w:szCs w:val="32"/>
          <w:shd w:val="clear" w:color="auto" w:fill="FFFFFF"/>
          <w:lang w:val="zh-CN"/>
        </w:rPr>
        <w:t>（二）存在问题</w:t>
      </w:r>
    </w:p>
    <w:p w14:paraId="2A8A75BF">
      <w:pPr>
        <w:widowControl/>
        <w:adjustRightInd w:val="0"/>
        <w:snapToGrid w:val="0"/>
        <w:spacing w:line="578" w:lineRule="exact"/>
        <w:ind w:firstLine="640" w:firstLineChars="200"/>
        <w:contextualSpacing/>
        <w:jc w:val="left"/>
        <w:rPr>
          <w:rFonts w:ascii="Times New Roman" w:hAnsi="Times New Roman" w:eastAsia="楷体_GB2312" w:cs="Times New Roman"/>
          <w:b/>
          <w:bCs/>
          <w:color w:val="000000"/>
          <w:kern w:val="0"/>
          <w:sz w:val="32"/>
          <w:szCs w:val="32"/>
          <w:shd w:val="clear" w:color="auto" w:fill="FFFFFF"/>
        </w:rPr>
      </w:pPr>
      <w:r>
        <w:rPr>
          <w:rFonts w:hint="eastAsia" w:ascii="仿宋_GB2312" w:hAnsi="Times New Roman" w:eastAsia="仿宋_GB2312" w:cs="Times New Roman"/>
          <w:color w:val="auto"/>
          <w:kern w:val="2"/>
          <w:sz w:val="32"/>
          <w:szCs w:val="32"/>
          <w:u w:val="none"/>
        </w:rPr>
        <w:t>我局个别项目存在进度滞后较为突出的问题。</w:t>
      </w:r>
      <w:r>
        <w:rPr>
          <w:rFonts w:hint="eastAsia" w:ascii="仿宋_GB2312" w:hAnsi="Times New Roman" w:eastAsia="仿宋_GB2312" w:cs="Times New Roman"/>
          <w:color w:val="auto"/>
          <w:kern w:val="2"/>
          <w:sz w:val="32"/>
          <w:szCs w:val="32"/>
          <w:u w:val="none"/>
          <w:lang w:val="en-US" w:eastAsia="zh-CN"/>
        </w:rPr>
        <w:t>项目</w:t>
      </w:r>
      <w:r>
        <w:rPr>
          <w:rFonts w:hint="eastAsia" w:ascii="仿宋_GB2312" w:hAnsi="Times New Roman" w:eastAsia="仿宋_GB2312" w:cs="Times New Roman"/>
          <w:color w:val="auto"/>
          <w:kern w:val="2"/>
          <w:sz w:val="32"/>
          <w:szCs w:val="32"/>
          <w:u w:val="none"/>
        </w:rPr>
        <w:t>前期推进迟缓，招标工作几经失败，导致项目推进效率低下，无法</w:t>
      </w:r>
      <w:r>
        <w:rPr>
          <w:rFonts w:hint="eastAsia" w:ascii="仿宋_GB2312" w:hAnsi="Times New Roman" w:eastAsia="仿宋_GB2312" w:cs="Times New Roman"/>
          <w:kern w:val="2"/>
          <w:sz w:val="32"/>
          <w:szCs w:val="32"/>
          <w:u w:val="none"/>
          <w:lang w:val="en-US" w:eastAsia="zh-CN"/>
        </w:rPr>
        <w:t>在规定时间内</w:t>
      </w:r>
      <w:r>
        <w:rPr>
          <w:rFonts w:hint="eastAsia" w:ascii="仿宋_GB2312" w:hAnsi="Times New Roman" w:eastAsia="仿宋_GB2312" w:cs="Times New Roman"/>
          <w:kern w:val="2"/>
          <w:sz w:val="32"/>
          <w:szCs w:val="32"/>
          <w:u w:val="none"/>
        </w:rPr>
        <w:t>完成项目任务</w:t>
      </w:r>
      <w:r>
        <w:rPr>
          <w:rFonts w:ascii="Times New Roman" w:hAnsi="Times New Roman" w:eastAsia="仿宋_GB2312" w:cs="Times New Roman"/>
          <w:w w:val="95"/>
          <w:kern w:val="0"/>
          <w:sz w:val="32"/>
          <w:szCs w:val="32"/>
        </w:rPr>
        <w:t>。</w:t>
      </w:r>
    </w:p>
    <w:p w14:paraId="1A33D712">
      <w:pPr>
        <w:widowControl/>
        <w:adjustRightInd w:val="0"/>
        <w:snapToGrid w:val="0"/>
        <w:spacing w:line="578" w:lineRule="exact"/>
        <w:ind w:firstLine="643" w:firstLineChars="200"/>
        <w:contextualSpacing/>
        <w:jc w:val="left"/>
        <w:rPr>
          <w:rFonts w:ascii="Times New Roman" w:hAnsi="Times New Roman" w:eastAsia="仿宋_GB2312" w:cs="Times New Roman"/>
          <w:kern w:val="0"/>
          <w:sz w:val="32"/>
          <w:szCs w:val="32"/>
        </w:rPr>
      </w:pPr>
      <w:r>
        <w:rPr>
          <w:rFonts w:ascii="Times New Roman" w:hAnsi="Times New Roman" w:eastAsia="楷体_GB2312" w:cs="Times New Roman"/>
          <w:b/>
          <w:bCs/>
          <w:color w:val="000000"/>
          <w:kern w:val="0"/>
          <w:sz w:val="32"/>
          <w:szCs w:val="32"/>
          <w:shd w:val="clear" w:color="auto" w:fill="FFFFFF"/>
          <w:lang w:val="zh-CN"/>
        </w:rPr>
        <w:t>（三）改进建议</w:t>
      </w:r>
    </w:p>
    <w:p w14:paraId="2FF97EFA">
      <w:pPr>
        <w:widowControl/>
        <w:adjustRightInd w:val="0"/>
        <w:snapToGrid w:val="0"/>
        <w:spacing w:line="578" w:lineRule="exact"/>
        <w:ind w:firstLine="640" w:firstLineChars="200"/>
        <w:contextualSpacing/>
        <w:jc w:val="lef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我局在202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年下半年不断加强项目进度管理，一方面催促业务科室切实履行职能职责，另一方面修订完善了项目管理制度，规范项目工作的执行。</w:t>
      </w:r>
    </w:p>
    <w:p w14:paraId="3C066C13">
      <w:pPr>
        <w:widowControl/>
        <w:adjustRightInd w:val="0"/>
        <w:snapToGrid w:val="0"/>
        <w:spacing w:line="578" w:lineRule="exact"/>
        <w:ind w:firstLine="640" w:firstLineChars="200"/>
        <w:contextualSpacing/>
        <w:jc w:val="left"/>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rPr>
        <w:t>落实任务责任，以问责倒逼进度。我局再次明确项目责任划分，建立</w:t>
      </w:r>
      <w:r>
        <w:rPr>
          <w:rFonts w:hint="eastAsia" w:ascii="Times New Roman" w:hAnsi="Times New Roman" w:eastAsia="仿宋_GB2312" w:cs="Times New Roman"/>
          <w:color w:val="auto"/>
          <w:kern w:val="0"/>
          <w:sz w:val="32"/>
          <w:szCs w:val="32"/>
          <w:lang w:val="en-US" w:eastAsia="zh-CN"/>
        </w:rPr>
        <w:t>项目资金</w:t>
      </w:r>
      <w:r>
        <w:rPr>
          <w:rFonts w:hint="eastAsia" w:ascii="Times New Roman" w:hAnsi="Times New Roman" w:eastAsia="仿宋_GB2312" w:cs="Times New Roman"/>
          <w:color w:val="auto"/>
          <w:kern w:val="0"/>
          <w:sz w:val="32"/>
          <w:szCs w:val="32"/>
        </w:rPr>
        <w:t>催拨台账，不定期要求各科室落实资金拨付。</w:t>
      </w:r>
    </w:p>
    <w:p w14:paraId="7345170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Times New Roman" w:hAnsi="Times New Roman" w:eastAsia="仿宋_GB2312" w:cs="Times New Roman"/>
          <w:color w:val="auto"/>
          <w:kern w:val="0"/>
          <w:sz w:val="32"/>
          <w:szCs w:val="32"/>
          <w:lang w:val="en-US" w:eastAsia="zh-CN"/>
        </w:rPr>
        <w:t>2.</w:t>
      </w:r>
      <w:r>
        <w:rPr>
          <w:rFonts w:hint="eastAsia" w:ascii="Times New Roman" w:hAnsi="Times New Roman" w:eastAsia="仿宋_GB2312" w:cs="Times New Roman"/>
          <w:color w:val="auto"/>
          <w:kern w:val="0"/>
          <w:sz w:val="32"/>
          <w:szCs w:val="32"/>
        </w:rPr>
        <w:t>加强制度完善，以制度促成果。我局持续修改完善并印发《阿坝州自然资源局政府采购内控管理制度》《阿坝州自然资源局公务出差和差旅费报销管理制度》等多</w:t>
      </w:r>
      <w:r>
        <w:rPr>
          <w:rFonts w:hint="eastAsia" w:ascii="Times New Roman" w:hAnsi="Times New Roman" w:eastAsia="仿宋_GB2312" w:cs="Times New Roman"/>
          <w:color w:val="auto"/>
          <w:kern w:val="0"/>
          <w:sz w:val="32"/>
          <w:szCs w:val="32"/>
          <w:lang w:val="en-US" w:eastAsia="zh-CN"/>
        </w:rPr>
        <w:t>项</w:t>
      </w:r>
      <w:r>
        <w:rPr>
          <w:rFonts w:hint="eastAsia" w:ascii="Times New Roman" w:hAnsi="Times New Roman" w:eastAsia="仿宋_GB2312" w:cs="Times New Roman"/>
          <w:color w:val="auto"/>
          <w:kern w:val="0"/>
          <w:sz w:val="32"/>
          <w:szCs w:val="32"/>
        </w:rPr>
        <w:t>制度，切实保障</w:t>
      </w:r>
      <w:r>
        <w:rPr>
          <w:rFonts w:hint="eastAsia" w:ascii="Times New Roman" w:hAnsi="Times New Roman" w:eastAsia="仿宋_GB2312" w:cs="Times New Roman"/>
          <w:color w:val="auto"/>
          <w:kern w:val="0"/>
          <w:sz w:val="32"/>
          <w:szCs w:val="32"/>
          <w:lang w:val="en-US" w:eastAsia="zh-CN"/>
        </w:rPr>
        <w:t>资金支付进度和</w:t>
      </w:r>
      <w:r>
        <w:rPr>
          <w:rFonts w:hint="eastAsia" w:ascii="Times New Roman" w:hAnsi="Times New Roman" w:eastAsia="仿宋_GB2312" w:cs="Times New Roman"/>
          <w:color w:val="auto"/>
          <w:kern w:val="0"/>
          <w:sz w:val="32"/>
          <w:szCs w:val="32"/>
        </w:rPr>
        <w:t>资金安全，加强项目管理，巩固政府采购程序，提升项目招标成功率</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项目完成率和项目资金支付率</w:t>
      </w:r>
      <w:r>
        <w:rPr>
          <w:rFonts w:hint="eastAsia" w:ascii="Times New Roman" w:hAnsi="Times New Roman" w:eastAsia="仿宋_GB2312" w:cs="Times New Roman"/>
          <w:sz w:val="32"/>
          <w:szCs w:val="32"/>
          <w:u w:val="none"/>
          <w:lang w:val="en-US" w:eastAsia="zh-CN" w:bidi="ar"/>
        </w:rPr>
        <w:t>。</w:t>
      </w:r>
    </w:p>
    <w:bookmarkEnd w:id="63"/>
    <w:p w14:paraId="4D838D1B">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C05A2AE">
      <w:pPr>
        <w:spacing w:line="578"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color w:val="000000"/>
          <w:kern w:val="0"/>
          <w:sz w:val="32"/>
          <w:szCs w:val="32"/>
          <w:shd w:val="clear" w:color="auto" w:fill="FFFFFF"/>
        </w:rPr>
        <w:t>附表：</w:t>
      </w:r>
      <w:r>
        <w:rPr>
          <w:rFonts w:hint="eastAsia" w:ascii="Times New Roman" w:hAnsi="Times New Roman" w:eastAsia="仿宋_GB2312" w:cs="Times New Roman"/>
          <w:color w:val="000000"/>
          <w:kern w:val="0"/>
          <w:sz w:val="32"/>
          <w:szCs w:val="32"/>
          <w:shd w:val="clear" w:color="auto" w:fill="FFFFFF"/>
        </w:rPr>
        <w:t>1.</w:t>
      </w:r>
      <w:r>
        <w:rPr>
          <w:rFonts w:hint="eastAsia" w:ascii="Times New Roman" w:hAnsi="Times New Roman" w:eastAsia="仿宋_GB2312" w:cs="Times New Roman"/>
          <w:sz w:val="32"/>
          <w:szCs w:val="32"/>
        </w:rPr>
        <w:t>部门预算绩效自评打分表</w:t>
      </w:r>
    </w:p>
    <w:p w14:paraId="046E6591">
      <w:pPr>
        <w:spacing w:line="578" w:lineRule="exact"/>
        <w:ind w:firstLine="1600" w:firstLineChars="500"/>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sz w:val="32"/>
          <w:szCs w:val="32"/>
        </w:rPr>
        <w:t>2.</w:t>
      </w:r>
      <w:r>
        <w:rPr>
          <w:rFonts w:ascii="Times New Roman" w:hAnsi="Times New Roman" w:eastAsia="仿宋_GB2312" w:cs="Times New Roman"/>
          <w:color w:val="000000"/>
          <w:kern w:val="0"/>
          <w:sz w:val="32"/>
          <w:szCs w:val="32"/>
          <w:shd w:val="clear" w:color="auto" w:fill="FFFFFF"/>
        </w:rPr>
        <w:t>部门整体</w:t>
      </w:r>
      <w:r>
        <w:rPr>
          <w:rFonts w:hint="eastAsia" w:ascii="Times New Roman" w:hAnsi="Times New Roman" w:eastAsia="仿宋_GB2312" w:cs="Times New Roman"/>
          <w:color w:val="000000"/>
          <w:kern w:val="0"/>
          <w:sz w:val="32"/>
          <w:szCs w:val="32"/>
          <w:shd w:val="clear" w:color="auto" w:fill="FFFFFF"/>
        </w:rPr>
        <w:t>支出</w:t>
      </w:r>
      <w:r>
        <w:rPr>
          <w:rFonts w:ascii="Times New Roman" w:hAnsi="Times New Roman" w:eastAsia="仿宋_GB2312" w:cs="Times New Roman"/>
          <w:color w:val="000000"/>
          <w:kern w:val="0"/>
          <w:sz w:val="32"/>
          <w:szCs w:val="32"/>
          <w:shd w:val="clear" w:color="auto" w:fill="FFFFFF"/>
        </w:rPr>
        <w:t>绩效目标完成情况自评表</w:t>
      </w:r>
    </w:p>
    <w:p w14:paraId="19B862CA">
      <w:pPr>
        <w:spacing w:line="578" w:lineRule="exact"/>
        <w:ind w:firstLine="1600" w:firstLineChars="500"/>
        <w:jc w:val="left"/>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sz w:val="32"/>
          <w:szCs w:val="32"/>
        </w:rPr>
        <w:t>部门预算项目支出绩效评价表（202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p>
    <w:p w14:paraId="13E9CD8E">
      <w:pPr>
        <w:rPr>
          <w:rFonts w:hint="eastAsia" w:ascii="Times New Roman" w:hAnsi="Times New Roman" w:eastAsia="仿宋_GB2312" w:cs="Times New Roman"/>
          <w:kern w:val="2"/>
          <w:sz w:val="32"/>
          <w:szCs w:val="32"/>
          <w:u w:val="none"/>
          <w:lang w:val="zh-CN" w:eastAsia="zh-CN" w:bidi="ar"/>
        </w:rPr>
      </w:pPr>
    </w:p>
    <w:p w14:paraId="7E1FA3D0">
      <w:pPr>
        <w:rPr>
          <w:rFonts w:hint="eastAsia" w:ascii="Times New Roman" w:hAnsi="Times New Roman" w:eastAsia="仿宋_GB2312" w:cs="Times New Roman"/>
          <w:kern w:val="2"/>
          <w:sz w:val="32"/>
          <w:szCs w:val="32"/>
          <w:u w:val="none"/>
          <w:lang w:val="zh-CN" w:eastAsia="zh-CN" w:bidi="ar"/>
        </w:rPr>
      </w:pPr>
    </w:p>
    <w:p w14:paraId="60F3CCE1">
      <w:pPr>
        <w:rPr>
          <w:rFonts w:hint="eastAsia" w:ascii="Times New Roman" w:hAnsi="Times New Roman" w:eastAsia="仿宋_GB2312" w:cs="Times New Roman"/>
          <w:kern w:val="2"/>
          <w:sz w:val="32"/>
          <w:szCs w:val="32"/>
          <w:u w:val="none"/>
          <w:lang w:val="zh-CN" w:eastAsia="zh-CN" w:bidi="ar"/>
        </w:rPr>
      </w:pPr>
    </w:p>
    <w:p w14:paraId="22BBD2AA">
      <w:pPr>
        <w:rPr>
          <w:rFonts w:hint="eastAsia" w:ascii="Times New Roman" w:hAnsi="Times New Roman" w:eastAsia="仿宋_GB2312" w:cs="Times New Roman"/>
          <w:kern w:val="2"/>
          <w:sz w:val="32"/>
          <w:szCs w:val="32"/>
          <w:u w:val="none"/>
          <w:lang w:val="zh-CN" w:eastAsia="zh-CN" w:bidi="ar"/>
        </w:rPr>
      </w:pPr>
    </w:p>
    <w:p w14:paraId="0B95B3B3">
      <w:pPr>
        <w:rPr>
          <w:rFonts w:hint="eastAsia" w:ascii="Times New Roman" w:hAnsi="Times New Roman" w:eastAsia="仿宋_GB2312" w:cs="Times New Roman"/>
          <w:kern w:val="2"/>
          <w:sz w:val="32"/>
          <w:szCs w:val="32"/>
          <w:u w:val="none"/>
          <w:lang w:val="zh-CN" w:eastAsia="zh-CN" w:bidi="ar"/>
        </w:rPr>
      </w:pPr>
    </w:p>
    <w:p w14:paraId="3CA8A23F">
      <w:pPr>
        <w:rPr>
          <w:rFonts w:hint="eastAsia" w:ascii="Times New Roman" w:hAnsi="Times New Roman" w:eastAsia="仿宋_GB2312" w:cs="Times New Roman"/>
          <w:kern w:val="2"/>
          <w:sz w:val="32"/>
          <w:szCs w:val="32"/>
          <w:u w:val="none"/>
          <w:lang w:val="zh-CN" w:eastAsia="zh-CN" w:bidi="ar"/>
        </w:rPr>
      </w:pPr>
    </w:p>
    <w:p w14:paraId="12C914AF">
      <w:pPr>
        <w:rPr>
          <w:rFonts w:hint="eastAsia" w:ascii="Times New Roman" w:hAnsi="Times New Roman" w:eastAsia="仿宋_GB2312" w:cs="Times New Roman"/>
          <w:kern w:val="2"/>
          <w:sz w:val="32"/>
          <w:szCs w:val="32"/>
          <w:u w:val="none"/>
          <w:lang w:val="zh-CN" w:eastAsia="zh-CN" w:bidi="ar"/>
        </w:rPr>
      </w:pPr>
    </w:p>
    <w:p w14:paraId="05A2A90A">
      <w:pPr>
        <w:rPr>
          <w:rFonts w:hint="eastAsia" w:ascii="Times New Roman" w:hAnsi="Times New Roman" w:eastAsia="仿宋_GB2312" w:cs="Times New Roman"/>
          <w:kern w:val="2"/>
          <w:sz w:val="32"/>
          <w:szCs w:val="32"/>
          <w:u w:val="none"/>
          <w:lang w:val="zh-CN" w:eastAsia="zh-CN" w:bidi="ar"/>
        </w:rPr>
      </w:pPr>
    </w:p>
    <w:p w14:paraId="605A4D19">
      <w:pPr>
        <w:rPr>
          <w:rFonts w:hint="eastAsia" w:ascii="Times New Roman" w:hAnsi="Times New Roman" w:eastAsia="仿宋_GB2312" w:cs="Times New Roman"/>
          <w:kern w:val="2"/>
          <w:sz w:val="32"/>
          <w:szCs w:val="32"/>
          <w:u w:val="none"/>
          <w:lang w:val="zh-CN" w:eastAsia="zh-CN" w:bidi="ar"/>
        </w:rPr>
      </w:pPr>
    </w:p>
    <w:p w14:paraId="328F4D20">
      <w:pPr>
        <w:rPr>
          <w:rFonts w:hint="eastAsia" w:ascii="Times New Roman" w:hAnsi="Times New Roman" w:eastAsia="仿宋_GB2312" w:cs="Times New Roman"/>
          <w:kern w:val="2"/>
          <w:sz w:val="32"/>
          <w:szCs w:val="32"/>
          <w:u w:val="none"/>
          <w:lang w:val="zh-CN" w:eastAsia="zh-CN" w:bidi="ar"/>
        </w:rPr>
      </w:pPr>
    </w:p>
    <w:p w14:paraId="3EA37669">
      <w:pPr>
        <w:spacing w:line="578" w:lineRule="exact"/>
        <w:jc w:val="left"/>
        <w:rPr>
          <w:rFonts w:ascii="Times New Roman" w:hAnsi="Times New Roman" w:eastAsia="黑体" w:cs="Times New Roman"/>
          <w:sz w:val="32"/>
        </w:rPr>
      </w:pPr>
      <w:r>
        <w:rPr>
          <w:rFonts w:ascii="Times New Roman" w:hAnsi="Times New Roman" w:eastAsia="黑体" w:cs="Times New Roman"/>
          <w:sz w:val="32"/>
        </w:rPr>
        <w:t>附表</w:t>
      </w:r>
      <w:r>
        <w:rPr>
          <w:rFonts w:hint="eastAsia" w:ascii="Times New Roman" w:hAnsi="Times New Roman" w:eastAsia="黑体" w:cs="Times New Roman"/>
          <w:sz w:val="32"/>
        </w:rPr>
        <w:t>1</w:t>
      </w:r>
    </w:p>
    <w:p w14:paraId="199DDA25">
      <w:pPr>
        <w:widowControl/>
        <w:spacing w:line="600" w:lineRule="exact"/>
        <w:jc w:val="center"/>
        <w:textAlignment w:val="center"/>
        <w:rPr>
          <w:rFonts w:hint="default" w:ascii="Times New Roman" w:hAnsi="Times New Roman" w:eastAsia="方正小标宋简体" w:cs="Times New Roman"/>
          <w:color w:val="000000"/>
          <w:kern w:val="0"/>
          <w:sz w:val="44"/>
          <w:szCs w:val="44"/>
          <w:lang w:val="en-US" w:eastAsia="zh-CN"/>
        </w:rPr>
      </w:pPr>
      <w:r>
        <w:rPr>
          <w:rFonts w:hint="eastAsia" w:ascii="Times New Roman" w:hAnsi="Times New Roman" w:eastAsia="方正小标宋简体" w:cs="Times New Roman"/>
          <w:color w:val="000000"/>
          <w:kern w:val="0"/>
          <w:sz w:val="44"/>
          <w:szCs w:val="44"/>
        </w:rPr>
        <w:t>部门预算绩效自评打分表</w:t>
      </w:r>
      <w:r>
        <w:rPr>
          <w:rFonts w:hint="eastAsia" w:ascii="Times New Roman" w:hAnsi="Times New Roman" w:eastAsia="方正小标宋简体" w:cs="Times New Roman"/>
          <w:color w:val="000000"/>
          <w:kern w:val="0"/>
          <w:sz w:val="44"/>
          <w:szCs w:val="44"/>
          <w:lang w:val="en-US" w:eastAsia="zh-CN"/>
        </w:rPr>
        <w:t xml:space="preserve"> </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7B0C2DFB">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noWrap w:val="0"/>
            <w:vAlign w:val="center"/>
          </w:tcPr>
          <w:p w14:paraId="7F29AD2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4C315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noWrap w:val="0"/>
            <w:vAlign w:val="center"/>
          </w:tcPr>
          <w:p w14:paraId="4FB69F42">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noWrap w:val="0"/>
            <w:vAlign w:val="center"/>
          </w:tcPr>
          <w:p w14:paraId="47E26B78">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5F22B094">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noWrap w:val="0"/>
            <w:vAlign w:val="center"/>
          </w:tcPr>
          <w:p w14:paraId="6294C8E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0FF00AF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F44977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762056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5E60E">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noWrap w:val="0"/>
            <w:vAlign w:val="center"/>
          </w:tcPr>
          <w:p w14:paraId="2E3CF416">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noWrap w:val="0"/>
            <w:vAlign w:val="center"/>
          </w:tcPr>
          <w:p w14:paraId="54F81ACE">
            <w:pPr>
              <w:widowControl/>
              <w:spacing w:line="240" w:lineRule="exact"/>
              <w:jc w:val="center"/>
              <w:rPr>
                <w:rFonts w:ascii="黑体" w:hAnsi="宋体" w:eastAsia="黑体" w:cs="黑体"/>
                <w:color w:val="000000"/>
                <w:sz w:val="24"/>
              </w:rPr>
            </w:pPr>
          </w:p>
        </w:tc>
      </w:tr>
      <w:tr w14:paraId="17593A77">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noWrap w:val="0"/>
            <w:vAlign w:val="center"/>
          </w:tcPr>
          <w:p w14:paraId="3D21F6C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6AEAE54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5F30E9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noWrap w:val="0"/>
            <w:vAlign w:val="center"/>
          </w:tcPr>
          <w:p w14:paraId="2CE417B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C3C446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4C7219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A6D4DC2">
            <w:pPr>
              <w:widowControl/>
              <w:spacing w:line="240" w:lineRule="exact"/>
              <w:jc w:val="left"/>
              <w:textAlignment w:val="center"/>
              <w:rPr>
                <w:rFonts w:ascii="宋体" w:hAnsi="宋体" w:eastAsia="宋体" w:cs="宋体"/>
                <w:color w:val="000000"/>
                <w:kern w:val="0"/>
                <w:sz w:val="24"/>
              </w:rPr>
            </w:pPr>
          </w:p>
        </w:tc>
      </w:tr>
      <w:tr w14:paraId="67FC346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7D3FBAB6">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noWrap w:val="0"/>
            <w:vAlign w:val="center"/>
          </w:tcPr>
          <w:p w14:paraId="4D622B6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5B4D89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B7DCAA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706FEAE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09E2E6F">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48C7E4E">
            <w:pPr>
              <w:widowControl/>
              <w:spacing w:line="240" w:lineRule="exact"/>
              <w:jc w:val="left"/>
              <w:textAlignment w:val="center"/>
              <w:rPr>
                <w:rFonts w:ascii="宋体" w:hAnsi="宋体" w:eastAsia="宋体" w:cs="宋体"/>
                <w:color w:val="000000"/>
                <w:kern w:val="0"/>
                <w:sz w:val="24"/>
              </w:rPr>
            </w:pPr>
          </w:p>
        </w:tc>
      </w:tr>
      <w:tr w14:paraId="2C2D35A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671AC8BC">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4E8561C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162432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F45D58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14C939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8F83F40">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4256920">
            <w:pPr>
              <w:widowControl/>
              <w:spacing w:line="240" w:lineRule="exact"/>
              <w:jc w:val="left"/>
              <w:textAlignment w:val="center"/>
              <w:rPr>
                <w:rFonts w:ascii="宋体" w:hAnsi="宋体" w:eastAsia="宋体" w:cs="宋体"/>
                <w:color w:val="000000"/>
                <w:kern w:val="0"/>
                <w:sz w:val="24"/>
              </w:rPr>
            </w:pPr>
          </w:p>
        </w:tc>
      </w:tr>
      <w:tr w14:paraId="4CAFD19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0485CE9E">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64C3C610">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B6A420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5A0179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4670BAC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6D4E57A">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56AF1D1">
            <w:pPr>
              <w:widowControl/>
              <w:spacing w:line="240" w:lineRule="exact"/>
              <w:jc w:val="left"/>
              <w:textAlignment w:val="center"/>
              <w:rPr>
                <w:rFonts w:ascii="宋体" w:hAnsi="宋体" w:eastAsia="宋体" w:cs="宋体"/>
                <w:color w:val="000000"/>
                <w:kern w:val="0"/>
                <w:sz w:val="24"/>
              </w:rPr>
            </w:pPr>
          </w:p>
        </w:tc>
      </w:tr>
      <w:tr w14:paraId="75E2B90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6BE53FD4">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7AD5A95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80F6DD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27EED35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4753BD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C9D0079">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4AE90ED">
            <w:pPr>
              <w:widowControl/>
              <w:spacing w:line="240" w:lineRule="exact"/>
              <w:jc w:val="left"/>
              <w:textAlignment w:val="center"/>
              <w:rPr>
                <w:rFonts w:ascii="宋体" w:hAnsi="宋体" w:eastAsia="宋体" w:cs="宋体"/>
                <w:color w:val="000000"/>
                <w:kern w:val="0"/>
                <w:sz w:val="24"/>
              </w:rPr>
            </w:pPr>
          </w:p>
        </w:tc>
      </w:tr>
      <w:tr w14:paraId="130123CF">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noWrap w:val="0"/>
            <w:vAlign w:val="center"/>
          </w:tcPr>
          <w:p w14:paraId="2BAF26A4">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4332C817">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BEAE33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B8EB2F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3278ED4">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3B2462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DA779B2">
            <w:pPr>
              <w:widowControl/>
              <w:spacing w:line="240" w:lineRule="exact"/>
              <w:jc w:val="left"/>
              <w:textAlignment w:val="center"/>
              <w:rPr>
                <w:rFonts w:ascii="宋体" w:hAnsi="宋体" w:eastAsia="宋体" w:cs="宋体"/>
                <w:color w:val="000000"/>
                <w:kern w:val="0"/>
                <w:sz w:val="24"/>
              </w:rPr>
            </w:pPr>
          </w:p>
        </w:tc>
      </w:tr>
      <w:tr w14:paraId="32C7349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F2AD252">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F6ED0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E4A986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5CB4833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D34FA3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2CAC845">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2D32076">
            <w:pPr>
              <w:widowControl/>
              <w:spacing w:line="240" w:lineRule="exact"/>
              <w:jc w:val="left"/>
              <w:textAlignment w:val="center"/>
              <w:rPr>
                <w:rFonts w:ascii="宋体" w:hAnsi="宋体" w:eastAsia="宋体" w:cs="宋体"/>
                <w:color w:val="000000"/>
                <w:kern w:val="0"/>
                <w:sz w:val="24"/>
              </w:rPr>
            </w:pPr>
          </w:p>
        </w:tc>
      </w:tr>
      <w:tr w14:paraId="3CEA53A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883DD2B">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1C99F">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239832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4202956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EDEEA1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4F4D3E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B04F5BA">
            <w:pPr>
              <w:widowControl/>
              <w:spacing w:line="240" w:lineRule="exact"/>
              <w:jc w:val="left"/>
              <w:textAlignment w:val="center"/>
              <w:rPr>
                <w:rFonts w:ascii="宋体" w:hAnsi="宋体" w:eastAsia="宋体" w:cs="宋体"/>
                <w:color w:val="000000"/>
                <w:kern w:val="0"/>
                <w:sz w:val="24"/>
              </w:rPr>
            </w:pPr>
          </w:p>
        </w:tc>
      </w:tr>
      <w:tr w14:paraId="2B1D8C4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51870F5">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7E354">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B8A1B0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181547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B2DA51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73CB46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A1284E2">
            <w:pPr>
              <w:widowControl/>
              <w:spacing w:line="240" w:lineRule="exact"/>
              <w:jc w:val="left"/>
              <w:textAlignment w:val="center"/>
              <w:rPr>
                <w:rFonts w:ascii="宋体" w:hAnsi="宋体" w:eastAsia="宋体" w:cs="宋体"/>
                <w:color w:val="000000"/>
                <w:kern w:val="0"/>
                <w:sz w:val="24"/>
              </w:rPr>
            </w:pPr>
          </w:p>
        </w:tc>
      </w:tr>
      <w:tr w14:paraId="0DCF3D8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662482D">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ED429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D47587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956A35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A35412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A3C5AF6">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FFCDE0A">
            <w:pPr>
              <w:widowControl/>
              <w:spacing w:line="240" w:lineRule="exact"/>
              <w:jc w:val="left"/>
              <w:textAlignment w:val="center"/>
              <w:rPr>
                <w:rFonts w:ascii="宋体" w:hAnsi="宋体" w:eastAsia="宋体" w:cs="宋体"/>
                <w:color w:val="000000"/>
                <w:kern w:val="0"/>
                <w:sz w:val="24"/>
              </w:rPr>
            </w:pPr>
          </w:p>
        </w:tc>
      </w:tr>
      <w:tr w14:paraId="58B1ACE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223AEABF">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F537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BB1501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E76586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25D22F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B47AE7C">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1F20ABC">
            <w:pPr>
              <w:widowControl/>
              <w:spacing w:line="240" w:lineRule="exact"/>
              <w:jc w:val="left"/>
              <w:textAlignment w:val="center"/>
              <w:rPr>
                <w:rFonts w:ascii="宋体" w:hAnsi="宋体" w:eastAsia="宋体" w:cs="宋体"/>
                <w:color w:val="000000"/>
                <w:kern w:val="0"/>
                <w:sz w:val="24"/>
              </w:rPr>
            </w:pPr>
          </w:p>
        </w:tc>
      </w:tr>
      <w:tr w14:paraId="0BC9403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28B7829">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76A6CAE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EE5866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DBFBC6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FBC038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BB66B3C">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D4E6176">
            <w:pPr>
              <w:widowControl/>
              <w:spacing w:line="240" w:lineRule="exact"/>
              <w:jc w:val="left"/>
              <w:textAlignment w:val="center"/>
              <w:rPr>
                <w:rFonts w:ascii="宋体" w:hAnsi="宋体" w:eastAsia="宋体" w:cs="宋体"/>
                <w:color w:val="000000"/>
                <w:kern w:val="0"/>
                <w:sz w:val="24"/>
              </w:rPr>
            </w:pPr>
          </w:p>
        </w:tc>
      </w:tr>
      <w:tr w14:paraId="4BAE585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76A88A6">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2BD72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D69D0F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500948D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192FB1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867B16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C971B1E">
            <w:pPr>
              <w:widowControl/>
              <w:spacing w:line="240" w:lineRule="exact"/>
              <w:jc w:val="left"/>
              <w:textAlignment w:val="center"/>
              <w:rPr>
                <w:rFonts w:ascii="宋体" w:hAnsi="宋体" w:eastAsia="宋体" w:cs="宋体"/>
                <w:color w:val="000000"/>
                <w:kern w:val="0"/>
                <w:sz w:val="24"/>
              </w:rPr>
            </w:pPr>
          </w:p>
        </w:tc>
      </w:tr>
      <w:tr w14:paraId="3C9F7C9A">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noWrap w:val="0"/>
            <w:vAlign w:val="center"/>
          </w:tcPr>
          <w:p w14:paraId="08746D1F">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F3F8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4E5F50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119702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D57A06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B14A2B4">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3AEDFFE">
            <w:pPr>
              <w:widowControl/>
              <w:spacing w:line="240" w:lineRule="exact"/>
              <w:jc w:val="left"/>
              <w:textAlignment w:val="center"/>
              <w:rPr>
                <w:rFonts w:ascii="宋体" w:hAnsi="宋体" w:eastAsia="宋体" w:cs="宋体"/>
                <w:color w:val="000000"/>
                <w:kern w:val="0"/>
                <w:sz w:val="24"/>
              </w:rPr>
            </w:pPr>
          </w:p>
        </w:tc>
      </w:tr>
      <w:tr w14:paraId="2447F661">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5E36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noWrap w:val="0"/>
            <w:vAlign w:val="center"/>
          </w:tcPr>
          <w:p w14:paraId="303A6E7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CE522C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21E8DF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9503AB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7ADBDA6">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56FC610">
            <w:pPr>
              <w:widowControl/>
              <w:spacing w:line="240" w:lineRule="exact"/>
              <w:jc w:val="left"/>
              <w:textAlignment w:val="center"/>
              <w:rPr>
                <w:rFonts w:ascii="宋体" w:hAnsi="宋体" w:eastAsia="宋体" w:cs="宋体"/>
                <w:color w:val="000000"/>
                <w:kern w:val="0"/>
                <w:sz w:val="24"/>
              </w:rPr>
            </w:pPr>
          </w:p>
        </w:tc>
      </w:tr>
      <w:tr w14:paraId="34A40DC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13EE2">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05C1479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2DCF37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84034A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8290E5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6C8597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F00DF60">
            <w:pPr>
              <w:widowControl/>
              <w:spacing w:line="240" w:lineRule="exact"/>
              <w:jc w:val="left"/>
              <w:textAlignment w:val="center"/>
              <w:rPr>
                <w:rFonts w:ascii="宋体" w:hAnsi="宋体" w:eastAsia="宋体" w:cs="宋体"/>
                <w:color w:val="000000"/>
                <w:kern w:val="0"/>
                <w:sz w:val="24"/>
              </w:rPr>
            </w:pPr>
          </w:p>
        </w:tc>
      </w:tr>
      <w:tr w14:paraId="4C7B89E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50E83">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653704C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BE6A8C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508510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3BB6AF5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1768D9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B71B052">
            <w:pPr>
              <w:widowControl/>
              <w:spacing w:line="240" w:lineRule="exact"/>
              <w:jc w:val="left"/>
              <w:textAlignment w:val="center"/>
              <w:rPr>
                <w:rFonts w:ascii="宋体" w:hAnsi="宋体" w:eastAsia="宋体" w:cs="宋体"/>
                <w:color w:val="000000"/>
                <w:kern w:val="0"/>
                <w:sz w:val="24"/>
              </w:rPr>
            </w:pPr>
          </w:p>
        </w:tc>
      </w:tr>
      <w:tr w14:paraId="587F304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12AB4">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noWrap w:val="0"/>
            <w:vAlign w:val="center"/>
          </w:tcPr>
          <w:p w14:paraId="560967C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6698D0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DF5018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F79670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14B5F69">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E9A1001">
            <w:pPr>
              <w:widowControl/>
              <w:spacing w:line="240" w:lineRule="exact"/>
              <w:jc w:val="left"/>
              <w:textAlignment w:val="center"/>
              <w:rPr>
                <w:rFonts w:ascii="宋体" w:hAnsi="宋体" w:eastAsia="宋体" w:cs="宋体"/>
                <w:color w:val="000000"/>
                <w:kern w:val="0"/>
                <w:sz w:val="24"/>
              </w:rPr>
            </w:pPr>
          </w:p>
        </w:tc>
      </w:tr>
      <w:tr w14:paraId="297CCCA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3FEEE">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10A494BA">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noWrap w:val="0"/>
            <w:vAlign w:val="center"/>
          </w:tcPr>
          <w:p w14:paraId="0D5EBFB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B376F5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35459BB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5DD008F">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F2A0414">
            <w:pPr>
              <w:widowControl/>
              <w:spacing w:line="240" w:lineRule="exact"/>
              <w:jc w:val="left"/>
              <w:textAlignment w:val="center"/>
              <w:rPr>
                <w:rFonts w:ascii="宋体" w:hAnsi="宋体" w:eastAsia="宋体" w:cs="宋体"/>
                <w:color w:val="000000"/>
                <w:kern w:val="0"/>
                <w:sz w:val="24"/>
              </w:rPr>
            </w:pPr>
          </w:p>
        </w:tc>
      </w:tr>
      <w:tr w14:paraId="46150A2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16373">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3D1DD9E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61F217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9DB97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D72061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867F415">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31B87FA">
            <w:pPr>
              <w:widowControl/>
              <w:spacing w:line="240" w:lineRule="exact"/>
              <w:jc w:val="left"/>
              <w:textAlignment w:val="center"/>
              <w:rPr>
                <w:rFonts w:ascii="宋体" w:hAnsi="宋体" w:eastAsia="宋体" w:cs="宋体"/>
                <w:color w:val="000000"/>
                <w:kern w:val="0"/>
                <w:sz w:val="24"/>
              </w:rPr>
            </w:pPr>
          </w:p>
        </w:tc>
      </w:tr>
      <w:tr w14:paraId="1BE3859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C9242">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4205C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D167E9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C1F8DB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7CDD382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B1DA058">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FE1C4F6">
            <w:pPr>
              <w:widowControl/>
              <w:spacing w:line="240" w:lineRule="exact"/>
              <w:jc w:val="left"/>
              <w:textAlignment w:val="center"/>
              <w:rPr>
                <w:rFonts w:ascii="宋体" w:hAnsi="宋体" w:eastAsia="宋体" w:cs="宋体"/>
                <w:color w:val="000000"/>
                <w:kern w:val="0"/>
                <w:sz w:val="24"/>
              </w:rPr>
            </w:pPr>
          </w:p>
        </w:tc>
      </w:tr>
      <w:tr w14:paraId="643F56D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3B7BA">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DAEC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33AEF1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BB1B90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6B22B2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1BF6B43">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0B76419">
            <w:pPr>
              <w:widowControl/>
              <w:spacing w:line="240" w:lineRule="exact"/>
              <w:jc w:val="left"/>
              <w:textAlignment w:val="center"/>
              <w:rPr>
                <w:rFonts w:ascii="宋体" w:hAnsi="宋体" w:eastAsia="宋体" w:cs="宋体"/>
                <w:color w:val="000000"/>
                <w:kern w:val="0"/>
                <w:sz w:val="24"/>
              </w:rPr>
            </w:pPr>
          </w:p>
        </w:tc>
      </w:tr>
      <w:tr w14:paraId="74DD2C2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DCA35">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32884B">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666654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EEDFA5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7FC055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50E035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E84252B">
            <w:pPr>
              <w:widowControl/>
              <w:spacing w:line="240" w:lineRule="exact"/>
              <w:jc w:val="left"/>
              <w:textAlignment w:val="center"/>
              <w:rPr>
                <w:rFonts w:ascii="宋体" w:hAnsi="宋体" w:eastAsia="宋体" w:cs="宋体"/>
                <w:color w:val="000000"/>
                <w:kern w:val="0"/>
                <w:sz w:val="24"/>
              </w:rPr>
            </w:pPr>
          </w:p>
        </w:tc>
      </w:tr>
      <w:tr w14:paraId="0368FDBF">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noWrap w:val="0"/>
            <w:vAlign w:val="center"/>
          </w:tcPr>
          <w:p w14:paraId="1B67CB9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noWrap w:val="0"/>
            <w:vAlign w:val="center"/>
          </w:tcPr>
          <w:p w14:paraId="6C98C32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0385D3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37B290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24CB267">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5298F41">
            <w:pPr>
              <w:widowControl/>
              <w:spacing w:line="240" w:lineRule="exact"/>
              <w:jc w:val="left"/>
              <w:textAlignment w:val="center"/>
              <w:rPr>
                <w:rFonts w:ascii="宋体" w:hAnsi="宋体" w:eastAsia="宋体" w:cs="宋体"/>
                <w:color w:val="000000"/>
                <w:kern w:val="0"/>
                <w:sz w:val="24"/>
              </w:rPr>
            </w:pPr>
          </w:p>
        </w:tc>
      </w:tr>
    </w:tbl>
    <w:p w14:paraId="2B77B3AC">
      <w:pPr>
        <w:keepNext/>
        <w:keepLines/>
        <w:widowControl w:val="0"/>
        <w:spacing w:before="280" w:after="156" w:line="20" w:lineRule="exact"/>
        <w:outlineLvl w:val="4"/>
        <w:rPr>
          <w:rFonts w:ascii="Arial" w:hAnsi="Arial" w:eastAsia="黑体" w:cs="Times New Roman"/>
          <w:b/>
          <w:kern w:val="2"/>
          <w:sz w:val="24"/>
          <w:szCs w:val="28"/>
          <w:lang w:val="en-US" w:eastAsia="zh-CN" w:bidi="ar-SA"/>
        </w:rPr>
      </w:pPr>
    </w:p>
    <w:p w14:paraId="2347A1FA">
      <w:pPr>
        <w:spacing w:line="20" w:lineRule="exact"/>
        <w:rPr>
          <w:rFonts w:ascii="Times New Roman" w:hAnsi="Times New Roman" w:eastAsia="黑体" w:cs="Times New Roman"/>
          <w:sz w:val="32"/>
        </w:rPr>
      </w:pPr>
      <w:r>
        <w:rPr>
          <w:rFonts w:ascii="Times New Roman" w:hAnsi="Times New Roman" w:eastAsia="黑体" w:cs="Times New Roman"/>
          <w:sz w:val="32"/>
        </w:rPr>
        <w:br w:type="page"/>
      </w:r>
    </w:p>
    <w:p w14:paraId="3ED400A8">
      <w:pPr>
        <w:spacing w:line="578" w:lineRule="exact"/>
        <w:jc w:val="left"/>
        <w:rPr>
          <w:rFonts w:ascii="Times New Roman" w:hAnsi="Times New Roman" w:eastAsia="黑体" w:cs="Times New Roman"/>
          <w:sz w:val="32"/>
        </w:rPr>
      </w:pPr>
      <w:r>
        <w:rPr>
          <w:rFonts w:ascii="Times New Roman" w:hAnsi="Times New Roman" w:eastAsia="黑体" w:cs="Times New Roman"/>
          <w:sz w:val="32"/>
        </w:rPr>
        <w:t>附表</w:t>
      </w:r>
      <w:r>
        <w:rPr>
          <w:rFonts w:hint="eastAsia" w:ascii="Times New Roman" w:hAnsi="Times New Roman" w:eastAsia="黑体" w:cs="Times New Roman"/>
          <w:sz w:val="32"/>
        </w:rPr>
        <w:t>2</w:t>
      </w:r>
    </w:p>
    <w:p w14:paraId="65FDB77C">
      <w:pPr>
        <w:widowControl/>
        <w:spacing w:line="578" w:lineRule="exact"/>
        <w:jc w:val="center"/>
        <w:textAlignment w:val="center"/>
        <w:rPr>
          <w:rFonts w:ascii="Times New Roman" w:hAnsi="Times New Roman" w:eastAsia="方正小标宋简体" w:cs="Times New Roman"/>
          <w:color w:val="000000"/>
          <w:kern w:val="0"/>
          <w:sz w:val="44"/>
          <w:szCs w:val="44"/>
        </w:rPr>
      </w:pPr>
      <w:r>
        <w:rPr>
          <w:rFonts w:ascii="Times New Roman" w:hAnsi="Times New Roman" w:eastAsia="方正小标宋简体" w:cs="Times New Roman"/>
          <w:color w:val="000000"/>
          <w:kern w:val="0"/>
          <w:sz w:val="44"/>
          <w:szCs w:val="44"/>
        </w:rPr>
        <w:t>部门整体</w:t>
      </w:r>
      <w:r>
        <w:rPr>
          <w:rFonts w:hint="eastAsia" w:ascii="Times New Roman" w:hAnsi="Times New Roman" w:eastAsia="方正小标宋简体" w:cs="Times New Roman"/>
          <w:color w:val="000000"/>
          <w:kern w:val="0"/>
          <w:sz w:val="44"/>
          <w:szCs w:val="44"/>
        </w:rPr>
        <w:t>支出</w:t>
      </w:r>
      <w:r>
        <w:rPr>
          <w:rFonts w:ascii="Times New Roman" w:hAnsi="Times New Roman" w:eastAsia="方正小标宋简体" w:cs="Times New Roman"/>
          <w:color w:val="000000"/>
          <w:kern w:val="0"/>
          <w:sz w:val="44"/>
          <w:szCs w:val="44"/>
        </w:rPr>
        <w:t>绩效目标完成情况自评表</w:t>
      </w:r>
    </w:p>
    <w:tbl>
      <w:tblPr>
        <w:tblStyle w:val="15"/>
        <w:tblW w:w="9805" w:type="dxa"/>
        <w:jc w:val="center"/>
        <w:tblLayout w:type="fixed"/>
        <w:tblCellMar>
          <w:top w:w="0" w:type="dxa"/>
          <w:left w:w="108" w:type="dxa"/>
          <w:bottom w:w="0" w:type="dxa"/>
          <w:right w:w="108" w:type="dxa"/>
        </w:tblCellMar>
      </w:tblPr>
      <w:tblGrid>
        <w:gridCol w:w="331"/>
        <w:gridCol w:w="593"/>
        <w:gridCol w:w="803"/>
        <w:gridCol w:w="1246"/>
        <w:gridCol w:w="1094"/>
        <w:gridCol w:w="1088"/>
        <w:gridCol w:w="975"/>
        <w:gridCol w:w="1075"/>
        <w:gridCol w:w="1087"/>
        <w:gridCol w:w="1513"/>
      </w:tblGrid>
      <w:tr w14:paraId="15287E64">
        <w:tblPrEx>
          <w:tblCellMar>
            <w:top w:w="0" w:type="dxa"/>
            <w:left w:w="108" w:type="dxa"/>
            <w:bottom w:w="0" w:type="dxa"/>
            <w:right w:w="108" w:type="dxa"/>
          </w:tblCellMar>
        </w:tblPrEx>
        <w:trPr>
          <w:trHeight w:val="60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6D8CECFE">
            <w:pPr>
              <w:rPr>
                <w:rFonts w:ascii="宋体" w:hAnsi="宋体" w:eastAsia="宋体" w:cs="宋体"/>
                <w:color w:val="000000"/>
                <w:kern w:val="0"/>
                <w:sz w:val="24"/>
              </w:rPr>
            </w:pPr>
            <w:r>
              <w:rPr>
                <w:rFonts w:ascii="Times New Roman" w:hAnsi="Times New Roman" w:eastAsia="黑体" w:cs="Times New Roman"/>
                <w:sz w:val="24"/>
              </w:rPr>
              <w:br w:type="page"/>
            </w:r>
            <w:r>
              <w:rPr>
                <w:rFonts w:hint="eastAsia" w:ascii="宋体" w:hAnsi="宋体" w:eastAsia="宋体" w:cs="宋体"/>
                <w:color w:val="000000"/>
                <w:kern w:val="0"/>
                <w:sz w:val="24"/>
              </w:rPr>
              <w:t>部门名称</w:t>
            </w:r>
          </w:p>
        </w:tc>
        <w:tc>
          <w:tcPr>
            <w:tcW w:w="8078" w:type="dxa"/>
            <w:gridSpan w:val="7"/>
            <w:tcBorders>
              <w:top w:val="single" w:color="000000" w:sz="4" w:space="0"/>
              <w:left w:val="single" w:color="000000" w:sz="4" w:space="0"/>
              <w:bottom w:val="single" w:color="000000" w:sz="4" w:space="0"/>
              <w:right w:val="single" w:color="000000" w:sz="4" w:space="0"/>
            </w:tcBorders>
            <w:noWrap/>
            <w:vAlign w:val="center"/>
          </w:tcPr>
          <w:p w14:paraId="32394212">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eastAsia="zh-CN"/>
              </w:rPr>
              <w:t>自然资源局</w:t>
            </w:r>
          </w:p>
        </w:tc>
      </w:tr>
      <w:tr w14:paraId="7C9D9E44">
        <w:tblPrEx>
          <w:tblCellMar>
            <w:top w:w="0" w:type="dxa"/>
            <w:left w:w="108" w:type="dxa"/>
            <w:bottom w:w="0" w:type="dxa"/>
            <w:right w:w="108" w:type="dxa"/>
          </w:tblCellMar>
        </w:tblPrEx>
        <w:trPr>
          <w:trHeight w:val="50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E2180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340" w:type="dxa"/>
            <w:gridSpan w:val="2"/>
            <w:tcBorders>
              <w:top w:val="single" w:color="000000" w:sz="4" w:space="0"/>
              <w:left w:val="single" w:color="auto" w:sz="4" w:space="0"/>
              <w:bottom w:val="single" w:color="000000" w:sz="4" w:space="0"/>
              <w:right w:val="single" w:color="auto" w:sz="4" w:space="0"/>
            </w:tcBorders>
            <w:noWrap/>
            <w:vAlign w:val="center"/>
          </w:tcPr>
          <w:p w14:paraId="6D31B29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2063" w:type="dxa"/>
            <w:gridSpan w:val="2"/>
            <w:tcBorders>
              <w:top w:val="single" w:color="auto" w:sz="4" w:space="0"/>
              <w:left w:val="single" w:color="auto" w:sz="4" w:space="0"/>
              <w:bottom w:val="single" w:color="auto" w:sz="4" w:space="0"/>
              <w:right w:val="single" w:color="auto" w:sz="4" w:space="0"/>
            </w:tcBorders>
            <w:noWrap/>
            <w:vAlign w:val="center"/>
          </w:tcPr>
          <w:p w14:paraId="3E7BA3D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3675" w:type="dxa"/>
            <w:gridSpan w:val="3"/>
            <w:tcBorders>
              <w:top w:val="single" w:color="auto" w:sz="4" w:space="0"/>
              <w:left w:val="single" w:color="auto" w:sz="4" w:space="0"/>
              <w:bottom w:val="single" w:color="auto" w:sz="4" w:space="0"/>
              <w:right w:val="single" w:color="auto" w:sz="4" w:space="0"/>
            </w:tcBorders>
            <w:noWrap/>
            <w:vAlign w:val="center"/>
          </w:tcPr>
          <w:p w14:paraId="650A02A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3B4BACD5">
        <w:tblPrEx>
          <w:tblCellMar>
            <w:top w:w="0" w:type="dxa"/>
            <w:left w:w="108" w:type="dxa"/>
            <w:bottom w:w="0" w:type="dxa"/>
            <w:right w:w="108" w:type="dxa"/>
          </w:tblCellMar>
        </w:tblPrEx>
        <w:trPr>
          <w:trHeight w:val="40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A5D50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340" w:type="dxa"/>
            <w:gridSpan w:val="2"/>
            <w:tcBorders>
              <w:top w:val="single" w:color="000000" w:sz="4" w:space="0"/>
              <w:left w:val="single" w:color="auto" w:sz="4" w:space="0"/>
              <w:bottom w:val="single" w:color="000000" w:sz="4" w:space="0"/>
              <w:right w:val="single" w:color="auto" w:sz="4" w:space="0"/>
            </w:tcBorders>
            <w:noWrap/>
            <w:vAlign w:val="center"/>
          </w:tcPr>
          <w:p w14:paraId="7753DC73">
            <w:pPr>
              <w:widowControl/>
              <w:spacing w:line="240" w:lineRule="exact"/>
              <w:jc w:val="center"/>
              <w:textAlignment w:val="center"/>
              <w:rPr>
                <w:rFonts w:ascii="宋体" w:hAnsi="宋体" w:eastAsia="宋体" w:cs="宋体"/>
                <w:color w:val="000000"/>
                <w:kern w:val="0"/>
                <w:sz w:val="28"/>
                <w:szCs w:val="28"/>
              </w:rPr>
            </w:pPr>
            <w:r>
              <w:rPr>
                <w:rFonts w:hint="eastAsia" w:ascii="仿宋_GB2312" w:hAnsi="仿宋_GB2312" w:eastAsia="仿宋_GB2312" w:cs="仿宋_GB2312"/>
                <w:color w:val="000000"/>
                <w:kern w:val="0"/>
                <w:sz w:val="28"/>
                <w:szCs w:val="28"/>
                <w:lang w:val="en-US" w:eastAsia="zh-CN"/>
              </w:rPr>
              <w:t>1830.16</w:t>
            </w:r>
          </w:p>
        </w:tc>
        <w:tc>
          <w:tcPr>
            <w:tcW w:w="2063" w:type="dxa"/>
            <w:gridSpan w:val="2"/>
            <w:tcBorders>
              <w:top w:val="single" w:color="auto" w:sz="4" w:space="0"/>
              <w:left w:val="single" w:color="auto" w:sz="4" w:space="0"/>
              <w:bottom w:val="single" w:color="auto" w:sz="4" w:space="0"/>
              <w:right w:val="single" w:color="auto" w:sz="4" w:space="0"/>
            </w:tcBorders>
            <w:noWrap/>
            <w:vAlign w:val="center"/>
          </w:tcPr>
          <w:p w14:paraId="7B77D86C">
            <w:pPr>
              <w:widowControl/>
              <w:spacing w:line="240" w:lineRule="exact"/>
              <w:jc w:val="center"/>
              <w:textAlignment w:val="center"/>
              <w:rPr>
                <w:rFonts w:ascii="宋体" w:hAnsi="宋体" w:eastAsia="宋体" w:cs="宋体"/>
                <w:color w:val="auto"/>
                <w:kern w:val="0"/>
                <w:sz w:val="24"/>
              </w:rPr>
            </w:pPr>
            <w:r>
              <w:rPr>
                <w:rFonts w:hint="eastAsia" w:ascii="仿宋_GB2312" w:hAnsi="仿宋_GB2312" w:eastAsia="仿宋_GB2312" w:cs="仿宋_GB2312"/>
                <w:color w:val="000000"/>
                <w:kern w:val="2"/>
                <w:sz w:val="28"/>
                <w:szCs w:val="28"/>
                <w:lang w:val="en-US" w:eastAsia="zh-CN"/>
              </w:rPr>
              <w:t>1830.16</w:t>
            </w:r>
          </w:p>
        </w:tc>
        <w:tc>
          <w:tcPr>
            <w:tcW w:w="3675" w:type="dxa"/>
            <w:gridSpan w:val="3"/>
            <w:tcBorders>
              <w:top w:val="single" w:color="auto" w:sz="4" w:space="0"/>
              <w:left w:val="single" w:color="auto" w:sz="4" w:space="0"/>
              <w:bottom w:val="single" w:color="auto" w:sz="4" w:space="0"/>
              <w:right w:val="single" w:color="auto" w:sz="4" w:space="0"/>
            </w:tcBorders>
            <w:noWrap/>
            <w:vAlign w:val="center"/>
          </w:tcPr>
          <w:p w14:paraId="4E5FAD92">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14:paraId="7D9EE71C">
        <w:tblPrEx>
          <w:tblCellMar>
            <w:top w:w="0" w:type="dxa"/>
            <w:left w:w="108" w:type="dxa"/>
            <w:bottom w:w="0" w:type="dxa"/>
            <w:right w:w="108" w:type="dxa"/>
          </w:tblCellMar>
        </w:tblPrEx>
        <w:trPr>
          <w:trHeight w:val="43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9A6B0D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340" w:type="dxa"/>
            <w:gridSpan w:val="2"/>
            <w:tcBorders>
              <w:top w:val="single" w:color="000000" w:sz="4" w:space="0"/>
              <w:left w:val="single" w:color="auto" w:sz="4" w:space="0"/>
              <w:bottom w:val="single" w:color="000000" w:sz="4" w:space="0"/>
              <w:right w:val="single" w:color="000000" w:sz="4" w:space="0"/>
            </w:tcBorders>
            <w:noWrap/>
            <w:vAlign w:val="center"/>
          </w:tcPr>
          <w:p w14:paraId="60161FEC">
            <w:pPr>
              <w:widowControl/>
              <w:spacing w:line="240" w:lineRule="exact"/>
              <w:jc w:val="center"/>
              <w:textAlignment w:val="center"/>
              <w:rPr>
                <w:rFonts w:ascii="宋体" w:hAnsi="宋体" w:eastAsia="宋体" w:cs="宋体"/>
                <w:color w:val="000000"/>
                <w:kern w:val="0"/>
                <w:sz w:val="24"/>
              </w:rPr>
            </w:pPr>
            <w:r>
              <w:rPr>
                <w:rFonts w:hint="eastAsia" w:ascii="仿宋_GB2312" w:hAnsi="仿宋_GB2312" w:eastAsia="仿宋_GB2312" w:cs="仿宋_GB2312"/>
                <w:color w:val="000000"/>
                <w:kern w:val="2"/>
                <w:sz w:val="28"/>
                <w:szCs w:val="28"/>
                <w:lang w:val="en-US" w:eastAsia="zh-CN"/>
              </w:rPr>
              <w:t>1830.16</w:t>
            </w:r>
          </w:p>
        </w:tc>
        <w:tc>
          <w:tcPr>
            <w:tcW w:w="2063" w:type="dxa"/>
            <w:gridSpan w:val="2"/>
            <w:tcBorders>
              <w:top w:val="single" w:color="auto" w:sz="4" w:space="0"/>
              <w:left w:val="single" w:color="000000" w:sz="4" w:space="0"/>
              <w:bottom w:val="single" w:color="000000" w:sz="4" w:space="0"/>
              <w:right w:val="single" w:color="000000" w:sz="4" w:space="0"/>
            </w:tcBorders>
            <w:noWrap/>
            <w:vAlign w:val="center"/>
          </w:tcPr>
          <w:p w14:paraId="723745E8">
            <w:pPr>
              <w:widowControl/>
              <w:spacing w:line="240" w:lineRule="exact"/>
              <w:jc w:val="center"/>
              <w:textAlignment w:val="center"/>
              <w:rPr>
                <w:rFonts w:ascii="宋体" w:hAnsi="宋体" w:eastAsia="宋体" w:cs="宋体"/>
                <w:color w:val="000000"/>
                <w:kern w:val="0"/>
                <w:sz w:val="24"/>
              </w:rPr>
            </w:pPr>
            <w:r>
              <w:rPr>
                <w:rFonts w:hint="eastAsia" w:ascii="仿宋_GB2312" w:hAnsi="仿宋_GB2312" w:eastAsia="仿宋_GB2312" w:cs="仿宋_GB2312"/>
                <w:color w:val="000000"/>
                <w:kern w:val="2"/>
                <w:sz w:val="28"/>
                <w:szCs w:val="28"/>
                <w:lang w:val="en-US" w:eastAsia="zh-CN"/>
              </w:rPr>
              <w:t>1830.16</w:t>
            </w:r>
          </w:p>
        </w:tc>
        <w:tc>
          <w:tcPr>
            <w:tcW w:w="3675" w:type="dxa"/>
            <w:gridSpan w:val="3"/>
            <w:tcBorders>
              <w:top w:val="single" w:color="auto" w:sz="4" w:space="0"/>
              <w:left w:val="single" w:color="000000" w:sz="4" w:space="0"/>
              <w:bottom w:val="single" w:color="000000" w:sz="4" w:space="0"/>
              <w:right w:val="single" w:color="000000" w:sz="4" w:space="0"/>
            </w:tcBorders>
            <w:noWrap/>
            <w:vAlign w:val="center"/>
          </w:tcPr>
          <w:p w14:paraId="0244DAD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47CC22D8">
        <w:tblPrEx>
          <w:tblCellMar>
            <w:top w:w="0" w:type="dxa"/>
            <w:left w:w="108" w:type="dxa"/>
            <w:bottom w:w="0" w:type="dxa"/>
            <w:right w:w="108" w:type="dxa"/>
          </w:tblCellMar>
        </w:tblPrEx>
        <w:trPr>
          <w:trHeight w:val="9400"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2601E5E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8078" w:type="dxa"/>
            <w:gridSpan w:val="7"/>
            <w:tcBorders>
              <w:top w:val="single" w:color="000000" w:sz="4" w:space="0"/>
              <w:left w:val="single" w:color="000000" w:sz="4" w:space="0"/>
              <w:bottom w:val="single" w:color="000000" w:sz="4" w:space="0"/>
              <w:right w:val="single" w:color="000000" w:sz="4" w:space="0"/>
            </w:tcBorders>
            <w:noWrap/>
            <w:vAlign w:val="center"/>
          </w:tcPr>
          <w:p w14:paraId="3B2C1EBA">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负责单位正常运行;组织拟订全州自然资源和国</w:t>
            </w:r>
            <w:r>
              <w:rPr>
                <w:rFonts w:hint="eastAsia" w:ascii="宋体" w:hAnsi="宋体" w:eastAsia="宋体" w:cs="宋体"/>
                <w:color w:val="auto"/>
                <w:kern w:val="0"/>
                <w:sz w:val="24"/>
              </w:rPr>
              <w:t>土空间规划有关</w:t>
            </w:r>
            <w:r>
              <w:rPr>
                <w:rFonts w:hint="eastAsia" w:ascii="宋体" w:hAnsi="宋体" w:eastAsia="宋体" w:cs="宋体"/>
                <w:color w:val="auto"/>
                <w:kern w:val="0"/>
                <w:sz w:val="24"/>
                <w:lang w:val="en-US" w:eastAsia="zh-CN"/>
              </w:rPr>
              <w:t>制度</w:t>
            </w:r>
            <w:r>
              <w:rPr>
                <w:rFonts w:hint="eastAsia" w:ascii="宋体" w:hAnsi="宋体" w:eastAsia="宋体" w:cs="宋体"/>
                <w:color w:val="auto"/>
                <w:kern w:val="0"/>
                <w:sz w:val="24"/>
              </w:rPr>
              <w:t>规章草案，制定有关政策措施并监督检查执行情况;依照自然资源调查监测评价的指标体系和统计标准，贯彻执行统一规范的自然资源调查监测评价制度。实施自然资源基础调查、专项调查和监测。负责自然资源调查监测评价成果的监督管理和信息发布。指导县（市）自然资源调查监测评价工作;组织实施各类自然资源和不动产统一确权登记、权籍调查、不动产测绘、争议调处、成果应用的制度、标准、规范。建立健全全州自然资源和不动产登记信息管理基础平台。负责自然资源和不动产登记资料收集、整理、共享、汇交管理等。指导监督自然资源和不动产确权登记工作。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筹的政策措施;开展国土空间开发适宜性评价，建立国土空间规划实施监测、评估和预警体系。组织划定生态保护红线、永久基本农田、城镇开发边界等控制线，构建节约资源和保护环境的生产、生活、生态空间布局。建立健全</w:t>
            </w:r>
            <w:r>
              <w:rPr>
                <w:rFonts w:hint="eastAsia" w:ascii="宋体" w:hAnsi="宋体" w:eastAsia="宋体" w:cs="宋体"/>
                <w:color w:val="auto"/>
                <w:kern w:val="0"/>
                <w:sz w:val="24"/>
                <w:lang w:val="en-US" w:eastAsia="zh-CN"/>
              </w:rPr>
              <w:t>州</w:t>
            </w:r>
            <w:r>
              <w:rPr>
                <w:rFonts w:hint="eastAsia" w:ascii="宋体" w:hAnsi="宋体" w:eastAsia="宋体" w:cs="宋体"/>
                <w:color w:val="auto"/>
                <w:kern w:val="0"/>
                <w:sz w:val="24"/>
              </w:rPr>
              <w:t>国土空间用途管制制度，研究拟订城乡规划政策并监督实施。组织拟订</w:t>
            </w:r>
            <w:r>
              <w:rPr>
                <w:rFonts w:hint="eastAsia" w:ascii="宋体" w:hAnsi="宋体" w:eastAsia="宋体" w:cs="宋体"/>
                <w:color w:val="auto"/>
                <w:kern w:val="0"/>
                <w:sz w:val="24"/>
                <w:lang w:val="en-US" w:eastAsia="zh-CN"/>
              </w:rPr>
              <w:t>并实施土地等自</w:t>
            </w:r>
            <w:r>
              <w:rPr>
                <w:rFonts w:hint="eastAsia" w:ascii="宋体" w:hAnsi="宋体" w:eastAsia="宋体" w:cs="宋体"/>
                <w:color w:val="auto"/>
                <w:kern w:val="0"/>
                <w:sz w:val="24"/>
              </w:rPr>
              <w:t>然资源年度利用计划。负责土地等国土空间用途转用工作。负责土地征收征用管理;牵头组织编制全州国土空间生态修复规划并实施有关生态修复重大工程。负责开</w:t>
            </w:r>
            <w:r>
              <w:rPr>
                <w:rFonts w:hint="eastAsia" w:ascii="宋体" w:hAnsi="宋体" w:eastAsia="宋体" w:cs="宋体"/>
                <w:color w:val="000000"/>
                <w:kern w:val="0"/>
                <w:sz w:val="24"/>
              </w:rPr>
              <w:t>展国土空间综合整治、土地整理复垦、矿山地质环境恢复治理等工作。牵头建立和实施生态保护补偿制度，制定合理利用社会资金进行生态修复的政策措施，提出重大备选项目;牵头拟订并实施全州耕地保护政策，负责耕地数量、质量、生态保护。组织实施耕地保护责任目标考核和永久基本农田特殊保护;拟订全州地质勘查规划并监督检查执行情况。管理州级地质勘查项目。组织实施重大地质矿产勘查专项。负责地质灾害预防和治理，监督管理地下水过量开采及引发的地面沉降等地质问题。负责古生物化石的监督管理;组织、指导、协调和监督地质灾害调查评价及隐患的普查、详查、排查。组织、指导开展群测群防、专业监测和预报预警等工作，组织、指导开展地质灾害工程治理工作。承担地质灾害应急救援的技术保障工作;负责矿产资源查明、占用储量的核实、登记、备案;负责压覆矿产资源核实工作。负责矿业权管理。会同有关部门承担保护性开采的特定矿种、优势矿产的调控及相关管理工作。监督指导矿产资源合理利用和保护;负责基础测绘地理信息工作的统一监督管理，负责全州测绘单位的测绘资格审查、测绘工作证件、测绘任务登记管理，指导测量标志的管理和保护，管理全州各级行政区域测绘工作</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其他自然资源事务</w:t>
            </w:r>
            <w:r>
              <w:rPr>
                <w:rFonts w:hint="eastAsia" w:ascii="宋体" w:hAnsi="宋体" w:eastAsia="宋体" w:cs="宋体"/>
                <w:color w:val="000000"/>
                <w:kern w:val="0"/>
                <w:sz w:val="24"/>
                <w:lang w:eastAsia="zh-CN"/>
              </w:rPr>
              <w:t>。</w:t>
            </w:r>
          </w:p>
        </w:tc>
      </w:tr>
      <w:tr w14:paraId="1D4A5E99">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70B74B3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C5C955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0905684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7D099C0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1094" w:type="dxa"/>
            <w:vMerge w:val="restart"/>
            <w:tcBorders>
              <w:top w:val="single" w:color="000000" w:sz="4" w:space="0"/>
              <w:left w:val="single" w:color="000000" w:sz="4" w:space="0"/>
              <w:bottom w:val="single" w:color="000000" w:sz="4" w:space="0"/>
              <w:right w:val="single" w:color="000000" w:sz="4" w:space="0"/>
            </w:tcBorders>
            <w:noWrap/>
            <w:vAlign w:val="center"/>
          </w:tcPr>
          <w:p w14:paraId="4AEBFA6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4225" w:type="dxa"/>
            <w:gridSpan w:val="4"/>
            <w:tcBorders>
              <w:top w:val="single" w:color="000000" w:sz="4" w:space="0"/>
              <w:left w:val="single" w:color="000000" w:sz="4" w:space="0"/>
              <w:bottom w:val="single" w:color="000000" w:sz="4" w:space="0"/>
              <w:right w:val="single" w:color="000000" w:sz="4" w:space="0"/>
            </w:tcBorders>
            <w:noWrap/>
            <w:vAlign w:val="center"/>
          </w:tcPr>
          <w:p w14:paraId="3ED9B6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513" w:type="dxa"/>
            <w:vMerge w:val="restart"/>
            <w:tcBorders>
              <w:top w:val="single" w:color="000000" w:sz="4" w:space="0"/>
              <w:left w:val="single" w:color="000000" w:sz="4" w:space="0"/>
              <w:right w:val="single" w:color="000000" w:sz="4" w:space="0"/>
            </w:tcBorders>
            <w:noWrap/>
            <w:vAlign w:val="center"/>
          </w:tcPr>
          <w:p w14:paraId="2B3EA9D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4363FC2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33BBD2A">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4405B14">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FD9F310">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55390DE4">
            <w:pPr>
              <w:widowControl/>
              <w:spacing w:line="240" w:lineRule="exact"/>
              <w:jc w:val="center"/>
              <w:textAlignment w:val="center"/>
              <w:rPr>
                <w:rFonts w:ascii="宋体" w:hAnsi="宋体" w:eastAsia="宋体" w:cs="宋体"/>
                <w:color w:val="000000"/>
                <w:kern w:val="0"/>
                <w:sz w:val="24"/>
              </w:rPr>
            </w:pPr>
          </w:p>
        </w:tc>
        <w:tc>
          <w:tcPr>
            <w:tcW w:w="1094" w:type="dxa"/>
            <w:vMerge w:val="continue"/>
            <w:tcBorders>
              <w:top w:val="single" w:color="000000" w:sz="4" w:space="0"/>
              <w:left w:val="single" w:color="000000" w:sz="4" w:space="0"/>
              <w:bottom w:val="single" w:color="000000" w:sz="4" w:space="0"/>
              <w:right w:val="single" w:color="000000" w:sz="4" w:space="0"/>
            </w:tcBorders>
            <w:noWrap/>
            <w:vAlign w:val="center"/>
          </w:tcPr>
          <w:p w14:paraId="3ABD4138">
            <w:pPr>
              <w:widowControl/>
              <w:spacing w:line="240" w:lineRule="exact"/>
              <w:jc w:val="center"/>
              <w:textAlignment w:val="center"/>
              <w:rPr>
                <w:rFonts w:ascii="宋体" w:hAnsi="宋体" w:eastAsia="宋体" w:cs="宋体"/>
                <w:color w:val="000000"/>
                <w:kern w:val="0"/>
                <w:sz w:val="24"/>
              </w:rPr>
            </w:pPr>
          </w:p>
        </w:tc>
        <w:tc>
          <w:tcPr>
            <w:tcW w:w="1088" w:type="dxa"/>
            <w:tcBorders>
              <w:top w:val="single" w:color="000000" w:sz="4" w:space="0"/>
              <w:left w:val="single" w:color="000000" w:sz="4" w:space="0"/>
              <w:right w:val="single" w:color="000000" w:sz="4" w:space="0"/>
            </w:tcBorders>
            <w:noWrap/>
            <w:vAlign w:val="center"/>
          </w:tcPr>
          <w:p w14:paraId="17B78C7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609C23F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65448E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7AD3101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4766E4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513" w:type="dxa"/>
            <w:vMerge w:val="continue"/>
            <w:tcBorders>
              <w:left w:val="single" w:color="000000" w:sz="4" w:space="0"/>
              <w:right w:val="single" w:color="000000" w:sz="4" w:space="0"/>
            </w:tcBorders>
            <w:noWrap/>
            <w:vAlign w:val="center"/>
          </w:tcPr>
          <w:p w14:paraId="5194BE69">
            <w:pPr>
              <w:widowControl/>
              <w:spacing w:line="240" w:lineRule="exact"/>
              <w:jc w:val="center"/>
              <w:textAlignment w:val="center"/>
              <w:rPr>
                <w:rFonts w:ascii="宋体" w:hAnsi="宋体" w:eastAsia="宋体" w:cs="宋体"/>
                <w:color w:val="000000"/>
                <w:kern w:val="0"/>
                <w:sz w:val="24"/>
              </w:rPr>
            </w:pPr>
          </w:p>
        </w:tc>
      </w:tr>
      <w:tr w14:paraId="63C85B4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CB3D1B9">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237D9C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35F308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D7C71B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77FC77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142.48</w:t>
            </w:r>
            <w:r>
              <w:rPr>
                <w:rFonts w:hint="eastAsia"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010C0E8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142.48</w:t>
            </w:r>
            <w:r>
              <w:rPr>
                <w:rFonts w:ascii="宋体" w:hAnsi="宋体" w:eastAsia="宋体" w:cs="宋体"/>
                <w:color w:val="000000"/>
                <w:kern w:val="0"/>
                <w:sz w:val="24"/>
              </w:rPr>
              <w:t>%</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2190EAC">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1.69%</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5F968D5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102.43%</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730DE14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323.33%</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336AEE8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323.33%</w:t>
            </w:r>
          </w:p>
        </w:tc>
      </w:tr>
      <w:tr w14:paraId="03B2961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63A483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A274ECA">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4E32E7C">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AAF60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72DDE20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1.86</w:t>
            </w:r>
            <w:r>
              <w:rPr>
                <w:rFonts w:hint="eastAsia"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2F086CC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1.86%</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6762A3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2.17%</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56C9B06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2246C3C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1.56%</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46354FF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1.56%</w:t>
            </w:r>
          </w:p>
        </w:tc>
      </w:tr>
      <w:tr w14:paraId="5B4AF31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C4DEB5E">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A813605">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329E470">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673CB4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34C084F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205.14</w:t>
            </w:r>
            <w:r>
              <w:rPr>
                <w:rFonts w:ascii="宋体" w:hAnsi="宋体" w:eastAsia="宋体" w:cs="宋体"/>
                <w:color w:val="000000"/>
                <w:kern w:val="0"/>
                <w:sz w:val="24"/>
              </w:rPr>
              <w:t>万元</w:t>
            </w:r>
          </w:p>
        </w:tc>
        <w:tc>
          <w:tcPr>
            <w:tcW w:w="4225" w:type="dxa"/>
            <w:gridSpan w:val="4"/>
            <w:tcBorders>
              <w:top w:val="single" w:color="000000" w:sz="4" w:space="0"/>
              <w:left w:val="single" w:color="000000" w:sz="4" w:space="0"/>
              <w:bottom w:val="single" w:color="000000" w:sz="4" w:space="0"/>
              <w:right w:val="single" w:color="000000" w:sz="4" w:space="0"/>
            </w:tcBorders>
            <w:noWrap/>
            <w:vAlign w:val="center"/>
          </w:tcPr>
          <w:p w14:paraId="243BCCA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7D03405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238.47万元</w:t>
            </w:r>
          </w:p>
        </w:tc>
      </w:tr>
      <w:tr w14:paraId="6AA4319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BAB010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0C2D57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F52EF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63E141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055FD25F">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c>
          <w:tcPr>
            <w:tcW w:w="4225" w:type="dxa"/>
            <w:gridSpan w:val="4"/>
            <w:tcBorders>
              <w:top w:val="single" w:color="000000" w:sz="4" w:space="0"/>
              <w:left w:val="single" w:color="000000" w:sz="4" w:space="0"/>
              <w:bottom w:val="single" w:color="000000" w:sz="4" w:space="0"/>
              <w:right w:val="single" w:color="000000" w:sz="4" w:space="0"/>
            </w:tcBorders>
            <w:noWrap/>
            <w:vAlign w:val="center"/>
          </w:tcPr>
          <w:p w14:paraId="4F1BC9B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028C7B56">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r>
      <w:tr w14:paraId="475DCFB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055B135">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A6C5EC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186323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7F69ED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1A7A2B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20</w:t>
            </w:r>
            <w:r>
              <w:rPr>
                <w:rFonts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396693C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544DD1A">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4C88960B">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235C51E1">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4375F4A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6297F7C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AEB878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9F91FE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AAE30E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0C9633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6A59917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80.75</w:t>
            </w:r>
            <w:r>
              <w:rPr>
                <w:rFonts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43F7FF2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80.75</w:t>
            </w:r>
            <w:r>
              <w:rPr>
                <w:rFonts w:ascii="宋体" w:hAnsi="宋体" w:eastAsia="宋体" w:cs="宋体"/>
                <w:color w:val="000000"/>
                <w:kern w:val="0"/>
                <w:sz w:val="24"/>
              </w:rPr>
              <w:t>%</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A6A610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80.30%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072E4EB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81.05%</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5CFFF4B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80.89%</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268838C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80.89%</w:t>
            </w:r>
          </w:p>
        </w:tc>
      </w:tr>
      <w:tr w14:paraId="54B771B5">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1E59A62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F66585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589950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12C97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1B354A1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71FF0428">
            <w:pPr>
              <w:widowControl/>
              <w:spacing w:line="240" w:lineRule="exact"/>
              <w:jc w:val="center"/>
              <w:textAlignment w:val="center"/>
              <w:rPr>
                <w:rFonts w:ascii="宋体" w:hAnsi="宋体" w:eastAsia="宋体" w:cs="宋体"/>
                <w:color w:val="000000"/>
                <w:kern w:val="0"/>
                <w:sz w:val="24"/>
              </w:rPr>
            </w:pPr>
          </w:p>
        </w:tc>
      </w:tr>
      <w:tr w14:paraId="15D7B48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57D00CE">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03F867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BDAAF7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A78C6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保障公用经费的全部支出</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70CA64B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支出金额≤</w:t>
            </w:r>
            <w:r>
              <w:rPr>
                <w:rFonts w:hint="eastAsia" w:ascii="宋体" w:hAnsi="宋体" w:eastAsia="宋体" w:cs="宋体"/>
                <w:color w:val="000000"/>
                <w:kern w:val="0"/>
                <w:sz w:val="24"/>
                <w:lang w:val="en-US" w:eastAsia="zh-CN"/>
              </w:rPr>
              <w:t>199.32</w:t>
            </w:r>
            <w:r>
              <w:rPr>
                <w:rFonts w:hint="eastAsia" w:ascii="宋体" w:hAnsi="宋体" w:eastAsia="宋体" w:cs="宋体"/>
                <w:color w:val="000000"/>
                <w:kern w:val="0"/>
                <w:sz w:val="24"/>
              </w:rPr>
              <w:t>万元</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7A62737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172.54万元</w:t>
            </w:r>
          </w:p>
        </w:tc>
      </w:tr>
      <w:tr w14:paraId="6C988908">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88ADA8C">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EC78BFE">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3E864A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338FCF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实现人员费用的全额保障</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16078C0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支出金额≤</w:t>
            </w:r>
            <w:r>
              <w:rPr>
                <w:rFonts w:hint="eastAsia" w:ascii="宋体" w:hAnsi="宋体" w:eastAsia="宋体" w:cs="宋体"/>
                <w:color w:val="000000"/>
                <w:kern w:val="0"/>
                <w:sz w:val="24"/>
                <w:lang w:val="en-US" w:eastAsia="zh-CN"/>
              </w:rPr>
              <w:t>1401.38</w:t>
            </w:r>
            <w:r>
              <w:rPr>
                <w:rFonts w:hint="eastAsia" w:ascii="宋体" w:hAnsi="宋体" w:eastAsia="宋体" w:cs="宋体"/>
                <w:color w:val="000000"/>
                <w:kern w:val="0"/>
                <w:sz w:val="24"/>
              </w:rPr>
              <w:t>万元</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04269DC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1490.65万元</w:t>
            </w:r>
          </w:p>
        </w:tc>
      </w:tr>
      <w:tr w14:paraId="40ACCD1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BA9B63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633A24C">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A5404F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31DD17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项目支出进度达到全年目标60%</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196ACFF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支出金额≥</w:t>
            </w:r>
            <w:r>
              <w:rPr>
                <w:rFonts w:hint="eastAsia" w:ascii="宋体" w:hAnsi="宋体" w:eastAsia="宋体" w:cs="宋体"/>
                <w:color w:val="000000"/>
                <w:kern w:val="0"/>
                <w:sz w:val="24"/>
                <w:lang w:val="en-US" w:eastAsia="zh-CN"/>
              </w:rPr>
              <w:t>3578.02</w:t>
            </w:r>
            <w:r>
              <w:rPr>
                <w:rFonts w:hint="eastAsia" w:ascii="宋体" w:hAnsi="宋体" w:eastAsia="宋体" w:cs="宋体"/>
                <w:color w:val="000000"/>
                <w:kern w:val="0"/>
                <w:sz w:val="24"/>
              </w:rPr>
              <w:t>万元</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3BD5F0E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5963.36万元</w:t>
            </w:r>
          </w:p>
        </w:tc>
      </w:tr>
      <w:tr w14:paraId="4AE9E8F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AB0E0B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F36634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E0AF76">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C577303">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年度项目验收合格率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075462EC">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4389FB1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785C47E6">
        <w:tblPrEx>
          <w:tblCellMar>
            <w:top w:w="0" w:type="dxa"/>
            <w:left w:w="108" w:type="dxa"/>
            <w:bottom w:w="0" w:type="dxa"/>
            <w:right w:w="108" w:type="dxa"/>
          </w:tblCellMar>
        </w:tblPrEx>
        <w:trPr>
          <w:trHeight w:val="72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9D63C4F">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BAC5D5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8B2BCC">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DC7E51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地质灾害隐患处置率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4A08DDC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5616012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393D24F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BDF750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C41352C">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EFBEEC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CFC88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设计行业管理指导工作成效</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0C1B3EE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定性 高</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5E065982">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高</w:t>
            </w:r>
          </w:p>
        </w:tc>
      </w:tr>
      <w:tr w14:paraId="4300B0F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70BB8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B216286">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5A31976">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0A353B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地质灾害管理工作成效</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275365D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定性 高</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13FFBB20">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高</w:t>
            </w:r>
          </w:p>
        </w:tc>
      </w:tr>
      <w:tr w14:paraId="377AF7D0">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4E60B4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5D4E476">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74023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经济效益指标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3BDE5A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项目建设及关联支出完成率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782CE52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6ADEFFF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bl>
    <w:p w14:paraId="0AE49961">
      <w:pPr>
        <w:rPr>
          <w:rFonts w:ascii="Times New Roman" w:hAnsi="Times New Roman" w:eastAsia="黑体" w:cs="Times New Roman"/>
          <w:sz w:val="24"/>
        </w:rPr>
      </w:pPr>
    </w:p>
    <w:p w14:paraId="78DB1141">
      <w:pPr>
        <w:rPr>
          <w:rFonts w:ascii="Times New Roman" w:hAnsi="Times New Roman" w:eastAsia="黑体" w:cs="Times New Roman"/>
          <w:sz w:val="32"/>
        </w:rPr>
      </w:pPr>
      <w:r>
        <w:rPr>
          <w:rFonts w:ascii="Times New Roman" w:hAnsi="Times New Roman" w:eastAsia="黑体" w:cs="Times New Roman"/>
          <w:sz w:val="32"/>
        </w:rPr>
        <w:br w:type="page"/>
      </w:r>
    </w:p>
    <w:p w14:paraId="22B30746">
      <w:pPr>
        <w:widowControl w:val="0"/>
        <w:spacing w:after="0" w:line="578" w:lineRule="exact"/>
        <w:ind w:left="0" w:leftChars="0" w:firstLine="0" w:firstLineChars="0"/>
        <w:jc w:val="both"/>
        <w:rPr>
          <w:rFonts w:hint="eastAsia" w:ascii="Times New Roman" w:hAnsi="Times New Roman" w:eastAsia="黑体" w:cs="Times New Roman"/>
          <w:kern w:val="2"/>
          <w:sz w:val="32"/>
          <w:szCs w:val="24"/>
          <w:lang w:val="en-US" w:eastAsia="zh-CN" w:bidi="ar-SA"/>
        </w:rPr>
      </w:pPr>
      <w:r>
        <w:rPr>
          <w:rFonts w:ascii="Times New Roman" w:hAnsi="Times New Roman" w:eastAsia="黑体" w:cs="Times New Roman"/>
          <w:kern w:val="2"/>
          <w:sz w:val="32"/>
          <w:szCs w:val="24"/>
          <w:lang w:val="en-US" w:eastAsia="zh-CN" w:bidi="ar-SA"/>
        </w:rPr>
        <w:t>附表</w:t>
      </w:r>
      <w:r>
        <w:rPr>
          <w:rFonts w:hint="eastAsia" w:ascii="Times New Roman" w:hAnsi="Times New Roman" w:eastAsia="黑体" w:cs="Times New Roman"/>
          <w:kern w:val="2"/>
          <w:sz w:val="32"/>
          <w:szCs w:val="24"/>
          <w:lang w:val="en-US" w:eastAsia="zh-CN" w:bidi="ar-SA"/>
        </w:rPr>
        <w:t>3</w:t>
      </w:r>
    </w:p>
    <w:p w14:paraId="76E8E00A">
      <w:pPr>
        <w:widowControl w:val="0"/>
        <w:spacing w:after="0" w:line="578" w:lineRule="exact"/>
        <w:ind w:left="0" w:leftChars="0" w:firstLine="0" w:firstLineChars="0"/>
        <w:jc w:val="both"/>
        <w:rPr>
          <w:rFonts w:hint="eastAsia" w:ascii="Times New Roman" w:hAnsi="Times New Roman" w:eastAsia="黑体" w:cs="Times New Roman"/>
          <w:kern w:val="2"/>
          <w:sz w:val="32"/>
          <w:szCs w:val="24"/>
          <w:lang w:val="en-US" w:eastAsia="zh-CN" w:bidi="ar-SA"/>
        </w:rPr>
      </w:pPr>
    </w:p>
    <w:p w14:paraId="549857FC">
      <w:pPr>
        <w:widowControl/>
        <w:spacing w:line="578" w:lineRule="exact"/>
        <w:jc w:val="center"/>
        <w:textAlignment w:val="center"/>
        <w:rPr>
          <w:rFonts w:ascii="Times New Roman" w:hAnsi="Times New Roman" w:eastAsia="方正小标宋简体" w:cs="Times New Roman"/>
          <w:color w:val="000000"/>
          <w:kern w:val="0"/>
          <w:sz w:val="44"/>
          <w:szCs w:val="44"/>
        </w:rPr>
      </w:pPr>
      <w:r>
        <w:rPr>
          <w:rFonts w:ascii="Times New Roman" w:hAnsi="Times New Roman" w:eastAsia="方正小标宋简体" w:cs="Times New Roman"/>
          <w:color w:val="000000"/>
          <w:kern w:val="0"/>
          <w:sz w:val="44"/>
          <w:szCs w:val="44"/>
        </w:rPr>
        <w:t>部门预算项目支出绩效评价表</w:t>
      </w:r>
    </w:p>
    <w:p w14:paraId="0526BC5A">
      <w:pPr>
        <w:widowControl/>
        <w:spacing w:line="578" w:lineRule="exact"/>
        <w:jc w:val="center"/>
        <w:textAlignment w:val="center"/>
        <w:rPr>
          <w:rFonts w:ascii="Times New Roman" w:hAnsi="Times New Roman" w:eastAsia="方正小标宋简体" w:cs="Times New Roman"/>
          <w:color w:val="000000"/>
          <w:kern w:val="0"/>
          <w:sz w:val="32"/>
          <w:szCs w:val="32"/>
        </w:rPr>
      </w:pPr>
      <w:r>
        <w:rPr>
          <w:rFonts w:ascii="Times New Roman" w:hAnsi="Times New Roman" w:eastAsia="方正小标宋简体" w:cs="Times New Roman"/>
          <w:color w:val="000000"/>
          <w:kern w:val="0"/>
          <w:sz w:val="32"/>
          <w:szCs w:val="32"/>
        </w:rPr>
        <w:t>（202</w:t>
      </w:r>
      <w:r>
        <w:rPr>
          <w:rFonts w:hint="eastAsia" w:ascii="Times New Roman" w:hAnsi="Times New Roman" w:eastAsia="方正小标宋简体" w:cs="Times New Roman"/>
          <w:color w:val="000000"/>
          <w:kern w:val="0"/>
          <w:sz w:val="32"/>
          <w:szCs w:val="32"/>
        </w:rPr>
        <w:t>5</w:t>
      </w:r>
      <w:r>
        <w:rPr>
          <w:rFonts w:ascii="Times New Roman" w:hAnsi="Times New Roman" w:eastAsia="方正小标宋简体" w:cs="Times New Roman"/>
          <w:color w:val="000000"/>
          <w:kern w:val="0"/>
          <w:sz w:val="32"/>
          <w:szCs w:val="32"/>
        </w:rPr>
        <w:t>年度）</w:t>
      </w:r>
    </w:p>
    <w:p w14:paraId="163BC0E1">
      <w:pPr>
        <w:keepNext/>
        <w:keepLines/>
        <w:widowControl w:val="0"/>
        <w:spacing w:before="0" w:after="0" w:line="578" w:lineRule="exact"/>
        <w:ind w:firstLine="640" w:firstLineChars="200"/>
        <w:outlineLvl w:val="4"/>
        <w:rPr>
          <w:rFonts w:ascii="Times New Roman" w:hAnsi="Times New Roman" w:eastAsia="仿宋_GB2312" w:cs="Times New Roman"/>
          <w:b w:val="0"/>
          <w:color w:val="000000"/>
          <w:kern w:val="0"/>
          <w:sz w:val="32"/>
          <w:szCs w:val="32"/>
          <w:shd w:val="clear" w:color="auto" w:fill="FFFFFF"/>
          <w:lang w:val="en-US" w:eastAsia="zh-CN" w:bidi="ar-SA"/>
        </w:rPr>
      </w:pPr>
    </w:p>
    <w:p w14:paraId="3AD4BD5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color w:val="auto"/>
          <w:kern w:val="0"/>
          <w:sz w:val="32"/>
          <w:szCs w:val="32"/>
        </w:rPr>
        <w:t>“部门预算项目支出绩效评价表”</w:t>
      </w:r>
      <w:r>
        <w:rPr>
          <w:rFonts w:hint="eastAsia" w:ascii="Times New Roman" w:hAnsi="Times New Roman" w:eastAsia="仿宋_GB2312" w:cs="Times New Roman"/>
          <w:color w:val="auto"/>
          <w:kern w:val="0"/>
          <w:sz w:val="32"/>
          <w:szCs w:val="32"/>
          <w:lang w:val="en-US" w:eastAsia="zh-CN"/>
        </w:rPr>
        <w:t>已</w:t>
      </w:r>
      <w:r>
        <w:rPr>
          <w:rFonts w:hint="eastAsia" w:ascii="Times New Roman" w:hAnsi="Times New Roman" w:eastAsia="仿宋_GB2312" w:cs="Times New Roman"/>
          <w:color w:val="auto"/>
          <w:kern w:val="0"/>
          <w:sz w:val="32"/>
          <w:szCs w:val="32"/>
        </w:rPr>
        <w:t>在预算管理一体化系统—综合报表查询—预算绩效报表模块中进行下载，</w:t>
      </w:r>
      <w:r>
        <w:rPr>
          <w:rFonts w:hint="eastAsia" w:ascii="Times New Roman" w:hAnsi="Times New Roman" w:eastAsia="仿宋_GB2312" w:cs="Times New Roman"/>
          <w:color w:val="auto"/>
          <w:kern w:val="0"/>
          <w:sz w:val="32"/>
          <w:szCs w:val="32"/>
          <w:lang w:val="en-US" w:eastAsia="zh-CN"/>
        </w:rPr>
        <w:t>已</w:t>
      </w:r>
      <w:r>
        <w:rPr>
          <w:rFonts w:hint="eastAsia" w:ascii="Times New Roman" w:hAnsi="Times New Roman" w:eastAsia="仿宋_GB2312" w:cs="Times New Roman"/>
          <w:color w:val="auto"/>
          <w:kern w:val="0"/>
          <w:sz w:val="32"/>
          <w:szCs w:val="32"/>
        </w:rPr>
        <w:t>完成相关内容填报</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详见</w:t>
      </w:r>
      <w:r>
        <w:rPr>
          <w:rFonts w:hint="eastAsia" w:eastAsia="仿宋_GB2312" w:cs="Times New Roman"/>
          <w:color w:val="auto"/>
          <w:kern w:val="0"/>
          <w:sz w:val="32"/>
          <w:szCs w:val="32"/>
          <w:lang w:val="en-US" w:eastAsia="zh-CN"/>
        </w:rPr>
        <w:t>附件1内</w:t>
      </w:r>
      <w:r>
        <w:rPr>
          <w:rFonts w:hint="eastAsia" w:ascii="Times New Roman" w:hAnsi="Times New Roman" w:eastAsia="仿宋_GB2312" w:cs="Times New Roman"/>
          <w:color w:val="auto"/>
          <w:kern w:val="0"/>
          <w:sz w:val="32"/>
          <w:szCs w:val="32"/>
          <w:lang w:val="en-US" w:eastAsia="zh-CN"/>
        </w:rPr>
        <w:t>“</w:t>
      </w: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3</w:t>
      </w:r>
      <w:r>
        <w:rPr>
          <w:rFonts w:hint="eastAsia" w:ascii="Times New Roman" w:hAnsi="Times New Roman" w:eastAsia="仿宋_GB2312" w:cs="Times New Roman"/>
          <w:kern w:val="2"/>
          <w:sz w:val="32"/>
          <w:szCs w:val="32"/>
          <w:u w:val="none"/>
          <w:lang w:val="zh-CN" w:eastAsia="zh-CN" w:bidi="ar"/>
        </w:rPr>
        <w:t>：</w:t>
      </w:r>
      <w:r>
        <w:rPr>
          <w:rFonts w:hint="eastAsia" w:ascii="Times New Roman" w:hAnsi="Times New Roman" w:eastAsia="仿宋_GB2312" w:cs="Times New Roman"/>
          <w:kern w:val="2"/>
          <w:sz w:val="32"/>
          <w:szCs w:val="32"/>
          <w:u w:val="none"/>
          <w:lang w:val="en-US" w:eastAsia="zh-CN" w:bidi="ar"/>
        </w:rPr>
        <w:t>部门预算项目支出绩效自评表（2025年度）</w:t>
      </w:r>
      <w:r>
        <w:rPr>
          <w:rFonts w:hint="eastAsia" w:ascii="Times New Roman" w:hAnsi="Times New Roman" w:eastAsia="仿宋_GB2312" w:cs="Times New Roman"/>
          <w:color w:val="auto"/>
          <w:kern w:val="0"/>
          <w:sz w:val="32"/>
          <w:szCs w:val="32"/>
          <w:lang w:val="en-US" w:eastAsia="zh-CN"/>
        </w:rPr>
        <w:t>”。</w:t>
      </w:r>
    </w:p>
    <w:p w14:paraId="43DB2B1E">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816DDA3">
      <w:pPr>
        <w:pStyle w:val="5"/>
        <w:rPr>
          <w:rFonts w:hint="eastAsia" w:ascii="Times New Roman" w:hAnsi="Times New Roman" w:cs="宋体"/>
          <w:color w:val="FF0000"/>
          <w:kern w:val="0"/>
          <w:sz w:val="32"/>
          <w:szCs w:val="32"/>
          <w:highlight w:val="yellow"/>
          <w:shd w:val="clear" w:color="auto" w:fill="FFFFFF"/>
          <w:lang w:val="zh-CN"/>
        </w:rPr>
      </w:pPr>
    </w:p>
    <w:p w14:paraId="1ED98E4E">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835892">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A7D0BB0">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258CB89">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3FEA708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2025年阿坝州自然资源局部门本级无专项预算项目安排。</w:t>
      </w:r>
    </w:p>
    <w:p w14:paraId="160375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0CA5E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A4860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61"/>
      <w:bookmarkEnd w:id="64"/>
      <w:bookmarkStart w:id="65"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5"/>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0"/>
      <w:r>
        <w:rPr>
          <w:rFonts w:hint="eastAsia" w:ascii="Times New Roman" w:hAnsi="Times New Roman" w:eastAsia="仿宋_GB2312" w:cs="仿宋_GB2312"/>
          <w:color w:val="auto"/>
          <w:sz w:val="32"/>
          <w:szCs w:val="32"/>
          <w:highlight w:val="none"/>
        </w:rPr>
        <w:t>二、收入决算表</w:t>
      </w:r>
      <w:bookmarkEnd w:id="66"/>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1"/>
      <w:r>
        <w:rPr>
          <w:rFonts w:hint="eastAsia" w:ascii="Times New Roman" w:hAnsi="Times New Roman" w:eastAsia="仿宋_GB2312" w:cs="仿宋_GB2312"/>
          <w:color w:val="auto"/>
          <w:sz w:val="32"/>
          <w:szCs w:val="32"/>
          <w:highlight w:val="none"/>
        </w:rPr>
        <w:t>三、支出决算表</w:t>
      </w:r>
      <w:bookmarkEnd w:id="67"/>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2"/>
      <w:r>
        <w:rPr>
          <w:rFonts w:hint="eastAsia" w:ascii="Times New Roman" w:hAnsi="Times New Roman" w:eastAsia="仿宋_GB2312" w:cs="仿宋_GB2312"/>
          <w:color w:val="auto"/>
          <w:sz w:val="32"/>
          <w:szCs w:val="32"/>
          <w:highlight w:val="none"/>
        </w:rPr>
        <w:t>四、财政拨款收入支出决算总表</w:t>
      </w:r>
      <w:bookmarkEnd w:id="68"/>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3"/>
      <w:r>
        <w:rPr>
          <w:rFonts w:hint="eastAsia" w:ascii="Times New Roman" w:hAnsi="Times New Roman" w:eastAsia="仿宋_GB2312" w:cs="仿宋_GB2312"/>
          <w:color w:val="auto"/>
          <w:sz w:val="32"/>
          <w:szCs w:val="32"/>
          <w:highlight w:val="none"/>
        </w:rPr>
        <w:t>五、财政拨款支出决算明细表</w:t>
      </w:r>
      <w:bookmarkEnd w:id="69"/>
      <w:bookmarkStart w:id="70"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0"/>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5"/>
      <w:r>
        <w:rPr>
          <w:rFonts w:hint="eastAsia" w:ascii="Times New Roman" w:hAnsi="Times New Roman" w:eastAsia="仿宋_GB2312" w:cs="仿宋_GB2312"/>
          <w:color w:val="auto"/>
          <w:sz w:val="32"/>
          <w:szCs w:val="32"/>
          <w:highlight w:val="none"/>
        </w:rPr>
        <w:t>七、一般公共预算财政拨款支出决算明细表</w:t>
      </w:r>
      <w:bookmarkEnd w:id="71"/>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6"/>
      <w:r>
        <w:rPr>
          <w:rFonts w:hint="eastAsia" w:ascii="Times New Roman" w:hAnsi="Times New Roman" w:eastAsia="仿宋_GB2312" w:cs="仿宋_GB2312"/>
          <w:color w:val="auto"/>
          <w:sz w:val="32"/>
          <w:szCs w:val="32"/>
          <w:highlight w:val="none"/>
        </w:rPr>
        <w:t>八、一般公共预算财政拨款基本支出决算表</w:t>
      </w:r>
      <w:bookmarkEnd w:id="72"/>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7"/>
      <w:r>
        <w:rPr>
          <w:rFonts w:hint="eastAsia" w:ascii="Times New Roman" w:hAnsi="Times New Roman" w:eastAsia="仿宋_GB2312" w:cs="仿宋_GB2312"/>
          <w:color w:val="auto"/>
          <w:sz w:val="32"/>
          <w:szCs w:val="32"/>
          <w:highlight w:val="none"/>
        </w:rPr>
        <w:t>九、一般公共预算财政拨款项目支出决算表</w:t>
      </w:r>
      <w:bookmarkEnd w:id="73"/>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8"/>
      <w:r>
        <w:rPr>
          <w:rFonts w:hint="eastAsia" w:ascii="Times New Roman" w:hAnsi="Times New Roman" w:eastAsia="仿宋_GB2312" w:cs="仿宋_GB2312"/>
          <w:color w:val="auto"/>
          <w:sz w:val="32"/>
          <w:szCs w:val="32"/>
          <w:highlight w:val="none"/>
        </w:rPr>
        <w:t>十、</w:t>
      </w:r>
      <w:bookmarkEnd w:id="74"/>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9"/>
      <w:r>
        <w:rPr>
          <w:rFonts w:hint="eastAsia" w:ascii="Times New Roman" w:hAnsi="Times New Roman" w:eastAsia="仿宋_GB2312" w:cs="仿宋_GB2312"/>
          <w:color w:val="auto"/>
          <w:sz w:val="32"/>
          <w:szCs w:val="32"/>
          <w:highlight w:val="none"/>
        </w:rPr>
        <w:t>十一、</w:t>
      </w:r>
      <w:bookmarkEnd w:id="7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30"/>
      <w:r>
        <w:rPr>
          <w:rFonts w:hint="eastAsia" w:ascii="Times New Roman" w:hAnsi="Times New Roman" w:eastAsia="仿宋_GB2312" w:cs="仿宋_GB2312"/>
          <w:color w:val="auto"/>
          <w:sz w:val="32"/>
          <w:szCs w:val="32"/>
          <w:highlight w:val="none"/>
        </w:rPr>
        <w:t>十二、</w:t>
      </w:r>
      <w:bookmarkEnd w:id="76"/>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7" w:name="_Toc15396631"/>
      <w:r>
        <w:rPr>
          <w:rFonts w:hint="eastAsia" w:ascii="Times New Roman" w:hAnsi="Times New Roman" w:eastAsia="仿宋_GB2312" w:cs="仿宋_GB2312"/>
          <w:color w:val="auto"/>
          <w:sz w:val="32"/>
          <w:szCs w:val="32"/>
          <w:highlight w:val="none"/>
        </w:rPr>
        <w:t>十三、</w:t>
      </w:r>
      <w:bookmarkEnd w:id="77"/>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9"/>
      <w:jc w:val="center"/>
    </w:pPr>
  </w:p>
  <w:p w14:paraId="3B0C36E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9"/>
      <w:jc w:val="center"/>
    </w:pPr>
  </w:p>
  <w:p w14:paraId="66082FB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80E2">
    <w:pPr>
      <w:pStyle w:val="9"/>
      <w:jc w:val="center"/>
    </w:pPr>
  </w:p>
  <w:p w14:paraId="33C23257">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30AA">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35BBF">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E235BBF">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73F170EB">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96BD0"/>
    <w:multiLevelType w:val="singleLevel"/>
    <w:tmpl w:val="86D96BD0"/>
    <w:lvl w:ilvl="0" w:tentative="0">
      <w:start w:val="1"/>
      <w:numFmt w:val="decimal"/>
      <w:suff w:val="nothing"/>
      <w:lvlText w:val="%1．"/>
      <w:lvlJc w:val="left"/>
      <w:pPr>
        <w:ind w:left="0" w:firstLine="400"/>
      </w:pPr>
      <w:rPr>
        <w:rFonts w:hint="default"/>
        <w:b w:val="0"/>
        <w:bCs w:val="0"/>
      </w:rPr>
    </w:lvl>
  </w:abstractNum>
  <w:abstractNum w:abstractNumId="1">
    <w:nsid w:val="FF1F9151"/>
    <w:multiLevelType w:val="singleLevel"/>
    <w:tmpl w:val="FF1F9151"/>
    <w:lvl w:ilvl="0" w:tentative="0">
      <w:start w:val="1"/>
      <w:numFmt w:val="decimal"/>
      <w:lvlText w:val="%1."/>
      <w:lvlJc w:val="left"/>
      <w:pPr>
        <w:ind w:left="425" w:hanging="425"/>
      </w:pPr>
      <w:rPr>
        <w:rFonts w:hint="default"/>
      </w:r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AFDC5C9"/>
    <w:rsid w:val="0C6C4794"/>
    <w:rsid w:val="0CA8290A"/>
    <w:rsid w:val="0D35B1ED"/>
    <w:rsid w:val="0DE07E2B"/>
    <w:rsid w:val="0EF7B92A"/>
    <w:rsid w:val="0F98263C"/>
    <w:rsid w:val="101860EC"/>
    <w:rsid w:val="10C055FF"/>
    <w:rsid w:val="11772AA4"/>
    <w:rsid w:val="118107EC"/>
    <w:rsid w:val="13D50BC4"/>
    <w:rsid w:val="14022904"/>
    <w:rsid w:val="14FFDECD"/>
    <w:rsid w:val="152F2A07"/>
    <w:rsid w:val="15FF3C80"/>
    <w:rsid w:val="165E0673"/>
    <w:rsid w:val="16BB723D"/>
    <w:rsid w:val="16EA46F2"/>
    <w:rsid w:val="186504BB"/>
    <w:rsid w:val="1938089F"/>
    <w:rsid w:val="193D1F88"/>
    <w:rsid w:val="19A445FC"/>
    <w:rsid w:val="1B7D550C"/>
    <w:rsid w:val="1BE8440E"/>
    <w:rsid w:val="1BFF1784"/>
    <w:rsid w:val="1D155CEE"/>
    <w:rsid w:val="1E740ACF"/>
    <w:rsid w:val="1EFE0832"/>
    <w:rsid w:val="1EFFA649"/>
    <w:rsid w:val="1F62156A"/>
    <w:rsid w:val="1FBC5691"/>
    <w:rsid w:val="1FF35744"/>
    <w:rsid w:val="1FF49957"/>
    <w:rsid w:val="1FF6BC77"/>
    <w:rsid w:val="1FF9EBD6"/>
    <w:rsid w:val="21962A9E"/>
    <w:rsid w:val="21AE7C77"/>
    <w:rsid w:val="22BC3C41"/>
    <w:rsid w:val="232F324B"/>
    <w:rsid w:val="23860B96"/>
    <w:rsid w:val="240371BF"/>
    <w:rsid w:val="260F557C"/>
    <w:rsid w:val="27EEB0EE"/>
    <w:rsid w:val="27FA4159"/>
    <w:rsid w:val="281408E2"/>
    <w:rsid w:val="29FD04D3"/>
    <w:rsid w:val="2A6401B8"/>
    <w:rsid w:val="2BED7C46"/>
    <w:rsid w:val="2BFF7BC6"/>
    <w:rsid w:val="2C8A61B5"/>
    <w:rsid w:val="2CEFE431"/>
    <w:rsid w:val="2D2E01CF"/>
    <w:rsid w:val="2DF04E50"/>
    <w:rsid w:val="2E7D16B1"/>
    <w:rsid w:val="2E9545B0"/>
    <w:rsid w:val="2F040D46"/>
    <w:rsid w:val="2F155665"/>
    <w:rsid w:val="2FAE5751"/>
    <w:rsid w:val="2FB1A395"/>
    <w:rsid w:val="2FD9A7D8"/>
    <w:rsid w:val="319F7F4E"/>
    <w:rsid w:val="321B2544"/>
    <w:rsid w:val="3304709D"/>
    <w:rsid w:val="34281836"/>
    <w:rsid w:val="349D6851"/>
    <w:rsid w:val="35BA6CAF"/>
    <w:rsid w:val="364D14C1"/>
    <w:rsid w:val="36AA5135"/>
    <w:rsid w:val="36BE0DA7"/>
    <w:rsid w:val="36BF7344"/>
    <w:rsid w:val="376B6AA6"/>
    <w:rsid w:val="376D39B2"/>
    <w:rsid w:val="377E1C5D"/>
    <w:rsid w:val="37BFD0F7"/>
    <w:rsid w:val="37E16F03"/>
    <w:rsid w:val="37F53A3B"/>
    <w:rsid w:val="389B6C89"/>
    <w:rsid w:val="38D469F0"/>
    <w:rsid w:val="39627CCD"/>
    <w:rsid w:val="397BAF1F"/>
    <w:rsid w:val="3AB79AF3"/>
    <w:rsid w:val="3B7EF35A"/>
    <w:rsid w:val="3B9FDB6C"/>
    <w:rsid w:val="3BD7C00D"/>
    <w:rsid w:val="3BDD0336"/>
    <w:rsid w:val="3BF5BC2F"/>
    <w:rsid w:val="3CEBA265"/>
    <w:rsid w:val="3D6FF4CE"/>
    <w:rsid w:val="3D98207C"/>
    <w:rsid w:val="3D9B0D99"/>
    <w:rsid w:val="3DEE7CF3"/>
    <w:rsid w:val="3DF02244"/>
    <w:rsid w:val="3E78745D"/>
    <w:rsid w:val="3E9E894C"/>
    <w:rsid w:val="3FD38370"/>
    <w:rsid w:val="3FF4CAE0"/>
    <w:rsid w:val="3FF7B227"/>
    <w:rsid w:val="40E54C45"/>
    <w:rsid w:val="43A407DF"/>
    <w:rsid w:val="44515BEA"/>
    <w:rsid w:val="44E268DA"/>
    <w:rsid w:val="453F7E5B"/>
    <w:rsid w:val="45FE4AEC"/>
    <w:rsid w:val="486A6C7A"/>
    <w:rsid w:val="49176D9B"/>
    <w:rsid w:val="4A627F82"/>
    <w:rsid w:val="4AD1ABBA"/>
    <w:rsid w:val="4AF3254F"/>
    <w:rsid w:val="4B0E749A"/>
    <w:rsid w:val="4B4F25DA"/>
    <w:rsid w:val="4BDA0CFB"/>
    <w:rsid w:val="4BE068DB"/>
    <w:rsid w:val="4D3C0CCC"/>
    <w:rsid w:val="4D577224"/>
    <w:rsid w:val="4DBF1CEB"/>
    <w:rsid w:val="4EAB630A"/>
    <w:rsid w:val="4ECE2238"/>
    <w:rsid w:val="4F833267"/>
    <w:rsid w:val="4FE9BD67"/>
    <w:rsid w:val="4FED0F97"/>
    <w:rsid w:val="4FFB052F"/>
    <w:rsid w:val="53083A92"/>
    <w:rsid w:val="537E6D0A"/>
    <w:rsid w:val="53AF27A2"/>
    <w:rsid w:val="53DBDF72"/>
    <w:rsid w:val="53F74C96"/>
    <w:rsid w:val="56E47B74"/>
    <w:rsid w:val="57BD3DD4"/>
    <w:rsid w:val="59B25BA6"/>
    <w:rsid w:val="5ABF73BA"/>
    <w:rsid w:val="5AF92295"/>
    <w:rsid w:val="5B1F4A90"/>
    <w:rsid w:val="5B3FEAF5"/>
    <w:rsid w:val="5BB32F3D"/>
    <w:rsid w:val="5BDD79E6"/>
    <w:rsid w:val="5BF561CA"/>
    <w:rsid w:val="5BFF5DFC"/>
    <w:rsid w:val="5CD71FC4"/>
    <w:rsid w:val="5D1F11B5"/>
    <w:rsid w:val="5DAE1B18"/>
    <w:rsid w:val="5DE7D9E5"/>
    <w:rsid w:val="5EBE6571"/>
    <w:rsid w:val="5ECEC941"/>
    <w:rsid w:val="5F379E7F"/>
    <w:rsid w:val="5F3F95FA"/>
    <w:rsid w:val="5F493CB7"/>
    <w:rsid w:val="5F790095"/>
    <w:rsid w:val="5FB79959"/>
    <w:rsid w:val="5FBF9FF3"/>
    <w:rsid w:val="5FCD4E2C"/>
    <w:rsid w:val="5FD15F49"/>
    <w:rsid w:val="5FEF394A"/>
    <w:rsid w:val="5FF67715"/>
    <w:rsid w:val="5FFD1879"/>
    <w:rsid w:val="5FFDD0E4"/>
    <w:rsid w:val="5FFF1620"/>
    <w:rsid w:val="60FBBE8C"/>
    <w:rsid w:val="61FD7658"/>
    <w:rsid w:val="62BF3928"/>
    <w:rsid w:val="637EA005"/>
    <w:rsid w:val="647F5392"/>
    <w:rsid w:val="664B1D71"/>
    <w:rsid w:val="67381AC2"/>
    <w:rsid w:val="677F1D06"/>
    <w:rsid w:val="67AA3209"/>
    <w:rsid w:val="67FF6390"/>
    <w:rsid w:val="681C4F0D"/>
    <w:rsid w:val="69046D0F"/>
    <w:rsid w:val="698D0931"/>
    <w:rsid w:val="69C63D76"/>
    <w:rsid w:val="6A993CED"/>
    <w:rsid w:val="6AFD57D7"/>
    <w:rsid w:val="6B053271"/>
    <w:rsid w:val="6BCE6674"/>
    <w:rsid w:val="6BF74888"/>
    <w:rsid w:val="6C4A05C8"/>
    <w:rsid w:val="6C8742B8"/>
    <w:rsid w:val="6C8A170F"/>
    <w:rsid w:val="6CB54609"/>
    <w:rsid w:val="6DBF5E93"/>
    <w:rsid w:val="6DFF077E"/>
    <w:rsid w:val="6E3C88C5"/>
    <w:rsid w:val="6E7E3605"/>
    <w:rsid w:val="6E7FDCC7"/>
    <w:rsid w:val="6ED6A62E"/>
    <w:rsid w:val="6EDFFAE6"/>
    <w:rsid w:val="6EE00B15"/>
    <w:rsid w:val="6EED0AF9"/>
    <w:rsid w:val="6EF96F52"/>
    <w:rsid w:val="6F544B20"/>
    <w:rsid w:val="6F6FB3EB"/>
    <w:rsid w:val="6F784160"/>
    <w:rsid w:val="6F8731EA"/>
    <w:rsid w:val="6FC73732"/>
    <w:rsid w:val="6FCE6052"/>
    <w:rsid w:val="6FD57C00"/>
    <w:rsid w:val="6FDD20B2"/>
    <w:rsid w:val="6FEFFFD8"/>
    <w:rsid w:val="6FF5CC65"/>
    <w:rsid w:val="6FFB47EC"/>
    <w:rsid w:val="6FFF034A"/>
    <w:rsid w:val="6FFFE7D4"/>
    <w:rsid w:val="70496804"/>
    <w:rsid w:val="712A28F1"/>
    <w:rsid w:val="715C0E4B"/>
    <w:rsid w:val="72233669"/>
    <w:rsid w:val="72734D90"/>
    <w:rsid w:val="7332FE48"/>
    <w:rsid w:val="734FA8F0"/>
    <w:rsid w:val="737715BA"/>
    <w:rsid w:val="73AB61DA"/>
    <w:rsid w:val="73AD73D5"/>
    <w:rsid w:val="73B6EB34"/>
    <w:rsid w:val="73DB214E"/>
    <w:rsid w:val="73FA497D"/>
    <w:rsid w:val="73FF94F3"/>
    <w:rsid w:val="744731E5"/>
    <w:rsid w:val="74527205"/>
    <w:rsid w:val="74BBD01D"/>
    <w:rsid w:val="74ED5379"/>
    <w:rsid w:val="74FC2395"/>
    <w:rsid w:val="757CB0BC"/>
    <w:rsid w:val="75DD39FE"/>
    <w:rsid w:val="75DEEEC2"/>
    <w:rsid w:val="75E7E9CF"/>
    <w:rsid w:val="763F4FFD"/>
    <w:rsid w:val="766DA42E"/>
    <w:rsid w:val="76E3355F"/>
    <w:rsid w:val="76FC2ABB"/>
    <w:rsid w:val="76FF5125"/>
    <w:rsid w:val="776F6FFA"/>
    <w:rsid w:val="776FAC3E"/>
    <w:rsid w:val="778769C8"/>
    <w:rsid w:val="77BF7F90"/>
    <w:rsid w:val="77DC22F5"/>
    <w:rsid w:val="77EAE920"/>
    <w:rsid w:val="77EE510A"/>
    <w:rsid w:val="77F6ADD4"/>
    <w:rsid w:val="77FDA909"/>
    <w:rsid w:val="79086DAD"/>
    <w:rsid w:val="7952BB8E"/>
    <w:rsid w:val="79974F09"/>
    <w:rsid w:val="79D7FD79"/>
    <w:rsid w:val="79EE5BA4"/>
    <w:rsid w:val="7A7FC79E"/>
    <w:rsid w:val="7A894339"/>
    <w:rsid w:val="7AD53029"/>
    <w:rsid w:val="7AFF7572"/>
    <w:rsid w:val="7B4B4FB6"/>
    <w:rsid w:val="7B6C7DFB"/>
    <w:rsid w:val="7B739F59"/>
    <w:rsid w:val="7BBA3A08"/>
    <w:rsid w:val="7BBFBED0"/>
    <w:rsid w:val="7BC3E394"/>
    <w:rsid w:val="7BCB26F7"/>
    <w:rsid w:val="7BF19FD5"/>
    <w:rsid w:val="7BFB2A74"/>
    <w:rsid w:val="7BFE262D"/>
    <w:rsid w:val="7C1F3737"/>
    <w:rsid w:val="7C7781BF"/>
    <w:rsid w:val="7CBFC87B"/>
    <w:rsid w:val="7CFE0F48"/>
    <w:rsid w:val="7D7DB4FC"/>
    <w:rsid w:val="7D7EC23E"/>
    <w:rsid w:val="7D7F2416"/>
    <w:rsid w:val="7D916348"/>
    <w:rsid w:val="7DDDC84F"/>
    <w:rsid w:val="7DEA2221"/>
    <w:rsid w:val="7DFF7603"/>
    <w:rsid w:val="7DFF87D6"/>
    <w:rsid w:val="7DFF89DE"/>
    <w:rsid w:val="7E77E42A"/>
    <w:rsid w:val="7E7EDBD9"/>
    <w:rsid w:val="7E8ADEBF"/>
    <w:rsid w:val="7EEE17E4"/>
    <w:rsid w:val="7EEF11D3"/>
    <w:rsid w:val="7EF25A00"/>
    <w:rsid w:val="7EFA2DA3"/>
    <w:rsid w:val="7F0971A6"/>
    <w:rsid w:val="7F2746F2"/>
    <w:rsid w:val="7F3F679B"/>
    <w:rsid w:val="7F3FA00E"/>
    <w:rsid w:val="7F3FE4DF"/>
    <w:rsid w:val="7F4FC4EF"/>
    <w:rsid w:val="7F5E4D54"/>
    <w:rsid w:val="7F6E0135"/>
    <w:rsid w:val="7F7F2389"/>
    <w:rsid w:val="7F954DBA"/>
    <w:rsid w:val="7FA30C79"/>
    <w:rsid w:val="7FAE02EC"/>
    <w:rsid w:val="7FAF8ABF"/>
    <w:rsid w:val="7FB7269E"/>
    <w:rsid w:val="7FBD4F11"/>
    <w:rsid w:val="7FBD6195"/>
    <w:rsid w:val="7FC96657"/>
    <w:rsid w:val="7FD8CC9C"/>
    <w:rsid w:val="7FDA9588"/>
    <w:rsid w:val="7FDB5EC3"/>
    <w:rsid w:val="7FDC3AF5"/>
    <w:rsid w:val="7FDF220F"/>
    <w:rsid w:val="7FE537FF"/>
    <w:rsid w:val="7FEDC5F7"/>
    <w:rsid w:val="7FEDD9DE"/>
    <w:rsid w:val="7FEE05D5"/>
    <w:rsid w:val="7FEF08E7"/>
    <w:rsid w:val="7FEFD4A0"/>
    <w:rsid w:val="7FF5890D"/>
    <w:rsid w:val="7FF66A17"/>
    <w:rsid w:val="7FF7BDEC"/>
    <w:rsid w:val="7FF93490"/>
    <w:rsid w:val="7FFDBCB2"/>
    <w:rsid w:val="83DAE948"/>
    <w:rsid w:val="8F1F91FE"/>
    <w:rsid w:val="97FD113E"/>
    <w:rsid w:val="97FF15B8"/>
    <w:rsid w:val="99FF2014"/>
    <w:rsid w:val="9A6D00AA"/>
    <w:rsid w:val="9BFB3FFC"/>
    <w:rsid w:val="9BFFE97B"/>
    <w:rsid w:val="9FADC145"/>
    <w:rsid w:val="9FAF89EE"/>
    <w:rsid w:val="A3FD3B5D"/>
    <w:rsid w:val="A64F9BA7"/>
    <w:rsid w:val="A6DD0D7F"/>
    <w:rsid w:val="A6FF1B96"/>
    <w:rsid w:val="AD6EB579"/>
    <w:rsid w:val="ADC6F725"/>
    <w:rsid w:val="ADDFF4E5"/>
    <w:rsid w:val="AE2F96BB"/>
    <w:rsid w:val="AEBE96EF"/>
    <w:rsid w:val="AFFF12F2"/>
    <w:rsid w:val="B7CF06AB"/>
    <w:rsid w:val="B7CFA926"/>
    <w:rsid w:val="B7F79754"/>
    <w:rsid w:val="B7F8786B"/>
    <w:rsid w:val="BABB6AA1"/>
    <w:rsid w:val="BB048128"/>
    <w:rsid w:val="BB2F4199"/>
    <w:rsid w:val="BB5B64C3"/>
    <w:rsid w:val="BBFEA320"/>
    <w:rsid w:val="BCBBC268"/>
    <w:rsid w:val="BD079C78"/>
    <w:rsid w:val="BD733540"/>
    <w:rsid w:val="BDDFE6A7"/>
    <w:rsid w:val="BEFF3D0D"/>
    <w:rsid w:val="BF3735D5"/>
    <w:rsid w:val="BF7F09AC"/>
    <w:rsid w:val="BF7FA63C"/>
    <w:rsid w:val="BFAEAD09"/>
    <w:rsid w:val="BFBB6A84"/>
    <w:rsid w:val="BFD475C3"/>
    <w:rsid w:val="BFDE5EA6"/>
    <w:rsid w:val="BFFDAAA3"/>
    <w:rsid w:val="C7FB708B"/>
    <w:rsid w:val="CB4F05D4"/>
    <w:rsid w:val="CEE7F9EF"/>
    <w:rsid w:val="CF6FC6F3"/>
    <w:rsid w:val="CFD3D3D7"/>
    <w:rsid w:val="CFDF1009"/>
    <w:rsid w:val="CFE52F7D"/>
    <w:rsid w:val="CFFBC4D1"/>
    <w:rsid w:val="D7D7B16A"/>
    <w:rsid w:val="D8D6DB89"/>
    <w:rsid w:val="DB6F4CAB"/>
    <w:rsid w:val="DB777682"/>
    <w:rsid w:val="DBC72E90"/>
    <w:rsid w:val="DD1FB521"/>
    <w:rsid w:val="DEF79FB2"/>
    <w:rsid w:val="DEFBFEAE"/>
    <w:rsid w:val="DF1F3B80"/>
    <w:rsid w:val="DF6F9789"/>
    <w:rsid w:val="DF9DE3CD"/>
    <w:rsid w:val="DFBECA9F"/>
    <w:rsid w:val="DFFFA9E8"/>
    <w:rsid w:val="E5EFED27"/>
    <w:rsid w:val="E5F4E9DC"/>
    <w:rsid w:val="E6DEC4A8"/>
    <w:rsid w:val="E6FE63D0"/>
    <w:rsid w:val="E70FE695"/>
    <w:rsid w:val="E73FC95D"/>
    <w:rsid w:val="E7C7374C"/>
    <w:rsid w:val="E7EEAF4A"/>
    <w:rsid w:val="EB3B507C"/>
    <w:rsid w:val="EBDAB2E1"/>
    <w:rsid w:val="ECFED1BC"/>
    <w:rsid w:val="ED1D69BB"/>
    <w:rsid w:val="ED3BA4F0"/>
    <w:rsid w:val="ED7FD312"/>
    <w:rsid w:val="EE9EBD4D"/>
    <w:rsid w:val="EF53993F"/>
    <w:rsid w:val="EF6FD633"/>
    <w:rsid w:val="EF9D62E1"/>
    <w:rsid w:val="EFBFB2F4"/>
    <w:rsid w:val="EFBFFA21"/>
    <w:rsid w:val="EFC651F3"/>
    <w:rsid w:val="EFFF9C1A"/>
    <w:rsid w:val="F2BEBCB8"/>
    <w:rsid w:val="F36FB518"/>
    <w:rsid w:val="F36FF06B"/>
    <w:rsid w:val="F37D27F1"/>
    <w:rsid w:val="F3DE1A04"/>
    <w:rsid w:val="F3F722E5"/>
    <w:rsid w:val="F566190D"/>
    <w:rsid w:val="F7CE8955"/>
    <w:rsid w:val="F7E25C35"/>
    <w:rsid w:val="F7F75445"/>
    <w:rsid w:val="F82DF3B7"/>
    <w:rsid w:val="F8312B47"/>
    <w:rsid w:val="FA5F1E70"/>
    <w:rsid w:val="FA5FDB97"/>
    <w:rsid w:val="FA90ACDD"/>
    <w:rsid w:val="FB6FCBFF"/>
    <w:rsid w:val="FB7F486A"/>
    <w:rsid w:val="FB7FFA73"/>
    <w:rsid w:val="FBBFBA2B"/>
    <w:rsid w:val="FBD95191"/>
    <w:rsid w:val="FBFF541E"/>
    <w:rsid w:val="FBFF5B2E"/>
    <w:rsid w:val="FC7A7CC0"/>
    <w:rsid w:val="FC7B8496"/>
    <w:rsid w:val="FCEBD803"/>
    <w:rsid w:val="FCFFC2A8"/>
    <w:rsid w:val="FD7E44D2"/>
    <w:rsid w:val="FD7F1A16"/>
    <w:rsid w:val="FD7FFE2B"/>
    <w:rsid w:val="FDDF4617"/>
    <w:rsid w:val="FDEE196B"/>
    <w:rsid w:val="FDFB8287"/>
    <w:rsid w:val="FDFDBD0B"/>
    <w:rsid w:val="FDFE6575"/>
    <w:rsid w:val="FDFF08E0"/>
    <w:rsid w:val="FDFF1A8A"/>
    <w:rsid w:val="FE6B8225"/>
    <w:rsid w:val="FE763FAC"/>
    <w:rsid w:val="FEAF3852"/>
    <w:rsid w:val="FEDFDDC2"/>
    <w:rsid w:val="FEE9610F"/>
    <w:rsid w:val="FEED32F6"/>
    <w:rsid w:val="FEF781DD"/>
    <w:rsid w:val="FEFE1E75"/>
    <w:rsid w:val="FF09993E"/>
    <w:rsid w:val="FF3F7E3F"/>
    <w:rsid w:val="FF5FE339"/>
    <w:rsid w:val="FF626521"/>
    <w:rsid w:val="FF7E5411"/>
    <w:rsid w:val="FF7EF666"/>
    <w:rsid w:val="FF91C891"/>
    <w:rsid w:val="FF9F0629"/>
    <w:rsid w:val="FF9F6872"/>
    <w:rsid w:val="FFBA12D7"/>
    <w:rsid w:val="FFBF21D5"/>
    <w:rsid w:val="FFDD66BD"/>
    <w:rsid w:val="FFDFFAEE"/>
    <w:rsid w:val="FFF7089E"/>
    <w:rsid w:val="FFF92F7A"/>
    <w:rsid w:val="FFF9B57B"/>
    <w:rsid w:val="FFFA6C09"/>
    <w:rsid w:val="FFFB1832"/>
    <w:rsid w:val="FFFC674D"/>
    <w:rsid w:val="FFFD61D9"/>
    <w:rsid w:val="FFFD8F59"/>
    <w:rsid w:val="FFFF2BB1"/>
    <w:rsid w:val="FFFF81EE"/>
    <w:rsid w:val="FFFF8FEA"/>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image" Target="media/image2.png"/><Relationship Id="rId16" Type="http://schemas.openxmlformats.org/officeDocument/2006/relationships/oleObject" Target="embeddings/oleObject2.bin"/><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image" Target="media/image1.png"/><Relationship Id="rId12" Type="http://schemas.openxmlformats.org/officeDocument/2006/relationships/oleObject" Target="embeddings/oleObject1.bin"/><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总收入、支出变动情况</a:t>
            </a:r>
          </a:p>
        </c:rich>
      </c:tx>
      <c:layout>
        <c:manualLayout>
          <c:xMode val="edge"/>
          <c:yMode val="edge"/>
          <c:x val="0.234757782280346"/>
          <c:y val="0.0279128779868894"/>
        </c:manualLayout>
      </c:layout>
      <c:overlay val="0"/>
      <c:spPr>
        <a:noFill/>
        <a:ln>
          <a:noFill/>
        </a:ln>
        <a:effectLst/>
      </c:spPr>
    </c:title>
    <c:autoTitleDeleted val="0"/>
    <c:plotArea>
      <c:layout/>
      <c:barChart>
        <c:barDir val="col"/>
        <c:grouping val="clustered"/>
        <c:varyColors val="0"/>
        <c:ser>
          <c:idx val="0"/>
          <c:order val="0"/>
          <c:tx>
            <c:strRef>
              <c:f>Sheet1!$A$2</c:f>
              <c:strCache>
                <c:ptCount val="1"/>
                <c:pt idx="0">
                  <c:v>2024</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Sheet1!$A$1:$C$1</c15:sqref>
                  </c15:fullRef>
                </c:ext>
              </c:extLst>
              <c:f>Sheet1!$B$1:$C$1</c:f>
              <c:strCache>
                <c:ptCount val="2"/>
                <c:pt idx="0">
                  <c:v>收入总计</c:v>
                </c:pt>
                <c:pt idx="1">
                  <c:v>支出总计</c:v>
                </c:pt>
              </c:strCache>
            </c:strRef>
          </c:cat>
          <c:val>
            <c:numRef>
              <c:extLst>
                <c:ext xmlns:c15="http://schemas.microsoft.com/office/drawing/2012/chart" uri="{02D57815-91ED-43cb-92C2-25804820EDAC}">
                  <c15:fullRef>
                    <c15:sqref>Sheet1!$A$2:$C$2</c15:sqref>
                  </c15:fullRef>
                </c:ext>
              </c:extLst>
              <c:f>Sheet1!$B$2:$C$2</c:f>
              <c:numCache>
                <c:formatCode>General</c:formatCode>
                <c:ptCount val="2"/>
                <c:pt idx="0">
                  <c:v>4517.98</c:v>
                </c:pt>
                <c:pt idx="1">
                  <c:v>4517.98</c:v>
                </c:pt>
              </c:numCache>
            </c:numRef>
          </c:val>
        </c:ser>
        <c:ser>
          <c:idx val="1"/>
          <c:order val="1"/>
          <c:tx>
            <c:strRef>
              <c:f>Sheet1!$A$3</c:f>
              <c:strCache>
                <c:ptCount val="1"/>
                <c:pt idx="0">
                  <c:v>2025</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Sheet1!$A$1:$C$1</c15:sqref>
                  </c15:fullRef>
                </c:ext>
              </c:extLst>
              <c:f>Sheet1!$B$1:$C$1</c:f>
              <c:strCache>
                <c:ptCount val="2"/>
                <c:pt idx="0">
                  <c:v>收入总计</c:v>
                </c:pt>
                <c:pt idx="1">
                  <c:v>支出总计</c:v>
                </c:pt>
              </c:strCache>
            </c:strRef>
          </c:cat>
          <c:val>
            <c:numRef>
              <c:extLst>
                <c:ext xmlns:c15="http://schemas.microsoft.com/office/drawing/2012/chart" uri="{02D57815-91ED-43cb-92C2-25804820EDAC}">
                  <c15:fullRef>
                    <c15:sqref>Sheet1!$A$3:$C$3</c15:sqref>
                  </c15:fullRef>
                </c:ext>
              </c:extLst>
              <c:f>Sheet1!$B$3:$C$3</c:f>
              <c:numCache>
                <c:formatCode>General</c:formatCode>
                <c:ptCount val="2"/>
                <c:pt idx="0">
                  <c:v>7626.55</c:v>
                </c:pt>
                <c:pt idx="1">
                  <c:v>7626.55</c:v>
                </c:pt>
              </c:numCache>
            </c:numRef>
          </c:val>
        </c:ser>
        <c:dLbls>
          <c:showLegendKey val="0"/>
          <c:showVal val="1"/>
          <c:showCatName val="0"/>
          <c:showSerName val="0"/>
          <c:showPercent val="0"/>
          <c:showBubbleSize val="0"/>
        </c:dLbls>
        <c:gapWidth val="246"/>
        <c:overlap val="-28"/>
        <c:axId val="839204645"/>
        <c:axId val="587315938"/>
      </c:barChart>
      <c:catAx>
        <c:axId val="83920464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315938"/>
        <c:crosses val="autoZero"/>
        <c:auto val="1"/>
        <c:lblAlgn val="ctr"/>
        <c:lblOffset val="100"/>
        <c:noMultiLvlLbl val="0"/>
      </c:catAx>
      <c:valAx>
        <c:axId val="58731593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9204645"/>
        <c:crosses val="autoZero"/>
        <c:crossBetween val="between"/>
      </c:valAx>
      <c:spPr>
        <a:noFill/>
        <a:ln>
          <a:noFill/>
        </a:ln>
        <a:effectLst/>
      </c:spPr>
    </c:plotArea>
    <c:legend>
      <c:legendPos val="b"/>
      <c:layout>
        <c:manualLayout>
          <c:xMode val="edge"/>
          <c:yMode val="edge"/>
          <c:x val="0.356244994789736"/>
          <c:y val="0.90699193832580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f77365-91d8-47d7-8d3c-06fd8965502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收入结构分析</a:t>
            </a:r>
          </a:p>
        </c:rich>
      </c:tx>
      <c:layout>
        <c:manualLayout>
          <c:xMode val="edge"/>
          <c:yMode val="edge"/>
          <c:x val="0.36786648207968"/>
          <c:y val="0.0483091787439614"/>
        </c:manualLayout>
      </c:layout>
      <c:overlay val="0"/>
      <c:spPr>
        <a:noFill/>
        <a:ln>
          <a:noFill/>
        </a:ln>
        <a:effectLst/>
      </c:spPr>
    </c:title>
    <c:autoTitleDeleted val="0"/>
    <c:plotArea>
      <c:layout/>
      <c:pieChart>
        <c:varyColors val="1"/>
        <c:ser>
          <c:idx val="0"/>
          <c:order val="0"/>
          <c:tx>
            <c:strRef>
              <c:f>Sheet1!$A$2</c:f>
              <c:strCache>
                <c:ptCount val="1"/>
                <c:pt idx="0">
                  <c:v>2025</c:v>
                </c:pt>
              </c:strCache>
            </c:strRef>
          </c:tx>
          <c:spPr/>
          <c:explosion val="0"/>
          <c:dPt>
            <c:idx val="0"/>
            <c:bubble3D val="0"/>
            <c:spPr>
              <a:solidFill>
                <a:schemeClr val="accent1"/>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f>
              <c:strCache>
                <c:ptCount val="1"/>
                <c:pt idx="0">
                  <c:v>总收入 = 一般公共预算财政拨款收入</c:v>
                </c:pt>
              </c:strCache>
            </c:strRef>
          </c:cat>
          <c:val>
            <c:numRef>
              <c:f>Sheet1!$B$2</c:f>
              <c:numCache>
                <c:formatCode>General</c:formatCode>
                <c:ptCount val="1"/>
                <c:pt idx="0">
                  <c:v>7626.55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d1d3367-0347-4eef-88f7-f6f6652d15c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财政拨款收入、支出情况分析</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4517.98</c:v>
                </c:pt>
                <c:pt idx="1">
                  <c:v>4517.98</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7626.55</c:v>
                </c:pt>
                <c:pt idx="1">
                  <c:v>7626.55</c:v>
                </c:pt>
              </c:numCache>
            </c:numRef>
          </c:val>
        </c:ser>
        <c:dLbls>
          <c:showLegendKey val="0"/>
          <c:showVal val="1"/>
          <c:showCatName val="0"/>
          <c:showSerName val="0"/>
          <c:showPercent val="0"/>
          <c:showBubbleSize val="0"/>
        </c:dLbls>
        <c:gapWidth val="246"/>
        <c:overlap val="-28"/>
        <c:axId val="180038461"/>
        <c:axId val="250444912"/>
      </c:barChart>
      <c:catAx>
        <c:axId val="18003846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0444912"/>
        <c:crosses val="autoZero"/>
        <c:auto val="1"/>
        <c:lblAlgn val="ctr"/>
        <c:lblOffset val="100"/>
        <c:noMultiLvlLbl val="0"/>
      </c:catAx>
      <c:valAx>
        <c:axId val="2504449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00384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44d307-0b7d-4e70-819c-2bde54ebaaa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4517.98</c:v>
                </c:pt>
                <c:pt idx="1">
                  <c:v>7626.55</c:v>
                </c:pt>
              </c:numCache>
            </c:numRef>
          </c:val>
        </c:ser>
        <c:dLbls>
          <c:showLegendKey val="0"/>
          <c:showVal val="1"/>
          <c:showCatName val="0"/>
          <c:showSerName val="0"/>
          <c:showPercent val="0"/>
          <c:showBubbleSize val="0"/>
        </c:dLbls>
        <c:gapWidth val="246"/>
        <c:overlap val="-28"/>
        <c:axId val="101395279"/>
        <c:axId val="674402560"/>
      </c:barChart>
      <c:catAx>
        <c:axId val="1013952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4402560"/>
        <c:crosses val="autoZero"/>
        <c:auto val="1"/>
        <c:lblAlgn val="ctr"/>
        <c:lblOffset val="100"/>
        <c:noMultiLvlLbl val="0"/>
      </c:catAx>
      <c:valAx>
        <c:axId val="67440256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3952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16e26e1-23ee-44de-94ea-d31eb1c2f4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“三公”经费支出结构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215.41</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6abcb5-c113-4131-8fbe-b6968f3dbaa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4"/>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41</Pages>
  <Words>14533</Words>
  <Characters>15826</Characters>
  <Lines>61</Lines>
  <Paragraphs>17</Paragraphs>
  <TotalTime>8</TotalTime>
  <ScaleCrop>false</ScaleCrop>
  <LinksUpToDate>false</LinksUpToDate>
  <CharactersWithSpaces>15865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2020-08-12T01:49:00Z</dcterms:created>
  <dc:creator>曹颖</dc:creator>
  <cp:lastModifiedBy>user</cp:lastModifiedBy>
  <cp:lastPrinted>2026-08-06T17:27:00Z</cp:lastPrinted>
  <dcterms:modified xsi:type="dcterms:W3CDTF">2026-09-17T09:11:34Z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3BF536824C220DA3E40E8B68BA118B1C_42</vt:lpwstr>
  </property>
  <property fmtid="{D5CDD505-2E9C-101B-9397-08002B2CF9AE}" pid="4" name="KSOTemplateDocerSaveRecord">
    <vt:lpwstr>eyJoZGlkIjoiZDY5ZjMxMDVkMjA3MDNkMTg0NDIyYmI2OGJmMGMzODUiLCJ1c2VySWQiOiI2MTU0NDAyNDAifQ==</vt:lpwstr>
  </property>
</Properties>
</file>