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3CBD2">
      <w:pPr>
        <w:pStyle w:val="14"/>
        <w:keepNext w:val="0"/>
        <w:keepLines w:val="0"/>
        <w:pageBreakBefore w:val="0"/>
        <w:widowControl w:val="0"/>
        <w:kinsoku/>
        <w:wordWrap/>
        <w:overflowPunct/>
        <w:topLinePunct w:val="0"/>
        <w:autoSpaceDE/>
        <w:autoSpaceDN/>
        <w:bidi w:val="0"/>
        <w:adjustRightInd/>
        <w:snapToGrid/>
        <w:spacing w:before="93" w:line="64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bookmarkStart w:id="0" w:name="_Toc15306267"/>
      <w:bookmarkStart w:id="1" w:name="_Toc15396597"/>
      <w:bookmarkStart w:id="2" w:name="_Toc15377425"/>
      <w:bookmarkStart w:id="3" w:name="_Toc15396475"/>
      <w:bookmarkStart w:id="4" w:name="_Toc15377193"/>
      <w:bookmarkStart w:id="5" w:name="_Toc15378441"/>
      <w:r>
        <w:rPr>
          <w:rFonts w:hint="eastAsia" w:ascii="方正小标宋简体" w:hAnsi="方正小标宋简体" w:eastAsia="方正小标宋简体" w:cs="方正小标宋简体"/>
          <w:kern w:val="2"/>
          <w:sz w:val="44"/>
          <w:szCs w:val="44"/>
        </w:rPr>
        <w:t>2025年度</w:t>
      </w:r>
      <w:r>
        <w:rPr>
          <w:rFonts w:hint="eastAsia" w:ascii="方正小标宋简体" w:hAnsi="方正小标宋简体" w:eastAsia="方正小标宋简体" w:cs="方正小标宋简体"/>
          <w:kern w:val="2"/>
          <w:sz w:val="44"/>
          <w:szCs w:val="44"/>
          <w:lang w:val="en-US" w:eastAsia="zh-CN" w:bidi="ar-SA"/>
        </w:rPr>
        <w:t>阿坝州机关事务管理局</w:t>
      </w:r>
    </w:p>
    <w:p w14:paraId="77224150">
      <w:pPr>
        <w:pStyle w:val="14"/>
        <w:keepNext w:val="0"/>
        <w:keepLines w:val="0"/>
        <w:pageBreakBefore w:val="0"/>
        <w:widowControl w:val="0"/>
        <w:kinsoku/>
        <w:wordWrap/>
        <w:overflowPunct/>
        <w:topLinePunct w:val="0"/>
        <w:autoSpaceDE/>
        <w:autoSpaceDN/>
        <w:bidi w:val="0"/>
        <w:adjustRightInd/>
        <w:snapToGrid/>
        <w:spacing w:before="93" w:line="640" w:lineRule="exact"/>
        <w:jc w:val="center"/>
        <w:textAlignment w:val="auto"/>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lang w:val="en-US" w:eastAsia="zh-CN" w:bidi="ar-SA"/>
        </w:rPr>
        <w:t>单位</w:t>
      </w:r>
      <w:r>
        <w:rPr>
          <w:rFonts w:hint="eastAsia" w:ascii="方正小标宋简体" w:hAnsi="方正小标宋简体" w:eastAsia="方正小标宋简体" w:cs="方正小标宋简体"/>
          <w:kern w:val="2"/>
          <w:sz w:val="44"/>
          <w:szCs w:val="44"/>
        </w:rPr>
        <w:t>决算公开</w:t>
      </w:r>
    </w:p>
    <w:p w14:paraId="50B572F1">
      <w:pPr>
        <w:spacing w:line="600" w:lineRule="exact"/>
        <w:jc w:val="center"/>
        <w:outlineLvl w:val="0"/>
        <w:rPr>
          <w:rFonts w:ascii="Times New Roman" w:hAnsi="Times New Roman" w:eastAsia="方正小标宋简体" w:cs="Times New Roman"/>
          <w:sz w:val="44"/>
          <w:szCs w:val="44"/>
        </w:rPr>
      </w:pPr>
    </w:p>
    <w:p w14:paraId="5C9CABED">
      <w:pPr>
        <w:pStyle w:val="27"/>
        <w:rPr>
          <w:rFonts w:ascii="Times New Roman" w:hAnsi="Times New Roman" w:eastAsia="方正小标宋简体" w:cs="Times New Roman"/>
          <w:sz w:val="72"/>
          <w:szCs w:val="72"/>
        </w:rPr>
      </w:pPr>
    </w:p>
    <w:p w14:paraId="5C9F356F">
      <w:pPr>
        <w:pStyle w:val="16"/>
        <w:rPr>
          <w:rFonts w:ascii="Times New Roman" w:hAnsi="Times New Roman" w:eastAsia="方正小标宋简体" w:cs="Times New Roman"/>
          <w:sz w:val="72"/>
          <w:szCs w:val="72"/>
        </w:rPr>
      </w:pPr>
    </w:p>
    <w:p w14:paraId="081A648F">
      <w:pPr>
        <w:rPr>
          <w:rFonts w:ascii="Times New Roman" w:hAnsi="Times New Roman" w:eastAsia="方正小标宋简体" w:cs="Times New Roman"/>
          <w:sz w:val="72"/>
          <w:szCs w:val="72"/>
        </w:rPr>
      </w:pPr>
    </w:p>
    <w:p w14:paraId="6DC66F2E">
      <w:pPr>
        <w:autoSpaceDE w:val="0"/>
        <w:autoSpaceDN w:val="0"/>
        <w:adjustRightInd w:val="0"/>
        <w:ind w:left="420" w:left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保密审查情况：已审查，内容审定</w:t>
      </w:r>
    </w:p>
    <w:p w14:paraId="26B249FA">
      <w:pPr>
        <w:autoSpaceDE w:val="0"/>
        <w:autoSpaceDN w:val="0"/>
        <w:adjustRightInd w:val="0"/>
        <w:ind w:left="420" w:leftChars="200"/>
        <w:jc w:val="left"/>
        <w:rPr>
          <w:rFonts w:ascii="Times New Roman" w:hAnsi="Times New Roman" w:cs="Times New Roman"/>
          <w:sz w:val="32"/>
          <w:szCs w:val="32"/>
        </w:rPr>
      </w:pPr>
      <w:r>
        <w:rPr>
          <w:rFonts w:hint="eastAsia" w:ascii="Times New Roman" w:hAnsi="Times New Roman" w:eastAsia="仿宋_GB2312" w:cs="Times New Roman"/>
          <w:sz w:val="32"/>
          <w:szCs w:val="32"/>
        </w:rPr>
        <w:t>部门主要负责人审签情况：已审签，同意对外公开</w:t>
      </w:r>
      <w:bookmarkEnd w:id="0"/>
      <w:bookmarkEnd w:id="1"/>
      <w:bookmarkEnd w:id="2"/>
      <w:bookmarkEnd w:id="3"/>
      <w:bookmarkEnd w:id="4"/>
      <w:bookmarkEnd w:id="5"/>
    </w:p>
    <w:p w14:paraId="684412EF">
      <w:pPr>
        <w:widowControl/>
        <w:jc w:val="both"/>
        <w:rPr>
          <w:rFonts w:ascii="Times New Roman" w:hAnsi="Times New Roman" w:eastAsia="黑体" w:cs="Times New Roman"/>
          <w:sz w:val="48"/>
          <w:szCs w:val="48"/>
        </w:rPr>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pPr>
    </w:p>
    <w:p w14:paraId="1368C37D">
      <w:pPr>
        <w:widowControl/>
        <w:jc w:val="center"/>
        <w:rPr>
          <w:rFonts w:ascii="Times New Roman" w:hAnsi="Times New Roman" w:eastAsia="黑体" w:cs="Times New Roman"/>
          <w:sz w:val="28"/>
          <w:szCs w:val="28"/>
        </w:rPr>
      </w:pPr>
      <w:r>
        <w:rPr>
          <w:rFonts w:hint="eastAsia" w:ascii="方正小标宋简体" w:hAnsi="方正小标宋简体" w:eastAsia="方正小标宋简体" w:cs="方正小标宋简体"/>
          <w:sz w:val="44"/>
          <w:szCs w:val="44"/>
        </w:rPr>
        <w:t>目录</w:t>
      </w:r>
    </w:p>
    <w:p w14:paraId="49581371">
      <w:pPr>
        <w:pStyle w:val="24"/>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公开时间：2026年</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rPr>
        <w:t>日</w:t>
      </w:r>
    </w:p>
    <w:p w14:paraId="3E23A623">
      <w:pPr>
        <w:rPr>
          <w:rFonts w:ascii="Times New Roman" w:hAnsi="Times New Roman" w:cs="Times New Roman"/>
        </w:rPr>
      </w:pPr>
    </w:p>
    <w:p w14:paraId="7CC908DF">
      <w:pPr>
        <w:pStyle w:val="24"/>
        <w:adjustRightInd w:val="0"/>
        <w:snapToGrid w:val="0"/>
        <w:spacing w:before="0"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第一部分 部门概况</w:t>
      </w:r>
    </w:p>
    <w:p w14:paraId="73CE89D0">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一、部门职责</w:t>
      </w:r>
    </w:p>
    <w:p w14:paraId="6EE87B78">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二、机构设置</w:t>
      </w:r>
    </w:p>
    <w:p w14:paraId="02301CDC">
      <w:pPr>
        <w:pStyle w:val="24"/>
        <w:adjustRightInd w:val="0"/>
        <w:snapToGrid w:val="0"/>
        <w:spacing w:before="0"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第二部分 2025年度部门决算情况说明</w:t>
      </w:r>
    </w:p>
    <w:p w14:paraId="33C40D7A">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一、收入支出决算总体情况说明</w:t>
      </w:r>
    </w:p>
    <w:p w14:paraId="643F7D02">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二、收入决算情况说明</w:t>
      </w:r>
    </w:p>
    <w:p w14:paraId="672F8701">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三、支出决算情况说明</w:t>
      </w:r>
    </w:p>
    <w:p w14:paraId="61197952">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四、财政拨款收入支出决算总体情况说明</w:t>
      </w:r>
    </w:p>
    <w:p w14:paraId="046F8930">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五、一般公共预算财政拨款支出决算情况说明</w:t>
      </w:r>
    </w:p>
    <w:p w14:paraId="2357A59B">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六、一般公共预算财政拨款基本支出决算情况说明</w:t>
      </w:r>
    </w:p>
    <w:p w14:paraId="2FB5ECF6">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七、财政拨款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经费支出决算情况说明</w:t>
      </w:r>
    </w:p>
    <w:p w14:paraId="7ECBB6F6">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八、政府性基金预算支出决算情况说明</w:t>
      </w:r>
    </w:p>
    <w:p w14:paraId="5110C041">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九、国有资本经营预算支出决算情况说明</w:t>
      </w:r>
    </w:p>
    <w:p w14:paraId="2469D3C3">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十、其他重要事项的情况说明</w:t>
      </w:r>
    </w:p>
    <w:p w14:paraId="32848B74">
      <w:pPr>
        <w:pStyle w:val="24"/>
        <w:adjustRightInd w:val="0"/>
        <w:snapToGrid w:val="0"/>
        <w:spacing w:before="0"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第三部分 名词解释</w:t>
      </w:r>
    </w:p>
    <w:p w14:paraId="5E629923">
      <w:pPr>
        <w:pStyle w:val="24"/>
        <w:adjustRightInd w:val="0"/>
        <w:snapToGrid w:val="0"/>
        <w:spacing w:before="0"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第四部分 附件</w:t>
      </w:r>
    </w:p>
    <w:p w14:paraId="0F8AB89B">
      <w:pPr>
        <w:pStyle w:val="24"/>
        <w:adjustRightInd w:val="0"/>
        <w:snapToGrid w:val="0"/>
        <w:spacing w:before="0" w:line="56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第五部分 附表</w:t>
      </w:r>
    </w:p>
    <w:p w14:paraId="2260A7AC">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一、收入支出决算总表</w:t>
      </w:r>
    </w:p>
    <w:p w14:paraId="0F6646D4">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二、收入决算表</w:t>
      </w:r>
    </w:p>
    <w:p w14:paraId="1A200CE9">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三、支出决算表</w:t>
      </w:r>
    </w:p>
    <w:p w14:paraId="2DB11479">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四、财政拨款收入支出决算总表</w:t>
      </w:r>
    </w:p>
    <w:p w14:paraId="4DDED68C">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五、财政拨款支出决算明细表</w:t>
      </w:r>
    </w:p>
    <w:p w14:paraId="769F2EB9">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六、一般公共预算财政拨款支出决算表</w:t>
      </w:r>
    </w:p>
    <w:p w14:paraId="1DCC3456">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七、一般公共预算财政拨款支出决算明细表</w:t>
      </w:r>
    </w:p>
    <w:p w14:paraId="1FE0FBCD">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八、一般公共预算财政拨款基本支出决算明细表</w:t>
      </w:r>
    </w:p>
    <w:p w14:paraId="304D634E">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九、一般公共预算财政拨款项目支出决算表</w:t>
      </w:r>
    </w:p>
    <w:p w14:paraId="093F392A">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十、政府性基金预算财政拨款收入支出决算表</w:t>
      </w:r>
    </w:p>
    <w:p w14:paraId="07DC79FD">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十一、国有资本经营预算财政拨款收入支出决算表</w:t>
      </w:r>
    </w:p>
    <w:p w14:paraId="59C5299E">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十二、国有资本经营预算财政拨款支出决算表</w:t>
      </w:r>
    </w:p>
    <w:p w14:paraId="0E53D932">
      <w:pPr>
        <w:pStyle w:val="30"/>
        <w:adjustRightInd w:val="0"/>
        <w:snapToGrid w:val="0"/>
        <w:spacing w:line="560" w:lineRule="exact"/>
        <w:ind w:left="0" w:leftChars="0" w:firstLine="640" w:firstLineChars="200"/>
        <w:jc w:val="left"/>
        <w:rPr>
          <w:rFonts w:ascii="Times New Roman" w:hAnsi="Times New Roman" w:eastAsia="仿宋_GB2312" w:cs="Times New Roman"/>
          <w:sz w:val="32"/>
          <w:szCs w:val="32"/>
        </w:rPr>
      </w:pPr>
      <w:r>
        <w:rPr>
          <w:rFonts w:hint="eastAsia" w:eastAsia="仿宋_GB2312" w:cs="Times New Roman"/>
          <w:sz w:val="32"/>
          <w:szCs w:val="32"/>
        </w:rPr>
        <w:t>十三、财政拨款</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经费支出决算表</w:t>
      </w:r>
    </w:p>
    <w:p w14:paraId="7DB02AEF">
      <w:pPr>
        <w:widowControl/>
        <w:spacing w:line="560" w:lineRule="exact"/>
        <w:jc w:val="left"/>
        <w:rPr>
          <w:rFonts w:ascii="Times New Roman" w:hAnsi="Times New Roman" w:eastAsia="仿宋_GB2312" w:cs="Times New Roman"/>
          <w:bCs/>
          <w:kern w:val="44"/>
          <w:sz w:val="32"/>
          <w:szCs w:val="32"/>
        </w:rPr>
      </w:pPr>
      <w:bookmarkStart w:id="6" w:name="_Toc15377196"/>
      <w:bookmarkStart w:id="7" w:name="_Toc15396599"/>
      <w:r>
        <w:rPr>
          <w:rFonts w:hint="eastAsia" w:eastAsia="仿宋_GB2312" w:cs="Times New Roman"/>
          <w:b/>
          <w:sz w:val="32"/>
          <w:szCs w:val="32"/>
        </w:rPr>
        <w:br w:type="page" w:clear="all"/>
      </w:r>
    </w:p>
    <w:p w14:paraId="5595EDF5">
      <w:pPr>
        <w:pStyle w:val="2"/>
        <w:pageBreakBefore w:val="0"/>
        <w:numPr>
          <w:ilvl w:val="0"/>
          <w:numId w:val="1"/>
        </w:numPr>
        <w:kinsoku/>
        <w:wordWrap/>
        <w:overflowPunct/>
        <w:topLinePunct w:val="0"/>
        <w:autoSpaceDE/>
        <w:autoSpaceDN/>
        <w:bidi w:val="0"/>
        <w:spacing w:line="560" w:lineRule="exact"/>
        <w:ind w:firstLine="880" w:firstLineChars="200"/>
        <w:jc w:val="center"/>
        <w:textAlignment w:val="auto"/>
        <w:rPr>
          <w:rStyle w:val="195"/>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sz w:val="44"/>
          <w:szCs w:val="44"/>
        </w:rPr>
        <w:t xml:space="preserve"> </w:t>
      </w:r>
      <w:r>
        <w:rPr>
          <w:rStyle w:val="195"/>
          <w:rFonts w:hint="default" w:ascii="Times New Roman" w:hAnsi="Times New Roman" w:eastAsia="方正小标宋简体" w:cs="Times New Roman"/>
          <w:b w:val="0"/>
          <w:bCs w:val="0"/>
          <w:sz w:val="44"/>
          <w:szCs w:val="44"/>
        </w:rPr>
        <w:t>部门概况</w:t>
      </w:r>
      <w:bookmarkEnd w:id="6"/>
      <w:bookmarkEnd w:id="7"/>
    </w:p>
    <w:p w14:paraId="2CB1CCBA">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一、部门职责</w:t>
      </w:r>
    </w:p>
    <w:p w14:paraId="589E23AF">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（一）贯彻执行国家、省、州有关机关事务工作的方针政策，依法拟订全州机关事务工作的相关规划和制度并组织实施，负责州直机关事务的管理、保障、服务工作，指导各县（市）机关事务管理工作。</w:t>
      </w:r>
    </w:p>
    <w:p w14:paraId="7972BDEC">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（二）按规定负责州直行政事业单位国有资产管理工作，拟订相关管理办法并监督实施，承担国有资产产权界定、清查登记和资产处置等工作。</w:t>
      </w:r>
    </w:p>
    <w:p w14:paraId="5CE74363">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三）负责州直机关办公用房制度和办法的制定并组织实施。负责州直机关办公用房统一规划、统一权属、统一配置、统一处置等工作。负责州直机关办公用房项目审核。指导各县（市）党政机关办公用房的管理工作。 </w:t>
      </w:r>
    </w:p>
    <w:p w14:paraId="5E73A75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rPr>
      </w:pPr>
      <w:r>
        <w:rPr>
          <w:rFonts w:hint="default" w:ascii="Times New Roman" w:hAnsi="Times New Roman" w:eastAsia="仿宋_GB2312" w:cs="Times New Roman"/>
          <w:i w:val="0"/>
          <w:iCs w:val="0"/>
          <w:caps w:val="0"/>
          <w:color w:val="000000"/>
          <w:spacing w:val="0"/>
          <w:kern w:val="0"/>
          <w:sz w:val="32"/>
          <w:szCs w:val="32"/>
          <w:lang w:val="en-US" w:eastAsia="zh-CN" w:bidi="ar"/>
        </w:rPr>
        <w:t xml:space="preserve">（四）负责拟订全州统一的机关后勤服务管理制度，负责指导和管理各县（市）、州直机关后勤服务工作。负责拟订州直机关后勤服务管理制度并监督实施。负责拟订州直机关后勤服务项目和标准。负责州直机关周转房分配、管理、维修、维护、物业管理等后勤保障工作。负责会同相关部门提出州直机关周转房的需求及建设计划。 </w:t>
      </w:r>
    </w:p>
    <w:p w14:paraId="3DE9CFA0">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五）负责拟订全州党政机关和事业单位公务车辆管理办法并组织实施。负责全州党政机关、事业单位公务用车的编制、配备、更新、处置的审批及监督管理工作。承担公务用车改革相关工作，负责州直机关公务用车平台建设管理工作，指导各县（市）公务用车平台建设管理工作。 </w:t>
      </w:r>
    </w:p>
    <w:p w14:paraId="4B3F7AF9">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六）负责推进、指导、协调、监督全州公共机构节能工作，会同有关部门拟订州直机关公共机构节能规划、管理制度并组织实施。会同有关部门拟订州直机关节能年度改造计划并组织实施，组织开展全州公共机构能耗统计、监测和评价考核工作。负责全州公共机构节能目标考核工作。</w:t>
      </w:r>
    </w:p>
    <w:p w14:paraId="30B7376B">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七）负责结合我州实际完善国内公务接待管理制度，管理州本级国内公务接待工作，指导和监督下级党政机关国内公务接待管理工作，会同财政等部门制定州本级国内公务接待标准，接受本级纪检监察机关和财政、审计等部门的监督。</w:t>
      </w:r>
    </w:p>
    <w:p w14:paraId="4EB5FE1D">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（八）负责指导州直机关办公区的安全保卫、消防、绿化、卫生等工作。组织开展机关运行成本统计、分析、评价以及完成州政府交办的其他任务。</w:t>
      </w:r>
    </w:p>
    <w:p w14:paraId="78123716">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lang w:val="en-US" w:eastAsia="zh-CN"/>
        </w:rPr>
      </w:pPr>
      <w:bookmarkStart w:id="8" w:name="_Toc15377200"/>
      <w:bookmarkStart w:id="9" w:name="_Toc15396601"/>
      <w:r>
        <w:rPr>
          <w:rFonts w:hint="default" w:ascii="Times New Roman" w:hAnsi="Times New Roman" w:eastAsia="黑体" w:cs="Times New Roman"/>
          <w:sz w:val="32"/>
          <w:szCs w:val="32"/>
          <w:lang w:val="en-US" w:eastAsia="zh-CN"/>
        </w:rPr>
        <w:t>二、机构设置</w:t>
      </w:r>
      <w:bookmarkEnd w:id="8"/>
      <w:bookmarkEnd w:id="9"/>
    </w:p>
    <w:p w14:paraId="13774EAE">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sz w:val="32"/>
          <w:szCs w:val="32"/>
          <w:lang w:val="en-US" w:eastAsia="zh-CN"/>
        </w:rPr>
        <w:t>(一)办公室。</w:t>
      </w:r>
      <w:r>
        <w:rPr>
          <w:rFonts w:hint="default" w:ascii="Times New Roman" w:hAnsi="Times New Roman" w:eastAsia="仿宋_GB2312" w:cs="Times New Roman"/>
          <w:sz w:val="32"/>
          <w:szCs w:val="32"/>
          <w:lang w:val="en-US" w:eastAsia="zh-CN"/>
        </w:rPr>
        <w:t>承担本单位党的建设、党风廉政建设、意识形态等工作，负责制定工作制度。负责本单位依法行政、文电、会务、机要保密、文印、妇女儿童、人事、信息、财务、信访、督</w:t>
      </w:r>
      <w:r>
        <w:rPr>
          <w:rFonts w:hint="default" w:ascii="Times New Roman" w:hAnsi="Times New Roman" w:eastAsia="仿宋_GB2312" w:cs="Times New Roman"/>
          <w:color w:val="000000"/>
          <w:sz w:val="32"/>
          <w:szCs w:val="32"/>
          <w:lang w:val="en-US" w:eastAsia="zh-CN"/>
        </w:rPr>
        <w:t>查、绩效管理、政务公开、档案、固定资产管理、办公用品采购等工作。负责本单位的安全生产、消防、社会治安综合治理及后勤保障等工作。负责本单位内部审计工作。负责按照办法组织有关部门拟订州直机关公务接待等相关标准和公务接待管理</w:t>
      </w:r>
      <w:r>
        <w:rPr>
          <w:rFonts w:hint="default" w:ascii="Times New Roman" w:hAnsi="Times New Roman" w:eastAsia="仿宋_GB2312" w:cs="Times New Roman"/>
          <w:b w:val="0"/>
          <w:bCs w:val="0"/>
          <w:color w:val="000000"/>
          <w:sz w:val="32"/>
          <w:szCs w:val="32"/>
          <w:lang w:val="en-US" w:eastAsia="zh-CN"/>
        </w:rPr>
        <w:t>等工作。</w:t>
      </w:r>
      <w:r>
        <w:rPr>
          <w:rFonts w:hint="default" w:ascii="Times New Roman" w:hAnsi="Times New Roman" w:eastAsia="仿宋_GB2312" w:cs="Times New Roman"/>
          <w:color w:val="000000"/>
          <w:sz w:val="32"/>
          <w:szCs w:val="32"/>
          <w:lang w:val="en-US" w:eastAsia="zh-CN"/>
        </w:rPr>
        <w:t>负责组织开展州直部门机关运行成本统计、分析、评价等工作。负责本单位离退休人员管理和服务等工作。</w:t>
      </w:r>
    </w:p>
    <w:p w14:paraId="26DDEA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(二)资产与后勤管理科。</w:t>
      </w:r>
      <w:r>
        <w:rPr>
          <w:rFonts w:hint="default" w:ascii="Times New Roman" w:hAnsi="Times New Roman" w:eastAsia="仿宋_GB2312" w:cs="Times New Roman"/>
          <w:color w:val="000000"/>
          <w:sz w:val="32"/>
          <w:szCs w:val="32"/>
          <w:lang w:val="en-US" w:eastAsia="zh-CN"/>
        </w:rPr>
        <w:t>按规定负责拟订州直行政事业单位国有资产管理工作规范、配置标准并监督实施，承担相应的资产产权界定、清查登记、资产处置工作。会同财政部门对州直协助事业单位固定资产处置、出租等进行审核。负责拟订州直机关办公用房管理规章制度。承担州直机关办公用房统一规划、统一权属、统一配置、统一处置工作。负责建立办公用房信息化管理系统。负责州直机关办公用房项目审核、建设使用监管、维修、租赁等工作。负责指导县(市)党政机关办公用房的管理工作。负责拟定州直机关周转房管理规章制度并组织实施。负责会同相关部门提出州直机关周转房的需求及建设计划。负责安排、督促州机关后勤服务中心做好州直机关周转房维修、维护、物业管理等后勤保障工作。负责安排、督促州机关后勤服务中心修做好州直机关周转房安全(制定防火、防盗等安全预案)、环境卫生、绿化、美化、水电气保障等工作。</w:t>
      </w:r>
    </w:p>
    <w:p w14:paraId="4B41449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i w:val="0"/>
          <w:iCs w:val="0"/>
          <w:caps w:val="0"/>
          <w:color w:val="000000"/>
          <w:spacing w:val="0"/>
          <w:kern w:val="0"/>
          <w:sz w:val="32"/>
          <w:szCs w:val="32"/>
          <w:lang w:val="en-US" w:eastAsia="zh-CN" w:bidi="ar"/>
        </w:rPr>
      </w:pPr>
      <w:r>
        <w:rPr>
          <w:rFonts w:hint="default" w:ascii="Times New Roman" w:hAnsi="Times New Roman" w:eastAsia="楷体_GB2312" w:cs="Times New Roman"/>
          <w:color w:val="000000"/>
          <w:sz w:val="32"/>
          <w:szCs w:val="32"/>
          <w:lang w:val="en-US" w:eastAsia="zh-CN"/>
        </w:rPr>
        <w:t>(三)公车与节能管理科。</w:t>
      </w:r>
      <w:r>
        <w:rPr>
          <w:rFonts w:hint="default" w:ascii="Times New Roman" w:hAnsi="Times New Roman" w:eastAsia="仿宋_GB2312" w:cs="Times New Roman"/>
          <w:i w:val="0"/>
          <w:iCs w:val="0"/>
          <w:caps w:val="0"/>
          <w:color w:val="000000"/>
          <w:spacing w:val="0"/>
          <w:kern w:val="0"/>
          <w:sz w:val="32"/>
          <w:szCs w:val="32"/>
          <w:lang w:val="en-US" w:eastAsia="zh-CN" w:bidi="ar"/>
        </w:rPr>
        <w:t>负责拟订全州行政事业单位公务用车管理办法及相关制度并监督实施。负责州直行政事业单位机要通信用车、应急保障用车、业务用车编制、配备、更新工作，负责县（市）行政机关机要通信用车、应急保障用车编制的核批。具体承办全州公务用车改革相关工作。会同相关部门指导州直行政事业单位公务用车的保险和维修等工作。指导各县（市）通信用车、应急保障用车、业务用车管理及改革工作。负责推进、指导、协调、监督全州公共机构节能工作。会同有关部门拟订州直机关公共机构节能规划、年度改造计划、规章制度并组织实施。会同相关部门拟订公共机构能源消耗支出标准,确定州直机关公共机构能源消耗定额，组织全州公共机构开展能源统计和能耗审计、监测和评价考核工作。指导各县(市)公共机构节能管理工作。</w:t>
      </w:r>
    </w:p>
    <w:p w14:paraId="6751B13E">
      <w:pPr>
        <w:pageBreakBefore w:val="0"/>
        <w:widowControl/>
        <w:shd w:val="clear" w:color="auto" w:fill="FFFEFB"/>
        <w:kinsoku/>
        <w:wordWrap/>
        <w:overflowPunct/>
        <w:topLinePunct w:val="0"/>
        <w:autoSpaceDE/>
        <w:autoSpaceDN/>
        <w:bidi w:val="0"/>
        <w:adjustRightInd/>
        <w:snapToGrid/>
        <w:spacing w:before="0" w:line="560" w:lineRule="exact"/>
        <w:ind w:left="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pacing w:val="0"/>
          <w:kern w:val="2"/>
          <w:sz w:val="32"/>
          <w:szCs w:val="32"/>
          <w:lang w:bidi="ar-SA"/>
        </w:rPr>
        <w:t>州机关事务管理局属</w:t>
      </w:r>
      <w:r>
        <w:rPr>
          <w:rFonts w:hint="default" w:ascii="Times New Roman" w:hAnsi="Times New Roman" w:eastAsia="仿宋_GB2312" w:cs="Times New Roman"/>
          <w:spacing w:val="0"/>
          <w:kern w:val="2"/>
          <w:sz w:val="32"/>
          <w:szCs w:val="32"/>
          <w:lang w:val="en-US" w:eastAsia="zh-CN" w:bidi="ar-SA"/>
        </w:rPr>
        <w:t>一</w:t>
      </w:r>
      <w:r>
        <w:rPr>
          <w:rFonts w:hint="default" w:ascii="Times New Roman" w:hAnsi="Times New Roman" w:eastAsia="仿宋_GB2312" w:cs="Times New Roman"/>
          <w:spacing w:val="0"/>
          <w:kern w:val="2"/>
          <w:sz w:val="32"/>
          <w:szCs w:val="32"/>
          <w:lang w:bidi="ar-SA"/>
        </w:rPr>
        <w:t>级预算单位，属于</w:t>
      </w:r>
      <w:r>
        <w:rPr>
          <w:rFonts w:hint="default" w:ascii="Times New Roman" w:hAnsi="Times New Roman" w:eastAsia="仿宋_GB2312" w:cs="Times New Roman"/>
          <w:spacing w:val="0"/>
          <w:kern w:val="2"/>
          <w:sz w:val="32"/>
          <w:szCs w:val="32"/>
          <w:lang w:val="en-US" w:eastAsia="zh-CN" w:bidi="ar-SA"/>
        </w:rPr>
        <w:t>行政</w:t>
      </w:r>
      <w:r>
        <w:rPr>
          <w:rFonts w:hint="default" w:ascii="Times New Roman" w:hAnsi="Times New Roman" w:eastAsia="仿宋_GB2312" w:cs="Times New Roman"/>
          <w:spacing w:val="0"/>
          <w:kern w:val="2"/>
          <w:sz w:val="32"/>
          <w:szCs w:val="32"/>
          <w:lang w:bidi="ar-SA"/>
        </w:rPr>
        <w:t>单位。</w:t>
      </w:r>
      <w:r>
        <w:rPr>
          <w:rFonts w:hint="default" w:ascii="Times New Roman" w:hAnsi="Times New Roman" w:eastAsia="仿宋_GB2312" w:cs="Times New Roman"/>
          <w:sz w:val="32"/>
          <w:szCs w:val="32"/>
          <w:lang w:bidi="ar-SA"/>
        </w:rPr>
        <w:t>本单位本年度纳入本套决算编制范围的独立编制机构数共</w:t>
      </w:r>
      <w:r>
        <w:rPr>
          <w:rFonts w:hint="default" w:ascii="Times New Roman" w:hAnsi="Times New Roman" w:eastAsia="仿宋_GB2312" w:cs="Times New Roman"/>
          <w:sz w:val="32"/>
          <w:szCs w:val="32"/>
          <w:lang w:val="en-US" w:eastAsia="zh-CN" w:bidi="ar-SA"/>
        </w:rPr>
        <w:t>1</w:t>
      </w:r>
      <w:r>
        <w:rPr>
          <w:rFonts w:hint="default" w:ascii="Times New Roman" w:hAnsi="Times New Roman" w:eastAsia="仿宋_GB2312" w:cs="Times New Roman"/>
          <w:sz w:val="32"/>
          <w:szCs w:val="32"/>
          <w:lang w:bidi="ar-SA"/>
        </w:rPr>
        <w:t>个，比上年增加0个；独立核算机构数共1个，比上年增加0个</w:t>
      </w:r>
      <w:r>
        <w:rPr>
          <w:rStyle w:val="37"/>
          <w:rFonts w:hint="default" w:ascii="Times New Roman" w:hAnsi="Times New Roman" w:eastAsia="仿宋_GB2312" w:cs="Times New Roman"/>
          <w:sz w:val="32"/>
          <w:szCs w:val="32"/>
          <w:lang w:bidi="ar-SA"/>
        </w:rPr>
        <w:t>。</w:t>
      </w:r>
    </w:p>
    <w:p w14:paraId="6BD70154">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kern w:val="2"/>
          <w:sz w:val="32"/>
          <w:szCs w:val="32"/>
          <w:lang w:bidi="ar-SA"/>
        </w:rPr>
      </w:pPr>
      <w:r>
        <w:rPr>
          <w:rFonts w:hint="default" w:ascii="Times New Roman" w:hAnsi="Times New Roman" w:eastAsia="仿宋_GB2312" w:cs="Times New Roman"/>
          <w:spacing w:val="0"/>
          <w:kern w:val="2"/>
          <w:sz w:val="32"/>
          <w:szCs w:val="32"/>
          <w:lang w:bidi="ar-SA"/>
        </w:rPr>
        <w:t>州机关事务管理局行政编制10名。</w:t>
      </w:r>
      <w:r>
        <w:rPr>
          <w:rFonts w:hint="default" w:ascii="Times New Roman" w:hAnsi="Times New Roman" w:eastAsia="仿宋_GB2312" w:cs="Times New Roman"/>
          <w:i w:val="0"/>
          <w:iCs w:val="0"/>
          <w:caps w:val="0"/>
          <w:color w:val="000000"/>
          <w:spacing w:val="0"/>
          <w:kern w:val="0"/>
          <w:sz w:val="32"/>
          <w:szCs w:val="32"/>
          <w:lang w:val="en-US" w:eastAsia="zh-CN" w:bidi="ar"/>
        </w:rPr>
        <w:t>其中，局长1名，副局长2名；正科级领导职数3名，副科级领导职数2名。机关工勤人员事业编制2名。</w:t>
      </w:r>
      <w:r>
        <w:rPr>
          <w:rFonts w:hint="default" w:ascii="Times New Roman" w:hAnsi="Times New Roman" w:eastAsia="仿宋_GB2312" w:cs="Times New Roman"/>
          <w:sz w:val="32"/>
          <w:szCs w:val="32"/>
          <w:lang w:bidi="ar-SA"/>
        </w:rPr>
        <w:t>比上年增加0人；年末实有离退休人数为</w:t>
      </w:r>
      <w:r>
        <w:rPr>
          <w:rFonts w:hint="default" w:ascii="Times New Roman" w:hAnsi="Times New Roman" w:eastAsia="仿宋_GB2312" w:cs="Times New Roman"/>
          <w:sz w:val="32"/>
          <w:szCs w:val="32"/>
          <w:lang w:val="en-US" w:eastAsia="zh-CN" w:bidi="ar-SA"/>
        </w:rPr>
        <w:t>1</w:t>
      </w:r>
      <w:r>
        <w:rPr>
          <w:rFonts w:hint="default" w:ascii="Times New Roman" w:hAnsi="Times New Roman" w:eastAsia="仿宋_GB2312" w:cs="Times New Roman"/>
          <w:sz w:val="32"/>
          <w:szCs w:val="32"/>
          <w:lang w:bidi="ar-SA"/>
        </w:rPr>
        <w:t>人，比上年增加0人</w:t>
      </w:r>
      <w:r>
        <w:rPr>
          <w:rStyle w:val="37"/>
          <w:rFonts w:hint="default" w:ascii="Times New Roman" w:hAnsi="Times New Roman" w:eastAsia="仿宋_GB2312" w:cs="Times New Roman"/>
          <w:sz w:val="32"/>
          <w:szCs w:val="32"/>
          <w:lang w:bidi="ar-SA"/>
        </w:rPr>
        <w:t>。</w:t>
      </w:r>
    </w:p>
    <w:p w14:paraId="220DF19B">
      <w:pPr>
        <w:pageBreakBefore w:val="0"/>
        <w:widowControl/>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br w:type="page" w:clear="all"/>
      </w:r>
    </w:p>
    <w:p w14:paraId="08FD8264">
      <w:pPr>
        <w:pStyle w:val="2"/>
        <w:pageBreakBefore w:val="0"/>
        <w:numPr>
          <w:ilvl w:val="0"/>
          <w:numId w:val="0"/>
        </w:numPr>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b w:val="0"/>
          <w:sz w:val="44"/>
          <w:szCs w:val="44"/>
        </w:rPr>
      </w:pPr>
      <w:bookmarkStart w:id="10" w:name="_Toc15377204"/>
      <w:bookmarkStart w:id="11" w:name="_Toc15396602"/>
      <w:r>
        <w:rPr>
          <w:rFonts w:hint="default" w:ascii="Times New Roman" w:hAnsi="Times New Roman" w:eastAsia="方正小标宋简体" w:cs="Times New Roman"/>
          <w:b w:val="0"/>
          <w:sz w:val="44"/>
          <w:szCs w:val="44"/>
        </w:rPr>
        <w:t>第二部分  2025年度部门决算情况说明</w:t>
      </w:r>
      <w:bookmarkEnd w:id="10"/>
      <w:bookmarkEnd w:id="11"/>
    </w:p>
    <w:p w14:paraId="768E5C0E">
      <w:pPr>
        <w:pStyle w:val="194"/>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12" w:name="_Toc15396603"/>
      <w:bookmarkStart w:id="13" w:name="_Toc15377205"/>
      <w:r>
        <w:rPr>
          <w:rFonts w:hint="default" w:ascii="Times New Roman" w:hAnsi="Times New Roman" w:eastAsia="黑体" w:cs="Times New Roman"/>
          <w:sz w:val="32"/>
          <w:szCs w:val="32"/>
        </w:rPr>
        <w:t>一、收</w:t>
      </w:r>
      <w:r>
        <w:rPr>
          <w:rStyle w:val="196"/>
          <w:rFonts w:hint="default" w:ascii="Times New Roman" w:hAnsi="Times New Roman" w:eastAsia="黑体" w:cs="Times New Roman"/>
          <w:b w:val="0"/>
        </w:rPr>
        <w:t>入支出决算总体情况说明</w:t>
      </w:r>
      <w:bookmarkEnd w:id="12"/>
      <w:bookmarkEnd w:id="13"/>
    </w:p>
    <w:p w14:paraId="773C4B06">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2025年度收入3326.64</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rPr>
        <w:t>支出为3415.18万元。与上年度相比，收入、支出总计各增加</w:t>
      </w:r>
      <w:r>
        <w:rPr>
          <w:rFonts w:hint="default" w:ascii="Times New Roman" w:hAnsi="Times New Roman" w:eastAsia="仿宋_GB2312" w:cs="Times New Roman"/>
          <w:sz w:val="32"/>
          <w:szCs w:val="32"/>
          <w:lang w:val="en-US" w:eastAsia="zh-CN"/>
        </w:rPr>
        <w:t>2694.52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374</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增加了项目支出，如州级机关单位办公用房租赁项目2300.45万元。</w:t>
      </w:r>
    </w:p>
    <w:p w14:paraId="6C7B5308">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drawing>
          <wp:anchor distT="0" distB="0" distL="0" distR="0" simplePos="0" relativeHeight="251665408" behindDoc="0" locked="0" layoutInCell="1" allowOverlap="1">
            <wp:simplePos x="0" y="0"/>
            <wp:positionH relativeFrom="column">
              <wp:posOffset>373380</wp:posOffset>
            </wp:positionH>
            <wp:positionV relativeFrom="paragraph">
              <wp:posOffset>330200</wp:posOffset>
            </wp:positionV>
            <wp:extent cx="5256530" cy="2130425"/>
            <wp:effectExtent l="4445" t="4445" r="15875" b="1778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default" w:ascii="Times New Roman" w:hAnsi="Times New Roman" w:eastAsia="仿宋_GB2312" w:cs="Times New Roman"/>
          <w:sz w:val="32"/>
          <w:szCs w:val="32"/>
        </w:rPr>
        <w:t>（图1：收入、支出决算总计变动情况图）（柱状图）</w:t>
      </w:r>
    </w:p>
    <w:p w14:paraId="2A4151C1">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黑体" w:cs="Times New Roman"/>
          <w:sz w:val="32"/>
          <w:szCs w:val="32"/>
        </w:rPr>
      </w:pPr>
      <w:bookmarkStart w:id="14" w:name="_Toc15396604"/>
      <w:bookmarkStart w:id="15" w:name="_Toc15377206"/>
      <w:r>
        <w:rPr>
          <w:rFonts w:hint="default" w:ascii="Times New Roman" w:hAnsi="Times New Roman" w:eastAsia="黑体" w:cs="Times New Roman"/>
          <w:sz w:val="32"/>
          <w:szCs w:val="32"/>
        </w:rPr>
        <w:t>二、收入决算情况说明</w:t>
      </w:r>
      <w:bookmarkEnd w:id="14"/>
      <w:bookmarkEnd w:id="15"/>
    </w:p>
    <w:p w14:paraId="521B9DB4">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本年收入合计3326.64万元，其中：一般公共预算财政拨款收入3326.64万元，占100%；政府性基金预算财政拨款收入0万元，占0%；国有资本经营预算财政拨款收入0万元，占0%；上级补助收入0万元，占0%；事业收入0万元，占0%；经营收入0万元，占0%；附属单位上缴收入0万元，占0%；其他收入0万元，占0%。</w:t>
      </w:r>
      <w:r>
        <w:rPr>
          <w:rFonts w:hint="default" w:ascii="Times New Roman" w:hAnsi="Times New Roman" w:eastAsia="仿宋_GB2312" w:cs="Times New Roman"/>
          <w:b/>
          <w:bCs/>
          <w:sz w:val="32"/>
          <w:szCs w:val="32"/>
        </w:rPr>
        <w:t>（注：仅罗列本部门涉及的收入）</w:t>
      </w:r>
    </w:p>
    <w:p w14:paraId="124E4976">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（图2：收入决算结构图）（饼状图）</w:t>
      </w:r>
      <w:r>
        <w:rPr>
          <w:rStyle w:val="196"/>
          <w:rFonts w:hint="default" w:ascii="Times New Roman" w:hAnsi="Times New Roman" w:eastAsia="仿宋_GB2312" w:cs="Times New Roman"/>
          <w:b w:val="0"/>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163195</wp:posOffset>
            </wp:positionV>
            <wp:extent cx="5274310" cy="2580640"/>
            <wp:effectExtent l="4445" t="4445" r="17145" b="5715"/>
            <wp:wrapTight wrapText="bothSides">
              <wp:wrapPolygon>
                <wp:start x="-18" y="-37"/>
                <wp:lineTo x="-18" y="21488"/>
                <wp:lineTo x="21514" y="21488"/>
                <wp:lineTo x="21514" y="-37"/>
                <wp:lineTo x="-18" y="-37"/>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008A8D45">
      <w:pPr>
        <w:pStyle w:val="194"/>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16" w:name="_Toc15396605"/>
      <w:bookmarkStart w:id="17" w:name="_Toc15377207"/>
      <w:r>
        <w:rPr>
          <w:rFonts w:hint="default" w:ascii="Times New Roman" w:hAnsi="Times New Roman" w:eastAsia="黑体" w:cs="Times New Roman"/>
          <w:sz w:val="32"/>
          <w:szCs w:val="32"/>
        </w:rPr>
        <w:t>三、支</w:t>
      </w:r>
      <w:r>
        <w:rPr>
          <w:rStyle w:val="196"/>
          <w:rFonts w:hint="default" w:ascii="Times New Roman" w:hAnsi="Times New Roman" w:eastAsia="黑体" w:cs="Times New Roman"/>
          <w:b w:val="0"/>
        </w:rPr>
        <w:t>出决算情况说明</w:t>
      </w:r>
      <w:bookmarkEnd w:id="16"/>
      <w:bookmarkEnd w:id="17"/>
    </w:p>
    <w:p w14:paraId="71214D7D">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2025年度本年支出合计3334.1万元，其中：基本支出428.53万元，占12.85%；项目支出2905.58万元，占87.1</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%；上缴上级支出0万元，占0%；经营支出0万元，占0%；对附属单位补助支出0万元，占0%。</w:t>
      </w:r>
      <w:r>
        <w:rPr>
          <w:rFonts w:hint="default" w:ascii="Times New Roman" w:hAnsi="Times New Roman" w:eastAsia="仿宋_GB2312" w:cs="Times New Roman"/>
          <w:b/>
          <w:bCs/>
          <w:sz w:val="32"/>
          <w:szCs w:val="32"/>
        </w:rPr>
        <w:t>（注：仅包含本部门涉及的支出）</w:t>
      </w:r>
    </w:p>
    <w:p w14:paraId="41F22784">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rPr>
      </w:pPr>
      <w:r>
        <w:rPr>
          <w:rFonts w:hint="default" w:ascii="Times New Roman" w:hAnsi="Times New Roman" w:eastAsia="仿宋_GB2312" w:cs="Times New Roman"/>
          <w:sz w:val="32"/>
          <w:szCs w:val="32"/>
        </w:rPr>
        <w:drawing>
          <wp:anchor distT="0" distB="0" distL="114300" distR="114300" simplePos="0" relativeHeight="251660288" behindDoc="1" locked="0" layoutInCell="1" allowOverlap="1">
            <wp:simplePos x="0" y="0"/>
            <wp:positionH relativeFrom="column">
              <wp:posOffset>281305</wp:posOffset>
            </wp:positionH>
            <wp:positionV relativeFrom="paragraph">
              <wp:posOffset>22860</wp:posOffset>
            </wp:positionV>
            <wp:extent cx="5266690" cy="2371090"/>
            <wp:effectExtent l="4445" t="4445" r="5715" b="5715"/>
            <wp:wrapTight wrapText="bothSides">
              <wp:wrapPolygon>
                <wp:start x="-18" y="-40"/>
                <wp:lineTo x="-18" y="21479"/>
                <wp:lineTo x="21545" y="21479"/>
                <wp:lineTo x="21545" y="-40"/>
                <wp:lineTo x="-18" y="-40"/>
              </wp:wrapPolygon>
            </wp:wrapTight>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sz w:val="32"/>
          <w:szCs w:val="32"/>
        </w:rPr>
        <w:t>（图3：支出决算结构图）（饼状图）</w:t>
      </w:r>
    </w:p>
    <w:p w14:paraId="450A612B">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18" w:name="_Toc15396606"/>
      <w:bookmarkStart w:id="19" w:name="_Toc15377208"/>
      <w:r>
        <w:rPr>
          <w:rFonts w:hint="default" w:ascii="Times New Roman" w:hAnsi="Times New Roman" w:eastAsia="黑体" w:cs="Times New Roman"/>
          <w:sz w:val="32"/>
          <w:szCs w:val="32"/>
        </w:rPr>
        <w:t>四、财</w:t>
      </w:r>
      <w:r>
        <w:rPr>
          <w:rStyle w:val="196"/>
          <w:rFonts w:hint="default" w:ascii="Times New Roman" w:hAnsi="Times New Roman" w:eastAsia="黑体" w:cs="Times New Roman"/>
          <w:b w:val="0"/>
        </w:rPr>
        <w:t>政拨款收入支出决算总体情况说明</w:t>
      </w:r>
      <w:bookmarkEnd w:id="18"/>
      <w:bookmarkEnd w:id="19"/>
    </w:p>
    <w:p w14:paraId="07BEBA16">
      <w:pPr>
        <w:pStyle w:val="194"/>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2025年度财政拨款收入、支出总计均为3326.64万元。与上年度相比，财政拨款收入、支出总计各增加</w:t>
      </w:r>
      <w:r>
        <w:rPr>
          <w:rFonts w:hint="default" w:ascii="Times New Roman" w:hAnsi="Times New Roman" w:eastAsia="仿宋_GB2312" w:cs="Times New Roman"/>
          <w:sz w:val="32"/>
          <w:szCs w:val="32"/>
          <w:lang w:val="en-US" w:eastAsia="zh-CN"/>
        </w:rPr>
        <w:t>2615.98</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361.6</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增加了州级机关单位办公用房租赁项目2300.45万元和州民族团结广场集中办公区物业服务项目190.39万元的支出。</w:t>
      </w:r>
    </w:p>
    <w:p w14:paraId="7E664C55">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rPr>
        <w:t>（图4：财政拨款收、支决算总计变动情况）（柱状图）</w:t>
      </w:r>
      <w:r>
        <w:rPr>
          <w:rFonts w:hint="default" w:ascii="Times New Roman" w:hAnsi="Times New Roman" w:eastAsia="仿宋_GB2312" w:cs="Times New Roman"/>
          <w:b/>
          <w:sz w:val="32"/>
          <w:szCs w:val="32"/>
        </w:rPr>
        <w:drawing>
          <wp:anchor distT="0" distB="0" distL="114300" distR="114300" simplePos="0" relativeHeight="251661312" behindDoc="1" locked="0" layoutInCell="1" allowOverlap="1">
            <wp:simplePos x="0" y="0"/>
            <wp:positionH relativeFrom="column">
              <wp:posOffset>147955</wp:posOffset>
            </wp:positionH>
            <wp:positionV relativeFrom="paragraph">
              <wp:posOffset>243205</wp:posOffset>
            </wp:positionV>
            <wp:extent cx="5285105" cy="2854960"/>
            <wp:effectExtent l="4445" t="4445" r="6350" b="17145"/>
            <wp:wrapTight wrapText="bothSides">
              <wp:wrapPolygon>
                <wp:start x="-18" y="-34"/>
                <wp:lineTo x="-18" y="21441"/>
                <wp:lineTo x="21548" y="21441"/>
                <wp:lineTo x="21548" y="-34"/>
                <wp:lineTo x="-18" y="-34"/>
              </wp:wrapPolygon>
            </wp:wrapTight>
            <wp:docPr id="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B6D3088">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20" w:name="_Toc15377209"/>
      <w:bookmarkStart w:id="21"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196"/>
          <w:rFonts w:hint="default" w:ascii="Times New Roman" w:hAnsi="Times New Roman" w:eastAsia="黑体" w:cs="Times New Roman"/>
          <w:b w:val="0"/>
        </w:rPr>
        <w:t>般公共预算财政拨款支出决算情况说明</w:t>
      </w:r>
      <w:bookmarkEnd w:id="20"/>
      <w:bookmarkEnd w:id="21"/>
    </w:p>
    <w:p w14:paraId="4B9CDC5A">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22" w:name="_Toc15377210"/>
      <w:r>
        <w:rPr>
          <w:rFonts w:hint="default" w:ascii="Times New Roman" w:hAnsi="Times New Roman" w:eastAsia="楷体_GB2312" w:cs="Times New Roman"/>
          <w:b w:val="0"/>
          <w:bCs/>
          <w:sz w:val="32"/>
          <w:szCs w:val="32"/>
        </w:rPr>
        <w:t>（一）一般公共预算财政拨款支出决算总体情况</w:t>
      </w:r>
      <w:bookmarkEnd w:id="22"/>
    </w:p>
    <w:p w14:paraId="4FFB3FCA">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2025年度一般公共预算财政拨款支出3326.64万元，占本年支出合计的99.77%。与上年度相比，一般公共预算财政拨款支出增加</w:t>
      </w:r>
      <w:r>
        <w:rPr>
          <w:rFonts w:hint="default" w:ascii="Times New Roman" w:hAnsi="Times New Roman" w:eastAsia="仿宋_GB2312" w:cs="Times New Roman"/>
          <w:sz w:val="32"/>
          <w:szCs w:val="32"/>
          <w:lang w:val="en-US" w:eastAsia="zh-CN"/>
        </w:rPr>
        <w:t>2605.98</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361.6</w:t>
      </w:r>
      <w:r>
        <w:rPr>
          <w:rFonts w:hint="default" w:ascii="Times New Roman" w:hAnsi="Times New Roman" w:eastAsia="仿宋_GB2312" w:cs="Times New Roman"/>
          <w:sz w:val="32"/>
          <w:szCs w:val="32"/>
        </w:rPr>
        <w:t>%。主要变动原因是</w:t>
      </w:r>
      <w:r>
        <w:rPr>
          <w:rFonts w:hint="default" w:ascii="Times New Roman" w:hAnsi="Times New Roman" w:eastAsia="仿宋_GB2312" w:cs="Times New Roman"/>
          <w:sz w:val="32"/>
          <w:szCs w:val="32"/>
          <w:lang w:val="en-US" w:eastAsia="zh-CN"/>
        </w:rPr>
        <w:t>增加了州级机关单位办公用房租赁项目2300.45万元和州民族团结广场集中办公区物业服务项目190.39万元的支出。</w:t>
      </w:r>
    </w:p>
    <w:p w14:paraId="1E73E381">
      <w:pPr>
        <w:pStyle w:val="13"/>
        <w:pageBreakBefore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rPr>
        <w:t>（图5：一般公共预算财政拨款支出决算变动情况）（柱状图）</w:t>
      </w:r>
      <w:r>
        <w:rPr>
          <w:rFonts w:hint="default" w:ascii="Times New Roman" w:hAnsi="Times New Roman" w:eastAsia="仿宋_GB2312" w:cs="Times New Roman"/>
          <w:sz w:val="32"/>
          <w:szCs w:val="32"/>
        </w:rPr>
        <w:drawing>
          <wp:anchor distT="0" distB="0" distL="114300" distR="114300" simplePos="0" relativeHeight="251662336" behindDoc="1" locked="0" layoutInCell="1" allowOverlap="1">
            <wp:simplePos x="0" y="0"/>
            <wp:positionH relativeFrom="column">
              <wp:posOffset>62230</wp:posOffset>
            </wp:positionH>
            <wp:positionV relativeFrom="paragraph">
              <wp:posOffset>119380</wp:posOffset>
            </wp:positionV>
            <wp:extent cx="5256530" cy="2988310"/>
            <wp:effectExtent l="5080" t="4445" r="15240" b="17145"/>
            <wp:wrapTight wrapText="bothSides">
              <wp:wrapPolygon>
                <wp:start x="-21" y="-32"/>
                <wp:lineTo x="-21" y="21449"/>
                <wp:lineTo x="21506" y="21449"/>
                <wp:lineTo x="21506" y="-32"/>
                <wp:lineTo x="-21" y="-32"/>
              </wp:wrapPolygon>
            </wp:wrapTight>
            <wp:docPr id="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6D8CDF8">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23" w:name="_Toc15377211"/>
      <w:r>
        <w:rPr>
          <w:rFonts w:hint="default" w:ascii="Times New Roman" w:hAnsi="Times New Roman" w:eastAsia="楷体_GB2312" w:cs="Times New Roman"/>
          <w:b w:val="0"/>
          <w:bCs/>
          <w:sz w:val="32"/>
          <w:szCs w:val="32"/>
        </w:rPr>
        <w:t>（二）一般公共预算财政拨款支出决算结构情况</w:t>
      </w:r>
      <w:bookmarkEnd w:id="23"/>
    </w:p>
    <w:p w14:paraId="2622DC18">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sz w:val="32"/>
          <w:szCs w:val="32"/>
        </w:rPr>
        <w:t>2025年度一般公共预算财政拨款支出3326.64万元，主要用于以下方面：一般公共服务支出</w:t>
      </w:r>
      <w:r>
        <w:rPr>
          <w:rFonts w:hint="default" w:ascii="Times New Roman" w:hAnsi="Times New Roman" w:eastAsia="仿宋_GB2312" w:cs="Times New Roman"/>
          <w:sz w:val="32"/>
          <w:szCs w:val="32"/>
          <w:lang w:val="en-US" w:eastAsia="zh-CN"/>
        </w:rPr>
        <w:t>3251.4</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97.73</w:t>
      </w:r>
      <w:r>
        <w:rPr>
          <w:rFonts w:hint="default" w:ascii="Times New Roman" w:hAnsi="Times New Roman" w:eastAsia="仿宋_GB2312" w:cs="Times New Roman"/>
          <w:sz w:val="32"/>
          <w:szCs w:val="32"/>
        </w:rPr>
        <w:t>%；社会保障和就业支出42.86万元，占</w:t>
      </w:r>
      <w:r>
        <w:rPr>
          <w:rFonts w:hint="default" w:ascii="Times New Roman" w:hAnsi="Times New Roman" w:eastAsia="仿宋_GB2312" w:cs="Times New Roman"/>
          <w:sz w:val="32"/>
          <w:szCs w:val="32"/>
          <w:lang w:val="en-US" w:eastAsia="zh-CN"/>
        </w:rPr>
        <w:t>1.29</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15.82</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0.47</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24.03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0.72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p>
    <w:p w14:paraId="15B4FAC1">
      <w:pPr>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pacing w:val="0"/>
          <w:kern w:val="2"/>
          <w:sz w:val="32"/>
          <w:szCs w:val="32"/>
          <w:lang w:bidi="ar-SA"/>
        </w:rPr>
        <w:drawing>
          <wp:anchor distT="0" distB="0" distL="114300" distR="114300" simplePos="0" relativeHeight="251663360" behindDoc="1" locked="0" layoutInCell="1" allowOverlap="1">
            <wp:simplePos x="0" y="0"/>
            <wp:positionH relativeFrom="column">
              <wp:posOffset>269875</wp:posOffset>
            </wp:positionH>
            <wp:positionV relativeFrom="paragraph">
              <wp:posOffset>349885</wp:posOffset>
            </wp:positionV>
            <wp:extent cx="5256530" cy="2854960"/>
            <wp:effectExtent l="4445" t="4445" r="15875" b="17145"/>
            <wp:wrapTight wrapText="bothSides">
              <wp:wrapPolygon>
                <wp:start x="-18" y="-34"/>
                <wp:lineTo x="-18" y="21441"/>
                <wp:lineTo x="21509" y="21441"/>
                <wp:lineTo x="21509" y="-34"/>
                <wp:lineTo x="-18" y="-34"/>
              </wp:wrapPolygon>
            </wp:wrapTight>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_GB2312" w:cs="Times New Roman"/>
          <w:sz w:val="32"/>
          <w:szCs w:val="32"/>
        </w:rPr>
        <w:t>（图6：一般公共预算财政拨款支出决算结构）</w:t>
      </w:r>
    </w:p>
    <w:p w14:paraId="3A302BA1">
      <w:pPr>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rPr>
      </w:pPr>
    </w:p>
    <w:p w14:paraId="022AFEB6">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24" w:name="_Toc15377212"/>
      <w:r>
        <w:rPr>
          <w:rFonts w:hint="default" w:ascii="Times New Roman" w:hAnsi="Times New Roman" w:eastAsia="楷体_GB2312" w:cs="Times New Roman"/>
          <w:b w:val="0"/>
          <w:bCs/>
          <w:sz w:val="32"/>
          <w:szCs w:val="32"/>
        </w:rPr>
        <w:t>（三）一般公共预算财政拨款支出决算具体情况</w:t>
      </w:r>
      <w:bookmarkEnd w:id="24"/>
    </w:p>
    <w:p w14:paraId="34FA5D94">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bookmarkStart w:id="25" w:name="_Toc15378460"/>
      <w:bookmarkStart w:id="26" w:name="_Toc15377213"/>
      <w:bookmarkStart w:id="27" w:name="_Toc15377444"/>
      <w:r>
        <w:rPr>
          <w:rFonts w:hint="default" w:ascii="Times New Roman" w:hAnsi="Times New Roman" w:eastAsia="仿宋_GB2312" w:cs="Times New Roman"/>
          <w:sz w:val="32"/>
          <w:szCs w:val="32"/>
        </w:rPr>
        <w:t>2025年度一般公共预算支出决算数为3326.64，完成预算</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%。其中：</w:t>
      </w:r>
      <w:bookmarkEnd w:id="25"/>
      <w:bookmarkEnd w:id="26"/>
      <w:bookmarkEnd w:id="27"/>
    </w:p>
    <w:p w14:paraId="4DD465B6">
      <w:pPr>
        <w:pStyle w:val="202"/>
        <w:pageBreakBefore w:val="0"/>
        <w:numPr>
          <w:ilvl w:val="0"/>
          <w:numId w:val="0"/>
        </w:numPr>
        <w:kinsoku/>
        <w:wordWrap/>
        <w:overflowPunct/>
        <w:topLinePunct w:val="0"/>
        <w:autoSpaceDE/>
        <w:autoSpaceDN/>
        <w:bidi w:val="0"/>
        <w:spacing w:before="0" w:beforeAutospacing="0" w:after="0" w:afterAutospacing="0" w:line="560" w:lineRule="exact"/>
        <w:ind w:right="0" w:rightChars="0" w:firstLine="640" w:firstLineChars="200"/>
        <w:textAlignment w:val="auto"/>
        <w:rPr>
          <w:rStyle w:val="203"/>
          <w:rFonts w:hint="default" w:ascii="Times New Roman" w:hAnsi="Times New Roman" w:eastAsia="仿宋_GB2312" w:cs="Times New Roman"/>
          <w:b w:val="0"/>
          <w:color w:val="auto"/>
          <w:sz w:val="32"/>
          <w:szCs w:val="32"/>
        </w:rPr>
      </w:pPr>
      <w:r>
        <w:rPr>
          <w:rStyle w:val="203"/>
          <w:rFonts w:hint="default" w:ascii="Times New Roman" w:hAnsi="Times New Roman" w:eastAsia="仿宋_GB2312" w:cs="Times New Roman"/>
          <w:b w:val="0"/>
          <w:bCs/>
          <w:kern w:val="2"/>
          <w:sz w:val="32"/>
          <w:szCs w:val="32"/>
          <w:lang w:val="en-US" w:eastAsia="zh-CN" w:bidi="ar-SA"/>
        </w:rPr>
        <w:t>1、</w:t>
      </w:r>
      <w:r>
        <w:rPr>
          <w:rStyle w:val="203"/>
          <w:rFonts w:hint="default" w:ascii="Times New Roman" w:hAnsi="Times New Roman" w:eastAsia="仿宋_GB2312" w:cs="Times New Roman"/>
          <w:b w:val="0"/>
          <w:bCs/>
          <w:kern w:val="2"/>
          <w:sz w:val="32"/>
          <w:szCs w:val="32"/>
          <w:lang w:bidi="ar-SA"/>
        </w:rPr>
        <w:t>一般公共服务支出（类）201政府办公厅（室）及相关机构事务（款）03行政运行（项）01：</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rPr>
        <w:t>345.82</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r>
        <w:rPr>
          <w:rStyle w:val="203"/>
          <w:rFonts w:hint="default" w:ascii="Times New Roman" w:hAnsi="Times New Roman" w:eastAsia="仿宋_GB2312" w:cs="Times New Roman"/>
          <w:b w:val="0"/>
          <w:color w:val="auto"/>
          <w:sz w:val="32"/>
          <w:szCs w:val="32"/>
          <w:lang w:bidi="ar-SA"/>
        </w:rPr>
        <w:t>。</w:t>
      </w:r>
    </w:p>
    <w:p w14:paraId="3B53AE6B">
      <w:pPr>
        <w:pStyle w:val="202"/>
        <w:pageBreakBefore w:val="0"/>
        <w:numPr>
          <w:ilvl w:val="0"/>
          <w:numId w:val="2"/>
        </w:numPr>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color w:val="auto"/>
          <w:sz w:val="32"/>
          <w:szCs w:val="32"/>
        </w:rPr>
      </w:pPr>
      <w:r>
        <w:rPr>
          <w:rStyle w:val="203"/>
          <w:rFonts w:hint="default" w:ascii="Times New Roman" w:hAnsi="Times New Roman" w:eastAsia="仿宋_GB2312" w:cs="Times New Roman"/>
          <w:b w:val="0"/>
          <w:bCs/>
          <w:kern w:val="2"/>
          <w:sz w:val="32"/>
          <w:szCs w:val="32"/>
          <w:lang w:bidi="ar-SA"/>
        </w:rPr>
        <w:t>一般公共服务支出（类）201政府办公厅（室）及相关机构事务（款）03一般行政管理事务（项）02：</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rPr>
        <w:t>2898.11</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r>
        <w:rPr>
          <w:rStyle w:val="203"/>
          <w:rFonts w:hint="default" w:ascii="Times New Roman" w:hAnsi="Times New Roman" w:eastAsia="仿宋_GB2312" w:cs="Times New Roman"/>
          <w:b w:val="0"/>
          <w:color w:val="auto"/>
          <w:sz w:val="32"/>
          <w:szCs w:val="32"/>
          <w:lang w:bidi="ar-SA"/>
        </w:rPr>
        <w:t>。</w:t>
      </w:r>
    </w:p>
    <w:p w14:paraId="25DD7644">
      <w:pPr>
        <w:pStyle w:val="202"/>
        <w:pageBreakBefore w:val="0"/>
        <w:kinsoku/>
        <w:wordWrap/>
        <w:overflowPunct/>
        <w:topLinePunct w:val="0"/>
        <w:autoSpaceDE/>
        <w:autoSpaceDN/>
        <w:bidi w:val="0"/>
        <w:spacing w:before="0" w:beforeAutospacing="0" w:after="0" w:afterAutospacing="0" w:line="560" w:lineRule="exact"/>
        <w:ind w:firstLine="640" w:firstLineChars="200"/>
        <w:textAlignment w:val="auto"/>
        <w:rPr>
          <w:rFonts w:hint="default" w:ascii="Times New Roman" w:hAnsi="Times New Roman" w:eastAsia="仿宋_GB2312" w:cs="Times New Roman"/>
          <w:kern w:val="2"/>
          <w:sz w:val="32"/>
          <w:szCs w:val="32"/>
        </w:rPr>
      </w:pPr>
      <w:r>
        <w:rPr>
          <w:rStyle w:val="203"/>
          <w:rFonts w:hint="default" w:ascii="Times New Roman" w:hAnsi="Times New Roman" w:eastAsia="仿宋_GB2312" w:cs="Times New Roman"/>
          <w:b w:val="0"/>
          <w:bCs/>
          <w:kern w:val="2"/>
          <w:sz w:val="32"/>
          <w:szCs w:val="32"/>
          <w:lang w:val="en-US" w:eastAsia="zh-CN" w:bidi="ar-SA"/>
        </w:rPr>
        <w:t>3、</w:t>
      </w:r>
      <w:r>
        <w:rPr>
          <w:rStyle w:val="203"/>
          <w:rFonts w:hint="default" w:ascii="Times New Roman" w:hAnsi="Times New Roman" w:eastAsia="仿宋_GB2312" w:cs="Times New Roman"/>
          <w:b w:val="0"/>
          <w:bCs/>
          <w:kern w:val="2"/>
          <w:sz w:val="32"/>
          <w:szCs w:val="32"/>
          <w:lang w:bidi="ar-SA"/>
        </w:rPr>
        <w:t>社会保障和就业支出（类）208行政事业单位养老支出（款）05机关事业单位基本养老保险缴费支出（项）05：</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bidi="ar-SA"/>
        </w:rPr>
        <w:t>28.51</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p>
    <w:p w14:paraId="3DD291CF">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Fonts w:hint="default" w:ascii="Times New Roman" w:hAnsi="Times New Roman" w:eastAsia="仿宋_GB2312" w:cs="Times New Roman"/>
          <w:kern w:val="2"/>
          <w:sz w:val="32"/>
          <w:szCs w:val="32"/>
        </w:rPr>
      </w:pPr>
      <w:r>
        <w:rPr>
          <w:rStyle w:val="203"/>
          <w:rFonts w:hint="default" w:ascii="Times New Roman" w:hAnsi="Times New Roman" w:eastAsia="仿宋_GB2312" w:cs="Times New Roman"/>
          <w:b w:val="0"/>
          <w:bCs/>
          <w:kern w:val="2"/>
          <w:sz w:val="32"/>
          <w:szCs w:val="32"/>
          <w:lang w:val="en-US" w:eastAsia="zh-CN" w:bidi="ar-SA"/>
        </w:rPr>
        <w:t>5、</w:t>
      </w:r>
      <w:r>
        <w:rPr>
          <w:rStyle w:val="203"/>
          <w:rFonts w:hint="default" w:ascii="Times New Roman" w:hAnsi="Times New Roman" w:eastAsia="仿宋_GB2312" w:cs="Times New Roman"/>
          <w:b w:val="0"/>
          <w:bCs/>
          <w:kern w:val="2"/>
          <w:sz w:val="32"/>
          <w:szCs w:val="32"/>
          <w:lang w:bidi="ar-SA"/>
        </w:rPr>
        <w:t>社会保障和就业支出（类:208行政事业单位养老支出（款）05机关事业单位职业年金缴费支出（项）06：</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bidi="ar-SA"/>
        </w:rPr>
        <w:t>14.35</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p>
    <w:p w14:paraId="3160DC78">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bCs/>
          <w:color w:val="auto"/>
          <w:sz w:val="32"/>
          <w:szCs w:val="32"/>
          <w:lang w:bidi="ar-SA"/>
        </w:rPr>
      </w:pPr>
      <w:r>
        <w:rPr>
          <w:rStyle w:val="203"/>
          <w:rFonts w:hint="default" w:ascii="Times New Roman" w:hAnsi="Times New Roman" w:eastAsia="仿宋_GB2312" w:cs="Times New Roman"/>
          <w:b w:val="0"/>
          <w:bCs/>
          <w:kern w:val="2"/>
          <w:sz w:val="32"/>
          <w:szCs w:val="32"/>
          <w:lang w:val="en-US" w:eastAsia="zh-CN" w:bidi="ar-SA"/>
        </w:rPr>
        <w:t>6、</w:t>
      </w:r>
      <w:r>
        <w:rPr>
          <w:rStyle w:val="203"/>
          <w:rFonts w:hint="default" w:ascii="Times New Roman" w:hAnsi="Times New Roman" w:eastAsia="仿宋_GB2312" w:cs="Times New Roman"/>
          <w:b w:val="0"/>
          <w:bCs/>
          <w:kern w:val="2"/>
          <w:sz w:val="32"/>
          <w:szCs w:val="32"/>
          <w:lang w:bidi="ar-SA"/>
        </w:rPr>
        <w:t>卫生健康支出（类）210行政事业单位医疗（款）11行政单位医疗（项）01：</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rPr>
        <w:t>13.68</w:t>
      </w:r>
      <w:r>
        <w:rPr>
          <w:rFonts w:hint="default" w:ascii="Times New Roman" w:hAnsi="Times New Roman" w:eastAsia="仿宋_GB2312" w:cs="Times New Roman"/>
          <w:kern w:val="2"/>
          <w:sz w:val="32"/>
          <w:szCs w:val="32"/>
        </w:rPr>
        <w:t>万元</w:t>
      </w:r>
      <w:r>
        <w:rPr>
          <w:rFonts w:hint="default" w:ascii="Times New Roman" w:hAnsi="Times New Roman" w:eastAsia="仿宋_GB2312" w:cs="Times New Roman"/>
          <w:b w:val="0"/>
          <w:bCs/>
          <w:kern w:val="2"/>
          <w:sz w:val="32"/>
          <w:szCs w:val="32"/>
        </w:rPr>
        <w:t>。</w:t>
      </w:r>
      <w:r>
        <w:rPr>
          <w:rStyle w:val="203"/>
          <w:rFonts w:hint="default" w:ascii="Times New Roman" w:hAnsi="Times New Roman" w:eastAsia="仿宋_GB2312" w:cs="Times New Roman"/>
          <w:b w:val="0"/>
          <w:bCs/>
          <w:color w:val="auto"/>
          <w:sz w:val="32"/>
          <w:szCs w:val="32"/>
          <w:lang w:bidi="ar-SA"/>
        </w:rPr>
        <w:t>完成预算100%。</w:t>
      </w:r>
    </w:p>
    <w:p w14:paraId="09FC50EE">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color w:val="auto"/>
          <w:sz w:val="32"/>
          <w:szCs w:val="32"/>
          <w:lang w:bidi="ar-SA"/>
        </w:rPr>
      </w:pPr>
      <w:r>
        <w:rPr>
          <w:rStyle w:val="203"/>
          <w:rFonts w:hint="default" w:ascii="Times New Roman" w:hAnsi="Times New Roman" w:eastAsia="仿宋_GB2312" w:cs="Times New Roman"/>
          <w:b w:val="0"/>
          <w:bCs/>
          <w:kern w:val="2"/>
          <w:sz w:val="32"/>
          <w:szCs w:val="32"/>
          <w:lang w:val="en-US" w:eastAsia="zh-CN" w:bidi="ar-SA"/>
        </w:rPr>
        <w:t>7、</w:t>
      </w:r>
      <w:r>
        <w:rPr>
          <w:rStyle w:val="203"/>
          <w:rFonts w:hint="default" w:ascii="Times New Roman" w:hAnsi="Times New Roman" w:eastAsia="仿宋_GB2312" w:cs="Times New Roman"/>
          <w:b w:val="0"/>
          <w:bCs/>
          <w:kern w:val="2"/>
          <w:sz w:val="32"/>
          <w:szCs w:val="32"/>
          <w:lang w:bidi="ar-SA"/>
        </w:rPr>
        <w:t>卫生健康支出（类）210行政事业单位医疗（款）11公务员医疗补助（项）03：</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bidi="ar-SA"/>
        </w:rPr>
        <w:t>2.14</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r>
        <w:rPr>
          <w:rStyle w:val="203"/>
          <w:rFonts w:hint="default" w:ascii="Times New Roman" w:hAnsi="Times New Roman" w:eastAsia="仿宋_GB2312" w:cs="Times New Roman"/>
          <w:b w:val="0"/>
          <w:color w:val="auto"/>
          <w:sz w:val="32"/>
          <w:szCs w:val="32"/>
          <w:lang w:bidi="ar-SA"/>
        </w:rPr>
        <w:t>。</w:t>
      </w:r>
    </w:p>
    <w:p w14:paraId="5A6966BC">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color w:val="auto"/>
          <w:sz w:val="32"/>
          <w:szCs w:val="32"/>
        </w:rPr>
      </w:pPr>
      <w:r>
        <w:rPr>
          <w:rStyle w:val="203"/>
          <w:rFonts w:hint="default" w:ascii="Times New Roman" w:hAnsi="Times New Roman" w:eastAsia="仿宋_GB2312" w:cs="Times New Roman"/>
          <w:b w:val="0"/>
          <w:bCs/>
          <w:kern w:val="2"/>
          <w:sz w:val="32"/>
          <w:szCs w:val="32"/>
          <w:lang w:val="en-US" w:eastAsia="zh-CN" w:bidi="ar-SA"/>
        </w:rPr>
        <w:t>8、</w:t>
      </w:r>
      <w:r>
        <w:rPr>
          <w:rStyle w:val="203"/>
          <w:rFonts w:hint="default" w:ascii="Times New Roman" w:hAnsi="Times New Roman" w:eastAsia="仿宋_GB2312" w:cs="Times New Roman"/>
          <w:b w:val="0"/>
          <w:bCs/>
          <w:kern w:val="2"/>
          <w:sz w:val="32"/>
          <w:szCs w:val="32"/>
          <w:lang w:bidi="ar-SA"/>
        </w:rPr>
        <w:t>住房保障支出（类）221住房改革支出（款）02住房公积金（项）01：</w:t>
      </w:r>
      <w:r>
        <w:rPr>
          <w:rFonts w:hint="default" w:ascii="Times New Roman" w:hAnsi="Times New Roman" w:eastAsia="仿宋_GB2312" w:cs="Times New Roman"/>
          <w:kern w:val="2"/>
          <w:sz w:val="32"/>
          <w:szCs w:val="32"/>
        </w:rPr>
        <w:t>支出决算为</w:t>
      </w:r>
      <w:r>
        <w:rPr>
          <w:rFonts w:hint="default" w:ascii="Times New Roman" w:hAnsi="Times New Roman" w:eastAsia="仿宋_GB2312" w:cs="Times New Roman"/>
          <w:kern w:val="2"/>
          <w:sz w:val="32"/>
          <w:szCs w:val="32"/>
          <w:lang w:val="en-US" w:eastAsia="zh-CN" w:bidi="ar-SA"/>
        </w:rPr>
        <w:t>24.03</w:t>
      </w:r>
      <w:r>
        <w:rPr>
          <w:rFonts w:hint="default" w:ascii="Times New Roman" w:hAnsi="Times New Roman" w:eastAsia="仿宋_GB2312" w:cs="Times New Roman"/>
          <w:kern w:val="2"/>
          <w:sz w:val="32"/>
          <w:szCs w:val="32"/>
        </w:rPr>
        <w:t>万元。</w:t>
      </w:r>
      <w:r>
        <w:rPr>
          <w:rStyle w:val="203"/>
          <w:rFonts w:hint="default" w:ascii="Times New Roman" w:hAnsi="Times New Roman" w:eastAsia="仿宋_GB2312" w:cs="Times New Roman"/>
          <w:b w:val="0"/>
          <w:color w:val="auto"/>
          <w:sz w:val="32"/>
          <w:szCs w:val="32"/>
          <w:lang w:bidi="ar-SA"/>
        </w:rPr>
        <w:t>完成预算</w:t>
      </w:r>
      <w:r>
        <w:rPr>
          <w:rFonts w:hint="default" w:ascii="Times New Roman" w:hAnsi="Times New Roman" w:eastAsia="仿宋_GB2312" w:cs="Times New Roman"/>
          <w:kern w:val="2"/>
          <w:sz w:val="32"/>
          <w:szCs w:val="32"/>
        </w:rPr>
        <w:t>100%</w:t>
      </w:r>
      <w:r>
        <w:rPr>
          <w:rStyle w:val="203"/>
          <w:rFonts w:hint="default" w:ascii="Times New Roman" w:hAnsi="Times New Roman" w:eastAsia="仿宋_GB2312" w:cs="Times New Roman"/>
          <w:b w:val="0"/>
          <w:color w:val="auto"/>
          <w:sz w:val="32"/>
          <w:szCs w:val="32"/>
          <w:lang w:bidi="ar-SA"/>
        </w:rPr>
        <w:t>。</w:t>
      </w:r>
    </w:p>
    <w:p w14:paraId="59D8D2A8">
      <w:pPr>
        <w:pageBreakBefore w:val="0"/>
        <w:tabs>
          <w:tab w:val="right" w:pos="8306"/>
        </w:tabs>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仿宋_GB2312" w:cs="Times New Roman"/>
        </w:rPr>
      </w:pPr>
      <w:bookmarkStart w:id="28" w:name="_Toc15377214"/>
      <w:bookmarkStart w:id="29"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196"/>
          <w:rFonts w:hint="default" w:ascii="Times New Roman" w:hAnsi="Times New Roman" w:eastAsia="黑体" w:cs="Times New Roman"/>
          <w:b w:val="0"/>
        </w:rPr>
        <w:t>般公共预算财政拨款基本支出决算情况说明</w:t>
      </w:r>
      <w:bookmarkEnd w:id="28"/>
      <w:bookmarkEnd w:id="29"/>
      <w:r>
        <w:rPr>
          <w:rStyle w:val="196"/>
          <w:rFonts w:hint="default" w:ascii="Times New Roman" w:hAnsi="Times New Roman" w:eastAsia="仿宋_GB2312" w:cs="Times New Roman"/>
          <w:b w:val="0"/>
        </w:rPr>
        <w:tab/>
      </w:r>
    </w:p>
    <w:p w14:paraId="2B491840">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w:t>
      </w:r>
      <w:r>
        <w:rPr>
          <w:rFonts w:hint="default" w:ascii="Times New Roman" w:hAnsi="Times New Roman" w:eastAsia="仿宋_GB2312" w:cs="Times New Roman"/>
          <w:sz w:val="32"/>
          <w:szCs w:val="32"/>
          <w:lang w:val="en-US" w:eastAsia="zh-CN"/>
        </w:rPr>
        <w:t>390.73</w:t>
      </w:r>
      <w:r>
        <w:rPr>
          <w:rFonts w:hint="default" w:ascii="Times New Roman" w:hAnsi="Times New Roman" w:eastAsia="仿宋_GB2312" w:cs="Times New Roman"/>
          <w:sz w:val="32"/>
          <w:szCs w:val="32"/>
        </w:rPr>
        <w:t>万元，其中：</w:t>
      </w:r>
    </w:p>
    <w:p w14:paraId="303C7651">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w:t>
      </w:r>
      <w:r>
        <w:rPr>
          <w:rFonts w:hint="default" w:ascii="Times New Roman" w:hAnsi="Times New Roman" w:eastAsia="仿宋_GB2312" w:cs="Times New Roman"/>
          <w:sz w:val="32"/>
          <w:szCs w:val="32"/>
          <w:lang w:val="en-US" w:eastAsia="zh-CN"/>
        </w:rPr>
        <w:t>346.65</w:t>
      </w:r>
      <w:r>
        <w:rPr>
          <w:rFonts w:hint="default" w:ascii="Times New Roman" w:hAnsi="Times New Roman" w:eastAsia="仿宋_GB2312" w:cs="Times New Roman"/>
          <w:sz w:val="32"/>
          <w:szCs w:val="32"/>
        </w:rPr>
        <w:t>万元，主要包括：基本工资、津贴补贴、奖金、伙食补助费、绩效工资、机关事业单位基本养老保险缴费、职业年金缴费、其他社会保障缴费、其他工资福利支出、抚恤金、生活补助、医疗费补助、奖励金、住房公积金、其他对个人和家庭的补助支出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公用经费44.08万元，主要包括：办公费、印刷费、咨询费、手续费、水费、电费、邮电费、物业管理费、差旅费、维修（护）费、培训费、公务接待费、劳务费、委托业务费、福利费、公务用车运行维护费、其他商品和服务支出等。</w:t>
      </w:r>
    </w:p>
    <w:p w14:paraId="09747871">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30" w:name="_Toc15396609"/>
      <w:bookmarkStart w:id="31" w:name="_Toc15377215"/>
      <w:r>
        <w:rPr>
          <w:rFonts w:hint="default" w:ascii="Times New Roman" w:hAnsi="Times New Roman" w:eastAsia="黑体" w:cs="Times New Roman"/>
          <w:sz w:val="32"/>
          <w:szCs w:val="32"/>
        </w:rPr>
        <w:t>七、</w:t>
      </w:r>
      <w:r>
        <w:rPr>
          <w:rStyle w:val="196"/>
          <w:rFonts w:hint="default" w:ascii="Times New Roman" w:hAnsi="Times New Roman" w:eastAsia="黑体" w:cs="Times New Roman"/>
          <w:b w:val="0"/>
        </w:rPr>
        <w:t>财政拨款</w:t>
      </w:r>
      <w:r>
        <w:rPr>
          <w:rStyle w:val="196"/>
          <w:rFonts w:hint="default" w:ascii="Times New Roman" w:hAnsi="Times New Roman" w:eastAsia="黑体" w:cs="Times New Roman"/>
        </w:rPr>
        <w:t>“</w:t>
      </w:r>
      <w:r>
        <w:rPr>
          <w:rStyle w:val="196"/>
          <w:rFonts w:hint="default" w:ascii="Times New Roman" w:hAnsi="Times New Roman" w:eastAsia="黑体" w:cs="Times New Roman"/>
          <w:b w:val="0"/>
        </w:rPr>
        <w:t>三公”经费支出决算情况说明</w:t>
      </w:r>
      <w:bookmarkEnd w:id="30"/>
      <w:bookmarkEnd w:id="31"/>
    </w:p>
    <w:p w14:paraId="623D0B1D">
      <w:pPr>
        <w:pageBreakBefore w:val="0"/>
        <w:kinsoku/>
        <w:wordWrap/>
        <w:overflowPunct/>
        <w:topLinePunct w:val="0"/>
        <w:autoSpaceDE/>
        <w:autoSpaceDN/>
        <w:bidi w:val="0"/>
        <w:spacing w:line="560" w:lineRule="exact"/>
        <w:ind w:firstLine="640" w:firstLineChars="200"/>
        <w:textAlignment w:val="auto"/>
        <w:outlineLvl w:val="2"/>
        <w:rPr>
          <w:rFonts w:hint="eastAsia" w:ascii="楷体_GB2312" w:hAnsi="楷体_GB2312" w:eastAsia="楷体_GB2312" w:cs="楷体_GB2312"/>
          <w:b w:val="0"/>
          <w:bCs/>
          <w:sz w:val="32"/>
          <w:szCs w:val="32"/>
        </w:rPr>
      </w:pPr>
      <w:bookmarkStart w:id="32" w:name="_Toc15377216"/>
      <w:r>
        <w:rPr>
          <w:rFonts w:hint="eastAsia" w:ascii="楷体_GB2312" w:hAnsi="楷体_GB2312" w:eastAsia="楷体_GB2312" w:cs="楷体_GB2312"/>
          <w:b w:val="0"/>
          <w:bCs/>
          <w:sz w:val="32"/>
          <w:szCs w:val="32"/>
        </w:rPr>
        <w:t>（一）财政拨款“三公”经费支出决算总体情况说明</w:t>
      </w:r>
      <w:bookmarkEnd w:id="32"/>
    </w:p>
    <w:p w14:paraId="290A94D2">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2025年度财政拨款“三公”经费支出决算为7.62万元，完成预算97.78%，较上年度减少</w:t>
      </w:r>
      <w:r>
        <w:rPr>
          <w:rFonts w:hint="default" w:ascii="Times New Roman" w:hAnsi="Times New Roman" w:eastAsia="仿宋_GB2312" w:cs="Times New Roman"/>
          <w:sz w:val="32"/>
          <w:szCs w:val="32"/>
          <w:lang w:val="en-US" w:eastAsia="zh-CN"/>
        </w:rPr>
        <w:t>1.39</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15.4</w:t>
      </w:r>
      <w:r>
        <w:rPr>
          <w:rFonts w:hint="default" w:ascii="Times New Roman" w:hAnsi="Times New Roman" w:eastAsia="仿宋_GB2312" w:cs="Times New Roman"/>
          <w:sz w:val="32"/>
          <w:szCs w:val="32"/>
        </w:rPr>
        <w:t>%。决算数</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预算数</w:t>
      </w:r>
      <w:r>
        <w:rPr>
          <w:rFonts w:hint="default" w:ascii="Times New Roman" w:hAnsi="Times New Roman" w:eastAsia="仿宋_GB2312" w:cs="Times New Roman"/>
          <w:sz w:val="32"/>
          <w:szCs w:val="32"/>
          <w:lang w:val="en-US" w:eastAsia="zh-CN"/>
        </w:rPr>
        <w:t>基本持平。</w:t>
      </w:r>
    </w:p>
    <w:p w14:paraId="2618E5DB">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33" w:name="_Toc15377217"/>
      <w:r>
        <w:rPr>
          <w:rFonts w:hint="default" w:ascii="Times New Roman" w:hAnsi="Times New Roman" w:eastAsia="楷体_GB2312" w:cs="Times New Roman"/>
          <w:b w:val="0"/>
          <w:bCs/>
          <w:sz w:val="32"/>
          <w:szCs w:val="32"/>
        </w:rPr>
        <w:t>（二）财政拨款“三公”经费支出决算具体情况说明</w:t>
      </w:r>
      <w:bookmarkEnd w:id="33"/>
    </w:p>
    <w:p w14:paraId="5E3A5220">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2025年度财政拨款“三公”经费支出决算中，因公出国（境）费支出决算0万元；公务用车购置及运行维护费支出决算7.18万元，占</w:t>
      </w:r>
      <w:r>
        <w:rPr>
          <w:rFonts w:hint="default" w:ascii="Times New Roman" w:hAnsi="Times New Roman" w:eastAsia="仿宋_GB2312" w:cs="Times New Roman"/>
          <w:sz w:val="32"/>
          <w:szCs w:val="32"/>
          <w:lang w:val="en-US" w:eastAsia="zh-CN"/>
        </w:rPr>
        <w:t>94.2</w:t>
      </w:r>
      <w:r>
        <w:rPr>
          <w:rFonts w:hint="default" w:ascii="Times New Roman" w:hAnsi="Times New Roman" w:eastAsia="仿宋_GB2312" w:cs="Times New Roman"/>
          <w:sz w:val="32"/>
          <w:szCs w:val="32"/>
        </w:rPr>
        <w:t>%；公务接待费支出决算0.44万元，占</w:t>
      </w:r>
      <w:r>
        <w:rPr>
          <w:rFonts w:hint="default" w:ascii="Times New Roman" w:hAnsi="Times New Roman" w:eastAsia="仿宋_GB2312" w:cs="Times New Roman"/>
          <w:sz w:val="32"/>
          <w:szCs w:val="32"/>
          <w:lang w:val="en-US" w:eastAsia="zh-CN"/>
        </w:rPr>
        <w:t>5.8</w:t>
      </w:r>
      <w:r>
        <w:rPr>
          <w:rFonts w:hint="default" w:ascii="Times New Roman" w:hAnsi="Times New Roman" w:eastAsia="仿宋_GB2312" w:cs="Times New Roman"/>
          <w:sz w:val="32"/>
          <w:szCs w:val="32"/>
        </w:rPr>
        <w:t>%。具体情况如下：</w:t>
      </w:r>
    </w:p>
    <w:p w14:paraId="565F3CD1">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（图7：财政拨款“三公”经费支出结构）（饼状图）</w:t>
      </w:r>
      <w:r>
        <w:rPr>
          <w:rFonts w:hint="default" w:ascii="Times New Roman" w:hAnsi="Times New Roman" w:eastAsia="仿宋_GB2312" w:cs="Times New Roman"/>
          <w:b w:val="0"/>
          <w:bCs w:val="0"/>
          <w:spacing w:val="0"/>
          <w:kern w:val="2"/>
          <w:sz w:val="32"/>
          <w:szCs w:val="32"/>
          <w:lang w:bidi="ar-SA"/>
        </w:rPr>
        <w:drawing>
          <wp:anchor distT="0" distB="0" distL="114300" distR="114300" simplePos="0" relativeHeight="251664384" behindDoc="1" locked="0" layoutInCell="1" allowOverlap="1">
            <wp:simplePos x="0" y="0"/>
            <wp:positionH relativeFrom="column">
              <wp:posOffset>123825</wp:posOffset>
            </wp:positionH>
            <wp:positionV relativeFrom="paragraph">
              <wp:posOffset>-452120</wp:posOffset>
            </wp:positionV>
            <wp:extent cx="5256530" cy="2988310"/>
            <wp:effectExtent l="5080" t="4445" r="15240" b="17145"/>
            <wp:wrapTight wrapText="bothSides">
              <wp:wrapPolygon>
                <wp:start x="-21" y="-32"/>
                <wp:lineTo x="-21" y="21449"/>
                <wp:lineTo x="21506" y="21449"/>
                <wp:lineTo x="21506" y="-32"/>
                <wp:lineTo x="-21" y="-32"/>
              </wp:wrapPolygon>
            </wp:wrapTight>
            <wp:docPr id="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7E17403">
      <w:pPr>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sz w:val="32"/>
          <w:szCs w:val="32"/>
        </w:rPr>
        <w:t>万元，完成预算</w:t>
      </w:r>
      <w:r>
        <w:rPr>
          <w:rFonts w:hint="default" w:ascii="Times New Roman" w:hAnsi="Times New Roman" w:eastAsia="仿宋_GB2312" w:cs="Times New Roman"/>
          <w:b/>
          <w:bCs/>
          <w:sz w:val="32"/>
          <w:szCs w:val="32"/>
          <w:lang w:val="en-US" w:eastAsia="zh-CN"/>
        </w:rPr>
        <w:t>100</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全年安排因公出国（境）团组0次，出国（境）0人。因公出国（境）支出决算</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持平</w:t>
      </w:r>
      <w:r>
        <w:rPr>
          <w:rFonts w:hint="default" w:ascii="Times New Roman" w:hAnsi="Times New Roman" w:eastAsia="仿宋_GB2312" w:cs="Times New Roman"/>
          <w:sz w:val="32"/>
          <w:szCs w:val="32"/>
        </w:rPr>
        <w:t>。</w:t>
      </w:r>
    </w:p>
    <w:p w14:paraId="4EC0B0AD">
      <w:pPr>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2.公务用车购置及运行维护费支出7.18万元，完成预算</w:t>
      </w:r>
      <w:r>
        <w:rPr>
          <w:rFonts w:hint="default" w:ascii="Times New Roman" w:hAnsi="Times New Roman" w:eastAsia="仿宋_GB2312" w:cs="Times New Roman"/>
          <w:b/>
          <w:bCs/>
          <w:sz w:val="32"/>
          <w:szCs w:val="32"/>
          <w:lang w:val="en-US" w:eastAsia="zh-CN"/>
        </w:rPr>
        <w:t>99.7</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公务用车购置及运行维护费支出决算比上年度减少</w:t>
      </w:r>
      <w:r>
        <w:rPr>
          <w:rFonts w:hint="default" w:ascii="Times New Roman" w:hAnsi="Times New Roman" w:eastAsia="仿宋_GB2312" w:cs="Times New Roman"/>
          <w:sz w:val="32"/>
          <w:szCs w:val="32"/>
          <w:lang w:val="en-US" w:eastAsia="zh-CN"/>
        </w:rPr>
        <w:t>1.71</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19.23</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厉行节约。</w:t>
      </w:r>
    </w:p>
    <w:p w14:paraId="01847306">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其中：公务用车购置支出0万元。截至2025年12月31日，单位共有公务用车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w:t>
      </w:r>
    </w:p>
    <w:p w14:paraId="342B6873">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公务用车运行维护费支出7.18万元。主要用于主要用于</w:t>
      </w:r>
      <w:r>
        <w:rPr>
          <w:rFonts w:hint="default" w:ascii="Times New Roman" w:hAnsi="Times New Roman" w:eastAsia="仿宋_GB2312" w:cs="Times New Roman"/>
          <w:sz w:val="32"/>
          <w:szCs w:val="32"/>
          <w:lang w:val="en-US" w:eastAsia="zh-CN"/>
        </w:rPr>
        <w:t>州机关事务管理局出差、培训、会议、群众工作“石榴籽”工程、“联心同行”行动、定点帮扶</w:t>
      </w:r>
      <w:r>
        <w:rPr>
          <w:rFonts w:hint="default" w:ascii="Times New Roman" w:hAnsi="Times New Roman" w:eastAsia="仿宋_GB2312" w:cs="Times New Roman"/>
          <w:sz w:val="32"/>
          <w:szCs w:val="32"/>
        </w:rPr>
        <w:t>等所需的公务用车燃料费、维修费、过路过桥费、保险费等支出。</w:t>
      </w:r>
    </w:p>
    <w:p w14:paraId="25785D1A">
      <w:pPr>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3.公务接待费支出0.44万元，完成预算</w:t>
      </w:r>
      <w:r>
        <w:rPr>
          <w:rFonts w:hint="default" w:ascii="Times New Roman" w:hAnsi="Times New Roman" w:eastAsia="仿宋_GB2312" w:cs="Times New Roman"/>
          <w:b/>
          <w:bCs/>
          <w:sz w:val="32"/>
          <w:szCs w:val="32"/>
          <w:lang w:val="en-US" w:eastAsia="zh-CN"/>
        </w:rPr>
        <w:t>73.3</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sz w:val="32"/>
          <w:szCs w:val="32"/>
        </w:rPr>
        <w:t>公务接待费支出决算比上年度增加</w:t>
      </w:r>
      <w:r>
        <w:rPr>
          <w:rFonts w:hint="default" w:ascii="Times New Roman" w:hAnsi="Times New Roman" w:eastAsia="仿宋_GB2312" w:cs="Times New Roman"/>
          <w:sz w:val="32"/>
          <w:szCs w:val="32"/>
          <w:lang w:val="en-US" w:eastAsia="zh-CN"/>
        </w:rPr>
        <w:t>0.33</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300</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val="en-US" w:eastAsia="zh-CN"/>
        </w:rPr>
        <w:t>业务增多，新能源汽车宣传等业务工作</w:t>
      </w:r>
      <w:r>
        <w:rPr>
          <w:rFonts w:hint="default" w:ascii="Times New Roman" w:hAnsi="Times New Roman" w:eastAsia="仿宋_GB2312" w:cs="Times New Roman"/>
          <w:sz w:val="32"/>
          <w:szCs w:val="32"/>
        </w:rPr>
        <w:t>。其中：</w:t>
      </w:r>
    </w:p>
    <w:p w14:paraId="26849563">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国内公务接待支出0.44万元，主要用于</w:t>
      </w:r>
      <w:r>
        <w:rPr>
          <w:rFonts w:hint="default" w:ascii="Times New Roman" w:hAnsi="Times New Roman" w:eastAsia="仿宋_GB2312" w:cs="Times New Roman"/>
          <w:sz w:val="32"/>
          <w:szCs w:val="32"/>
          <w:lang w:val="en-US" w:eastAsia="zh-CN"/>
        </w:rPr>
        <w:t>新能源汽车宣传和业务开展</w:t>
      </w:r>
      <w:r>
        <w:rPr>
          <w:rFonts w:hint="default" w:ascii="Times New Roman" w:hAnsi="Times New Roman" w:eastAsia="仿宋_GB2312" w:cs="Times New Roman"/>
          <w:sz w:val="32"/>
          <w:szCs w:val="32"/>
        </w:rPr>
        <w:t>。国内公务接待</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46</w:t>
      </w:r>
      <w:r>
        <w:rPr>
          <w:rFonts w:hint="default" w:ascii="Times New Roman" w:hAnsi="Times New Roman" w:eastAsia="仿宋_GB2312" w:cs="Times New Roman"/>
          <w:sz w:val="32"/>
          <w:szCs w:val="32"/>
        </w:rPr>
        <w:t>人次，共计支出</w:t>
      </w:r>
      <w:r>
        <w:rPr>
          <w:rFonts w:hint="default" w:ascii="Times New Roman" w:hAnsi="Times New Roman" w:eastAsia="仿宋_GB2312" w:cs="Times New Roman"/>
          <w:sz w:val="32"/>
          <w:szCs w:val="32"/>
          <w:lang w:val="en-US" w:eastAsia="zh-CN"/>
        </w:rPr>
        <w:t>0.44</w:t>
      </w:r>
      <w:r>
        <w:rPr>
          <w:rFonts w:hint="default" w:ascii="Times New Roman" w:hAnsi="Times New Roman" w:eastAsia="仿宋_GB2312" w:cs="Times New Roman"/>
          <w:sz w:val="32"/>
          <w:szCs w:val="32"/>
        </w:rPr>
        <w:t>万元，具体内容包括：</w:t>
      </w:r>
      <w:r>
        <w:rPr>
          <w:rFonts w:hint="default" w:ascii="Times New Roman" w:hAnsi="Times New Roman" w:eastAsia="仿宋_GB2312" w:cs="Times New Roman"/>
          <w:sz w:val="32"/>
          <w:szCs w:val="32"/>
          <w:lang w:val="en-US" w:eastAsia="zh-CN"/>
        </w:rPr>
        <w:t>新能源汽车宣传和公务接待管理监督回头看调研</w:t>
      </w:r>
      <w:r>
        <w:rPr>
          <w:rFonts w:hint="default" w:ascii="Times New Roman" w:hAnsi="Times New Roman" w:eastAsia="仿宋_GB2312" w:cs="Times New Roman"/>
          <w:sz w:val="32"/>
          <w:szCs w:val="32"/>
        </w:rPr>
        <w:t>。</w:t>
      </w:r>
    </w:p>
    <w:p w14:paraId="72E59192">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bookmarkStart w:id="34" w:name="_Toc15396610"/>
      <w:bookmarkStart w:id="35" w:name="_Toc15377218"/>
      <w:r>
        <w:rPr>
          <w:rFonts w:hint="default" w:ascii="Times New Roman" w:hAnsi="Times New Roman" w:eastAsia="仿宋_GB2312" w:cs="Times New Roman"/>
          <w:sz w:val="32"/>
          <w:szCs w:val="32"/>
        </w:rPr>
        <w:t>外事接待支出0万元。外事接待</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批次，</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人次（不包括陪同人员），共计支出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3789159D">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rPr>
      </w:pPr>
      <w:r>
        <w:rPr>
          <w:rFonts w:hint="default" w:ascii="Times New Roman" w:hAnsi="Times New Roman" w:eastAsia="黑体" w:cs="Times New Roman"/>
          <w:sz w:val="32"/>
          <w:szCs w:val="32"/>
        </w:rPr>
        <w:t>八、</w:t>
      </w:r>
      <w:r>
        <w:rPr>
          <w:rStyle w:val="196"/>
          <w:rFonts w:hint="default" w:ascii="Times New Roman" w:hAnsi="Times New Roman" w:eastAsia="黑体" w:cs="Times New Roman"/>
          <w:b w:val="0"/>
        </w:rPr>
        <w:t>政府性基金预算支出决算情况说明</w:t>
      </w:r>
      <w:bookmarkEnd w:id="34"/>
      <w:bookmarkEnd w:id="35"/>
    </w:p>
    <w:p w14:paraId="4CEA5789">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年度政府性基金预算财政拨款支出</w:t>
      </w:r>
      <w:r>
        <w:rPr>
          <w:rFonts w:hint="default" w:ascii="Times New Roman" w:hAnsi="Times New Roman" w:eastAsia="仿宋_GB2312" w:cs="Times New Roman"/>
          <w:b/>
          <w:sz w:val="32"/>
          <w:szCs w:val="32"/>
        </w:rPr>
        <w:t>0</w:t>
      </w:r>
      <w:r>
        <w:rPr>
          <w:rFonts w:hint="default" w:ascii="Times New Roman" w:hAnsi="Times New Roman" w:eastAsia="仿宋_GB2312" w:cs="Times New Roman"/>
          <w:sz w:val="32"/>
          <w:szCs w:val="32"/>
        </w:rPr>
        <w:t>万元。</w:t>
      </w:r>
    </w:p>
    <w:p w14:paraId="381ECA78">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36" w:name="_Toc15377219"/>
      <w:bookmarkStart w:id="37" w:name="_Toc15396611"/>
      <w:r>
        <w:rPr>
          <w:rStyle w:val="196"/>
          <w:rFonts w:hint="default" w:ascii="Times New Roman" w:hAnsi="Times New Roman" w:eastAsia="黑体" w:cs="Times New Roman"/>
          <w:b w:val="0"/>
        </w:rPr>
        <w:t>九、国有资本经营预算支出决算情况说明</w:t>
      </w:r>
      <w:bookmarkEnd w:id="36"/>
      <w:bookmarkEnd w:id="37"/>
    </w:p>
    <w:p w14:paraId="272D3E0C">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年度国有资本经营预算财政拨款支出</w:t>
      </w:r>
      <w:r>
        <w:rPr>
          <w:rFonts w:hint="default" w:ascii="Times New Roman" w:hAnsi="Times New Roman" w:eastAsia="仿宋_GB2312" w:cs="Times New Roman"/>
          <w:b/>
          <w:sz w:val="32"/>
          <w:szCs w:val="32"/>
        </w:rPr>
        <w:t>0</w:t>
      </w:r>
      <w:r>
        <w:rPr>
          <w:rFonts w:hint="default" w:ascii="Times New Roman" w:hAnsi="Times New Roman" w:eastAsia="仿宋_GB2312" w:cs="Times New Roman"/>
          <w:sz w:val="32"/>
          <w:szCs w:val="32"/>
        </w:rPr>
        <w:t>万元。</w:t>
      </w:r>
    </w:p>
    <w:p w14:paraId="2E27475F">
      <w:pPr>
        <w:pageBreakBefore w:val="0"/>
        <w:kinsoku/>
        <w:wordWrap/>
        <w:overflowPunct/>
        <w:topLinePunct w:val="0"/>
        <w:autoSpaceDE/>
        <w:autoSpaceDN/>
        <w:bidi w:val="0"/>
        <w:spacing w:line="560" w:lineRule="exact"/>
        <w:ind w:firstLine="640" w:firstLineChars="200"/>
        <w:textAlignment w:val="auto"/>
        <w:outlineLvl w:val="1"/>
        <w:rPr>
          <w:rStyle w:val="196"/>
          <w:rFonts w:hint="default" w:ascii="Times New Roman" w:hAnsi="Times New Roman" w:eastAsia="黑体" w:cs="Times New Roman"/>
          <w:b w:val="0"/>
        </w:rPr>
      </w:pPr>
      <w:bookmarkStart w:id="38" w:name="_Toc15377221"/>
      <w:bookmarkStart w:id="39" w:name="_Toc15396612"/>
      <w:r>
        <w:rPr>
          <w:rStyle w:val="196"/>
          <w:rFonts w:hint="default" w:ascii="Times New Roman" w:hAnsi="Times New Roman" w:eastAsia="黑体" w:cs="Times New Roman"/>
          <w:b w:val="0"/>
        </w:rPr>
        <w:t>十、其他重要事项的情况说明</w:t>
      </w:r>
      <w:bookmarkEnd w:id="38"/>
      <w:bookmarkEnd w:id="39"/>
    </w:p>
    <w:p w14:paraId="59C98B27">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40" w:name="_Toc15377222"/>
      <w:r>
        <w:rPr>
          <w:rFonts w:hint="default" w:ascii="Times New Roman" w:hAnsi="Times New Roman" w:eastAsia="楷体_GB2312" w:cs="Times New Roman"/>
          <w:b w:val="0"/>
          <w:bCs/>
          <w:sz w:val="32"/>
          <w:szCs w:val="32"/>
        </w:rPr>
        <w:t>（一）机关运行经费支出情况</w:t>
      </w:r>
      <w:bookmarkEnd w:id="40"/>
    </w:p>
    <w:p w14:paraId="2F5E7486">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2025年度，阿坝藏族羌族自治州机关事务管理局（本级）机关运行经费支出44.08万元，比上年度决算数</w:t>
      </w:r>
      <w:r>
        <w:rPr>
          <w:rFonts w:hint="default" w:ascii="Times New Roman" w:hAnsi="Times New Roman" w:eastAsia="仿宋_GB2312" w:cs="Times New Roman"/>
          <w:sz w:val="32"/>
          <w:szCs w:val="32"/>
          <w:lang w:val="en-US" w:eastAsia="zh-CN"/>
        </w:rPr>
        <w:t>基本</w:t>
      </w:r>
      <w:r>
        <w:rPr>
          <w:rFonts w:hint="default" w:ascii="Times New Roman" w:hAnsi="Times New Roman" w:eastAsia="仿宋_GB2312" w:cs="Times New Roman"/>
          <w:sz w:val="32"/>
          <w:szCs w:val="32"/>
        </w:rPr>
        <w:t>持平。</w:t>
      </w:r>
    </w:p>
    <w:p w14:paraId="761490E3">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41" w:name="_Toc15377223"/>
      <w:r>
        <w:rPr>
          <w:rFonts w:hint="default" w:ascii="Times New Roman" w:hAnsi="Times New Roman" w:eastAsia="楷体_GB2312" w:cs="Times New Roman"/>
          <w:b w:val="0"/>
          <w:bCs/>
          <w:sz w:val="32"/>
          <w:szCs w:val="32"/>
        </w:rPr>
        <w:t>（二）政府采购支出情况</w:t>
      </w:r>
      <w:bookmarkEnd w:id="41"/>
    </w:p>
    <w:p w14:paraId="3365FEC7">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2025年度，阿坝藏族羌族自治州机关事务管理局（本级）政府采购支出总额</w:t>
      </w:r>
      <w:r>
        <w:rPr>
          <w:rFonts w:hint="default" w:ascii="Times New Roman" w:hAnsi="Times New Roman" w:eastAsia="仿宋_GB2312" w:cs="Times New Roman"/>
          <w:sz w:val="32"/>
          <w:szCs w:val="32"/>
          <w:lang w:val="en-US" w:eastAsia="zh-CN"/>
        </w:rPr>
        <w:t>2004.41</w:t>
      </w:r>
      <w:r>
        <w:rPr>
          <w:rFonts w:hint="default" w:ascii="Times New Roman" w:hAnsi="Times New Roman" w:eastAsia="仿宋_GB2312" w:cs="Times New Roman"/>
          <w:sz w:val="32"/>
          <w:szCs w:val="32"/>
        </w:rPr>
        <w:t>万元，其中：政府采购货物支出0万元、政府采购工程支出0万元、政府采购服务支出</w:t>
      </w:r>
      <w:r>
        <w:rPr>
          <w:rFonts w:hint="default" w:ascii="Times New Roman" w:hAnsi="Times New Roman" w:eastAsia="仿宋_GB2312" w:cs="Times New Roman"/>
          <w:sz w:val="32"/>
          <w:szCs w:val="32"/>
          <w:lang w:val="en-US" w:eastAsia="zh-CN"/>
        </w:rPr>
        <w:t>2004.41</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val="en-US" w:eastAsia="zh-CN"/>
        </w:rPr>
        <w:t>州级单位办公用房租赁项目及公车保险</w:t>
      </w:r>
      <w:r>
        <w:rPr>
          <w:rFonts w:hint="default" w:ascii="Times New Roman" w:hAnsi="Times New Roman" w:eastAsia="仿宋_GB2312" w:cs="Times New Roman"/>
          <w:sz w:val="32"/>
          <w:szCs w:val="32"/>
        </w:rPr>
        <w:t>。</w:t>
      </w:r>
    </w:p>
    <w:p w14:paraId="749150EE">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bookmarkStart w:id="42" w:name="_Toc15377224"/>
      <w:r>
        <w:rPr>
          <w:rFonts w:hint="default" w:ascii="Times New Roman" w:hAnsi="Times New Roman" w:eastAsia="楷体_GB2312" w:cs="Times New Roman"/>
          <w:b w:val="0"/>
          <w:bCs/>
          <w:sz w:val="32"/>
          <w:szCs w:val="32"/>
        </w:rPr>
        <w:t>（三）国有资产占有使用情况</w:t>
      </w:r>
      <w:bookmarkEnd w:id="42"/>
    </w:p>
    <w:p w14:paraId="56001634">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截至2025年12月31日，阿坝藏族羌族自治州机关事务管理局（本级）共有车辆1辆，其中：副部（省）级及以上领导用车0辆、主要负责人用车0辆、机要通信用车0辆、应急保障用车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辆、执法执勤用车0辆、特种专业技术用车0辆、离退休干部服务用车0辆、其他用车1辆</w:t>
      </w:r>
      <w:r>
        <w:rPr>
          <w:rFonts w:hint="default" w:ascii="Times New Roman" w:hAnsi="Times New Roman" w:eastAsia="仿宋_GB2312" w:cs="Times New Roman"/>
          <w:sz w:val="32"/>
          <w:szCs w:val="32"/>
          <w:lang w:eastAsia="zh-CN"/>
        </w:rPr>
        <w:t>。</w:t>
      </w:r>
    </w:p>
    <w:p w14:paraId="6B7C7715">
      <w:pPr>
        <w:pageBreakBefore w:val="0"/>
        <w:kinsoku/>
        <w:wordWrap/>
        <w:overflowPunct/>
        <w:topLinePunct w:val="0"/>
        <w:autoSpaceDE/>
        <w:autoSpaceDN/>
        <w:bidi w:val="0"/>
        <w:spacing w:line="560" w:lineRule="exact"/>
        <w:ind w:firstLine="640" w:firstLineChars="200"/>
        <w:textAlignment w:val="auto"/>
        <w:outlineLvl w:val="2"/>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（四）预算绩效管理情况</w:t>
      </w:r>
    </w:p>
    <w:p w14:paraId="7928AFF1">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w:t>
      </w:r>
      <w:r>
        <w:rPr>
          <w:rFonts w:hint="default" w:ascii="Times New Roman" w:hAnsi="Times New Roman" w:eastAsia="仿宋_GB2312" w:cs="Times New Roman"/>
          <w:kern w:val="0"/>
          <w:sz w:val="32"/>
          <w:szCs w:val="32"/>
        </w:rPr>
        <w:t>本单位</w:t>
      </w:r>
      <w:r>
        <w:rPr>
          <w:rFonts w:hint="default" w:ascii="Times New Roman" w:hAnsi="Times New Roman" w:eastAsia="仿宋_GB2312" w:cs="Times New Roman"/>
          <w:sz w:val="32"/>
          <w:szCs w:val="32"/>
        </w:rPr>
        <w:t>在2025年度，组织对康成锦地房产还建项目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州民族团结广场集中办公区物业服务项目</w:t>
      </w:r>
      <w:r>
        <w:rPr>
          <w:rFonts w:hint="default" w:ascii="Times New Roman" w:hAnsi="Times New Roman" w:eastAsia="仿宋_GB2312" w:cs="Times New Roman"/>
          <w:sz w:val="32"/>
          <w:szCs w:val="32"/>
          <w:lang w:eastAsia="zh-CN"/>
        </w:rPr>
        <w:t>、州民族团结广场集中食堂运营服务项目</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个项目涉及金额</w:t>
      </w:r>
      <w:r>
        <w:rPr>
          <w:rFonts w:hint="default" w:ascii="Times New Roman" w:hAnsi="Times New Roman" w:eastAsia="仿宋_GB2312" w:cs="Times New Roman"/>
          <w:sz w:val="32"/>
          <w:szCs w:val="32"/>
          <w:lang w:val="en-US" w:eastAsia="zh-CN"/>
        </w:rPr>
        <w:t>2663.29</w:t>
      </w:r>
      <w:r>
        <w:rPr>
          <w:rFonts w:hint="default" w:ascii="Times New Roman" w:hAnsi="Times New Roman" w:eastAsia="仿宋_GB2312" w:cs="Times New Roman"/>
          <w:sz w:val="32"/>
          <w:szCs w:val="32"/>
        </w:rPr>
        <w:t>万元开展了事前绩效评估，对</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个项目编制了绩效目标</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rPr>
        <w:t>预算执行过程中，选取</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个项目开展绩效监控。</w:t>
      </w:r>
    </w:p>
    <w:p w14:paraId="44AFFDAE">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组织对2025年度一般公共预算、政府性基金预算、国有资本经营预算、社会保险基金预算以及资本资产、债券资金等全面开展绩效自评，形成</w:t>
      </w:r>
      <w:r>
        <w:rPr>
          <w:rFonts w:hint="default" w:ascii="Times New Roman" w:hAnsi="Times New Roman" w:eastAsia="仿宋_GB2312" w:cs="Times New Roman"/>
          <w:sz w:val="32"/>
          <w:szCs w:val="32"/>
          <w:lang w:val="en-US" w:eastAsia="zh-CN"/>
        </w:rPr>
        <w:t>阿坝州机关事务管理局关于2025年</w:t>
      </w:r>
      <w:r>
        <w:rPr>
          <w:rFonts w:hint="default" w:ascii="Times New Roman" w:hAnsi="Times New Roman" w:eastAsia="仿宋_GB2312" w:cs="Times New Roman"/>
          <w:sz w:val="32"/>
          <w:szCs w:val="32"/>
        </w:rPr>
        <w:t>部门</w:t>
      </w:r>
      <w:r>
        <w:rPr>
          <w:rFonts w:hint="default"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绩效</w:t>
      </w:r>
      <w:r>
        <w:rPr>
          <w:rFonts w:hint="default" w:ascii="Times New Roman" w:hAnsi="Times New Roman" w:eastAsia="仿宋_GB2312" w:cs="Times New Roman"/>
          <w:sz w:val="32"/>
          <w:szCs w:val="32"/>
          <w:lang w:eastAsia="zh-CN"/>
        </w:rPr>
        <w:t>评价</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报告，</w:t>
      </w:r>
      <w:r>
        <w:rPr>
          <w:rFonts w:hint="default" w:ascii="Times New Roman" w:hAnsi="Times New Roman" w:eastAsia="仿宋_GB2312" w:cs="Times New Roman"/>
          <w:b w:val="0"/>
          <w:bCs w:val="0"/>
          <w:spacing w:val="10"/>
          <w:kern w:val="36"/>
          <w:sz w:val="32"/>
          <w:szCs w:val="32"/>
          <w:highlight w:val="none"/>
          <w:lang w:val="en-US" w:eastAsia="zh-CN" w:bidi="ar"/>
        </w:rPr>
        <w:t>2025年部门整体支出绩效评价指标总分值100分，自评92.06分</w:t>
      </w:r>
      <w:r>
        <w:rPr>
          <w:rFonts w:hint="default" w:ascii="Times New Roman" w:hAnsi="Times New Roman" w:eastAsia="仿宋_GB2312" w:cs="Times New Roman"/>
          <w:sz w:val="32"/>
          <w:szCs w:val="32"/>
        </w:rPr>
        <w:t>。绩效自评报告详见附件。</w:t>
      </w:r>
    </w:p>
    <w:p w14:paraId="658ADECF">
      <w:pPr>
        <w:spacing w:line="600" w:lineRule="exact"/>
        <w:jc w:val="center"/>
        <w:outlineLvl w:val="0"/>
        <w:rPr>
          <w:rFonts w:hint="eastAsia" w:ascii="方正小标宋简体" w:hAnsi="方正小标宋简体" w:eastAsia="方正小标宋简体" w:cs="方正小标宋简体"/>
          <w:sz w:val="44"/>
          <w:szCs w:val="44"/>
        </w:rPr>
      </w:pPr>
      <w:bookmarkStart w:id="43" w:name="_Toc15377225"/>
      <w:bookmarkStart w:id="44" w:name="_Toc15396613"/>
    </w:p>
    <w:p w14:paraId="02054518">
      <w:pPr>
        <w:spacing w:line="600" w:lineRule="exact"/>
        <w:jc w:val="both"/>
        <w:outlineLvl w:val="0"/>
        <w:rPr>
          <w:rFonts w:hint="eastAsia" w:ascii="方正小标宋简体" w:hAnsi="方正小标宋简体" w:eastAsia="方正小标宋简体" w:cs="方正小标宋简体"/>
          <w:sz w:val="44"/>
          <w:szCs w:val="44"/>
        </w:rPr>
      </w:pPr>
    </w:p>
    <w:p w14:paraId="7C3C88DB">
      <w:pPr>
        <w:spacing w:line="600" w:lineRule="exact"/>
        <w:jc w:val="both"/>
        <w:outlineLvl w:val="0"/>
        <w:rPr>
          <w:rFonts w:hint="eastAsia" w:ascii="方正小标宋简体" w:hAnsi="方正小标宋简体" w:eastAsia="方正小标宋简体" w:cs="方正小标宋简体"/>
          <w:sz w:val="44"/>
          <w:szCs w:val="44"/>
        </w:rPr>
      </w:pPr>
    </w:p>
    <w:p w14:paraId="6101660C">
      <w:pPr>
        <w:spacing w:line="600" w:lineRule="exact"/>
        <w:jc w:val="both"/>
        <w:outlineLvl w:val="0"/>
        <w:rPr>
          <w:rFonts w:hint="eastAsia" w:ascii="方正小标宋简体" w:hAnsi="方正小标宋简体" w:eastAsia="方正小标宋简体" w:cs="方正小标宋简体"/>
          <w:sz w:val="44"/>
          <w:szCs w:val="44"/>
        </w:rPr>
      </w:pPr>
    </w:p>
    <w:p w14:paraId="33C1CFA3">
      <w:pPr>
        <w:spacing w:line="600" w:lineRule="exact"/>
        <w:jc w:val="both"/>
        <w:outlineLvl w:val="0"/>
        <w:rPr>
          <w:rFonts w:hint="eastAsia" w:ascii="方正小标宋简体" w:hAnsi="方正小标宋简体" w:eastAsia="方正小标宋简体" w:cs="方正小标宋简体"/>
          <w:sz w:val="44"/>
          <w:szCs w:val="44"/>
        </w:rPr>
      </w:pPr>
    </w:p>
    <w:p w14:paraId="3EF65CDA">
      <w:pPr>
        <w:spacing w:line="600" w:lineRule="exact"/>
        <w:jc w:val="both"/>
        <w:outlineLvl w:val="0"/>
        <w:rPr>
          <w:rFonts w:hint="eastAsia" w:ascii="方正小标宋简体" w:hAnsi="方正小标宋简体" w:eastAsia="方正小标宋简体" w:cs="方正小标宋简体"/>
          <w:sz w:val="44"/>
          <w:szCs w:val="44"/>
        </w:rPr>
      </w:pPr>
    </w:p>
    <w:p w14:paraId="50DAA3EB">
      <w:pPr>
        <w:spacing w:line="600" w:lineRule="exact"/>
        <w:jc w:val="both"/>
        <w:outlineLvl w:val="0"/>
        <w:rPr>
          <w:rFonts w:hint="eastAsia" w:ascii="方正小标宋简体" w:hAnsi="方正小标宋简体" w:eastAsia="方正小标宋简体" w:cs="方正小标宋简体"/>
          <w:sz w:val="44"/>
          <w:szCs w:val="44"/>
        </w:rPr>
      </w:pPr>
    </w:p>
    <w:p w14:paraId="190FA0D1">
      <w:pPr>
        <w:spacing w:line="600" w:lineRule="exact"/>
        <w:jc w:val="both"/>
        <w:outlineLvl w:val="0"/>
        <w:rPr>
          <w:rFonts w:hint="eastAsia" w:ascii="方正小标宋简体" w:hAnsi="方正小标宋简体" w:eastAsia="方正小标宋简体" w:cs="方正小标宋简体"/>
          <w:sz w:val="44"/>
          <w:szCs w:val="44"/>
        </w:rPr>
      </w:pPr>
    </w:p>
    <w:p w14:paraId="157B1B46">
      <w:pPr>
        <w:spacing w:line="600" w:lineRule="exact"/>
        <w:jc w:val="both"/>
        <w:outlineLvl w:val="0"/>
        <w:rPr>
          <w:rFonts w:hint="eastAsia" w:ascii="方正小标宋简体" w:hAnsi="方正小标宋简体" w:eastAsia="方正小标宋简体" w:cs="方正小标宋简体"/>
          <w:sz w:val="44"/>
          <w:szCs w:val="44"/>
        </w:rPr>
      </w:pPr>
    </w:p>
    <w:p w14:paraId="18A487EC">
      <w:pPr>
        <w:spacing w:line="600" w:lineRule="exact"/>
        <w:jc w:val="both"/>
        <w:outlineLvl w:val="0"/>
        <w:rPr>
          <w:rFonts w:hint="eastAsia" w:ascii="方正小标宋简体" w:hAnsi="方正小标宋简体" w:eastAsia="方正小标宋简体" w:cs="方正小标宋简体"/>
          <w:sz w:val="44"/>
          <w:szCs w:val="44"/>
        </w:rPr>
      </w:pPr>
    </w:p>
    <w:p w14:paraId="63E1A061">
      <w:pPr>
        <w:spacing w:line="600" w:lineRule="exact"/>
        <w:jc w:val="both"/>
        <w:outlineLvl w:val="0"/>
        <w:rPr>
          <w:rFonts w:hint="eastAsia" w:ascii="方正小标宋简体" w:hAnsi="方正小标宋简体" w:eastAsia="方正小标宋简体" w:cs="方正小标宋简体"/>
          <w:sz w:val="44"/>
          <w:szCs w:val="44"/>
        </w:rPr>
      </w:pPr>
    </w:p>
    <w:p w14:paraId="2831019F">
      <w:pPr>
        <w:spacing w:line="60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第三部分  名词解释</w:t>
      </w:r>
      <w:bookmarkEnd w:id="43"/>
      <w:bookmarkEnd w:id="44"/>
    </w:p>
    <w:p w14:paraId="74321719">
      <w:pPr>
        <w:spacing w:line="600" w:lineRule="exact"/>
        <w:jc w:val="left"/>
        <w:rPr>
          <w:rFonts w:ascii="Times New Roman" w:hAnsi="Times New Roman" w:cs="Times New Roman"/>
          <w:b/>
          <w:sz w:val="44"/>
          <w:szCs w:val="44"/>
        </w:rPr>
      </w:pPr>
    </w:p>
    <w:p w14:paraId="37F96B5C">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1.财政拨款收入：指单位从同级财政部门取得的财政预算资金。</w:t>
      </w:r>
    </w:p>
    <w:p w14:paraId="614274AE">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2.事业收入：指事业单位开展专业业务活动及辅助活动取得的收入。</w:t>
      </w:r>
    </w:p>
    <w:p w14:paraId="03A944EE">
      <w:pPr>
        <w:spacing w:line="600" w:lineRule="exact"/>
        <w:ind w:firstLine="640"/>
        <w:rPr>
          <w:rFonts w:hint="eastAsia" w:eastAsia="仿宋_GB2312" w:cs="Times New Roman"/>
          <w:sz w:val="32"/>
          <w:szCs w:val="32"/>
        </w:rPr>
      </w:pPr>
      <w:r>
        <w:rPr>
          <w:rFonts w:hint="eastAsia" w:eastAsia="仿宋_GB2312" w:cs="Times New Roman"/>
          <w:sz w:val="32"/>
          <w:szCs w:val="32"/>
        </w:rPr>
        <w:t>3.经营收入：指事业单位在专业业务活动及其辅助活动之外开展非独立核算经营活动取得的收入。</w:t>
      </w:r>
    </w:p>
    <w:p w14:paraId="4BCFA4E1">
      <w:pPr>
        <w:spacing w:line="600" w:lineRule="exact"/>
        <w:ind w:firstLine="640"/>
        <w:rPr>
          <w:rFonts w:hint="eastAsia" w:eastAsia="仿宋_GB2312" w:cs="Times New Roman"/>
          <w:sz w:val="32"/>
          <w:szCs w:val="32"/>
        </w:rPr>
      </w:pPr>
      <w:r>
        <w:rPr>
          <w:rFonts w:hint="eastAsia" w:eastAsia="仿宋_GB2312" w:cs="Times New Roman"/>
          <w:sz w:val="32"/>
          <w:szCs w:val="32"/>
        </w:rPr>
        <w:t>4.其他收入：指单位取得的除上述收入以外的各项收入。</w:t>
      </w:r>
    </w:p>
    <w:p w14:paraId="52209F8C">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 xml:space="preserve">5.使用非财政拨款结余（含专用结余）：指事业单位使用以前年度积累的非财政拨款结余弥补当年收支差额的金额。 </w:t>
      </w:r>
    </w:p>
    <w:p w14:paraId="4E66B1A1">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 xml:space="preserve">6.年初结转和结余：指以前年度尚未完成、结转到本年按有关规定继续使用的资金。 </w:t>
      </w:r>
    </w:p>
    <w:p w14:paraId="725FEE66">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7.结余分配：指事业单位按照会计制度规定缴纳的所得税、提取的专用结余以及转入非财政拨款结余的金额等。</w:t>
      </w:r>
    </w:p>
    <w:p w14:paraId="00E15982">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rPr>
        <w:t>8.年末结转和结余：指单位按有关规定结转到下年或以后年度继续使用的资金。</w:t>
      </w:r>
    </w:p>
    <w:p w14:paraId="0682FDE2">
      <w:pPr>
        <w:spacing w:line="600" w:lineRule="exact"/>
        <w:ind w:firstLine="640"/>
        <w:rPr>
          <w:rFonts w:hint="default" w:eastAsia="仿宋_GB2312" w:cs="Times New Roman"/>
          <w:sz w:val="32"/>
          <w:szCs w:val="32"/>
          <w:lang w:val="en-US" w:eastAsia="zh-CN"/>
        </w:rPr>
      </w:pPr>
      <w:r>
        <w:rPr>
          <w:rFonts w:hint="eastAsia" w:eastAsia="仿宋_GB2312" w:cs="Times New Roman"/>
          <w:sz w:val="32"/>
          <w:szCs w:val="32"/>
        </w:rPr>
        <w:t>9.</w:t>
      </w:r>
      <w:r>
        <w:rPr>
          <w:rStyle w:val="203"/>
          <w:rFonts w:hint="default" w:ascii="Times New Roman" w:hAnsi="Times New Roman" w:eastAsia="仿宋_GB2312" w:cs="Times New Roman"/>
          <w:b w:val="0"/>
          <w:bCs/>
          <w:kern w:val="2"/>
          <w:sz w:val="32"/>
          <w:szCs w:val="32"/>
          <w:lang w:bidi="ar-SA"/>
        </w:rPr>
        <w:t>一般公共服务支出（类）201政府办公厅（室）及相关机构事务（款）03行政运行（项）01：</w:t>
      </w:r>
      <w:r>
        <w:rPr>
          <w:rFonts w:hint="eastAsia" w:eastAsia="仿宋_GB2312" w:cs="Times New Roman"/>
          <w:sz w:val="32"/>
          <w:szCs w:val="32"/>
        </w:rPr>
        <w:t>指</w:t>
      </w:r>
      <w:r>
        <w:rPr>
          <w:rFonts w:hint="eastAsia" w:eastAsia="仿宋_GB2312" w:cs="Times New Roman"/>
          <w:sz w:val="32"/>
          <w:szCs w:val="32"/>
          <w:lang w:val="en-US" w:eastAsia="zh-CN"/>
        </w:rPr>
        <w:t>行政单位的基本支出。</w:t>
      </w:r>
    </w:p>
    <w:p w14:paraId="114C1EF9">
      <w:pPr>
        <w:pStyle w:val="202"/>
        <w:pageBreakBefore w:val="0"/>
        <w:numPr>
          <w:ilvl w:val="0"/>
          <w:numId w:val="0"/>
        </w:numPr>
        <w:kinsoku/>
        <w:wordWrap/>
        <w:overflowPunct/>
        <w:topLinePunct w:val="0"/>
        <w:autoSpaceDE/>
        <w:autoSpaceDN/>
        <w:bidi w:val="0"/>
        <w:spacing w:before="0" w:beforeAutospacing="0" w:after="0" w:afterAutospacing="0" w:line="560" w:lineRule="exact"/>
        <w:ind w:right="0" w:rightChars="0" w:firstLine="640" w:firstLineChars="200"/>
        <w:textAlignment w:val="auto"/>
        <w:rPr>
          <w:rStyle w:val="203"/>
          <w:rFonts w:hint="default" w:ascii="Times New Roman" w:hAnsi="Times New Roman" w:eastAsia="仿宋_GB2312" w:cs="Times New Roman"/>
          <w:b w:val="0"/>
          <w:color w:val="auto"/>
          <w:sz w:val="32"/>
          <w:szCs w:val="32"/>
          <w:lang w:val="en-US" w:eastAsia="zh-CN"/>
        </w:rPr>
      </w:pPr>
      <w:r>
        <w:rPr>
          <w:rStyle w:val="203"/>
          <w:rFonts w:hint="eastAsia" w:ascii="Times New Roman" w:cs="Times New Roman"/>
          <w:b w:val="0"/>
          <w:bCs/>
          <w:kern w:val="2"/>
          <w:sz w:val="32"/>
          <w:szCs w:val="32"/>
          <w:lang w:val="en-US" w:eastAsia="zh-CN" w:bidi="ar-SA"/>
        </w:rPr>
        <w:t>10.</w:t>
      </w:r>
      <w:r>
        <w:rPr>
          <w:rStyle w:val="203"/>
          <w:rFonts w:hint="default" w:ascii="Times New Roman" w:hAnsi="Times New Roman" w:eastAsia="仿宋_GB2312" w:cs="Times New Roman"/>
          <w:b w:val="0"/>
          <w:bCs/>
          <w:kern w:val="2"/>
          <w:sz w:val="32"/>
          <w:szCs w:val="32"/>
          <w:lang w:bidi="ar-SA"/>
        </w:rPr>
        <w:t>一般公共服务支出（类）201政府办公厅（室）及相关机构事务（款）03一般行政管理事务（项）02：</w:t>
      </w:r>
      <w:r>
        <w:rPr>
          <w:rFonts w:hint="eastAsia" w:eastAsia="仿宋_GB2312" w:cs="Times New Roman"/>
          <w:sz w:val="32"/>
          <w:szCs w:val="32"/>
        </w:rPr>
        <w:t>指</w:t>
      </w:r>
      <w:r>
        <w:rPr>
          <w:rFonts w:hint="eastAsia" w:cs="Times New Roman"/>
          <w:sz w:val="32"/>
          <w:szCs w:val="32"/>
          <w:lang w:val="en-US" w:eastAsia="zh-CN"/>
        </w:rPr>
        <w:t>行政单位未单独设置项级科目的其他项目支出。</w:t>
      </w:r>
    </w:p>
    <w:p w14:paraId="530486F8">
      <w:pPr>
        <w:pStyle w:val="202"/>
        <w:pageBreakBefore w:val="0"/>
        <w:numPr>
          <w:ilvl w:val="0"/>
          <w:numId w:val="0"/>
        </w:numPr>
        <w:kinsoku/>
        <w:wordWrap/>
        <w:overflowPunct/>
        <w:topLinePunct w:val="0"/>
        <w:autoSpaceDE/>
        <w:autoSpaceDN/>
        <w:bidi w:val="0"/>
        <w:spacing w:before="0" w:beforeAutospacing="0" w:after="0" w:afterAutospacing="0" w:line="560" w:lineRule="exact"/>
        <w:ind w:right="0" w:rightChars="0" w:firstLine="640" w:firstLineChars="200"/>
        <w:textAlignment w:val="auto"/>
        <w:rPr>
          <w:rStyle w:val="203"/>
          <w:rFonts w:hint="default" w:ascii="Times New Roman" w:hAnsi="Times New Roman" w:eastAsia="仿宋_GB2312" w:cs="Times New Roman"/>
          <w:b w:val="0"/>
          <w:color w:val="auto"/>
          <w:sz w:val="32"/>
          <w:szCs w:val="32"/>
          <w:lang w:val="en-US" w:eastAsia="zh-CN"/>
        </w:rPr>
      </w:pPr>
      <w:r>
        <w:rPr>
          <w:rStyle w:val="203"/>
          <w:rFonts w:hint="eastAsia" w:ascii="Times New Roman" w:cs="Times New Roman"/>
          <w:b w:val="0"/>
          <w:bCs/>
          <w:kern w:val="2"/>
          <w:sz w:val="32"/>
          <w:szCs w:val="32"/>
          <w:lang w:val="en-US" w:eastAsia="zh-CN" w:bidi="ar-SA"/>
        </w:rPr>
        <w:t>11.</w:t>
      </w:r>
      <w:r>
        <w:rPr>
          <w:rStyle w:val="203"/>
          <w:rFonts w:hint="default" w:ascii="Times New Roman" w:hAnsi="Times New Roman" w:eastAsia="仿宋_GB2312" w:cs="Times New Roman"/>
          <w:b w:val="0"/>
          <w:bCs/>
          <w:kern w:val="2"/>
          <w:sz w:val="32"/>
          <w:szCs w:val="32"/>
          <w:lang w:bidi="ar-SA"/>
        </w:rPr>
        <w:t>社会保障和就业支出（类）208行政事业单位养老支出（款）05机关事业单位基本养老保险缴费支出（项）05：</w:t>
      </w:r>
      <w:r>
        <w:rPr>
          <w:rFonts w:hint="eastAsia" w:eastAsia="仿宋_GB2312" w:cs="Times New Roman"/>
          <w:sz w:val="32"/>
          <w:szCs w:val="32"/>
        </w:rPr>
        <w:t>指</w:t>
      </w:r>
      <w:r>
        <w:rPr>
          <w:rFonts w:hint="eastAsia" w:cs="Times New Roman"/>
          <w:sz w:val="32"/>
          <w:szCs w:val="32"/>
          <w:lang w:val="en-US" w:eastAsia="zh-CN"/>
        </w:rPr>
        <w:t>为职工缴纳的养老保险。</w:t>
      </w:r>
    </w:p>
    <w:p w14:paraId="65BEE30C">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bCs/>
          <w:kern w:val="2"/>
          <w:sz w:val="32"/>
          <w:szCs w:val="32"/>
          <w:lang w:val="en-US" w:bidi="ar-SA"/>
        </w:rPr>
      </w:pPr>
      <w:r>
        <w:rPr>
          <w:rStyle w:val="203"/>
          <w:rFonts w:hint="eastAsia" w:ascii="Times New Roman" w:cs="Times New Roman"/>
          <w:b w:val="0"/>
          <w:bCs/>
          <w:kern w:val="2"/>
          <w:sz w:val="32"/>
          <w:szCs w:val="32"/>
          <w:lang w:val="en-US" w:eastAsia="zh-CN" w:bidi="ar-SA"/>
        </w:rPr>
        <w:t>12.</w:t>
      </w:r>
      <w:r>
        <w:rPr>
          <w:rStyle w:val="203"/>
          <w:rFonts w:hint="default" w:ascii="Times New Roman" w:hAnsi="Times New Roman" w:eastAsia="仿宋_GB2312" w:cs="Times New Roman"/>
          <w:b w:val="0"/>
          <w:bCs/>
          <w:kern w:val="2"/>
          <w:sz w:val="32"/>
          <w:szCs w:val="32"/>
          <w:lang w:bidi="ar-SA"/>
        </w:rPr>
        <w:t>社会保障和就业支出（类:208行政事业单位养老支出（款）05机关事业单位职业年金缴费支出（项）06：</w:t>
      </w:r>
      <w:r>
        <w:rPr>
          <w:rFonts w:hint="eastAsia" w:eastAsia="仿宋_GB2312" w:cs="Times New Roman"/>
          <w:sz w:val="32"/>
          <w:szCs w:val="32"/>
        </w:rPr>
        <w:t>指</w:t>
      </w:r>
      <w:r>
        <w:rPr>
          <w:rFonts w:hint="eastAsia" w:cs="Times New Roman"/>
          <w:sz w:val="32"/>
          <w:szCs w:val="32"/>
          <w:lang w:val="en-US" w:eastAsia="zh-CN"/>
        </w:rPr>
        <w:t>为职工实际缴纳的职业年金。</w:t>
      </w:r>
    </w:p>
    <w:p w14:paraId="6F3332D4">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bCs/>
          <w:kern w:val="2"/>
          <w:sz w:val="32"/>
          <w:szCs w:val="32"/>
          <w:lang w:val="en-US" w:bidi="ar-SA"/>
        </w:rPr>
      </w:pPr>
      <w:r>
        <w:rPr>
          <w:rStyle w:val="203"/>
          <w:rFonts w:hint="eastAsia" w:ascii="Times New Roman" w:cs="Times New Roman"/>
          <w:b w:val="0"/>
          <w:bCs/>
          <w:kern w:val="2"/>
          <w:sz w:val="32"/>
          <w:szCs w:val="32"/>
          <w:lang w:val="en-US" w:eastAsia="zh-CN" w:bidi="ar-SA"/>
        </w:rPr>
        <w:t>13.</w:t>
      </w:r>
      <w:r>
        <w:rPr>
          <w:rStyle w:val="203"/>
          <w:rFonts w:hint="default" w:ascii="Times New Roman" w:hAnsi="Times New Roman" w:eastAsia="仿宋_GB2312" w:cs="Times New Roman"/>
          <w:b w:val="0"/>
          <w:bCs/>
          <w:kern w:val="2"/>
          <w:sz w:val="32"/>
          <w:szCs w:val="32"/>
          <w:lang w:bidi="ar-SA"/>
        </w:rPr>
        <w:t>卫生健康支出（类）210行政事业单位医疗（款）11行政单位医疗（项）01：</w:t>
      </w:r>
      <w:r>
        <w:rPr>
          <w:rFonts w:hint="eastAsia" w:eastAsia="仿宋_GB2312" w:cs="Times New Roman"/>
          <w:sz w:val="32"/>
          <w:szCs w:val="32"/>
        </w:rPr>
        <w:t>指</w:t>
      </w:r>
      <w:r>
        <w:rPr>
          <w:rFonts w:hint="eastAsia" w:cs="Times New Roman"/>
          <w:sz w:val="32"/>
          <w:szCs w:val="32"/>
          <w:lang w:val="en-US" w:eastAsia="zh-CN"/>
        </w:rPr>
        <w:t>为职工缴纳的基本医疗保险。</w:t>
      </w:r>
    </w:p>
    <w:p w14:paraId="798A1825">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bCs/>
          <w:kern w:val="2"/>
          <w:sz w:val="32"/>
          <w:szCs w:val="32"/>
          <w:lang w:val="en-US" w:bidi="ar-SA"/>
        </w:rPr>
      </w:pPr>
      <w:r>
        <w:rPr>
          <w:rStyle w:val="203"/>
          <w:rFonts w:hint="eastAsia" w:ascii="Times New Roman" w:cs="Times New Roman"/>
          <w:b w:val="0"/>
          <w:bCs/>
          <w:kern w:val="2"/>
          <w:sz w:val="32"/>
          <w:szCs w:val="32"/>
          <w:lang w:val="en-US" w:eastAsia="zh-CN" w:bidi="ar-SA"/>
        </w:rPr>
        <w:t>14.</w:t>
      </w:r>
      <w:r>
        <w:rPr>
          <w:rStyle w:val="203"/>
          <w:rFonts w:hint="default" w:ascii="Times New Roman" w:hAnsi="Times New Roman" w:eastAsia="仿宋_GB2312" w:cs="Times New Roman"/>
          <w:b w:val="0"/>
          <w:bCs/>
          <w:kern w:val="2"/>
          <w:sz w:val="32"/>
          <w:szCs w:val="32"/>
          <w:lang w:bidi="ar-SA"/>
        </w:rPr>
        <w:t>卫生健康支出（类）210行政事业单位医疗（款）11公务员医疗补助（项）03：</w:t>
      </w:r>
      <w:r>
        <w:rPr>
          <w:rFonts w:hint="eastAsia" w:eastAsia="仿宋_GB2312" w:cs="Times New Roman"/>
          <w:sz w:val="32"/>
          <w:szCs w:val="32"/>
        </w:rPr>
        <w:t>指</w:t>
      </w:r>
      <w:r>
        <w:rPr>
          <w:rFonts w:hint="eastAsia" w:cs="Times New Roman"/>
          <w:sz w:val="32"/>
          <w:szCs w:val="32"/>
          <w:lang w:val="en-US" w:eastAsia="zh-CN"/>
        </w:rPr>
        <w:t>为职工缴纳的公务员医疗补助费。</w:t>
      </w:r>
    </w:p>
    <w:p w14:paraId="769A072C">
      <w:pPr>
        <w:pStyle w:val="202"/>
        <w:pageBreakBefore w:val="0"/>
        <w:kinsoku/>
        <w:wordWrap/>
        <w:overflowPunct/>
        <w:topLinePunct w:val="0"/>
        <w:autoSpaceDE/>
        <w:autoSpaceDN/>
        <w:bidi w:val="0"/>
        <w:spacing w:before="0" w:beforeAutospacing="0" w:after="0" w:afterAutospacing="0" w:line="560" w:lineRule="exact"/>
        <w:ind w:left="0" w:firstLine="640" w:firstLineChars="200"/>
        <w:textAlignment w:val="auto"/>
        <w:rPr>
          <w:rStyle w:val="203"/>
          <w:rFonts w:hint="default" w:ascii="Times New Roman" w:hAnsi="Times New Roman" w:eastAsia="仿宋_GB2312" w:cs="Times New Roman"/>
          <w:b w:val="0"/>
          <w:color w:val="auto"/>
          <w:sz w:val="32"/>
          <w:szCs w:val="32"/>
          <w:lang w:val="en-US"/>
        </w:rPr>
      </w:pPr>
      <w:r>
        <w:rPr>
          <w:rStyle w:val="203"/>
          <w:rFonts w:hint="eastAsia" w:ascii="Times New Roman" w:cs="Times New Roman"/>
          <w:b w:val="0"/>
          <w:bCs/>
          <w:kern w:val="2"/>
          <w:sz w:val="32"/>
          <w:szCs w:val="32"/>
          <w:lang w:val="en-US" w:eastAsia="zh-CN" w:bidi="ar-SA"/>
        </w:rPr>
        <w:t>15.</w:t>
      </w:r>
      <w:r>
        <w:rPr>
          <w:rStyle w:val="203"/>
          <w:rFonts w:hint="default" w:ascii="Times New Roman" w:hAnsi="Times New Roman" w:eastAsia="仿宋_GB2312" w:cs="Times New Roman"/>
          <w:b w:val="0"/>
          <w:bCs/>
          <w:kern w:val="2"/>
          <w:sz w:val="32"/>
          <w:szCs w:val="32"/>
          <w:lang w:bidi="ar-SA"/>
        </w:rPr>
        <w:t>住房保障支出（类）221住房改革支出（款）02住房公积金（项）01：</w:t>
      </w:r>
      <w:r>
        <w:rPr>
          <w:rFonts w:hint="eastAsia" w:eastAsia="仿宋_GB2312" w:cs="Times New Roman"/>
          <w:sz w:val="32"/>
          <w:szCs w:val="32"/>
        </w:rPr>
        <w:t>指</w:t>
      </w:r>
      <w:r>
        <w:rPr>
          <w:rFonts w:hint="eastAsia" w:cs="Times New Roman"/>
          <w:sz w:val="32"/>
          <w:szCs w:val="32"/>
          <w:lang w:val="en-US" w:eastAsia="zh-CN"/>
        </w:rPr>
        <w:t>为职工缴纳的住房公积金。</w:t>
      </w:r>
    </w:p>
    <w:p w14:paraId="2F3B0024">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lang w:val="en-US" w:eastAsia="zh-CN"/>
        </w:rPr>
        <w:t>16.</w:t>
      </w:r>
      <w:r>
        <w:rPr>
          <w:rFonts w:hint="eastAsia" w:eastAsia="仿宋_GB2312" w:cs="Times New Roman"/>
          <w:sz w:val="32"/>
          <w:szCs w:val="32"/>
        </w:rPr>
        <w:t>基本支出：指为保障机构正常运转、完成日常工作任务而发生的人员支出和公用支出。</w:t>
      </w:r>
    </w:p>
    <w:p w14:paraId="631DB2F0">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lang w:val="en-US" w:eastAsia="zh-CN"/>
        </w:rPr>
        <w:t>17.</w:t>
      </w:r>
      <w:r>
        <w:rPr>
          <w:rFonts w:hint="eastAsia" w:eastAsia="仿宋_GB2312" w:cs="Times New Roman"/>
          <w:sz w:val="32"/>
          <w:szCs w:val="32"/>
        </w:rPr>
        <w:t xml:space="preserve">项目支出：指在基本支出之外为完成特定行政任务和事业发展目标所发生的支出。 </w:t>
      </w:r>
    </w:p>
    <w:p w14:paraId="3BB8631F">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lang w:val="en-US" w:eastAsia="zh-CN"/>
        </w:rPr>
        <w:t>18.</w:t>
      </w:r>
      <w:r>
        <w:rPr>
          <w:rFonts w:hint="eastAsia" w:eastAsia="Times New Roman" w:cs="Times New Roman"/>
          <w:sz w:val="32"/>
          <w:szCs w:val="32"/>
        </w:rPr>
        <w:t>“</w:t>
      </w:r>
      <w:r>
        <w:rPr>
          <w:rFonts w:hint="eastAsia" w:eastAsia="仿宋_GB2312" w:cs="Times New Roman"/>
          <w:sz w:val="32"/>
          <w:szCs w:val="32"/>
        </w:rPr>
        <w:t>三公</w:t>
      </w:r>
      <w:r>
        <w:rPr>
          <w:rFonts w:hint="eastAsia" w:eastAsia="Times New Roman" w:cs="Times New Roman"/>
          <w:sz w:val="32"/>
          <w:szCs w:val="32"/>
        </w:rPr>
        <w:t>”</w:t>
      </w:r>
      <w:r>
        <w:rPr>
          <w:rFonts w:hint="eastAsia" w:eastAsia="仿宋_GB2312" w:cs="Times New Roman"/>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BBF4BD">
      <w:pPr>
        <w:spacing w:line="600" w:lineRule="exact"/>
        <w:ind w:firstLine="640"/>
        <w:rPr>
          <w:rFonts w:ascii="Times New Roman" w:hAnsi="Times New Roman" w:eastAsia="仿宋_GB2312" w:cs="Times New Roman"/>
          <w:sz w:val="32"/>
          <w:szCs w:val="32"/>
        </w:rPr>
      </w:pPr>
      <w:r>
        <w:rPr>
          <w:rFonts w:hint="eastAsia" w:eastAsia="仿宋_GB2312" w:cs="Times New Roman"/>
          <w:sz w:val="32"/>
          <w:szCs w:val="32"/>
          <w:lang w:val="en-US" w:eastAsia="zh-CN"/>
        </w:rPr>
        <w:t>19</w:t>
      </w:r>
      <w:r>
        <w:rPr>
          <w:rFonts w:hint="eastAsia" w:eastAsia="仿宋_GB2312" w:cs="Times New Roman"/>
          <w:sz w:val="32"/>
          <w:szCs w:val="32"/>
        </w:rPr>
        <w:t>.机关运行经费：为保障行政单位（含参照公务员法管理的事业单位）运行用于购买货物和服务的各项资金，包括办公及印刷费、邮电费、差旅费、会议费、福利费、日常维修费、办公用房水电费、办公用房取暖费、办公用房物业管理费、公务用车运行维护费以及其他费用。</w:t>
      </w:r>
    </w:p>
    <w:p w14:paraId="4ABA82DE">
      <w:pPr>
        <w:spacing w:line="600" w:lineRule="exact"/>
        <w:jc w:val="center"/>
        <w:rPr>
          <w:rFonts w:ascii="Times New Roman" w:hAnsi="Times New Roman" w:eastAsia="黑体" w:cs="Times New Roman"/>
          <w:color w:val="FF0000"/>
          <w:sz w:val="32"/>
          <w:szCs w:val="32"/>
        </w:rPr>
      </w:pPr>
      <w:bookmarkStart w:id="45" w:name="_Toc15377226"/>
      <w:r>
        <w:rPr>
          <w:rFonts w:hint="eastAsia" w:eastAsia="仿宋_GB2312" w:cs="Times New Roman"/>
          <w:sz w:val="32"/>
          <w:szCs w:val="32"/>
        </w:rPr>
        <w:br w:type="page" w:clear="all"/>
      </w:r>
    </w:p>
    <w:p w14:paraId="7DE81F19">
      <w:pPr>
        <w:spacing w:line="572" w:lineRule="exact"/>
        <w:jc w:val="left"/>
        <w:outlineLvl w:val="0"/>
        <w:rPr>
          <w:rFonts w:ascii="Times New Roman" w:hAnsi="Times New Roman" w:eastAsia="黑体" w:cs="Times New Roman"/>
          <w:sz w:val="44"/>
          <w:szCs w:val="44"/>
        </w:rPr>
      </w:pPr>
      <w:r>
        <w:rPr>
          <w:rFonts w:hint="eastAsia" w:eastAsia="黑体" w:cs="Times New Roman"/>
          <w:sz w:val="32"/>
          <w:szCs w:val="32"/>
        </w:rPr>
        <w:t>附件</w:t>
      </w:r>
    </w:p>
    <w:p w14:paraId="45FF33FB">
      <w:pPr>
        <w:keepNext w:val="0"/>
        <w:keepLines w:val="0"/>
        <w:pageBreakBefore w:val="0"/>
        <w:widowControl/>
        <w:kinsoku/>
        <w:wordWrap/>
        <w:topLinePunct w:val="0"/>
        <w:autoSpaceDE/>
        <w:autoSpaceDN/>
        <w:bidi w:val="0"/>
        <w:adjustRightInd/>
        <w:snapToGrid/>
        <w:spacing w:line="640" w:lineRule="exact"/>
        <w:contextualSpacing/>
        <w:jc w:val="center"/>
        <w:textAlignment w:val="auto"/>
        <w:rPr>
          <w:rFonts w:hint="eastAsia" w:ascii="方正小标宋简体" w:hAnsi="方正小标宋简体" w:eastAsia="方正小标宋简体" w:cs="方正小标宋简体"/>
          <w:bCs/>
          <w:sz w:val="44"/>
          <w:szCs w:val="44"/>
          <w:shd w:val="clear" w:color="auto" w:fill="FFFFFF"/>
        </w:rPr>
      </w:pPr>
    </w:p>
    <w:p w14:paraId="7954DE11">
      <w:pPr>
        <w:keepNext w:val="0"/>
        <w:keepLines w:val="0"/>
        <w:pageBreakBefore w:val="0"/>
        <w:widowControl w:val="0"/>
        <w:kinsoku/>
        <w:wordWrap/>
        <w:overflowPunct w:val="0"/>
        <w:topLinePunct w:val="0"/>
        <w:autoSpaceDE/>
        <w:autoSpaceDN/>
        <w:bidi w:val="0"/>
        <w:adjustRightInd/>
        <w:snapToGrid/>
        <w:spacing w:line="640" w:lineRule="exact"/>
        <w:ind w:firstLine="2200" w:firstLineChars="500"/>
        <w:contextualSpacing/>
        <w:jc w:val="both"/>
        <w:textAlignment w:val="auto"/>
        <w:outlineLvl w:val="9"/>
        <w:rPr>
          <w:rFonts w:hint="eastAsia" w:ascii="方正小标宋简体" w:hAnsi="方正小标宋简体" w:eastAsia="方正小标宋简体" w:cs="方正小标宋简体"/>
          <w:b w:val="0"/>
          <w:bCs/>
          <w:sz w:val="44"/>
          <w:szCs w:val="44"/>
          <w:highlight w:val="none"/>
          <w:shd w:val="clear" w:color="auto" w:fill="FFFFFF"/>
        </w:rPr>
      </w:pPr>
      <w:r>
        <w:rPr>
          <w:rFonts w:hint="eastAsia" w:ascii="方正小标宋简体" w:hAnsi="方正小标宋简体" w:eastAsia="方正小标宋简体" w:cs="方正小标宋简体"/>
          <w:b w:val="0"/>
          <w:bCs/>
          <w:sz w:val="44"/>
          <w:szCs w:val="44"/>
          <w:highlight w:val="none"/>
          <w:shd w:val="clear" w:color="auto" w:fill="FFFFFF"/>
          <w:lang w:val="en-US" w:eastAsia="zh-CN"/>
        </w:rPr>
        <w:t>阿坝州机关事务管理局</w:t>
      </w:r>
    </w:p>
    <w:p w14:paraId="57C01B1C">
      <w:pPr>
        <w:keepNext w:val="0"/>
        <w:keepLines w:val="0"/>
        <w:pageBreakBefore w:val="0"/>
        <w:widowControl w:val="0"/>
        <w:kinsoku/>
        <w:wordWrap/>
        <w:overflowPunct w:val="0"/>
        <w:topLinePunct w:val="0"/>
        <w:autoSpaceDE/>
        <w:autoSpaceDN/>
        <w:bidi w:val="0"/>
        <w:adjustRightInd/>
        <w:snapToGrid/>
        <w:spacing w:line="640" w:lineRule="exact"/>
        <w:ind w:firstLine="880" w:firstLineChars="200"/>
        <w:contextualSpacing/>
        <w:jc w:val="both"/>
        <w:textAlignment w:val="auto"/>
        <w:outlineLvl w:val="9"/>
        <w:rPr>
          <w:rFonts w:hint="eastAsia" w:ascii="方正小标宋简体" w:hAnsi="方正小标宋简体" w:eastAsia="方正小标宋简体" w:cs="方正小标宋简体"/>
          <w:b w:val="0"/>
          <w:bCs/>
          <w:sz w:val="44"/>
          <w:szCs w:val="44"/>
          <w:highlight w:val="none"/>
          <w:shd w:val="clear" w:color="auto" w:fill="FFFFFF"/>
        </w:rPr>
      </w:pPr>
      <w:r>
        <w:rPr>
          <w:rFonts w:hint="eastAsia" w:ascii="方正小标宋简体" w:hAnsi="方正小标宋简体" w:eastAsia="方正小标宋简体" w:cs="方正小标宋简体"/>
          <w:b w:val="0"/>
          <w:bCs/>
          <w:sz w:val="44"/>
          <w:szCs w:val="44"/>
          <w:highlight w:val="none"/>
          <w:shd w:val="clear" w:color="auto" w:fill="FFFFFF"/>
          <w:lang w:val="en-US" w:eastAsia="zh-CN"/>
        </w:rPr>
        <w:t>关于2</w:t>
      </w:r>
      <w:r>
        <w:rPr>
          <w:rFonts w:hint="eastAsia" w:ascii="方正小标宋简体" w:hAnsi="方正小标宋简体" w:eastAsia="方正小标宋简体" w:cs="方正小标宋简体"/>
          <w:b w:val="0"/>
          <w:bCs/>
          <w:color w:val="000000" w:themeColor="text1"/>
          <w:sz w:val="44"/>
          <w:szCs w:val="44"/>
          <w:highlight w:val="none"/>
          <w:shd w:val="clear" w:color="auto" w:fill="FFFFFF"/>
          <w:lang w:val="en-US" w:eastAsia="zh-CN"/>
          <w14:textFill>
            <w14:solidFill>
              <w14:schemeClr w14:val="tx1"/>
            </w14:solidFill>
          </w14:textFill>
        </w:rPr>
        <w:t>025</w:t>
      </w:r>
      <w:r>
        <w:rPr>
          <w:rFonts w:hint="eastAsia" w:ascii="方正小标宋简体" w:hAnsi="方正小标宋简体" w:eastAsia="方正小标宋简体" w:cs="方正小标宋简体"/>
          <w:b w:val="0"/>
          <w:bCs/>
          <w:sz w:val="44"/>
          <w:szCs w:val="44"/>
          <w:highlight w:val="none"/>
          <w:shd w:val="clear" w:color="auto" w:fill="FFFFFF"/>
          <w:lang w:val="en-US" w:eastAsia="zh-CN"/>
        </w:rPr>
        <w:t>年</w:t>
      </w:r>
      <w:r>
        <w:rPr>
          <w:rFonts w:hint="eastAsia" w:ascii="方正小标宋简体" w:hAnsi="方正小标宋简体" w:eastAsia="方正小标宋简体" w:cs="方正小标宋简体"/>
          <w:b w:val="0"/>
          <w:bCs/>
          <w:sz w:val="44"/>
          <w:szCs w:val="44"/>
          <w:highlight w:val="none"/>
          <w:shd w:val="clear" w:color="auto" w:fill="FFFFFF"/>
        </w:rPr>
        <w:t>部门</w:t>
      </w:r>
      <w:r>
        <w:rPr>
          <w:rFonts w:hint="eastAsia" w:ascii="方正小标宋简体" w:hAnsi="方正小标宋简体" w:eastAsia="方正小标宋简体" w:cs="方正小标宋简体"/>
          <w:b w:val="0"/>
          <w:bCs/>
          <w:sz w:val="44"/>
          <w:szCs w:val="44"/>
          <w:highlight w:val="none"/>
          <w:shd w:val="clear" w:color="auto" w:fill="FFFFFF"/>
          <w:lang w:eastAsia="zh-CN"/>
        </w:rPr>
        <w:t>预算</w:t>
      </w:r>
      <w:bookmarkStart w:id="61" w:name="_GoBack"/>
      <w:bookmarkEnd w:id="61"/>
      <w:r>
        <w:rPr>
          <w:rFonts w:hint="eastAsia" w:ascii="方正小标宋简体" w:hAnsi="方正小标宋简体" w:eastAsia="方正小标宋简体" w:cs="方正小标宋简体"/>
          <w:b w:val="0"/>
          <w:bCs/>
          <w:sz w:val="44"/>
          <w:szCs w:val="44"/>
          <w:highlight w:val="none"/>
          <w:shd w:val="clear" w:color="auto" w:fill="FFFFFF"/>
        </w:rPr>
        <w:t>绩效</w:t>
      </w:r>
      <w:r>
        <w:rPr>
          <w:rFonts w:hint="eastAsia" w:ascii="方正小标宋简体" w:hAnsi="方正小标宋简体" w:eastAsia="方正小标宋简体" w:cs="方正小标宋简体"/>
          <w:b w:val="0"/>
          <w:bCs/>
          <w:sz w:val="44"/>
          <w:szCs w:val="44"/>
          <w:highlight w:val="none"/>
          <w:shd w:val="clear" w:color="auto" w:fill="FFFFFF"/>
          <w:lang w:val="en-US" w:eastAsia="zh-CN"/>
        </w:rPr>
        <w:t>评价</w:t>
      </w:r>
      <w:r>
        <w:rPr>
          <w:rFonts w:hint="eastAsia" w:ascii="方正小标宋简体" w:hAnsi="方正小标宋简体" w:eastAsia="方正小标宋简体" w:cs="方正小标宋简体"/>
          <w:b w:val="0"/>
          <w:bCs/>
          <w:sz w:val="44"/>
          <w:szCs w:val="44"/>
          <w:highlight w:val="none"/>
          <w:shd w:val="clear" w:color="auto" w:fill="FFFFFF"/>
        </w:rPr>
        <w:t>报告</w:t>
      </w:r>
    </w:p>
    <w:p w14:paraId="4B1E58B5">
      <w:pPr>
        <w:keepNext w:val="0"/>
        <w:keepLines w:val="0"/>
        <w:pageBreakBefore w:val="0"/>
        <w:widowControl/>
        <w:kinsoku/>
        <w:wordWrap/>
        <w:overflowPunct/>
        <w:topLinePunct w:val="0"/>
        <w:autoSpaceDE/>
        <w:autoSpaceDN/>
        <w:bidi w:val="0"/>
        <w:adjustRightInd w:val="0"/>
        <w:snapToGrid w:val="0"/>
        <w:spacing w:line="564" w:lineRule="exact"/>
        <w:ind w:firstLine="640" w:firstLineChars="200"/>
        <w:contextualSpacing/>
        <w:jc w:val="center"/>
        <w:textAlignment w:val="auto"/>
        <w:outlineLvl w:val="9"/>
        <w:rPr>
          <w:rFonts w:hint="eastAsia" w:ascii="Times New Roman" w:hAnsi="Times New Roman" w:eastAsia="仿宋_GB2312" w:cs="Times New Roman"/>
          <w:color w:val="000000"/>
          <w:kern w:val="0"/>
          <w:sz w:val="32"/>
          <w:szCs w:val="32"/>
          <w:highlight w:val="none"/>
          <w:shd w:val="clear" w:color="auto" w:fill="FFFFFF"/>
        </w:rPr>
      </w:pPr>
    </w:p>
    <w:p w14:paraId="4679628E">
      <w:pPr>
        <w:keepNext w:val="0"/>
        <w:keepLines w:val="0"/>
        <w:pageBreakBefore w:val="0"/>
        <w:widowControl w:val="0"/>
        <w:suppressLineNumbers w:val="0"/>
        <w:shd w:val="clear" w:color="auto" w:fill="FFFEFB"/>
        <w:kinsoku/>
        <w:wordWrap/>
        <w:overflowPunct w:val="0"/>
        <w:topLinePunct w:val="0"/>
        <w:autoSpaceDE/>
        <w:autoSpaceDN/>
        <w:bidi w:val="0"/>
        <w:spacing w:line="560" w:lineRule="exact"/>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州财政局：</w:t>
      </w:r>
    </w:p>
    <w:p w14:paraId="1E09F453">
      <w:pPr>
        <w:keepNext w:val="0"/>
        <w:keepLines w:val="0"/>
        <w:pageBreakBefore w:val="0"/>
        <w:widowControl w:val="0"/>
        <w:suppressLineNumbers w:val="0"/>
        <w:shd w:val="clear" w:color="auto" w:fill="FFFEFB"/>
        <w:kinsoku/>
        <w:wordWrap/>
        <w:overflowPunct w:val="0"/>
        <w:topLinePunct w:val="0"/>
        <w:autoSpaceDE/>
        <w:autoSpaceDN/>
        <w:bidi w:val="0"/>
        <w:spacing w:line="560" w:lineRule="exact"/>
        <w:ind w:leftChars="0"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rPr>
        <w:t>根据阿坝州财政局《关于开展2026年度州级部门预算绩效自评工作的通知》(阿州财监绩（2026）3号）文件要求，我单位对</w:t>
      </w:r>
      <w:r>
        <w:rPr>
          <w:rFonts w:hint="default" w:ascii="Times New Roman" w:hAnsi="Times New Roman" w:eastAsia="仿宋_GB2312" w:cs="Times New Roman"/>
          <w:kern w:val="0"/>
          <w:sz w:val="32"/>
          <w:szCs w:val="32"/>
        </w:rPr>
        <w:t>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w:t>
      </w:r>
      <w:r>
        <w:rPr>
          <w:rFonts w:hint="default" w:ascii="Times New Roman" w:hAnsi="Times New Roman" w:eastAsia="仿宋_GB2312" w:cs="Times New Roman"/>
          <w:kern w:val="0"/>
          <w:sz w:val="32"/>
          <w:szCs w:val="32"/>
          <w:lang w:val="en-US" w:eastAsia="zh-CN"/>
        </w:rPr>
        <w:t>部门预算</w:t>
      </w:r>
      <w:r>
        <w:rPr>
          <w:rFonts w:hint="default" w:ascii="Times New Roman" w:hAnsi="Times New Roman" w:eastAsia="仿宋_GB2312" w:cs="Times New Roman"/>
          <w:kern w:val="0"/>
          <w:sz w:val="32"/>
          <w:szCs w:val="32"/>
        </w:rPr>
        <w:t>整体绩效</w:t>
      </w:r>
      <w:r>
        <w:rPr>
          <w:rFonts w:hint="default" w:ascii="Times New Roman" w:hAnsi="Times New Roman" w:eastAsia="仿宋_GB2312" w:cs="Times New Roman"/>
          <w:kern w:val="0"/>
          <w:sz w:val="32"/>
          <w:szCs w:val="32"/>
          <w:lang w:val="en-US" w:eastAsia="zh-CN"/>
        </w:rPr>
        <w:t>、专项预算项目绩效评进行了自评工作，本次评价遵循了“科学规范、公正公开、分类管理、绩效相关”的原则，运用科学、合理的绩效评价方法，对本部门2025年度部门预算绩效情况进行客观、公正的评价，现就相关情况报告如下。</w:t>
      </w:r>
    </w:p>
    <w:p w14:paraId="0A9B6B7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color w:val="000000"/>
          <w:kern w:val="0"/>
          <w:sz w:val="32"/>
          <w:szCs w:val="32"/>
          <w:highlight w:val="none"/>
          <w:shd w:val="clear" w:color="auto" w:fill="FFFFFF"/>
          <w:lang w:val="zh-CN"/>
        </w:rPr>
        <w:t>一、部门基本情况</w:t>
      </w:r>
    </w:p>
    <w:p w14:paraId="205C0CCC">
      <w:pPr>
        <w:keepNext w:val="0"/>
        <w:keepLines w:val="0"/>
        <w:pageBreakBefore w:val="0"/>
        <w:widowControl w:val="0"/>
        <w:suppressLineNumbers w:val="0"/>
        <w:shd w:val="clear" w:color="auto" w:fill="FFFEFB"/>
        <w:kinsoku/>
        <w:wordWrap/>
        <w:overflowPunct w:val="0"/>
        <w:topLinePunct w:val="0"/>
        <w:autoSpaceDE/>
        <w:autoSpaceDN/>
        <w:bidi w:val="0"/>
        <w:spacing w:line="560" w:lineRule="exact"/>
        <w:ind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val="0"/>
          <w:color w:val="000000"/>
          <w:kern w:val="0"/>
          <w:sz w:val="32"/>
          <w:szCs w:val="32"/>
          <w:highlight w:val="none"/>
          <w:shd w:val="clear" w:color="auto" w:fill="FFFFFF"/>
          <w:lang w:val="zh-CN"/>
        </w:rPr>
        <w:t>（一）机构组成。</w:t>
      </w:r>
      <w:r>
        <w:rPr>
          <w:rFonts w:hint="default" w:ascii="Times New Roman" w:hAnsi="Times New Roman" w:eastAsia="仿宋_GB2312" w:cs="Times New Roman"/>
          <w:kern w:val="0"/>
          <w:sz w:val="32"/>
          <w:szCs w:val="32"/>
        </w:rPr>
        <w:t>阿坝州机关事务管理局属一级预算行政</w:t>
      </w:r>
      <w:r>
        <w:rPr>
          <w:rFonts w:hint="default" w:ascii="Times New Roman" w:hAnsi="Times New Roman" w:eastAsia="仿宋_GB2312" w:cs="Times New Roman"/>
          <w:kern w:val="0"/>
          <w:sz w:val="32"/>
          <w:szCs w:val="32"/>
          <w:lang w:val="en-US" w:eastAsia="zh-CN"/>
        </w:rPr>
        <w:t>单位</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单位下设</w:t>
      </w:r>
      <w:r>
        <w:rPr>
          <w:rFonts w:hint="default" w:ascii="Times New Roman" w:hAnsi="Times New Roman" w:eastAsia="仿宋_GB2312" w:cs="Times New Roman"/>
          <w:kern w:val="0"/>
          <w:sz w:val="32"/>
          <w:szCs w:val="32"/>
        </w:rPr>
        <w:t>办公室</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资产与后勤管理科</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公车</w:t>
      </w:r>
      <w:r>
        <w:rPr>
          <w:rFonts w:hint="default" w:ascii="Times New Roman" w:hAnsi="Times New Roman" w:eastAsia="仿宋_GB2312" w:cs="Times New Roman"/>
          <w:kern w:val="0"/>
          <w:sz w:val="32"/>
          <w:szCs w:val="32"/>
          <w:lang w:val="en-US" w:eastAsia="zh-CN"/>
        </w:rPr>
        <w:t>节能</w:t>
      </w:r>
      <w:r>
        <w:rPr>
          <w:rFonts w:hint="default" w:ascii="Times New Roman" w:hAnsi="Times New Roman" w:eastAsia="仿宋_GB2312" w:cs="Times New Roman"/>
          <w:kern w:val="0"/>
          <w:sz w:val="32"/>
          <w:szCs w:val="32"/>
        </w:rPr>
        <w:t>管理科</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下属机关后勤服务中心，单位类型事业。</w:t>
      </w:r>
    </w:p>
    <w:p w14:paraId="7B58F29E">
      <w:pPr>
        <w:keepNext w:val="0"/>
        <w:keepLines w:val="0"/>
        <w:pageBreakBefore w:val="0"/>
        <w:widowControl w:val="0"/>
        <w:kinsoku/>
        <w:wordWrap/>
        <w:overflowPunct w:val="0"/>
        <w:topLinePunct w:val="0"/>
        <w:autoSpaceDE/>
        <w:autoSpaceDN/>
        <w:bidi w:val="0"/>
        <w:spacing w:line="560" w:lineRule="exact"/>
        <w:ind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val="0"/>
          <w:color w:val="000000"/>
          <w:kern w:val="0"/>
          <w:sz w:val="32"/>
          <w:szCs w:val="32"/>
          <w:highlight w:val="none"/>
          <w:shd w:val="clear" w:color="auto" w:fill="FFFFFF"/>
          <w:lang w:val="zh-CN"/>
        </w:rPr>
        <w:t>（</w:t>
      </w:r>
      <w:r>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t>二</w:t>
      </w:r>
      <w:r>
        <w:rPr>
          <w:rFonts w:hint="default" w:ascii="Times New Roman" w:hAnsi="Times New Roman" w:eastAsia="楷体_GB2312" w:cs="Times New Roman"/>
          <w:b w:val="0"/>
          <w:bCs w:val="0"/>
          <w:color w:val="000000"/>
          <w:kern w:val="0"/>
          <w:sz w:val="32"/>
          <w:szCs w:val="32"/>
          <w:highlight w:val="none"/>
          <w:shd w:val="clear" w:color="auto" w:fill="FFFFFF"/>
          <w:lang w:val="zh-CN"/>
        </w:rPr>
        <w:t>）机构</w:t>
      </w:r>
      <w:r>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t>职能</w:t>
      </w:r>
      <w:r>
        <w:rPr>
          <w:rFonts w:hint="default" w:ascii="Times New Roman" w:hAnsi="Times New Roman" w:eastAsia="楷体_GB2312" w:cs="Times New Roman"/>
          <w:b w:val="0"/>
          <w:bCs w:val="0"/>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rPr>
        <w:t>阿坝州机关事务管理局是</w:t>
      </w:r>
      <w:r>
        <w:rPr>
          <w:rFonts w:hint="default" w:ascii="Times New Roman" w:hAnsi="Times New Roman" w:eastAsia="仿宋_GB2312" w:cs="Times New Roman"/>
          <w:kern w:val="0"/>
          <w:sz w:val="32"/>
          <w:szCs w:val="32"/>
        </w:rPr>
        <w:t>贯彻执行国家、省、州有关机关事务工作的方针政策依法拟订全州机关事务工作的相关规划和制度并组织实施，负责州直机关事务的管理、保障、服务工作，指导各县</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市</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机关事务管理工作。按规定负责州直行政事业单位国有资产管理工作、公务用车</w:t>
      </w:r>
      <w:r>
        <w:rPr>
          <w:rFonts w:hint="default" w:ascii="Times New Roman" w:hAnsi="Times New Roman" w:eastAsia="仿宋_GB2312" w:cs="Times New Roman"/>
          <w:kern w:val="0"/>
          <w:sz w:val="32"/>
          <w:szCs w:val="32"/>
          <w:lang w:val="en-US" w:eastAsia="zh-CN"/>
        </w:rPr>
        <w:t>和</w:t>
      </w:r>
      <w:r>
        <w:rPr>
          <w:rFonts w:hint="default" w:ascii="Times New Roman" w:hAnsi="Times New Roman" w:eastAsia="仿宋_GB2312" w:cs="Times New Roman"/>
          <w:kern w:val="0"/>
          <w:sz w:val="32"/>
          <w:szCs w:val="32"/>
        </w:rPr>
        <w:t>公共机构节能工作、州直机关后勤工作</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lang w:val="en-US" w:eastAsia="zh-CN"/>
        </w:rPr>
        <w:t>公务接待</w:t>
      </w:r>
      <w:r>
        <w:rPr>
          <w:rFonts w:hint="default" w:ascii="Times New Roman" w:hAnsi="Times New Roman" w:eastAsia="仿宋_GB2312" w:cs="Times New Roman"/>
          <w:kern w:val="0"/>
          <w:sz w:val="32"/>
          <w:szCs w:val="32"/>
        </w:rPr>
        <w:t>等，并拟订相关管理办法并监督实施。完成州委、州政府交办的其他任务。</w:t>
      </w:r>
    </w:p>
    <w:p w14:paraId="7CECD1FE">
      <w:pPr>
        <w:keepNext w:val="0"/>
        <w:keepLines w:val="0"/>
        <w:pageBreakBefore w:val="0"/>
        <w:widowControl w:val="0"/>
        <w:kinsoku/>
        <w:wordWrap/>
        <w:overflowPunct w:val="0"/>
        <w:topLinePunct w:val="0"/>
        <w:autoSpaceDE/>
        <w:autoSpaceDN/>
        <w:bidi w:val="0"/>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w:t>
      </w:r>
      <w:r>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t>三</w:t>
      </w: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w:t>
      </w:r>
      <w:r>
        <w:rPr>
          <w:rFonts w:hint="default" w:ascii="Times New Roman" w:hAnsi="Times New Roman" w:eastAsia="楷体_GB2312" w:cs="Times New Roman"/>
          <w:b w:val="0"/>
          <w:bCs w:val="0"/>
          <w:color w:val="000000"/>
          <w:kern w:val="0"/>
          <w:sz w:val="32"/>
          <w:szCs w:val="32"/>
          <w:highlight w:val="none"/>
          <w:shd w:val="clear" w:color="auto" w:fill="FFFFFF"/>
          <w:lang w:val="en-US" w:eastAsia="zh-CN"/>
        </w:rPr>
        <w:t>人员概况。</w:t>
      </w:r>
      <w:r>
        <w:rPr>
          <w:rFonts w:hint="default" w:ascii="Times New Roman" w:hAnsi="Times New Roman" w:eastAsia="仿宋_GB2312" w:cs="Times New Roman"/>
          <w:kern w:val="0"/>
          <w:sz w:val="32"/>
          <w:szCs w:val="32"/>
        </w:rPr>
        <w:t>截至202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年12月31日，</w:t>
      </w:r>
      <w:r>
        <w:rPr>
          <w:rFonts w:hint="default" w:ascii="Times New Roman" w:hAnsi="Times New Roman" w:eastAsia="仿宋_GB2312" w:cs="Times New Roman"/>
          <w:kern w:val="0"/>
          <w:sz w:val="32"/>
          <w:szCs w:val="32"/>
          <w:lang w:val="en-US" w:eastAsia="zh-CN"/>
        </w:rPr>
        <w:t>阿坝州机关事务管理局行政编制10名。其中局长1名，副局长2名，正科级领导职数4名，副科级领导职数2名，科员1名。机关工勤人员编制2名。下属州机关后勤服务中心事业编制10名，其中主任1名，副主任1名，工作人员8名。年末实有人数19名，年末实有离退休人数为1名。</w:t>
      </w:r>
    </w:p>
    <w:p w14:paraId="0CE111E8">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val="zh-CN"/>
        </w:rPr>
        <w:t>二、</w:t>
      </w:r>
      <w:r>
        <w:rPr>
          <w:rFonts w:hint="default" w:ascii="Times New Roman" w:hAnsi="Times New Roman" w:eastAsia="黑体" w:cs="Times New Roman"/>
          <w:color w:val="000000"/>
          <w:kern w:val="0"/>
          <w:sz w:val="32"/>
          <w:szCs w:val="32"/>
          <w:highlight w:val="none"/>
          <w:shd w:val="clear" w:color="auto" w:fill="FFFFFF"/>
          <w:lang w:val="zh-CN" w:eastAsia="zh-CN"/>
        </w:rPr>
        <w:t>部门</w:t>
      </w:r>
      <w:r>
        <w:rPr>
          <w:rFonts w:hint="default" w:ascii="Times New Roman" w:hAnsi="Times New Roman" w:eastAsia="黑体" w:cs="Times New Roman"/>
          <w:color w:val="000000"/>
          <w:kern w:val="0"/>
          <w:sz w:val="32"/>
          <w:szCs w:val="32"/>
          <w:highlight w:val="none"/>
          <w:shd w:val="clear" w:color="auto" w:fill="FFFFFF"/>
          <w:lang w:val="zh-CN"/>
        </w:rPr>
        <w:t>资金收支情况</w:t>
      </w:r>
    </w:p>
    <w:p w14:paraId="2B0EC65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（一）收入情况。</w:t>
      </w:r>
      <w:r>
        <w:rPr>
          <w:rFonts w:hint="default" w:ascii="Times New Roman" w:hAnsi="Times New Roman" w:eastAsia="仿宋_GB2312" w:cs="Times New Roman"/>
          <w:kern w:val="0"/>
          <w:sz w:val="32"/>
          <w:szCs w:val="32"/>
          <w:lang w:val="en-US" w:eastAsia="zh-CN"/>
        </w:rPr>
        <w:t>2025年年初预算收入为474.9万元。一般公共预算拨款收入为474.9万元，占比100.00%。（其中州机关事务管理局一般公共预算资金369.74万元，机关后勤服务中心一般公共预算资金105.17万元）。2025年决算收入为3489.55万元，其中一般公共服务支出为3370.74万元，占比96.59%；社会保障和就业支出为65.38万元，占比1.87%；卫生健康支出为24.22万元，占比0.69%；住房保障支出为36.66万元，占比1.05%。</w:t>
      </w:r>
    </w:p>
    <w:p w14:paraId="7A886ED2">
      <w:pPr>
        <w:keepNext w:val="0"/>
        <w:keepLines w:val="0"/>
        <w:pageBreakBefore w:val="0"/>
        <w:widowControl w:val="0"/>
        <w:numPr>
          <w:ilvl w:val="0"/>
          <w:numId w:val="0"/>
        </w:numPr>
        <w:kinsoku/>
        <w:wordWrap/>
        <w:overflowPunct w:val="0"/>
        <w:topLinePunct w:val="0"/>
        <w:autoSpaceDE/>
        <w:autoSpaceDN/>
        <w:bidi w:val="0"/>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（二）支出情况。</w:t>
      </w:r>
      <w:r>
        <w:rPr>
          <w:rFonts w:hint="default" w:ascii="Times New Roman" w:hAnsi="Times New Roman" w:eastAsia="仿宋_GB2312" w:cs="Times New Roman"/>
          <w:kern w:val="0"/>
          <w:sz w:val="32"/>
          <w:szCs w:val="32"/>
          <w:lang w:val="en-US" w:eastAsia="zh-CN"/>
        </w:rPr>
        <w:t>2025年年初预算支出为474.9万元，一般公共服务支出为379.09万元，占比79.83%。2025年决算支出为3578.09万元，其中一般公共服务支出为3370.74万元，占比94.2%；社会保障和就业支出为65.38万元，占比1.8%；卫生健康支出为24.22万元，占比0.67%；住房保障支出为36.66万元，占比1.02%。</w:t>
      </w:r>
    </w:p>
    <w:p w14:paraId="1FAFBE0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kern w:val="0"/>
          <w:sz w:val="32"/>
          <w:szCs w:val="32"/>
          <w:lang w:val="en-US" w:eastAsia="zh-CN"/>
        </w:rPr>
      </w:pPr>
      <w:r>
        <w:rPr>
          <w:rFonts w:hint="default" w:ascii="Times New Roman" w:hAnsi="Times New Roman" w:eastAsia="楷体_GB2312" w:cs="Times New Roman"/>
          <w:sz w:val="32"/>
          <w:szCs w:val="32"/>
          <w:lang w:val="zh-CN" w:eastAsia="zh-CN"/>
        </w:rPr>
        <w:t>（三）结余分配和结转结余情况。</w:t>
      </w:r>
      <w:r>
        <w:rPr>
          <w:rFonts w:hint="default" w:ascii="Times New Roman" w:hAnsi="Times New Roman" w:eastAsia="仿宋_GB2312" w:cs="Times New Roman"/>
          <w:kern w:val="0"/>
          <w:sz w:val="32"/>
          <w:szCs w:val="32"/>
          <w:lang w:val="en-US" w:eastAsia="zh-CN"/>
        </w:rPr>
        <w:t>阿坝州机关事务管理局2025年决算报表结转结余81.07万元。该笔资金为马店拆迁款项，属于年初结转结余资金。</w:t>
      </w:r>
    </w:p>
    <w:p w14:paraId="7A10BD7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14:paraId="51AB438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sz w:val="32"/>
          <w:szCs w:val="32"/>
          <w:lang w:val="zh-CN" w:eastAsia="zh-CN"/>
        </w:rPr>
        <w:t>（一）部门预算总体绩效分析。</w:t>
      </w:r>
      <w:r>
        <w:rPr>
          <w:rFonts w:hint="default" w:ascii="Times New Roman" w:hAnsi="Times New Roman" w:eastAsia="仿宋_GB2312" w:cs="Times New Roman"/>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14:paraId="032AFFDE">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1.</w:t>
      </w:r>
      <w:r>
        <w:rPr>
          <w:rFonts w:hint="default" w:ascii="Times New Roman" w:hAnsi="Times New Roman" w:eastAsia="仿宋_GB2312" w:cs="Times New Roman"/>
          <w:b/>
          <w:bCs/>
          <w:color w:val="000000"/>
          <w:kern w:val="0"/>
          <w:sz w:val="32"/>
          <w:szCs w:val="32"/>
          <w:highlight w:val="none"/>
          <w:shd w:val="clear" w:color="auto" w:fill="FFFFFF"/>
          <w:lang w:val="zh-CN"/>
        </w:rPr>
        <w:t>履职效能。</w:t>
      </w:r>
      <w:r>
        <w:rPr>
          <w:rFonts w:hint="default" w:ascii="Times New Roman" w:hAnsi="Times New Roman" w:eastAsia="仿宋_GB2312" w:cs="Times New Roman"/>
          <w:color w:val="000000"/>
          <w:kern w:val="0"/>
          <w:sz w:val="32"/>
          <w:szCs w:val="32"/>
          <w:highlight w:val="none"/>
          <w:shd w:val="clear" w:color="auto" w:fill="FFFFFF"/>
          <w:lang w:val="zh-CN"/>
        </w:rPr>
        <w:t>部门整体绩效目标中选定3—5个核心职能目标，对职能目标完成效果情况绩效分析。部门整体绩效指标：</w:t>
      </w:r>
      <w:r>
        <w:rPr>
          <w:rFonts w:hint="default" w:ascii="Times New Roman" w:hAnsi="Times New Roman" w:eastAsia="仿宋_GB2312" w:cs="Times New Roman"/>
          <w:b/>
          <w:bCs/>
          <w:color w:val="000000"/>
          <w:kern w:val="0"/>
          <w:sz w:val="32"/>
          <w:szCs w:val="32"/>
          <w:highlight w:val="none"/>
          <w:shd w:val="clear" w:color="auto" w:fill="FFFFFF"/>
          <w:lang w:val="en-US" w:eastAsia="zh-CN"/>
        </w:rPr>
        <w:t>一是</w:t>
      </w:r>
      <w:r>
        <w:rPr>
          <w:rFonts w:hint="default" w:ascii="Times New Roman" w:hAnsi="Times New Roman" w:eastAsia="仿宋_GB2312" w:cs="Times New Roman"/>
          <w:b/>
          <w:bCs/>
          <w:color w:val="000000" w:themeColor="text1"/>
          <w:kern w:val="0"/>
          <w:sz w:val="32"/>
          <w:szCs w:val="32"/>
          <w:highlight w:val="none"/>
          <w:shd w:val="clear" w:color="auto" w:fill="FFFFFF"/>
          <w:lang w:val="zh-CN"/>
          <w14:textFill>
            <w14:solidFill>
              <w14:schemeClr w14:val="tx1"/>
            </w14:solidFill>
          </w14:textFill>
        </w:rPr>
        <w:t>正常运转履职效果</w:t>
      </w:r>
      <w:r>
        <w:rPr>
          <w:rFonts w:hint="default"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zh-CN"/>
        </w:rPr>
        <w:t>完成机关事务各项工作目标任务≥</w:t>
      </w:r>
      <w:r>
        <w:rPr>
          <w:rFonts w:hint="default"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rPr>
        <w:t>项，截至202</w:t>
      </w:r>
      <w:r>
        <w:rPr>
          <w:rFonts w:hint="default"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年年底共圆满完成202</w:t>
      </w:r>
      <w:r>
        <w:rPr>
          <w:rFonts w:hint="default"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年州机关事务管理局各项工作目标任务≥</w:t>
      </w:r>
      <w:r>
        <w:rPr>
          <w:rFonts w:hint="default" w:ascii="Times New Roman" w:hAnsi="Times New Roman" w:eastAsia="仿宋_GB2312" w:cs="Times New Roman"/>
          <w:color w:val="000000"/>
          <w:kern w:val="0"/>
          <w:sz w:val="32"/>
          <w:szCs w:val="32"/>
          <w:highlight w:val="none"/>
          <w:shd w:val="clear" w:color="auto" w:fill="FFFFFF"/>
          <w:lang w:val="en-US" w:eastAsia="zh-CN"/>
        </w:rPr>
        <w:t>14</w:t>
      </w:r>
      <w:r>
        <w:rPr>
          <w:rFonts w:hint="default" w:ascii="Times New Roman" w:hAnsi="Times New Roman" w:eastAsia="仿宋_GB2312" w:cs="Times New Roman"/>
          <w:color w:val="000000"/>
          <w:kern w:val="0"/>
          <w:sz w:val="32"/>
          <w:szCs w:val="32"/>
          <w:highlight w:val="none"/>
          <w:shd w:val="clear" w:color="auto" w:fill="FFFFFF"/>
          <w:lang w:val="zh-CN"/>
        </w:rPr>
        <w:t>项。</w:t>
      </w:r>
      <w:r>
        <w:rPr>
          <w:rFonts w:hint="default" w:ascii="Times New Roman" w:hAnsi="Times New Roman" w:eastAsia="仿宋_GB2312" w:cs="Times New Roman"/>
          <w:b/>
          <w:bCs/>
          <w:color w:val="000000"/>
          <w:kern w:val="0"/>
          <w:sz w:val="32"/>
          <w:szCs w:val="32"/>
          <w:highlight w:val="none"/>
          <w:shd w:val="clear" w:color="auto" w:fill="FFFFFF"/>
          <w:lang w:val="en-US" w:eastAsia="zh-CN"/>
        </w:rPr>
        <w:t>二是</w:t>
      </w:r>
      <w:r>
        <w:rPr>
          <w:rFonts w:hint="default" w:ascii="Times New Roman" w:hAnsi="Times New Roman" w:eastAsia="仿宋_GB2312" w:cs="Times New Roman"/>
          <w:b/>
          <w:bCs/>
          <w:color w:val="000000"/>
          <w:kern w:val="0"/>
          <w:sz w:val="32"/>
          <w:szCs w:val="32"/>
          <w:highlight w:val="none"/>
          <w:shd w:val="clear" w:color="auto" w:fill="FFFFFF"/>
          <w:lang w:val="zh-CN"/>
        </w:rPr>
        <w:t>周转房履职效果。</w:t>
      </w:r>
      <w:r>
        <w:rPr>
          <w:rFonts w:hint="default" w:ascii="Times New Roman" w:hAnsi="Times New Roman" w:eastAsia="仿宋_GB2312" w:cs="Times New Roman"/>
          <w:color w:val="000000"/>
          <w:kern w:val="0"/>
          <w:sz w:val="32"/>
          <w:szCs w:val="32"/>
          <w:highlight w:val="none"/>
          <w:shd w:val="clear" w:color="auto" w:fill="FFFFFF"/>
          <w:lang w:val="zh-CN"/>
        </w:rPr>
        <w:t>设置周转房工作满意度指标≥9</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rPr>
        <w:t>%，202</w:t>
      </w:r>
      <w:r>
        <w:rPr>
          <w:rFonts w:hint="default"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我局坚持聚焦干部职工所期所盼，围绕周转房服务管理中的痛点、难点，在居住安全、环境提升等方面不断下功夫，持续抓好干部职工周转房租赁和腾退服务保障工作，坚决整治违规转租、转借周转房等行为，保障干部职工合法权益，不断提升干部职工的满意度，服务干部群众满意度=</w:t>
      </w:r>
      <w:r>
        <w:rPr>
          <w:rFonts w:hint="default" w:ascii="Times New Roman" w:hAnsi="Times New Roman" w:eastAsia="仿宋_GB2312" w:cs="Times New Roman"/>
          <w:color w:val="000000"/>
          <w:kern w:val="0"/>
          <w:sz w:val="32"/>
          <w:szCs w:val="32"/>
          <w:highlight w:val="none"/>
          <w:shd w:val="clear" w:color="auto" w:fill="FFFFFF"/>
          <w:lang w:val="en-US" w:eastAsia="zh-CN"/>
        </w:rPr>
        <w:t>90</w:t>
      </w:r>
      <w:r>
        <w:rPr>
          <w:rFonts w:hint="default" w:ascii="Times New Roman" w:hAnsi="Times New Roman"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b/>
          <w:bCs/>
          <w:color w:val="000000"/>
          <w:kern w:val="0"/>
          <w:sz w:val="32"/>
          <w:szCs w:val="32"/>
          <w:highlight w:val="none"/>
          <w:shd w:val="clear" w:color="auto" w:fill="FFFFFF"/>
          <w:lang w:val="en-US" w:eastAsia="zh-CN"/>
        </w:rPr>
        <w:t>三是</w:t>
      </w:r>
      <w:r>
        <w:rPr>
          <w:rFonts w:hint="default" w:ascii="Times New Roman" w:hAnsi="Times New Roman" w:eastAsia="仿宋_GB2312" w:cs="Times New Roman"/>
          <w:b/>
          <w:bCs/>
          <w:color w:val="000000" w:themeColor="text1"/>
          <w:kern w:val="0"/>
          <w:sz w:val="32"/>
          <w:szCs w:val="32"/>
          <w:highlight w:val="none"/>
          <w:shd w:val="clear" w:color="auto" w:fill="FFFFFF"/>
          <w:lang w:val="zh-CN"/>
          <w14:textFill>
            <w14:solidFill>
              <w14:schemeClr w14:val="tx1"/>
            </w14:solidFill>
          </w14:textFill>
        </w:rPr>
        <w:t>资产与后勤管理履职效果。</w:t>
      </w:r>
      <w:r>
        <w:rPr>
          <w:rFonts w:hint="default" w:ascii="Times New Roman" w:hAnsi="Times New Roman" w:eastAsia="仿宋_GB2312" w:cs="Times New Roman"/>
          <w:color w:val="000000"/>
          <w:kern w:val="0"/>
          <w:sz w:val="32"/>
          <w:szCs w:val="32"/>
          <w:highlight w:val="none"/>
          <w:shd w:val="clear" w:color="auto" w:fill="FFFFFF"/>
          <w:lang w:val="zh-CN"/>
        </w:rPr>
        <w:t>坚持勤俭办一切事业的重要要求，坚持节约、集约、高效原则，持续强化行政事业单位国有资产管理，建立完善资产共享共用、统管统配机制，有效提升资产管理使用效能；高质量完成州民族团结广场综合体运行管理工作，推动集中办公、集中食堂建设和会议服务高效规范有序运转。</w:t>
      </w:r>
      <w:r>
        <w:rPr>
          <w:rFonts w:hint="default" w:ascii="Times New Roman" w:hAnsi="Times New Roman" w:eastAsia="仿宋_GB2312" w:cs="Times New Roman"/>
          <w:b/>
          <w:bCs/>
          <w:color w:val="000000"/>
          <w:kern w:val="0"/>
          <w:sz w:val="32"/>
          <w:szCs w:val="32"/>
          <w:highlight w:val="none"/>
          <w:shd w:val="clear" w:color="auto" w:fill="FFFFFF"/>
          <w:lang w:val="en-US" w:eastAsia="zh-CN"/>
        </w:rPr>
        <w:t>四是公共机构节能管理履职效果。</w:t>
      </w:r>
      <w:r>
        <w:rPr>
          <w:rFonts w:hint="default" w:ascii="Times New Roman" w:hAnsi="Times New Roman" w:eastAsia="仿宋_GB2312" w:cs="Times New Roman"/>
          <w:color w:val="000000"/>
          <w:kern w:val="0"/>
          <w:sz w:val="32"/>
          <w:szCs w:val="32"/>
          <w:highlight w:val="none"/>
          <w:shd w:val="clear" w:color="auto" w:fill="FFFFFF"/>
          <w:lang w:val="zh-CN"/>
        </w:rPr>
        <w:t>极推进国家级、省级节约型公共机构示范单位和节水型单位创建，深入推进公共机构绿色建筑创建行动、能源管理创建、绿色办公出行等重点工作，为实现“双碳”目标贡献公共机构力量。</w:t>
      </w:r>
      <w:r>
        <w:rPr>
          <w:rFonts w:hint="default" w:ascii="Times New Roman" w:hAnsi="Times New Roman" w:eastAsia="仿宋_GB2312" w:cs="Times New Roman"/>
          <w:b/>
          <w:bCs/>
          <w:color w:val="000000"/>
          <w:kern w:val="0"/>
          <w:sz w:val="32"/>
          <w:szCs w:val="32"/>
          <w:highlight w:val="none"/>
          <w:shd w:val="clear" w:color="auto" w:fill="FFFFFF"/>
          <w:lang w:val="en-US" w:eastAsia="zh-CN"/>
        </w:rPr>
        <w:t>五是办公用房管理履职效果。</w:t>
      </w:r>
      <w:r>
        <w:rPr>
          <w:rFonts w:hint="default" w:ascii="Times New Roman" w:hAnsi="Times New Roman" w:eastAsia="仿宋_GB2312" w:cs="Times New Roman"/>
          <w:color w:val="000000"/>
          <w:kern w:val="0"/>
          <w:sz w:val="32"/>
          <w:szCs w:val="32"/>
          <w:highlight w:val="none"/>
          <w:shd w:val="clear" w:color="auto" w:fill="FFFFFF"/>
          <w:lang w:val="zh-CN"/>
        </w:rPr>
        <w:t>设置办公用房统计率=100%，202</w:t>
      </w:r>
      <w:r>
        <w:rPr>
          <w:rFonts w:hint="default"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年办公用房工作坚持厉行节约反对浪费，持续做好202</w:t>
      </w:r>
      <w:r>
        <w:rPr>
          <w:rFonts w:hint="default"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年度办公用房统计全覆盖工作，持续推进使用办公用房监督管理，从严审核办公用房维修改造审核审批工作。</w:t>
      </w:r>
      <w:r>
        <w:rPr>
          <w:rFonts w:hint="default" w:ascii="Times New Roman" w:hAnsi="Times New Roman" w:eastAsia="仿宋_GB2312" w:cs="Times New Roman"/>
          <w:b/>
          <w:bCs/>
          <w:color w:val="000000"/>
          <w:kern w:val="0"/>
          <w:sz w:val="32"/>
          <w:szCs w:val="32"/>
          <w:highlight w:val="none"/>
          <w:shd w:val="clear" w:color="auto" w:fill="FFFFFF"/>
          <w:lang w:val="zh-CN"/>
        </w:rPr>
        <w:t>六是公务用车管理</w:t>
      </w:r>
      <w:r>
        <w:rPr>
          <w:rFonts w:hint="default" w:ascii="Times New Roman" w:hAnsi="Times New Roman" w:eastAsia="仿宋_GB2312" w:cs="Times New Roman"/>
          <w:b/>
          <w:bCs/>
          <w:color w:val="000000"/>
          <w:kern w:val="0"/>
          <w:sz w:val="32"/>
          <w:szCs w:val="32"/>
          <w:highlight w:val="none"/>
          <w:shd w:val="clear" w:color="auto" w:fill="FFFFFF"/>
          <w:lang w:val="en-US" w:eastAsia="zh-CN"/>
        </w:rPr>
        <w:t>履职效果</w:t>
      </w:r>
      <w:r>
        <w:rPr>
          <w:rFonts w:hint="default" w:ascii="Times New Roman" w:hAnsi="Times New Roman" w:eastAsia="仿宋_GB2312" w:cs="Times New Roman"/>
          <w:color w:val="000000"/>
          <w:kern w:val="0"/>
          <w:sz w:val="32"/>
          <w:szCs w:val="32"/>
          <w:highlight w:val="none"/>
          <w:shd w:val="clear" w:color="auto" w:fill="FFFFFF"/>
          <w:lang w:val="zh-CN"/>
        </w:rPr>
        <w:t>。常态做好开展党政机关公务用车更新配置调剂相关资料收集、审核等各项工作，统筹组织召开2025年全州公务用车改革和管理领导小组会议，做好年度全州党政机关单位公务用车信息统计，持续深化公务用车信息平台运用，加快全州事业单位车辆核定编制工作，积极指导有条件实施的县（市）完成事业单位车辆编制核定。</w:t>
      </w:r>
    </w:p>
    <w:p w14:paraId="7E43A2A7">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2.</w:t>
      </w:r>
      <w:r>
        <w:rPr>
          <w:rFonts w:hint="default" w:ascii="Times New Roman" w:hAnsi="Times New Roman" w:eastAsia="仿宋_GB2312" w:cs="Times New Roman"/>
          <w:b/>
          <w:bCs/>
          <w:color w:val="000000"/>
          <w:kern w:val="0"/>
          <w:sz w:val="32"/>
          <w:szCs w:val="32"/>
          <w:highlight w:val="none"/>
          <w:shd w:val="clear" w:color="auto" w:fill="FFFFFF"/>
          <w:lang w:val="zh-CN" w:eastAsia="zh-CN"/>
        </w:rPr>
        <w:t>预算管理。</w:t>
      </w:r>
      <w:r>
        <w:rPr>
          <w:rFonts w:hint="default" w:ascii="Times New Roman" w:hAnsi="Times New Roman" w:eastAsia="仿宋_GB2312" w:cs="Times New Roman"/>
          <w:color w:val="000000"/>
          <w:kern w:val="0"/>
          <w:sz w:val="32"/>
          <w:szCs w:val="32"/>
          <w:highlight w:val="none"/>
          <w:shd w:val="clear" w:color="auto" w:fill="FFFFFF"/>
          <w:lang w:val="zh-CN"/>
        </w:rPr>
        <w:t>围绕预算编制质量、单位收入统筹、支出执行进度、预算年终结余、严控一般性支出进行绩效分析。</w:t>
      </w:r>
    </w:p>
    <w:p w14:paraId="1D239A5D">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（1）</w:t>
      </w:r>
      <w:r>
        <w:rPr>
          <w:rFonts w:hint="default" w:ascii="Times New Roman" w:hAnsi="Times New Roman" w:eastAsia="仿宋_GB2312" w:cs="Times New Roman"/>
          <w:b/>
          <w:bCs/>
          <w:color w:val="000000"/>
          <w:kern w:val="0"/>
          <w:sz w:val="32"/>
          <w:szCs w:val="32"/>
          <w:highlight w:val="none"/>
          <w:shd w:val="clear" w:color="auto" w:fill="FFFFFF"/>
          <w:lang w:val="zh-CN"/>
        </w:rPr>
        <w:t>预算编制质量指标。</w:t>
      </w:r>
      <w:r>
        <w:rPr>
          <w:rFonts w:hint="default" w:ascii="Times New Roman" w:hAnsi="Times New Roman" w:eastAsia="仿宋_GB2312" w:cs="Times New Roman"/>
          <w:b w:val="0"/>
          <w:bCs w:val="0"/>
          <w:color w:val="000000"/>
          <w:kern w:val="0"/>
          <w:sz w:val="32"/>
          <w:szCs w:val="32"/>
          <w:highlight w:val="none"/>
          <w:shd w:val="clear" w:color="auto" w:fill="FFFFFF"/>
          <w:lang w:val="zh-CN"/>
        </w:rPr>
        <w:t>部门是否严格按要求编制年初部门预算，年初预算编制的科学性和准确性。1.财政拨款预算偏离度：〔财政拨款预算执行数（</w:t>
      </w:r>
      <w:r>
        <w:rPr>
          <w:rFonts w:hint="default" w:ascii="Times New Roman" w:hAnsi="Times New Roman" w:eastAsia="仿宋_GB2312" w:cs="Times New Roman"/>
          <w:kern w:val="0"/>
          <w:sz w:val="32"/>
          <w:szCs w:val="32"/>
          <w:lang w:val="en-US" w:eastAsia="zh-CN"/>
        </w:rPr>
        <w:t>3489.55</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万元）-财政拨款年初预算数（</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474.9</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万元）〕÷财政拨款年初预算数（</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474.9</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634.79</w:t>
      </w:r>
      <w:r>
        <w:rPr>
          <w:rFonts w:hint="default" w:ascii="Times New Roman" w:hAnsi="Times New Roman" w:eastAsia="仿宋_GB2312" w:cs="Times New Roman"/>
          <w:b w:val="0"/>
          <w:bCs w:val="0"/>
          <w:color w:val="000000"/>
          <w:kern w:val="0"/>
          <w:sz w:val="32"/>
          <w:szCs w:val="32"/>
          <w:highlight w:val="none"/>
          <w:shd w:val="clear" w:color="auto" w:fill="FFFFFF"/>
          <w:lang w:val="zh-CN"/>
        </w:rPr>
        <w:t>%；2.资产配置预算偏离度：</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〔资产配置预算执行数（</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万元）-资产配置年初预算数（</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万元）〕÷资产配置年初预算数（</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万元）=0%</w:t>
      </w:r>
      <w:r>
        <w:rPr>
          <w:rFonts w:hint="default" w:ascii="Times New Roman" w:hAnsi="Times New Roman" w:eastAsia="仿宋_GB2312" w:cs="Times New Roman"/>
          <w:b w:val="0"/>
          <w:bCs w:val="0"/>
          <w:color w:val="000000"/>
          <w:kern w:val="0"/>
          <w:sz w:val="32"/>
          <w:szCs w:val="32"/>
          <w:highlight w:val="none"/>
          <w:shd w:val="clear" w:color="auto" w:fill="FFFFFF"/>
          <w:lang w:val="zh-CN"/>
        </w:rPr>
        <w:t>；3.政府采购预算偏离度：〔政府采购预算执行数（</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1.7</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万元）-政府采购年初预算数（</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1.7</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万元）〕÷政府采购年初预算数（</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1.7</w:t>
      </w:r>
      <w:r>
        <w:rPr>
          <w:rFonts w:hint="default" w:ascii="Times New Roman" w:hAnsi="Times New Roman" w:eastAsia="仿宋_GB2312" w:cs="Times New Roman"/>
          <w:b w:val="0"/>
          <w:bCs w:val="0"/>
          <w:color w:val="000000"/>
          <w:kern w:val="0"/>
          <w:sz w:val="32"/>
          <w:szCs w:val="32"/>
          <w:highlight w:val="none"/>
          <w:shd w:val="clear" w:color="auto" w:fill="FFFFFF"/>
          <w:lang w:val="zh-CN"/>
        </w:rPr>
        <w:t>万元）=</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0</w:t>
      </w:r>
      <w:r>
        <w:rPr>
          <w:rFonts w:hint="default" w:ascii="Times New Roman" w:hAnsi="Times New Roman" w:eastAsia="仿宋_GB2312" w:cs="Times New Roman"/>
          <w:b w:val="0"/>
          <w:bCs w:val="0"/>
          <w:color w:val="000000"/>
          <w:kern w:val="0"/>
          <w:sz w:val="32"/>
          <w:szCs w:val="32"/>
          <w:highlight w:val="none"/>
          <w:shd w:val="clear" w:color="auto" w:fill="FFFFFF"/>
          <w:lang w:val="zh-CN"/>
        </w:rPr>
        <w:t>%。</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该项指标得分=（1-财政拨款预算偏离度</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634.79</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%）×100%×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4</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+（1-资产配置预算偏离度0%）×100%×3+（1-政府采购预算偏离度</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%）×100%×</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-1分</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w:t>
      </w:r>
    </w:p>
    <w:p w14:paraId="38DD64E8">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（2）</w:t>
      </w:r>
      <w:r>
        <w:rPr>
          <w:rFonts w:hint="default" w:ascii="Times New Roman" w:hAnsi="Times New Roman" w:eastAsia="仿宋_GB2312" w:cs="Times New Roman"/>
          <w:b/>
          <w:bCs/>
          <w:color w:val="000000"/>
          <w:kern w:val="0"/>
          <w:sz w:val="32"/>
          <w:szCs w:val="32"/>
          <w:highlight w:val="none"/>
          <w:shd w:val="clear" w:color="auto" w:fill="FFFFFF"/>
          <w:lang w:val="zh-CN" w:eastAsia="zh-CN"/>
        </w:rPr>
        <w:t>支出执行进度。</w:t>
      </w:r>
      <w:r>
        <w:rPr>
          <w:rFonts w:hint="default" w:ascii="Times New Roman" w:hAnsi="Times New Roman" w:eastAsia="仿宋_GB2312" w:cs="Times New Roman"/>
          <w:b w:val="0"/>
          <w:bCs w:val="0"/>
          <w:color w:val="000000"/>
          <w:kern w:val="0"/>
          <w:sz w:val="32"/>
          <w:szCs w:val="32"/>
          <w:highlight w:val="none"/>
          <w:shd w:val="clear" w:color="auto" w:fill="FFFFFF"/>
          <w:lang w:val="zh-CN"/>
        </w:rPr>
        <w:t>部门1至6月、1至10月预算执行情况</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是</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（1至6月预算执行数</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2865.65</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÷（部门预算数</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4114.39</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×50%）×2）+（1-1至6月支出预警金额占比0×0.8-1至6月支出违规金额占比×0.2）+（1</w:t>
      </w:r>
      <w:r>
        <w:rPr>
          <w:rFonts w:hint="default" w:ascii="Times New Roman" w:hAnsi="Times New Roman" w:eastAsia="仿宋_GB2312" w:cs="Times New Roman"/>
          <w:color w:val="000000"/>
          <w:kern w:val="0"/>
          <w:sz w:val="32"/>
          <w:szCs w:val="32"/>
          <w:highlight w:val="none"/>
          <w:shd w:val="clear" w:color="auto" w:fill="FFFFFF"/>
          <w:lang w:val="zh-CN"/>
        </w:rPr>
        <w:t>至10月预算执行数</w:t>
      </w:r>
      <w:r>
        <w:rPr>
          <w:rFonts w:hint="default" w:ascii="Times New Roman" w:hAnsi="Times New Roman" w:eastAsia="仿宋_GB2312" w:cs="Times New Roman"/>
          <w:color w:val="000000"/>
          <w:kern w:val="0"/>
          <w:sz w:val="32"/>
          <w:szCs w:val="32"/>
          <w:highlight w:val="none"/>
          <w:shd w:val="clear" w:color="auto" w:fill="FFFFFF"/>
          <w:lang w:val="en-US" w:eastAsia="zh-CN"/>
        </w:rPr>
        <w:t>3157.08</w:t>
      </w:r>
      <w:r>
        <w:rPr>
          <w:rFonts w:hint="default" w:ascii="Times New Roman" w:hAnsi="Times New Roman" w:eastAsia="仿宋_GB2312" w:cs="Times New Roman"/>
          <w:color w:val="000000"/>
          <w:kern w:val="0"/>
          <w:sz w:val="32"/>
          <w:szCs w:val="32"/>
          <w:highlight w:val="none"/>
          <w:shd w:val="clear" w:color="auto" w:fill="FFFFFF"/>
          <w:lang w:val="zh-CN"/>
        </w:rPr>
        <w:t>÷（部门预算数</w:t>
      </w:r>
      <w:r>
        <w:rPr>
          <w:rFonts w:hint="default" w:ascii="Times New Roman" w:hAnsi="Times New Roman" w:eastAsia="仿宋_GB2312" w:cs="Times New Roman"/>
          <w:kern w:val="0"/>
          <w:sz w:val="32"/>
          <w:szCs w:val="32"/>
          <w:lang w:val="en-US" w:eastAsia="zh-CN"/>
        </w:rPr>
        <w:t>4114.39</w:t>
      </w:r>
      <w:r>
        <w:rPr>
          <w:rFonts w:hint="default" w:ascii="Times New Roman" w:hAnsi="Times New Roman" w:eastAsia="仿宋_GB2312" w:cs="Times New Roman"/>
          <w:color w:val="000000"/>
          <w:kern w:val="0"/>
          <w:sz w:val="32"/>
          <w:szCs w:val="32"/>
          <w:highlight w:val="none"/>
          <w:shd w:val="clear" w:color="auto" w:fill="FFFFFF"/>
          <w:lang w:val="zh-CN"/>
        </w:rPr>
        <w:t>×83.33%）×2）+（1-1至10月支出预警金额占比0×0.8-1至10月支出违规金额占比0×0.2）=</w:t>
      </w:r>
      <w:r>
        <w:rPr>
          <w:rFonts w:hint="default" w:ascii="Times New Roman" w:hAnsi="Times New Roman" w:eastAsia="仿宋_GB2312" w:cs="Times New Roman"/>
          <w:color w:val="000000"/>
          <w:kern w:val="0"/>
          <w:sz w:val="32"/>
          <w:szCs w:val="32"/>
          <w:highlight w:val="none"/>
          <w:shd w:val="clear" w:color="auto" w:fill="FFFFFF"/>
          <w:lang w:val="en-US" w:eastAsia="zh-CN"/>
        </w:rPr>
        <w:t>6.54分。</w:t>
      </w:r>
    </w:p>
    <w:p w14:paraId="389B8BB1">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（3）预算年终结余。</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部门整体年终预算结余情况是按部门整体预算结余率：（年终部门预算注销金额合计34.79+年终部门预算结转金额合计81.7万元）÷调整后的年度部门预算数4114.39万元=2.8% ，该项指标得分=（1-部门整体预算结余率2.8%）×100%×2=1.944分。</w:t>
      </w:r>
    </w:p>
    <w:p w14:paraId="2B324242">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（4）严控一般性支出</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部门严控“三公”经费、会议、培训、差旅、办节办展、办公设备购置、信息网络及软件购置更新、课题经费等8项一般性支出情况。2025年8项一般性支出执行数33.86万元，2024年执行数121.34万元。2025年8项一般性支出年初预算数29.13万元，2024年预算数57.53万元。</w:t>
      </w:r>
      <w:r>
        <w:rPr>
          <w:rFonts w:hint="default" w:ascii="Times New Roman" w:hAnsi="Times New Roman" w:eastAsia="仿宋_GB2312" w:cs="Times New Roman"/>
          <w:b/>
          <w:bCs/>
          <w:color w:val="000000"/>
          <w:kern w:val="0"/>
          <w:sz w:val="32"/>
          <w:szCs w:val="32"/>
          <w:highlight w:val="none"/>
          <w:shd w:val="clear" w:color="auto" w:fill="FFFFFF"/>
          <w:lang w:val="en-US" w:eastAsia="zh-CN"/>
        </w:rPr>
        <w:t>基础分值</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。一般性支出财政拨款年初预算29.13万元小于上年57.53万元，实现压减该项基础分得1分；</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一般性支</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出财政拨款预算执行较上年实现压减，该项基础分得1分。</w:t>
      </w:r>
      <w:r>
        <w:rPr>
          <w:rFonts w:hint="default" w:ascii="Times New Roman" w:hAnsi="Times New Roman" w:eastAsia="仿宋_GB2312" w:cs="Times New Roman"/>
          <w:b/>
          <w:bCs/>
          <w:color w:val="000000"/>
          <w:kern w:val="0"/>
          <w:sz w:val="32"/>
          <w:szCs w:val="32"/>
          <w:highlight w:val="none"/>
          <w:shd w:val="clear" w:color="auto" w:fill="FFFFFF"/>
          <w:lang w:val="en-US" w:eastAsia="zh-CN"/>
        </w:rPr>
        <w:t>加分值。</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压减率=（上年年初预算57.53万元-本年年初预算29.13万元）÷上年年初预算57.53万元=49.36%，得1分；压减率=（上年执行数121.34万元-本年执行数33.86万元）÷上年执行数121.34万元=72.09%，得2分；指标得分=基础分值+加分值=1+1+1+2=5分。</w:t>
      </w:r>
    </w:p>
    <w:p w14:paraId="5144E7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3.</w:t>
      </w:r>
      <w:r>
        <w:rPr>
          <w:rFonts w:hint="default" w:ascii="Times New Roman" w:hAnsi="Times New Roman" w:eastAsia="仿宋_GB2312" w:cs="Times New Roman"/>
          <w:b/>
          <w:bCs/>
          <w:color w:val="000000"/>
          <w:kern w:val="0"/>
          <w:sz w:val="32"/>
          <w:szCs w:val="32"/>
          <w:highlight w:val="none"/>
          <w:shd w:val="clear" w:color="auto" w:fill="FFFFFF"/>
          <w:lang w:val="zh-CN"/>
        </w:rPr>
        <w:t>财务管理。</w:t>
      </w:r>
      <w:r>
        <w:rPr>
          <w:rFonts w:hint="default" w:ascii="Times New Roman" w:hAnsi="Times New Roman" w:eastAsia="仿宋_GB2312" w:cs="Times New Roman"/>
          <w:color w:val="000000"/>
          <w:kern w:val="0"/>
          <w:sz w:val="32"/>
          <w:szCs w:val="32"/>
          <w:highlight w:val="none"/>
          <w:shd w:val="clear" w:color="auto" w:fill="FFFFFF"/>
          <w:lang w:val="zh-CN"/>
        </w:rPr>
        <w:t>围绕财务管理制度、财务岗位设置、资金使用规范进行绩效分析。</w:t>
      </w:r>
      <w:r>
        <w:rPr>
          <w:rFonts w:hint="default" w:ascii="Times New Roman" w:hAnsi="Times New Roman" w:eastAsia="仿宋_GB2312" w:cs="Times New Roman"/>
          <w:b w:val="0"/>
          <w:bCs w:val="0"/>
          <w:color w:val="000000"/>
          <w:sz w:val="32"/>
          <w:szCs w:val="32"/>
          <w:shd w:val="clear" w:color="auto" w:fill="FFFFFF"/>
        </w:rPr>
        <w:t>部门已制定内部财务管理制度等制度</w:t>
      </w:r>
      <w:r>
        <w:rPr>
          <w:rFonts w:hint="default" w:ascii="Times New Roman" w:hAnsi="Times New Roman" w:eastAsia="仿宋_GB2312" w:cs="Times New Roman"/>
          <w:b w:val="0"/>
          <w:bCs w:val="0"/>
          <w:color w:val="000000"/>
          <w:sz w:val="32"/>
          <w:szCs w:val="32"/>
          <w:shd w:val="clear" w:color="auto" w:fill="FFFFFF"/>
          <w:lang w:eastAsia="zh-CN"/>
        </w:rPr>
        <w:t>。部门合理设置财务工作岗位，明确职责权限，并严格实行不相容岗位分离的原则。我部门不存在超预算或无预算安排、虚列支出、超范围超标准使用经费、违规使用“三公”经费、滥发津补贴、报销不合规等情况。</w:t>
      </w:r>
      <w:r>
        <w:rPr>
          <w:rFonts w:hint="default" w:ascii="Times New Roman" w:hAnsi="Times New Roman" w:eastAsia="仿宋_GB2312" w:cs="Times New Roman"/>
          <w:b w:val="0"/>
          <w:bCs w:val="0"/>
          <w:color w:val="000000"/>
          <w:sz w:val="32"/>
          <w:szCs w:val="32"/>
          <w:shd w:val="clear" w:color="auto" w:fill="FFFFFF"/>
          <w:lang w:val="en-US" w:eastAsia="zh-CN"/>
        </w:rPr>
        <w:t>指标得分10分。</w:t>
      </w:r>
    </w:p>
    <w:p w14:paraId="60A3665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4.</w:t>
      </w:r>
      <w:r>
        <w:rPr>
          <w:rFonts w:hint="default" w:ascii="Times New Roman" w:hAnsi="Times New Roman" w:eastAsia="仿宋_GB2312" w:cs="Times New Roman"/>
          <w:b/>
          <w:bCs/>
          <w:color w:val="000000"/>
          <w:kern w:val="0"/>
          <w:sz w:val="32"/>
          <w:szCs w:val="32"/>
          <w:highlight w:val="none"/>
          <w:shd w:val="clear" w:color="auto" w:fill="FFFFFF"/>
          <w:lang w:val="zh-CN"/>
        </w:rPr>
        <w:t>资产管理。</w:t>
      </w:r>
      <w:r>
        <w:rPr>
          <w:rFonts w:hint="default" w:ascii="Times New Roman" w:hAnsi="Times New Roman" w:eastAsia="仿宋_GB2312" w:cs="Times New Roman"/>
          <w:color w:val="000000"/>
          <w:kern w:val="0"/>
          <w:sz w:val="32"/>
          <w:szCs w:val="32"/>
          <w:highlight w:val="none"/>
          <w:shd w:val="clear" w:color="auto" w:fill="FFFFFF"/>
          <w:lang w:val="zh-CN"/>
        </w:rPr>
        <w:t>围绕人均资产变化率、资产利用率、资产盘活率进行绩效分析。</w:t>
      </w:r>
      <w:r>
        <w:rPr>
          <w:rFonts w:hint="default" w:ascii="Times New Roman" w:hAnsi="Times New Roman" w:eastAsia="仿宋_GB2312" w:cs="Times New Roman"/>
          <w:b/>
          <w:bCs/>
          <w:color w:val="000000"/>
          <w:kern w:val="0"/>
          <w:sz w:val="32"/>
          <w:szCs w:val="32"/>
          <w:highlight w:val="none"/>
          <w:shd w:val="clear" w:color="auto" w:fill="FFFFFF"/>
          <w:lang w:val="zh-CN"/>
        </w:rPr>
        <w:t>202</w:t>
      </w:r>
      <w:r>
        <w:rPr>
          <w:rFonts w:hint="default" w:ascii="Times New Roman" w:hAnsi="Times New Roman" w:eastAsia="仿宋_GB2312" w:cs="Times New Roman"/>
          <w:b/>
          <w:bCs/>
          <w:color w:val="000000"/>
          <w:kern w:val="0"/>
          <w:sz w:val="32"/>
          <w:szCs w:val="32"/>
          <w:highlight w:val="none"/>
          <w:shd w:val="clear" w:color="auto" w:fill="FFFFFF"/>
          <w:lang w:val="en-US" w:eastAsia="zh-CN"/>
        </w:rPr>
        <w:t>5</w:t>
      </w:r>
      <w:r>
        <w:rPr>
          <w:rFonts w:hint="default" w:ascii="Times New Roman" w:hAnsi="Times New Roman" w:eastAsia="仿宋_GB2312" w:cs="Times New Roman"/>
          <w:b/>
          <w:bCs/>
          <w:color w:val="000000"/>
          <w:kern w:val="0"/>
          <w:sz w:val="32"/>
          <w:szCs w:val="32"/>
          <w:highlight w:val="none"/>
          <w:shd w:val="clear" w:color="auto" w:fill="FFFFFF"/>
          <w:lang w:val="zh-CN"/>
        </w:rPr>
        <w:t>年人均占有资产</w:t>
      </w:r>
      <w:r>
        <w:rPr>
          <w:rFonts w:hint="default" w:ascii="Times New Roman" w:hAnsi="Times New Roman" w:eastAsia="仿宋_GB2312" w:cs="Times New Roman"/>
          <w:color w:val="000000"/>
          <w:kern w:val="0"/>
          <w:sz w:val="32"/>
          <w:szCs w:val="32"/>
          <w:highlight w:val="none"/>
          <w:shd w:val="clear" w:color="auto" w:fill="FFFFFF"/>
          <w:lang w:val="zh-CN"/>
        </w:rPr>
        <w:t>=（固定资产净值</w:t>
      </w:r>
      <w:r>
        <w:rPr>
          <w:rFonts w:hint="default" w:ascii="Times New Roman" w:hAnsi="Times New Roman" w:eastAsia="仿宋_GB2312" w:cs="Times New Roman"/>
          <w:color w:val="000000"/>
          <w:kern w:val="0"/>
          <w:sz w:val="32"/>
          <w:szCs w:val="32"/>
          <w:highlight w:val="none"/>
          <w:shd w:val="clear" w:color="auto" w:fill="FFFFFF"/>
          <w:lang w:val="en-US" w:eastAsia="zh-CN"/>
        </w:rPr>
        <w:t>842419.39</w:t>
      </w:r>
      <w:r>
        <w:rPr>
          <w:rFonts w:hint="default" w:ascii="Times New Roman" w:hAnsi="Times New Roman" w:eastAsia="仿宋_GB2312" w:cs="Times New Roman"/>
          <w:color w:val="000000"/>
          <w:kern w:val="0"/>
          <w:sz w:val="32"/>
          <w:szCs w:val="32"/>
          <w:highlight w:val="none"/>
          <w:shd w:val="clear" w:color="auto" w:fill="FFFFFF"/>
          <w:lang w:val="zh-CN"/>
        </w:rPr>
        <w:t>元+无形资产净值</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rPr>
        <w:t>元）÷年末实有人数1</w:t>
      </w:r>
      <w:r>
        <w:rPr>
          <w:rFonts w:hint="default" w:ascii="Times New Roman" w:hAnsi="Times New Roman" w:eastAsia="仿宋_GB2312" w:cs="Times New Roman"/>
          <w:color w:val="000000"/>
          <w:kern w:val="0"/>
          <w:sz w:val="32"/>
          <w:szCs w:val="32"/>
          <w:highlight w:val="none"/>
          <w:shd w:val="clear" w:color="auto" w:fill="FFFFFF"/>
          <w:lang w:val="en-US" w:eastAsia="zh-CN"/>
        </w:rPr>
        <w:t>9</w:t>
      </w:r>
      <w:r>
        <w:rPr>
          <w:rFonts w:hint="default" w:ascii="Times New Roman" w:hAnsi="Times New Roman" w:eastAsia="仿宋_GB2312" w:cs="Times New Roman"/>
          <w:color w:val="000000"/>
          <w:kern w:val="0"/>
          <w:sz w:val="32"/>
          <w:szCs w:val="32"/>
          <w:highlight w:val="none"/>
          <w:shd w:val="clear" w:color="auto" w:fill="FFFFFF"/>
          <w:lang w:val="zh-CN"/>
        </w:rPr>
        <w:t>人=</w:t>
      </w:r>
      <w:r>
        <w:rPr>
          <w:rFonts w:hint="default" w:ascii="Times New Roman" w:hAnsi="Times New Roman" w:eastAsia="仿宋_GB2312" w:cs="Times New Roman"/>
          <w:color w:val="000000"/>
          <w:kern w:val="0"/>
          <w:sz w:val="32"/>
          <w:szCs w:val="32"/>
          <w:highlight w:val="none"/>
          <w:shd w:val="clear" w:color="auto" w:fill="FFFFFF"/>
          <w:lang w:val="en-US" w:eastAsia="zh-CN"/>
        </w:rPr>
        <w:t>44337.86</w:t>
      </w:r>
      <w:r>
        <w:rPr>
          <w:rFonts w:hint="default" w:ascii="Times New Roman" w:hAnsi="Times New Roman" w:eastAsia="仿宋_GB2312" w:cs="Times New Roman"/>
          <w:color w:val="000000"/>
          <w:kern w:val="0"/>
          <w:sz w:val="32"/>
          <w:szCs w:val="32"/>
          <w:highlight w:val="none"/>
          <w:shd w:val="clear" w:color="auto" w:fill="FFFFFF"/>
          <w:lang w:val="zh-CN"/>
        </w:rPr>
        <w:t>元；</w:t>
      </w:r>
      <w:r>
        <w:rPr>
          <w:rFonts w:hint="default" w:ascii="Times New Roman" w:hAnsi="Times New Roman" w:eastAsia="仿宋_GB2312" w:cs="Times New Roman"/>
          <w:b/>
          <w:bCs/>
          <w:color w:val="000000"/>
          <w:kern w:val="0"/>
          <w:sz w:val="32"/>
          <w:szCs w:val="32"/>
          <w:highlight w:val="none"/>
          <w:shd w:val="clear" w:color="auto" w:fill="FFFFFF"/>
          <w:lang w:val="zh-CN"/>
        </w:rPr>
        <w:t>202</w:t>
      </w:r>
      <w:r>
        <w:rPr>
          <w:rFonts w:hint="default" w:ascii="Times New Roman" w:hAnsi="Times New Roman" w:eastAsia="仿宋_GB2312" w:cs="Times New Roman"/>
          <w:b/>
          <w:bCs/>
          <w:color w:val="000000"/>
          <w:kern w:val="0"/>
          <w:sz w:val="32"/>
          <w:szCs w:val="32"/>
          <w:highlight w:val="none"/>
          <w:shd w:val="clear" w:color="auto" w:fill="FFFFFF"/>
          <w:lang w:val="en-US" w:eastAsia="zh-CN"/>
        </w:rPr>
        <w:t>4</w:t>
      </w:r>
      <w:r>
        <w:rPr>
          <w:rFonts w:hint="default" w:ascii="Times New Roman" w:hAnsi="Times New Roman" w:eastAsia="仿宋_GB2312" w:cs="Times New Roman"/>
          <w:b/>
          <w:bCs/>
          <w:color w:val="000000"/>
          <w:kern w:val="0"/>
          <w:sz w:val="32"/>
          <w:szCs w:val="32"/>
          <w:highlight w:val="none"/>
          <w:shd w:val="clear" w:color="auto" w:fill="FFFFFF"/>
          <w:lang w:val="zh-CN"/>
        </w:rPr>
        <w:t>年人均占有资产</w:t>
      </w:r>
      <w:r>
        <w:rPr>
          <w:rFonts w:hint="default" w:ascii="Times New Roman" w:hAnsi="Times New Roman" w:eastAsia="仿宋_GB2312" w:cs="Times New Roman"/>
          <w:color w:val="000000"/>
          <w:kern w:val="0"/>
          <w:sz w:val="32"/>
          <w:szCs w:val="32"/>
          <w:highlight w:val="none"/>
          <w:shd w:val="clear" w:color="auto" w:fill="FFFFFF"/>
          <w:lang w:val="zh-CN"/>
        </w:rPr>
        <w:t>=（固定资产净值</w:t>
      </w:r>
      <w:r>
        <w:rPr>
          <w:rFonts w:hint="default" w:ascii="Times New Roman" w:hAnsi="Times New Roman" w:eastAsia="仿宋_GB2312" w:cs="Times New Roman"/>
          <w:color w:val="000000"/>
          <w:kern w:val="0"/>
          <w:sz w:val="32"/>
          <w:szCs w:val="32"/>
          <w:highlight w:val="none"/>
          <w:shd w:val="clear" w:color="auto" w:fill="FFFFFF"/>
          <w:lang w:val="en-US" w:eastAsia="zh-CN"/>
        </w:rPr>
        <w:t>1119431.02</w:t>
      </w:r>
      <w:r>
        <w:rPr>
          <w:rFonts w:hint="default" w:ascii="Times New Roman" w:hAnsi="Times New Roman" w:eastAsia="仿宋_GB2312" w:cs="Times New Roman"/>
          <w:color w:val="000000"/>
          <w:kern w:val="0"/>
          <w:sz w:val="32"/>
          <w:szCs w:val="32"/>
          <w:highlight w:val="none"/>
          <w:shd w:val="clear" w:color="auto" w:fill="FFFFFF"/>
          <w:lang w:val="zh-CN"/>
        </w:rPr>
        <w:t>元+无形资产净值</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rPr>
        <w:t>元）÷年末实有人数1</w:t>
      </w:r>
      <w:r>
        <w:rPr>
          <w:rFonts w:hint="default" w:ascii="Times New Roman" w:hAnsi="Times New Roman" w:eastAsia="仿宋_GB2312" w:cs="Times New Roman"/>
          <w:color w:val="000000"/>
          <w:kern w:val="0"/>
          <w:sz w:val="32"/>
          <w:szCs w:val="32"/>
          <w:highlight w:val="none"/>
          <w:shd w:val="clear" w:color="auto" w:fill="FFFFFF"/>
          <w:lang w:val="en-US" w:eastAsia="zh-CN"/>
        </w:rPr>
        <w:t>6</w:t>
      </w:r>
      <w:r>
        <w:rPr>
          <w:rFonts w:hint="default" w:ascii="Times New Roman" w:hAnsi="Times New Roman" w:eastAsia="仿宋_GB2312" w:cs="Times New Roman"/>
          <w:color w:val="000000"/>
          <w:kern w:val="0"/>
          <w:sz w:val="32"/>
          <w:szCs w:val="32"/>
          <w:highlight w:val="none"/>
          <w:shd w:val="clear" w:color="auto" w:fill="FFFFFF"/>
          <w:lang w:val="zh-CN"/>
        </w:rPr>
        <w:t>人=</w:t>
      </w:r>
      <w:r>
        <w:rPr>
          <w:rFonts w:hint="default" w:ascii="Times New Roman" w:hAnsi="Times New Roman" w:eastAsia="仿宋_GB2312" w:cs="Times New Roman"/>
          <w:color w:val="000000"/>
          <w:kern w:val="0"/>
          <w:sz w:val="32"/>
          <w:szCs w:val="32"/>
          <w:highlight w:val="none"/>
          <w:shd w:val="clear" w:color="auto" w:fill="FFFFFF"/>
          <w:lang w:val="en-US" w:eastAsia="zh-CN"/>
        </w:rPr>
        <w:t>72735.55</w:t>
      </w:r>
      <w:r>
        <w:rPr>
          <w:rFonts w:hint="default" w:ascii="Times New Roman" w:hAnsi="Times New Roman" w:eastAsia="仿宋_GB2312" w:cs="Times New Roman"/>
          <w:color w:val="000000"/>
          <w:kern w:val="0"/>
          <w:sz w:val="32"/>
          <w:szCs w:val="32"/>
          <w:highlight w:val="none"/>
          <w:shd w:val="clear" w:color="auto" w:fill="FFFFFF"/>
          <w:lang w:val="zh-CN"/>
        </w:rPr>
        <w:t>元；</w:t>
      </w:r>
      <w:r>
        <w:rPr>
          <w:rFonts w:hint="default" w:ascii="Times New Roman" w:hAnsi="Times New Roman" w:eastAsia="仿宋_GB2312" w:cs="Times New Roman"/>
          <w:b/>
          <w:bCs/>
          <w:color w:val="000000"/>
          <w:kern w:val="0"/>
          <w:sz w:val="32"/>
          <w:szCs w:val="32"/>
          <w:highlight w:val="none"/>
          <w:shd w:val="clear" w:color="auto" w:fill="FFFFFF"/>
          <w:lang w:val="zh-CN"/>
        </w:rPr>
        <w:t>部门人均资产变化率X</w:t>
      </w:r>
      <w:r>
        <w:rPr>
          <w:rFonts w:hint="default" w:ascii="Times New Roman" w:hAnsi="Times New Roman" w:eastAsia="仿宋_GB2312" w:cs="Times New Roman"/>
          <w:color w:val="000000"/>
          <w:kern w:val="0"/>
          <w:sz w:val="32"/>
          <w:szCs w:val="32"/>
          <w:highlight w:val="none"/>
          <w:shd w:val="clear" w:color="auto" w:fill="FFFFFF"/>
          <w:lang w:val="zh-CN"/>
        </w:rPr>
        <w:t>：（当年单位人均占有资产</w:t>
      </w:r>
      <w:r>
        <w:rPr>
          <w:rFonts w:hint="default" w:ascii="Times New Roman" w:hAnsi="Times New Roman" w:eastAsia="仿宋_GB2312" w:cs="Times New Roman"/>
          <w:color w:val="000000"/>
          <w:kern w:val="0"/>
          <w:sz w:val="32"/>
          <w:szCs w:val="32"/>
          <w:highlight w:val="none"/>
          <w:shd w:val="clear" w:color="auto" w:fill="FFFFFF"/>
          <w:lang w:val="en-US" w:eastAsia="zh-CN"/>
        </w:rPr>
        <w:t>44337.86</w:t>
      </w:r>
      <w:r>
        <w:rPr>
          <w:rFonts w:hint="default" w:ascii="Times New Roman" w:hAnsi="Times New Roman" w:eastAsia="仿宋_GB2312" w:cs="Times New Roman"/>
          <w:color w:val="000000"/>
          <w:kern w:val="0"/>
          <w:sz w:val="32"/>
          <w:szCs w:val="32"/>
          <w:highlight w:val="none"/>
          <w:shd w:val="clear" w:color="auto" w:fill="FFFFFF"/>
          <w:lang w:val="zh-CN"/>
        </w:rPr>
        <w:t>-上年单位人均占有资产</w:t>
      </w:r>
      <w:r>
        <w:rPr>
          <w:rFonts w:hint="default" w:ascii="Times New Roman" w:hAnsi="Times New Roman" w:eastAsia="仿宋_GB2312" w:cs="Times New Roman"/>
          <w:color w:val="000000"/>
          <w:kern w:val="0"/>
          <w:sz w:val="32"/>
          <w:szCs w:val="32"/>
          <w:highlight w:val="none"/>
          <w:shd w:val="clear" w:color="auto" w:fill="FFFFFF"/>
          <w:lang w:val="en-US" w:eastAsia="zh-CN"/>
        </w:rPr>
        <w:t>72735.55</w:t>
      </w:r>
      <w:r>
        <w:rPr>
          <w:rFonts w:hint="default" w:ascii="Times New Roman" w:hAnsi="Times New Roman" w:eastAsia="仿宋_GB2312" w:cs="Times New Roman"/>
          <w:color w:val="000000"/>
          <w:kern w:val="0"/>
          <w:sz w:val="32"/>
          <w:szCs w:val="32"/>
          <w:highlight w:val="none"/>
          <w:shd w:val="clear" w:color="auto" w:fill="FFFFFF"/>
          <w:lang w:val="zh-CN"/>
        </w:rPr>
        <w:t>）÷上年单位人均占有资产</w:t>
      </w:r>
      <w:r>
        <w:rPr>
          <w:rFonts w:hint="default" w:ascii="Times New Roman" w:hAnsi="Times New Roman" w:eastAsia="仿宋_GB2312" w:cs="Times New Roman"/>
          <w:color w:val="000000"/>
          <w:kern w:val="0"/>
          <w:sz w:val="32"/>
          <w:szCs w:val="32"/>
          <w:highlight w:val="none"/>
          <w:shd w:val="clear" w:color="auto" w:fill="FFFFFF"/>
          <w:lang w:val="en-US" w:eastAsia="zh-CN"/>
        </w:rPr>
        <w:t>72735.55</w:t>
      </w:r>
      <w:r>
        <w:rPr>
          <w:rFonts w:hint="default" w:ascii="Times New Roman" w:hAnsi="Times New Roman"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-39</w:t>
      </w:r>
      <w:r>
        <w:rPr>
          <w:rFonts w:hint="default" w:ascii="Times New Roman" w:hAnsi="Times New Roman" w:eastAsia="仿宋_GB2312" w:cs="Times New Roman"/>
          <w:color w:val="000000"/>
          <w:kern w:val="0"/>
          <w:sz w:val="32"/>
          <w:szCs w:val="32"/>
          <w:highlight w:val="none"/>
          <w:shd w:val="clear" w:color="auto" w:fill="FFFFFF"/>
          <w:lang w:val="zh-CN"/>
        </w:rPr>
        <w:t>%；部门人均资产变化率X为</w:t>
      </w:r>
      <w:r>
        <w:rPr>
          <w:rFonts w:hint="default" w:ascii="Times New Roman" w:hAnsi="Times New Roman" w:eastAsia="仿宋_GB2312" w:cs="Times New Roman"/>
          <w:color w:val="000000"/>
          <w:kern w:val="0"/>
          <w:sz w:val="32"/>
          <w:szCs w:val="32"/>
          <w:highlight w:val="none"/>
          <w:shd w:val="clear" w:color="auto" w:fill="FFFFFF"/>
          <w:lang w:val="en-US" w:eastAsia="zh-CN"/>
        </w:rPr>
        <w:t>-39</w:t>
      </w:r>
      <w:r>
        <w:rPr>
          <w:rFonts w:hint="default" w:ascii="Times New Roman" w:hAnsi="Times New Roman" w:eastAsia="仿宋_GB2312" w:cs="Times New Roman"/>
          <w:color w:val="000000"/>
          <w:kern w:val="0"/>
          <w:sz w:val="32"/>
          <w:szCs w:val="32"/>
          <w:highlight w:val="none"/>
          <w:shd w:val="clear" w:color="auto" w:fill="FFFFFF"/>
          <w:lang w:val="zh-CN"/>
        </w:rPr>
        <w:t>%，州直行政事业单位人均资产变化</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率N为</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-3.49%</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则：X≤N，得1.5分。部门人均资产增长率（</w:t>
      </w:r>
      <w:r>
        <w:rPr>
          <w:rFonts w:hint="default"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44337.86-72735.55）</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72735.55=-39</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%，同期州级财政收入增长率N为</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en-US" w:eastAsia="zh-CN"/>
          <w14:textFill>
            <w14:solidFill>
              <w14:schemeClr w14:val="tx1"/>
            </w14:solidFill>
          </w14:textFill>
        </w:rPr>
        <w:t>17.1</w:t>
      </w:r>
      <w:r>
        <w:rPr>
          <w:rFonts w:hint="default" w:ascii="Times New Roman" w:hAnsi="Times New Roman" w:eastAsia="仿宋_GB2312" w:cs="Times New Roman"/>
          <w:b w:val="0"/>
          <w:bCs w:val="0"/>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，则：</w:t>
      </w:r>
      <w:r>
        <w:rPr>
          <w:rFonts w:hint="default" w:ascii="Times New Roman" w:hAnsi="Times New Roman" w:eastAsia="仿宋_GB2312" w:cs="Times New Roman"/>
          <w:color w:val="000000" w:themeColor="text1"/>
          <w:kern w:val="0"/>
          <w:sz w:val="32"/>
          <w:szCs w:val="32"/>
          <w:highlight w:val="none"/>
          <w:shd w:val="clear" w:color="auto" w:fill="FFFFFF"/>
          <w:lang w:val="en-US" w:eastAsia="zh-CN"/>
          <w14:textFill>
            <w14:solidFill>
              <w14:schemeClr w14:val="tx1"/>
            </w14:solidFill>
          </w14:textFill>
        </w:rPr>
        <w:t>-39%=</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X≤0，得1.5分。</w:t>
      </w:r>
      <w:r>
        <w:rPr>
          <w:rFonts w:hint="default" w:ascii="Times New Roman" w:hAnsi="Times New Roman" w:eastAsia="仿宋_GB2312" w:cs="Times New Roman"/>
          <w:color w:val="000000"/>
          <w:kern w:val="0"/>
          <w:sz w:val="32"/>
          <w:szCs w:val="32"/>
          <w:highlight w:val="none"/>
          <w:shd w:val="clear" w:color="auto" w:fill="FFFFFF"/>
          <w:lang w:val="zh-CN"/>
        </w:rPr>
        <w:t>部门办公家具超最低使用年限资产利用率</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color w:val="000000"/>
          <w:kern w:val="0"/>
          <w:sz w:val="32"/>
          <w:szCs w:val="32"/>
          <w:highlight w:val="none"/>
          <w:shd w:val="clear" w:color="auto" w:fill="FFFFFF"/>
          <w:lang w:val="en-US" w:eastAsia="zh-CN"/>
        </w:rPr>
        <w:t>0.6N，得0.3分。部门办公设备超最低使用年限资产利用率=3.38%，3.38%</w:t>
      </w:r>
      <w:r>
        <w:rPr>
          <w:rFonts w:hint="default" w:ascii="Times New Roman" w:hAnsi="Times New Roman" w:eastAsia="仿宋_GB2312" w:cs="Times New Roman"/>
          <w:color w:val="000000" w:themeColor="text1"/>
          <w:kern w:val="0"/>
          <w:sz w:val="32"/>
          <w:szCs w:val="32"/>
          <w:highlight w:val="none"/>
          <w:shd w:val="clear" w:color="auto" w:fill="FFFFFF"/>
          <w:lang w:val="zh-CN"/>
          <w14:textFill>
            <w14:solidFill>
              <w14:schemeClr w14:val="tx1"/>
            </w14:solidFill>
          </w14:textFill>
        </w:rPr>
        <w:t>≤</w:t>
      </w:r>
      <w:r>
        <w:rPr>
          <w:rFonts w:hint="default" w:ascii="Times New Roman" w:hAnsi="Times New Roman" w:eastAsia="仿宋_GB2312" w:cs="Times New Roman"/>
          <w:color w:val="000000"/>
          <w:kern w:val="0"/>
          <w:sz w:val="32"/>
          <w:szCs w:val="32"/>
          <w:highlight w:val="none"/>
          <w:shd w:val="clear" w:color="auto" w:fill="FFFFFF"/>
          <w:lang w:val="en-US" w:eastAsia="zh-CN"/>
        </w:rPr>
        <w:t>0.6N，得0.3分。本部门</w:t>
      </w:r>
      <w:r>
        <w:rPr>
          <w:rFonts w:hint="default" w:ascii="Times New Roman" w:hAnsi="Times New Roman" w:eastAsia="仿宋_GB2312" w:cs="Times New Roman"/>
          <w:color w:val="000000"/>
          <w:kern w:val="0"/>
          <w:sz w:val="32"/>
          <w:szCs w:val="32"/>
          <w:highlight w:val="none"/>
          <w:shd w:val="clear" w:color="auto" w:fill="FFFFFF"/>
          <w:lang w:val="zh-CN"/>
        </w:rPr>
        <w:t>两年均无闲置资产，</w:t>
      </w:r>
      <w:r>
        <w:rPr>
          <w:rFonts w:hint="default" w:ascii="Times New Roman" w:hAnsi="Times New Roman" w:eastAsia="仿宋_GB2312" w:cs="Times New Roman"/>
          <w:color w:val="000000"/>
          <w:kern w:val="0"/>
          <w:sz w:val="32"/>
          <w:szCs w:val="32"/>
          <w:highlight w:val="none"/>
          <w:shd w:val="clear" w:color="auto" w:fill="FFFFFF"/>
          <w:lang w:val="en-US" w:eastAsia="zh-CN"/>
        </w:rPr>
        <w:t>得3分。此项合计得分3.6分。说明：我单位是2019年成立的，家具最低使用年限是180个月，即15年，新单位不适用此公式。故得分为6分。</w:t>
      </w:r>
    </w:p>
    <w:p w14:paraId="62BC99B8">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5.</w:t>
      </w:r>
      <w:r>
        <w:rPr>
          <w:rFonts w:hint="default" w:ascii="Times New Roman" w:hAnsi="Times New Roman" w:eastAsia="仿宋_GB2312" w:cs="Times New Roman"/>
          <w:b/>
          <w:bCs/>
          <w:color w:val="000000"/>
          <w:kern w:val="0"/>
          <w:sz w:val="32"/>
          <w:szCs w:val="32"/>
          <w:highlight w:val="none"/>
          <w:shd w:val="clear" w:color="auto" w:fill="FFFFFF"/>
          <w:lang w:val="zh-CN" w:eastAsia="zh-CN"/>
        </w:rPr>
        <w:t>采购管理。</w:t>
      </w:r>
      <w:r>
        <w:rPr>
          <w:rFonts w:hint="default" w:ascii="Times New Roman" w:hAnsi="Times New Roman" w:eastAsia="仿宋_GB2312" w:cs="Times New Roman"/>
          <w:color w:val="000000"/>
          <w:kern w:val="0"/>
          <w:sz w:val="32"/>
          <w:szCs w:val="32"/>
          <w:highlight w:val="none"/>
          <w:shd w:val="clear" w:color="auto" w:fill="FFFFFF"/>
          <w:lang w:val="zh-CN"/>
        </w:rPr>
        <w:t>围绕支持中小企业发展、采购执行率进行绩效分析。对适宜由中小企业提供的采购项目和采购包，预留采购份额专门面向中小企业采购，并在采购预算中单独列示，</w:t>
      </w:r>
      <w:r>
        <w:rPr>
          <w:rFonts w:hint="default" w:ascii="Times New Roman" w:hAnsi="Times New Roman" w:eastAsia="仿宋_GB2312" w:cs="Times New Roman"/>
          <w:color w:val="000000"/>
          <w:kern w:val="0"/>
          <w:sz w:val="32"/>
          <w:szCs w:val="32"/>
          <w:highlight w:val="none"/>
          <w:shd w:val="clear" w:color="auto" w:fill="FFFFFF"/>
          <w:lang w:val="en-US" w:eastAsia="zh-CN"/>
        </w:rPr>
        <w:t>得3分</w:t>
      </w:r>
      <w:r>
        <w:rPr>
          <w:rFonts w:hint="default" w:ascii="Times New Roman" w:hAnsi="Times New Roman" w:eastAsia="仿宋_GB2312" w:cs="Times New Roman"/>
          <w:color w:val="000000"/>
          <w:kern w:val="0"/>
          <w:sz w:val="32"/>
          <w:szCs w:val="32"/>
          <w:highlight w:val="none"/>
          <w:shd w:val="clear" w:color="auto" w:fill="FFFFFF"/>
          <w:lang w:val="zh-CN"/>
        </w:rPr>
        <w:t>。部门政府采购项目资金支付比例情况</w:t>
      </w:r>
      <w:r>
        <w:rPr>
          <w:rFonts w:hint="default" w:ascii="Times New Roman" w:hAnsi="Times New Roman" w:eastAsia="仿宋_GB2312" w:cs="Times New Roman"/>
          <w:color w:val="000000"/>
          <w:kern w:val="0"/>
          <w:sz w:val="32"/>
          <w:szCs w:val="32"/>
          <w:highlight w:val="none"/>
          <w:shd w:val="clear" w:color="auto" w:fill="FFFFFF"/>
          <w:lang w:val="en-US" w:eastAsia="zh-CN"/>
        </w:rPr>
        <w:t>得分=</w:t>
      </w:r>
      <w:r>
        <w:rPr>
          <w:rFonts w:hint="default" w:ascii="Times New Roman" w:hAnsi="Times New Roman" w:eastAsia="仿宋_GB2312" w:cs="Times New Roman"/>
          <w:color w:val="000000"/>
          <w:kern w:val="0"/>
          <w:sz w:val="32"/>
          <w:szCs w:val="32"/>
          <w:highlight w:val="none"/>
          <w:shd w:val="clear" w:color="auto" w:fill="FFFFFF"/>
          <w:lang w:val="zh-CN"/>
        </w:rPr>
        <w:t>当年政府采购实际支付总金额</w:t>
      </w:r>
      <w:r>
        <w:rPr>
          <w:rFonts w:hint="default" w:ascii="Times New Roman" w:hAnsi="Times New Roman" w:eastAsia="仿宋_GB2312" w:cs="Times New Roman"/>
          <w:color w:val="000000"/>
          <w:kern w:val="0"/>
          <w:sz w:val="32"/>
          <w:szCs w:val="32"/>
          <w:highlight w:val="none"/>
          <w:shd w:val="clear" w:color="auto" w:fill="FFFFFF"/>
          <w:lang w:val="en-US" w:eastAsia="zh-CN"/>
        </w:rPr>
        <w:t>1.7</w:t>
      </w:r>
      <w:r>
        <w:rPr>
          <w:rFonts w:hint="default" w:ascii="Times New Roman" w:hAnsi="Times New Roman" w:eastAsia="仿宋_GB2312" w:cs="Times New Roman"/>
          <w:color w:val="000000"/>
          <w:kern w:val="0"/>
          <w:sz w:val="32"/>
          <w:szCs w:val="32"/>
          <w:highlight w:val="none"/>
          <w:shd w:val="clear" w:color="auto" w:fill="FFFFFF"/>
          <w:lang w:val="zh-CN"/>
        </w:rPr>
        <w:t>万元÷（当年政府采购总预算数</w:t>
      </w:r>
      <w:r>
        <w:rPr>
          <w:rFonts w:hint="default" w:ascii="Times New Roman" w:hAnsi="Times New Roman" w:eastAsia="仿宋_GB2312" w:cs="Times New Roman"/>
          <w:color w:val="000000"/>
          <w:kern w:val="0"/>
          <w:sz w:val="32"/>
          <w:szCs w:val="32"/>
          <w:highlight w:val="none"/>
          <w:shd w:val="clear" w:color="auto" w:fill="FFFFFF"/>
          <w:lang w:val="en-US" w:eastAsia="zh-CN"/>
        </w:rPr>
        <w:t>1.7</w:t>
      </w:r>
      <w:r>
        <w:rPr>
          <w:rFonts w:hint="default" w:ascii="Times New Roman" w:hAnsi="Times New Roman" w:eastAsia="仿宋_GB2312" w:cs="Times New Roman"/>
          <w:color w:val="000000"/>
          <w:kern w:val="0"/>
          <w:sz w:val="32"/>
          <w:szCs w:val="32"/>
          <w:highlight w:val="none"/>
          <w:shd w:val="clear" w:color="auto" w:fill="FFFFFF"/>
          <w:lang w:val="zh-CN"/>
        </w:rPr>
        <w:t>万元-当年已完成采购项目节约金额0万元）×100%×3</w:t>
      </w:r>
      <w:r>
        <w:rPr>
          <w:rFonts w:hint="default"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rPr>
        <w:t>，该项指标得</w:t>
      </w:r>
      <w:r>
        <w:rPr>
          <w:rFonts w:hint="default"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rPr>
        <w:t>分。</w:t>
      </w:r>
      <w:r>
        <w:rPr>
          <w:rFonts w:hint="default" w:ascii="Times New Roman" w:hAnsi="Times New Roman" w:eastAsia="仿宋_GB2312" w:cs="Times New Roman"/>
          <w:color w:val="000000"/>
          <w:kern w:val="0"/>
          <w:sz w:val="32"/>
          <w:szCs w:val="32"/>
          <w:highlight w:val="none"/>
          <w:shd w:val="clear" w:color="auto" w:fill="FFFFFF"/>
          <w:lang w:val="en-US" w:eastAsia="zh-CN"/>
        </w:rPr>
        <w:t>合计6分。</w:t>
      </w:r>
    </w:p>
    <w:p w14:paraId="61C32DC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填报以下数据，</w:t>
      </w:r>
      <w:r>
        <w:rPr>
          <w:rFonts w:hint="default" w:ascii="Times New Roman" w:hAnsi="Times New Roman" w:eastAsia="仿宋_GB2312" w:cs="Times New Roman"/>
          <w:color w:val="000000"/>
          <w:kern w:val="0"/>
          <w:sz w:val="32"/>
          <w:szCs w:val="32"/>
          <w:highlight w:val="none"/>
          <w:shd w:val="clear" w:color="auto" w:fill="FFFFFF"/>
          <w:lang w:val="zh-CN"/>
        </w:rPr>
        <w:t>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rPr>
        <w:t>决策、项目执行、目标实现等情况。</w:t>
      </w:r>
    </w:p>
    <w:p w14:paraId="7687E9E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2817.78</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default"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个</w:t>
      </w:r>
      <w:r>
        <w:rPr>
          <w:rFonts w:hint="default" w:ascii="Times New Roman" w:hAnsi="Times New Roman" w:eastAsia="仿宋_GB2312" w:cs="Times New Roman"/>
          <w:color w:val="000000"/>
          <w:kern w:val="0"/>
          <w:sz w:val="32"/>
          <w:szCs w:val="32"/>
          <w:highlight w:val="none"/>
          <w:shd w:val="clear" w:color="auto" w:fill="FFFFFF"/>
          <w:lang w:val="zh-CN" w:eastAsia="zh-CN"/>
        </w:rPr>
        <w:t>。</w:t>
      </w:r>
    </w:p>
    <w:p w14:paraId="470C0C1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阶段（含一次性）项目绩效分析。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80.33</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100</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default"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14:paraId="3B8F70B3">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1.</w:t>
      </w:r>
      <w:r>
        <w:rPr>
          <w:rFonts w:hint="default" w:ascii="Times New Roman" w:hAnsi="Times New Roman" w:eastAsia="仿宋_GB2312" w:cs="Times New Roman"/>
          <w:b/>
          <w:bCs/>
          <w:color w:val="000000"/>
          <w:kern w:val="0"/>
          <w:sz w:val="32"/>
          <w:szCs w:val="32"/>
          <w:highlight w:val="none"/>
          <w:shd w:val="clear" w:color="auto" w:fill="FFFFFF"/>
          <w:lang w:val="zh-CN" w:eastAsia="zh-CN"/>
        </w:rPr>
        <w:t>项目决策。</w:t>
      </w:r>
      <w:r>
        <w:rPr>
          <w:rFonts w:hint="default" w:ascii="Times New Roman" w:hAnsi="Times New Roman" w:eastAsia="仿宋_GB2312" w:cs="Times New Roman"/>
          <w:color w:val="000000"/>
          <w:kern w:val="0"/>
          <w:sz w:val="32"/>
          <w:szCs w:val="32"/>
          <w:highlight w:val="none"/>
          <w:shd w:val="clear" w:color="auto" w:fill="FFFFFF"/>
          <w:lang w:val="zh-CN" w:eastAsia="zh-CN"/>
        </w:rPr>
        <w:t>围绕决策程序、目标设置、项目入库进行绩效分析。部门预算项目设立按规定履行评估论证、申报程序。部门预算项目绩效目标与计划期内的任务量、预算安排的资金量匹配，绩效目标设置科学合理、规范完整、量化细化、预算匹配。部门预算项目在规定时间完成项目入库。</w:t>
      </w:r>
    </w:p>
    <w:p w14:paraId="792D748D">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Chars="0"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2.项目执行</w:t>
      </w:r>
      <w:r>
        <w:rPr>
          <w:rFonts w:hint="default" w:ascii="Times New Roman" w:hAnsi="Times New Roman" w:eastAsia="仿宋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围绕资金执行同向、项目调整、执行结果进行绩效分析。部门预算项目实际列支内容与绩效目标设置方向相符。部门预算项目</w:t>
      </w:r>
      <w:r>
        <w:rPr>
          <w:rFonts w:hint="default" w:ascii="Times New Roman" w:hAnsi="Times New Roman" w:eastAsia="仿宋_GB2312" w:cs="Times New Roman"/>
          <w:color w:val="000000"/>
          <w:kern w:val="0"/>
          <w:sz w:val="32"/>
          <w:szCs w:val="32"/>
          <w:highlight w:val="none"/>
          <w:shd w:val="clear" w:color="auto" w:fill="FFFFFF"/>
          <w:lang w:val="en-US" w:eastAsia="zh-CN"/>
        </w:rPr>
        <w:t>均未</w:t>
      </w:r>
      <w:r>
        <w:rPr>
          <w:rFonts w:hint="default" w:ascii="Times New Roman" w:hAnsi="Times New Roman" w:eastAsia="仿宋_GB2312" w:cs="Times New Roman"/>
          <w:color w:val="000000"/>
          <w:kern w:val="0"/>
          <w:sz w:val="32"/>
          <w:szCs w:val="32"/>
          <w:highlight w:val="none"/>
          <w:shd w:val="clear" w:color="auto" w:fill="FFFFFF"/>
          <w:lang w:val="zh-CN" w:eastAsia="zh-CN"/>
        </w:rPr>
        <w:t>采取对应调整措施。部门预算项目预算执行进度</w:t>
      </w:r>
      <w:r>
        <w:rPr>
          <w:rFonts w:hint="default" w:ascii="Times New Roman" w:hAnsi="Times New Roman" w:eastAsia="仿宋_GB2312" w:cs="Times New Roman"/>
          <w:color w:val="000000"/>
          <w:kern w:val="0"/>
          <w:sz w:val="32"/>
          <w:szCs w:val="32"/>
          <w:highlight w:val="none"/>
          <w:shd w:val="clear" w:color="auto" w:fill="FFFFFF"/>
          <w:lang w:val="en-US" w:eastAsia="zh-CN"/>
        </w:rPr>
        <w:t>均</w:t>
      </w:r>
      <w:r>
        <w:rPr>
          <w:rFonts w:hint="default" w:ascii="Times New Roman" w:hAnsi="Times New Roman" w:eastAsia="仿宋_GB2312" w:cs="Times New Roman"/>
          <w:color w:val="000000"/>
          <w:kern w:val="0"/>
          <w:sz w:val="32"/>
          <w:szCs w:val="32"/>
          <w:highlight w:val="none"/>
          <w:shd w:val="clear" w:color="auto" w:fill="FFFFFF"/>
          <w:lang w:val="zh-CN" w:eastAsia="zh-CN"/>
        </w:rPr>
        <w:t>为</w:t>
      </w:r>
      <w:r>
        <w:rPr>
          <w:rFonts w:hint="default"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eastAsia="zh-CN"/>
        </w:rPr>
        <w:t>%。</w:t>
      </w:r>
    </w:p>
    <w:p w14:paraId="54BD9A29">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leftChars="0" w:firstLine="643"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仿宋_GB2312" w:cs="Times New Roman"/>
          <w:b/>
          <w:bCs/>
          <w:color w:val="000000"/>
          <w:kern w:val="0"/>
          <w:sz w:val="32"/>
          <w:szCs w:val="32"/>
          <w:highlight w:val="none"/>
          <w:shd w:val="clear" w:color="auto" w:fill="FFFFFF"/>
          <w:lang w:val="en-US" w:eastAsia="zh-CN"/>
        </w:rPr>
        <w:t>3.</w:t>
      </w:r>
      <w:r>
        <w:rPr>
          <w:rFonts w:hint="default" w:ascii="Times New Roman" w:hAnsi="Times New Roman" w:eastAsia="仿宋_GB2312" w:cs="Times New Roman"/>
          <w:b/>
          <w:bCs/>
          <w:color w:val="000000"/>
          <w:kern w:val="0"/>
          <w:sz w:val="32"/>
          <w:szCs w:val="32"/>
          <w:highlight w:val="none"/>
          <w:shd w:val="clear" w:color="auto" w:fill="FFFFFF"/>
          <w:lang w:val="zh-CN" w:eastAsia="zh-CN"/>
        </w:rPr>
        <w:t>目标实现。</w:t>
      </w:r>
      <w:r>
        <w:rPr>
          <w:rFonts w:hint="default" w:ascii="Times New Roman" w:hAnsi="Times New Roman" w:eastAsia="仿宋_GB2312" w:cs="Times New Roman"/>
          <w:color w:val="000000"/>
          <w:kern w:val="0"/>
          <w:sz w:val="32"/>
          <w:szCs w:val="32"/>
          <w:highlight w:val="none"/>
          <w:shd w:val="clear" w:color="auto" w:fill="FFFFFF"/>
          <w:lang w:val="zh-CN"/>
        </w:rPr>
        <w:t>围绕目标完成、目标偏离、实现效果进行绩效分析。部门预算项目绩效目标数量指标</w:t>
      </w:r>
      <w:r>
        <w:rPr>
          <w:rFonts w:hint="default" w:ascii="Times New Roman" w:hAnsi="Times New Roman" w:eastAsia="仿宋_GB2312" w:cs="Times New Roman"/>
          <w:color w:val="000000"/>
          <w:kern w:val="0"/>
          <w:sz w:val="32"/>
          <w:szCs w:val="32"/>
          <w:highlight w:val="none"/>
          <w:shd w:val="clear" w:color="auto" w:fill="FFFFFF"/>
          <w:lang w:val="en-US" w:eastAsia="zh-CN"/>
        </w:rPr>
        <w:t>13个。已完成预期指标值的数量指标个数13，均为完成预期指标值的数量指标中偏离度在30%内的指标。完成绩效目标效益指标的部门预算阶段项目（含一次性项目）数量13个，均为部门预算阶段项目（含一次性项目）。</w:t>
      </w:r>
    </w:p>
    <w:p w14:paraId="7AC44493">
      <w:pPr>
        <w:keepNext w:val="0"/>
        <w:keepLines w:val="0"/>
        <w:pageBreakBefore w:val="0"/>
        <w:widowControl w:val="0"/>
        <w:kinsoku/>
        <w:wordWrap/>
        <w:overflowPunct w:val="0"/>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rPr>
      </w:pPr>
      <w:r>
        <w:rPr>
          <w:rFonts w:hint="default" w:ascii="Times New Roman" w:hAnsi="Times New Roman" w:eastAsia="仿宋_GB2312" w:cs="Times New Roman"/>
          <w:sz w:val="32"/>
          <w:szCs w:val="32"/>
          <w:u w:val="none"/>
          <w:lang w:val="en-US" w:eastAsia="zh-CN"/>
        </w:rPr>
        <w:t>2025年度未</w:t>
      </w:r>
      <w:r>
        <w:rPr>
          <w:rFonts w:hint="default" w:ascii="Times New Roman" w:hAnsi="Times New Roman" w:eastAsia="仿宋_GB2312" w:cs="Times New Roman"/>
          <w:sz w:val="32"/>
          <w:szCs w:val="32"/>
          <w:u w:val="none"/>
        </w:rPr>
        <w:t>涉及国有资</w:t>
      </w:r>
      <w:r>
        <w:rPr>
          <w:rFonts w:hint="default" w:ascii="Times New Roman" w:hAnsi="Times New Roman" w:eastAsia="仿宋_GB2312" w:cs="Times New Roman"/>
          <w:sz w:val="32"/>
          <w:szCs w:val="32"/>
          <w:highlight w:val="none"/>
          <w:u w:val="none"/>
        </w:rPr>
        <w:t>本经营预算、社会保险基金预算</w:t>
      </w:r>
      <w:r>
        <w:rPr>
          <w:rFonts w:hint="default" w:ascii="Times New Roman" w:hAnsi="Times New Roman" w:eastAsia="仿宋_GB2312" w:cs="Times New Roman"/>
          <w:sz w:val="32"/>
          <w:szCs w:val="32"/>
          <w:highlight w:val="none"/>
          <w:u w:val="none"/>
          <w:lang w:eastAsia="zh-CN"/>
        </w:rPr>
        <w:t>。</w:t>
      </w:r>
    </w:p>
    <w:p w14:paraId="2496D210">
      <w:pPr>
        <w:keepNext w:val="0"/>
        <w:keepLines w:val="0"/>
        <w:pageBreakBefore w:val="0"/>
        <w:kinsoku/>
        <w:wordWrap/>
        <w:topLinePunct w:val="0"/>
        <w:autoSpaceDE/>
        <w:autoSpaceDN/>
        <w:bidi w:val="0"/>
        <w:spacing w:line="560" w:lineRule="exact"/>
        <w:ind w:firstLine="640" w:firstLineChars="200"/>
        <w:textAlignment w:val="auto"/>
        <w:rPr>
          <w:rFonts w:hint="default" w:ascii="Times New Roman" w:hAnsi="Times New Roman" w:eastAsia="仿宋_GB2312" w:cs="Times New Roman"/>
          <w:b/>
          <w:bCs w:val="0"/>
          <w:sz w:val="32"/>
          <w:szCs w:val="32"/>
        </w:rPr>
      </w:pPr>
      <w:r>
        <w:rPr>
          <w:rFonts w:hint="default" w:ascii="Times New Roman" w:hAnsi="Times New Roman" w:eastAsia="楷体_GB2312" w:cs="Times New Roman"/>
          <w:b w:val="0"/>
          <w:bCs w:val="0"/>
          <w:color w:val="000000"/>
          <w:kern w:val="0"/>
          <w:sz w:val="32"/>
          <w:szCs w:val="32"/>
          <w:highlight w:val="none"/>
          <w:shd w:val="clear" w:color="auto" w:fill="FFFFFF"/>
          <w:lang w:val="zh-CN" w:eastAsia="zh-CN"/>
        </w:rPr>
        <w:t>（三）绩效结果应用情况。</w:t>
      </w:r>
      <w:r>
        <w:rPr>
          <w:rFonts w:hint="default" w:ascii="Times New Roman" w:hAnsi="Times New Roman" w:eastAsia="仿宋_GB2312" w:cs="Times New Roman"/>
          <w:sz w:val="32"/>
          <w:szCs w:val="32"/>
        </w:rPr>
        <w:t>州机关事务管理局、州机关后勤服务中心两个</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已经按财政要求分别在州机关事务管理局部门网站和州人民政府门户网站上完成预算、决算、绩效等信息公开工作，接受社会广泛监督。</w:t>
      </w:r>
    </w:p>
    <w:p w14:paraId="158C4F9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14:paraId="29B69E2F">
      <w:pPr>
        <w:pStyle w:val="3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bCs/>
          <w:color w:val="000000"/>
          <w:kern w:val="0"/>
          <w:sz w:val="32"/>
          <w:szCs w:val="32"/>
          <w:highlight w:val="none"/>
          <w:shd w:val="clear" w:color="auto" w:fill="FFFFFF"/>
          <w:lang w:val="en-US"/>
        </w:rPr>
      </w:pPr>
      <w:r>
        <w:rPr>
          <w:rFonts w:hint="eastAsia" w:ascii="楷体_GB2312" w:hAnsi="楷体_GB2312" w:eastAsia="楷体_GB2312" w:cs="楷体_GB2312"/>
          <w:b w:val="0"/>
          <w:bCs w:val="0"/>
          <w:color w:val="000000"/>
          <w:kern w:val="0"/>
          <w:sz w:val="32"/>
          <w:szCs w:val="32"/>
          <w:highlight w:val="none"/>
          <w:shd w:val="clear" w:color="auto" w:fill="FFFFFF"/>
          <w:lang w:val="zh-CN" w:eastAsia="zh-CN" w:bidi="ar-SA"/>
        </w:rPr>
        <w:t>（一）评价结论。</w:t>
      </w:r>
      <w:r>
        <w:rPr>
          <w:rFonts w:hint="default" w:ascii="Times New Roman" w:hAnsi="Times New Roman" w:eastAsia="仿宋_GB2312" w:cs="Times New Roman"/>
          <w:b w:val="0"/>
          <w:bCs w:val="0"/>
          <w:spacing w:val="10"/>
          <w:kern w:val="36"/>
          <w:sz w:val="32"/>
          <w:szCs w:val="32"/>
          <w:highlight w:val="none"/>
          <w:lang w:val="en-US" w:eastAsia="zh-CN" w:bidi="ar"/>
        </w:rPr>
        <w:t>2025年部门整体支出绩效评价指标总分值100分，自评92.06分，无加分项。</w:t>
      </w:r>
      <w:r>
        <w:rPr>
          <w:rFonts w:hint="default" w:ascii="Times New Roman" w:hAnsi="Times New Roman" w:eastAsia="仿宋_GB2312" w:cs="Times New Roman"/>
          <w:b/>
          <w:bCs/>
          <w:spacing w:val="10"/>
          <w:kern w:val="36"/>
          <w:sz w:val="32"/>
          <w:szCs w:val="32"/>
          <w:highlight w:val="none"/>
          <w:lang w:val="en-US" w:eastAsia="zh-CN" w:bidi="ar"/>
        </w:rPr>
        <w:t>一是</w:t>
      </w:r>
      <w:r>
        <w:rPr>
          <w:rFonts w:hint="default" w:ascii="Times New Roman" w:hAnsi="Times New Roman" w:eastAsia="仿宋_GB2312" w:cs="Times New Roman"/>
          <w:b w:val="0"/>
          <w:bCs w:val="0"/>
          <w:spacing w:val="10"/>
          <w:kern w:val="36"/>
          <w:sz w:val="32"/>
          <w:szCs w:val="32"/>
          <w:highlight w:val="none"/>
          <w:lang w:val="en-US" w:eastAsia="zh-CN" w:bidi="ar"/>
        </w:rPr>
        <w:t>预算管理中预算编制质量需进一步提升，偏离度过大扣7分；</w:t>
      </w:r>
      <w:r>
        <w:rPr>
          <w:rFonts w:hint="default" w:ascii="Times New Roman" w:hAnsi="Times New Roman" w:eastAsia="仿宋_GB2312" w:cs="Times New Roman"/>
          <w:b/>
          <w:bCs/>
          <w:spacing w:val="10"/>
          <w:kern w:val="36"/>
          <w:sz w:val="32"/>
          <w:szCs w:val="32"/>
          <w:highlight w:val="none"/>
          <w:lang w:val="en-US" w:eastAsia="zh-CN" w:bidi="ar"/>
        </w:rPr>
        <w:t>二是</w:t>
      </w:r>
      <w:r>
        <w:rPr>
          <w:rFonts w:hint="default" w:ascii="Times New Roman" w:hAnsi="Times New Roman" w:eastAsia="仿宋_GB2312" w:cs="Times New Roman"/>
          <w:b w:val="0"/>
          <w:bCs w:val="0"/>
          <w:spacing w:val="10"/>
          <w:kern w:val="36"/>
          <w:sz w:val="32"/>
          <w:szCs w:val="32"/>
          <w:highlight w:val="none"/>
          <w:lang w:val="en-US" w:eastAsia="zh-CN" w:bidi="ar"/>
        </w:rPr>
        <w:t>预算年终有注销及结转情况，扣0.06分。</w:t>
      </w:r>
    </w:p>
    <w:p w14:paraId="56EAF0B1">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color w:val="000000"/>
          <w:kern w:val="0"/>
          <w:sz w:val="32"/>
          <w:szCs w:val="32"/>
          <w:highlight w:val="none"/>
          <w:shd w:val="clear" w:color="auto" w:fill="FFFFFF"/>
        </w:rPr>
      </w:pPr>
      <w:r>
        <w:rPr>
          <w:rFonts w:hint="default" w:ascii="楷体_GB2312" w:hAnsi="楷体_GB2312" w:eastAsia="楷体_GB2312" w:cs="楷体_GB2312"/>
          <w:b w:val="0"/>
          <w:bCs w:val="0"/>
          <w:color w:val="000000"/>
          <w:kern w:val="0"/>
          <w:sz w:val="32"/>
          <w:szCs w:val="32"/>
          <w:highlight w:val="none"/>
          <w:shd w:val="clear" w:color="auto" w:fill="FFFFFF"/>
          <w:lang w:val="zh-CN" w:eastAsia="zh-CN" w:bidi="ar-SA"/>
        </w:rPr>
        <w:t>（二）存在问题。</w:t>
      </w:r>
      <w:r>
        <w:rPr>
          <w:rFonts w:hint="default" w:ascii="Times New Roman" w:hAnsi="Times New Roman" w:eastAsia="仿宋_GB2312" w:cs="Times New Roman"/>
          <w:b w:val="0"/>
          <w:bCs w:val="0"/>
          <w:spacing w:val="10"/>
          <w:kern w:val="36"/>
          <w:sz w:val="32"/>
          <w:szCs w:val="32"/>
          <w:lang w:val="en-US" w:eastAsia="zh-CN" w:bidi="ar"/>
        </w:rPr>
        <w:t>我部门严格按照预算执行进度相关要求，强化责任主体意识，积极采取有效措施，不断优化支出结构，不断提升预算执行管理水平。但项目预算方面不够准确，中途有新增项目的情况。</w:t>
      </w:r>
    </w:p>
    <w:p w14:paraId="7C7EB7D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pacing w:val="10"/>
          <w:kern w:val="36"/>
          <w:sz w:val="32"/>
          <w:szCs w:val="32"/>
        </w:rPr>
      </w:pPr>
      <w:r>
        <w:rPr>
          <w:rFonts w:hint="default" w:ascii="楷体_GB2312" w:hAnsi="楷体_GB2312" w:eastAsia="楷体_GB2312" w:cs="楷体_GB2312"/>
          <w:b w:val="0"/>
          <w:bCs w:val="0"/>
          <w:color w:val="000000"/>
          <w:kern w:val="0"/>
          <w:sz w:val="32"/>
          <w:szCs w:val="32"/>
          <w:highlight w:val="none"/>
          <w:shd w:val="clear" w:color="auto" w:fill="FFFFFF"/>
          <w:lang w:val="zh-CN" w:eastAsia="zh-CN" w:bidi="ar-SA"/>
        </w:rPr>
        <w:t>（三）改进建议。</w:t>
      </w:r>
      <w:bookmarkStart w:id="46" w:name="_Hlk110546638"/>
      <w:r>
        <w:rPr>
          <w:rFonts w:hint="default" w:ascii="Times New Roman" w:hAnsi="Times New Roman" w:eastAsia="仿宋_GB2312" w:cs="Times New Roman"/>
          <w:b w:val="0"/>
          <w:bCs w:val="0"/>
          <w:spacing w:val="10"/>
          <w:kern w:val="36"/>
          <w:sz w:val="32"/>
          <w:szCs w:val="32"/>
          <w:lang w:val="en-US" w:eastAsia="zh-CN" w:bidi="ar"/>
        </w:rPr>
        <w:t>加快支出标准体系建设，加强预算项目管理，进一步细化预算编制工作，认真做好预算编制不断提高预算编制的科学性、严谨性和可控性，推动全过程预算绩效管理提质增效。及时分析部门的项目目标完成情况，对确实在本年度项目实施难度大的情况多沟通、多汇报，在确保资金支出安全有序高效的前提下，正确进行项目的实施，力争完成年度目标任务。</w:t>
      </w:r>
      <w:bookmarkEnd w:id="46"/>
    </w:p>
    <w:p w14:paraId="43918BB0">
      <w:pPr>
        <w:keepNext w:val="0"/>
        <w:keepLines w:val="0"/>
        <w:pageBreakBefore w:val="0"/>
        <w:kinsoku/>
        <w:wordWrap/>
        <w:overflowPunct/>
        <w:topLinePunct w:val="0"/>
        <w:autoSpaceDE/>
        <w:autoSpaceDN/>
        <w:bidi w:val="0"/>
        <w:spacing w:line="560" w:lineRule="exact"/>
        <w:ind w:firstLine="640" w:firstLineChars="200"/>
        <w:contextualSpacing/>
        <w:textAlignment w:val="auto"/>
        <w:outlineLvl w:val="9"/>
        <w:rPr>
          <w:rFonts w:hint="default" w:ascii="Times New Roman" w:hAnsi="Times New Roman" w:eastAsia="仿宋_GB2312" w:cs="Times New Roman"/>
          <w:sz w:val="32"/>
          <w:szCs w:val="32"/>
          <w:highlight w:val="none"/>
        </w:rPr>
      </w:pPr>
    </w:p>
    <w:p w14:paraId="1668DF49">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strike w:val="0"/>
          <w:sz w:val="32"/>
          <w:szCs w:val="32"/>
          <w:u w:val="none"/>
        </w:rPr>
      </w:pPr>
    </w:p>
    <w:p w14:paraId="1EF62EF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trike w:val="0"/>
          <w:sz w:val="32"/>
          <w:szCs w:val="32"/>
          <w:u w:val="none"/>
        </w:rPr>
      </w:pPr>
    </w:p>
    <w:p w14:paraId="00BEE951">
      <w:pPr>
        <w:rPr>
          <w:rFonts w:hint="default" w:ascii="Times New Roman" w:hAnsi="Times New Roman" w:eastAsia="黑体" w:cs="Times New Roman"/>
          <w:kern w:val="2"/>
          <w:sz w:val="32"/>
          <w:szCs w:val="24"/>
          <w:highlight w:val="none"/>
        </w:rPr>
      </w:pPr>
      <w:bookmarkStart w:id="47" w:name="_Toc15396618"/>
    </w:p>
    <w:p w14:paraId="40182B32">
      <w:pPr>
        <w:rPr>
          <w:rFonts w:hint="default" w:ascii="Times New Roman" w:hAnsi="Times New Roman" w:eastAsia="黑体" w:cs="Times New Roman"/>
          <w:kern w:val="2"/>
          <w:sz w:val="32"/>
          <w:szCs w:val="24"/>
          <w:highlight w:val="none"/>
        </w:rPr>
      </w:pPr>
    </w:p>
    <w:p w14:paraId="679B5A31">
      <w:pPr>
        <w:rPr>
          <w:rFonts w:hint="default" w:ascii="Times New Roman" w:hAnsi="Times New Roman" w:eastAsia="黑体" w:cs="Times New Roman"/>
          <w:kern w:val="2"/>
          <w:sz w:val="32"/>
          <w:szCs w:val="24"/>
          <w:highlight w:val="none"/>
        </w:rPr>
      </w:pPr>
    </w:p>
    <w:p w14:paraId="32E5100D">
      <w:pPr>
        <w:rPr>
          <w:rFonts w:hint="default" w:ascii="Times New Roman" w:hAnsi="Times New Roman" w:eastAsia="黑体" w:cs="Times New Roman"/>
          <w:kern w:val="2"/>
          <w:sz w:val="32"/>
          <w:szCs w:val="24"/>
          <w:highlight w:val="none"/>
        </w:rPr>
      </w:pPr>
    </w:p>
    <w:p w14:paraId="787A7B1C">
      <w:pPr>
        <w:rPr>
          <w:rFonts w:hint="default" w:ascii="Times New Roman" w:hAnsi="Times New Roman" w:eastAsia="黑体" w:cs="Times New Roman"/>
          <w:kern w:val="2"/>
          <w:sz w:val="32"/>
          <w:szCs w:val="24"/>
          <w:highlight w:val="none"/>
        </w:rPr>
      </w:pPr>
    </w:p>
    <w:p w14:paraId="20A4713C">
      <w:pPr>
        <w:rPr>
          <w:rFonts w:ascii="Times New Roman" w:hAnsi="Times New Roman" w:eastAsia="仿宋_GB2312" w:cs="Times New Roman"/>
          <w:kern w:val="0"/>
          <w:sz w:val="32"/>
          <w:szCs w:val="32"/>
        </w:rPr>
      </w:pPr>
    </w:p>
    <w:p w14:paraId="28BA11EB">
      <w:pPr>
        <w:widowControl/>
        <w:jc w:val="center"/>
        <w:rPr>
          <w:rFonts w:hint="eastAsia" w:eastAsia="黑体"/>
          <w:sz w:val="44"/>
          <w:szCs w:val="44"/>
        </w:rPr>
      </w:pPr>
    </w:p>
    <w:p w14:paraId="60D95626">
      <w:pPr>
        <w:widowControl/>
        <w:jc w:val="center"/>
        <w:rPr>
          <w:rFonts w:hint="eastAsia" w:eastAsia="黑体"/>
          <w:sz w:val="44"/>
          <w:szCs w:val="44"/>
        </w:rPr>
      </w:pPr>
    </w:p>
    <w:p w14:paraId="6DED3481">
      <w:pPr>
        <w:widowControl/>
        <w:jc w:val="center"/>
        <w:rPr>
          <w:rFonts w:hint="eastAsia" w:eastAsia="黑体"/>
          <w:sz w:val="44"/>
          <w:szCs w:val="44"/>
        </w:rPr>
      </w:pPr>
    </w:p>
    <w:p w14:paraId="29D02335">
      <w:pPr>
        <w:widowControl/>
        <w:jc w:val="center"/>
        <w:rPr>
          <w:rFonts w:ascii="Times New Roman" w:hAnsi="Times New Roman" w:eastAsia="仿宋" w:cs="Times New Roman"/>
        </w:rPr>
      </w:pPr>
      <w:r>
        <w:rPr>
          <w:rFonts w:hint="eastAsia" w:eastAsia="黑体"/>
          <w:sz w:val="44"/>
          <w:szCs w:val="44"/>
        </w:rPr>
        <w:t>第</w:t>
      </w:r>
      <w:r>
        <w:rPr>
          <w:rFonts w:hint="eastAsia" w:eastAsia="黑体"/>
          <w:sz w:val="44"/>
          <w:szCs w:val="44"/>
          <w:lang w:eastAsia="zh-CN"/>
        </w:rPr>
        <w:t>四</w:t>
      </w:r>
      <w:r>
        <w:rPr>
          <w:rStyle w:val="195"/>
          <w:rFonts w:hint="eastAsia" w:eastAsia="黑体"/>
          <w:b w:val="0"/>
        </w:rPr>
        <w:t>部分 附表</w:t>
      </w:r>
      <w:bookmarkEnd w:id="45"/>
      <w:bookmarkEnd w:id="47"/>
      <w:bookmarkStart w:id="48" w:name="_Toc15396619"/>
    </w:p>
    <w:p w14:paraId="4CEDCF4F">
      <w:pPr>
        <w:pStyle w:val="30"/>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sz w:val="32"/>
          <w:szCs w:val="32"/>
        </w:rPr>
      </w:pPr>
    </w:p>
    <w:p w14:paraId="39E74393">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bookmarkEnd w:id="48"/>
    </w:p>
    <w:p w14:paraId="5B2F16A7">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49" w:name="_Toc15396620"/>
      <w:r>
        <w:rPr>
          <w:rFonts w:hint="eastAsia" w:ascii="仿宋_GB2312" w:hAnsi="仿宋_GB2312" w:eastAsia="仿宋_GB2312" w:cs="仿宋_GB2312"/>
          <w:sz w:val="32"/>
          <w:szCs w:val="32"/>
        </w:rPr>
        <w:t>二、收入决算表</w:t>
      </w:r>
      <w:bookmarkEnd w:id="49"/>
    </w:p>
    <w:p w14:paraId="1B50075C">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0" w:name="_Toc15396621"/>
      <w:r>
        <w:rPr>
          <w:rFonts w:hint="eastAsia" w:ascii="仿宋_GB2312" w:hAnsi="仿宋_GB2312" w:eastAsia="仿宋_GB2312" w:cs="仿宋_GB2312"/>
          <w:sz w:val="32"/>
          <w:szCs w:val="32"/>
        </w:rPr>
        <w:t>三、支出决算表</w:t>
      </w:r>
      <w:bookmarkEnd w:id="50"/>
    </w:p>
    <w:p w14:paraId="2441DFDF">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1" w:name="_Toc15396622"/>
      <w:r>
        <w:rPr>
          <w:rFonts w:hint="eastAsia" w:ascii="仿宋_GB2312" w:hAnsi="仿宋_GB2312" w:eastAsia="仿宋_GB2312" w:cs="仿宋_GB2312"/>
          <w:sz w:val="32"/>
          <w:szCs w:val="32"/>
        </w:rPr>
        <w:t>四、财政拨款收入支出决算总表</w:t>
      </w:r>
      <w:bookmarkEnd w:id="51"/>
    </w:p>
    <w:p w14:paraId="3A252816">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2" w:name="_Toc15396623"/>
      <w:r>
        <w:rPr>
          <w:rFonts w:hint="eastAsia" w:ascii="仿宋_GB2312" w:hAnsi="仿宋_GB2312" w:eastAsia="仿宋_GB2312" w:cs="仿宋_GB2312"/>
          <w:sz w:val="32"/>
          <w:szCs w:val="32"/>
        </w:rPr>
        <w:t>五、财政拨款支出决算明细表</w:t>
      </w:r>
      <w:bookmarkEnd w:id="52"/>
      <w:bookmarkStart w:id="53" w:name="_Toc15396624"/>
    </w:p>
    <w:p w14:paraId="2C59FA72">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六、一般公共预算财政拨款支出决算表</w:t>
      </w:r>
      <w:bookmarkEnd w:id="53"/>
    </w:p>
    <w:p w14:paraId="2D692B7B">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4" w:name="_Toc15396625"/>
      <w:r>
        <w:rPr>
          <w:rFonts w:hint="eastAsia" w:ascii="仿宋_GB2312" w:hAnsi="仿宋_GB2312" w:eastAsia="仿宋_GB2312" w:cs="仿宋_GB2312"/>
          <w:sz w:val="32"/>
          <w:szCs w:val="32"/>
        </w:rPr>
        <w:t>七、一般公共预算财政拨款支出决算明细表</w:t>
      </w:r>
      <w:bookmarkEnd w:id="54"/>
    </w:p>
    <w:p w14:paraId="50F947FC">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5" w:name="_Toc15396626"/>
      <w:r>
        <w:rPr>
          <w:rFonts w:hint="eastAsia" w:ascii="仿宋_GB2312" w:hAnsi="仿宋_GB2312" w:eastAsia="仿宋_GB2312" w:cs="仿宋_GB2312"/>
          <w:sz w:val="32"/>
          <w:szCs w:val="32"/>
        </w:rPr>
        <w:t>八、一般公共预算财政拨款基本支出决算表</w:t>
      </w:r>
      <w:bookmarkEnd w:id="55"/>
    </w:p>
    <w:p w14:paraId="3B23453F">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6" w:name="_Toc15396627"/>
      <w:r>
        <w:rPr>
          <w:rFonts w:hint="eastAsia" w:ascii="仿宋_GB2312" w:hAnsi="仿宋_GB2312" w:eastAsia="仿宋_GB2312" w:cs="仿宋_GB2312"/>
          <w:sz w:val="32"/>
          <w:szCs w:val="32"/>
        </w:rPr>
        <w:t>九、一般公共预算财政拨款项目支出决算表</w:t>
      </w:r>
      <w:bookmarkEnd w:id="56"/>
    </w:p>
    <w:p w14:paraId="3606B167">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7" w:name="_Toc15396628"/>
      <w:r>
        <w:rPr>
          <w:rFonts w:hint="eastAsia" w:ascii="仿宋_GB2312" w:hAnsi="仿宋_GB2312" w:eastAsia="仿宋_GB2312" w:cs="仿宋_GB2312"/>
          <w:sz w:val="32"/>
          <w:szCs w:val="32"/>
        </w:rPr>
        <w:t>十、</w:t>
      </w:r>
      <w:bookmarkEnd w:id="57"/>
      <w:r>
        <w:rPr>
          <w:rFonts w:hint="eastAsia" w:ascii="仿宋_GB2312" w:hAnsi="仿宋_GB2312" w:eastAsia="仿宋_GB2312" w:cs="仿宋_GB2312"/>
          <w:sz w:val="32"/>
          <w:szCs w:val="32"/>
        </w:rPr>
        <w:t>政府性基金预算财政拨款收入支出决算表</w:t>
      </w:r>
    </w:p>
    <w:p w14:paraId="54797293">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8" w:name="_Toc15396629"/>
      <w:r>
        <w:rPr>
          <w:rFonts w:hint="eastAsia" w:ascii="仿宋_GB2312" w:hAnsi="仿宋_GB2312" w:eastAsia="仿宋_GB2312" w:cs="仿宋_GB2312"/>
          <w:sz w:val="32"/>
          <w:szCs w:val="32"/>
        </w:rPr>
        <w:t>十一、</w:t>
      </w:r>
      <w:bookmarkEnd w:id="58"/>
      <w:r>
        <w:rPr>
          <w:rFonts w:hint="eastAsia" w:ascii="仿宋_GB2312" w:hAnsi="仿宋_GB2312" w:eastAsia="仿宋_GB2312" w:cs="仿宋_GB2312"/>
          <w:sz w:val="32"/>
          <w:szCs w:val="32"/>
        </w:rPr>
        <w:t>国有资本经营预算财政拨款收入支出决算表</w:t>
      </w:r>
    </w:p>
    <w:p w14:paraId="3AC69D68">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59" w:name="_Toc15396630"/>
      <w:r>
        <w:rPr>
          <w:rFonts w:hint="eastAsia" w:ascii="仿宋_GB2312" w:hAnsi="仿宋_GB2312" w:eastAsia="仿宋_GB2312" w:cs="仿宋_GB2312"/>
          <w:sz w:val="32"/>
          <w:szCs w:val="32"/>
        </w:rPr>
        <w:t>十二、</w:t>
      </w:r>
      <w:bookmarkEnd w:id="59"/>
      <w:r>
        <w:rPr>
          <w:rFonts w:hint="eastAsia" w:ascii="仿宋_GB2312" w:hAnsi="仿宋_GB2312" w:eastAsia="仿宋_GB2312" w:cs="仿宋_GB2312"/>
          <w:sz w:val="32"/>
          <w:szCs w:val="32"/>
        </w:rPr>
        <w:t>国有资本经营预算财政拨款支出决算表</w:t>
      </w:r>
    </w:p>
    <w:p w14:paraId="3C307F0B">
      <w:pPr>
        <w:pStyle w:val="30"/>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rPr>
      </w:pPr>
      <w:bookmarkStart w:id="60" w:name="_Toc15396631"/>
      <w:r>
        <w:rPr>
          <w:rFonts w:hint="eastAsia" w:ascii="仿宋_GB2312" w:hAnsi="仿宋_GB2312" w:eastAsia="仿宋_GB2312" w:cs="仿宋_GB2312"/>
          <w:sz w:val="32"/>
          <w:szCs w:val="32"/>
        </w:rPr>
        <w:t>十三、</w:t>
      </w:r>
      <w:bookmarkEnd w:id="60"/>
      <w:r>
        <w:rPr>
          <w:rFonts w:hint="eastAsia" w:ascii="仿宋_GB2312" w:hAnsi="仿宋_GB2312" w:eastAsia="仿宋_GB2312" w:cs="仿宋_GB2312"/>
          <w:sz w:val="32"/>
          <w:szCs w:val="32"/>
        </w:rPr>
        <w:t>财政拨款“三公”经费支出决算表</w:t>
      </w:r>
    </w:p>
    <w:p w14:paraId="0942FD1E">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DejaVu Sans"/>
    <w:panose1 w:val="020B0603030804020204"/>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8917">
    <w:pPr>
      <w:pStyle w:val="22"/>
      <w:jc w:val="center"/>
    </w:pPr>
  </w:p>
  <w:p w14:paraId="5C8E288C">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BF3C0">
    <w:pPr>
      <w:pStyle w:val="22"/>
      <w:jc w:val="center"/>
    </w:pPr>
  </w:p>
  <w:p w14:paraId="6BD08C00">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79EE0">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A53ABF"/>
    <w:multiLevelType w:val="multilevel"/>
    <w:tmpl w:val="2FA53ABF"/>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67FEC3CF"/>
    <w:multiLevelType w:val="singleLevel"/>
    <w:tmpl w:val="67FEC3CF"/>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C3EE4"/>
    <w:rsid w:val="232F0909"/>
    <w:rsid w:val="237628A7"/>
    <w:rsid w:val="27960276"/>
    <w:rsid w:val="2DFFE86F"/>
    <w:rsid w:val="39F257E0"/>
    <w:rsid w:val="3DBA03C3"/>
    <w:rsid w:val="46CB1893"/>
    <w:rsid w:val="46DC584E"/>
    <w:rsid w:val="57D051A2"/>
    <w:rsid w:val="592FB1C4"/>
    <w:rsid w:val="6497295D"/>
    <w:rsid w:val="65200BA4"/>
    <w:rsid w:val="66591D64"/>
    <w:rsid w:val="75377F70"/>
    <w:rsid w:val="76E77696"/>
    <w:rsid w:val="7FF61395"/>
    <w:rsid w:val="8CDF4630"/>
    <w:rsid w:val="9E5BD2B8"/>
    <w:rsid w:val="AB3E3476"/>
    <w:rsid w:val="D9E61E2B"/>
    <w:rsid w:val="DCFFB3DF"/>
    <w:rsid w:val="EDFFE40A"/>
    <w:rsid w:val="F5D5BA7D"/>
    <w:rsid w:val="FDFD4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nhideWhenUsed="0" w:uiPriority="0"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2">
    <w:name w:val="heading 1"/>
    <w:basedOn w:val="1"/>
    <w:next w:val="1"/>
    <w:link w:val="19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pPr>
      <w:widowControl/>
    </w:pPr>
    <w:tblPr>
      <w:tblCellMar>
        <w:top w:w="0" w:type="dxa"/>
        <w:left w:w="108" w:type="dxa"/>
        <w:bottom w:w="0" w:type="dxa"/>
        <w:right w:w="108" w:type="dxa"/>
      </w:tblCellMar>
    </w:tblPr>
  </w:style>
  <w:style w:type="paragraph" w:styleId="11">
    <w:name w:val="toc 7"/>
    <w:basedOn w:val="1"/>
    <w:next w:val="1"/>
    <w:qFormat/>
    <w:uiPriority w:val="0"/>
    <w:pPr>
      <w:ind w:left="252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index 6"/>
    <w:basedOn w:val="1"/>
    <w:next w:val="1"/>
    <w:qFormat/>
    <w:uiPriority w:val="0"/>
    <w:pPr>
      <w:ind w:left="2100"/>
    </w:pPr>
  </w:style>
  <w:style w:type="paragraph" w:styleId="14">
    <w:name w:val="Body Text"/>
    <w:basedOn w:val="1"/>
    <w:link w:val="192"/>
    <w:qFormat/>
    <w:uiPriority w:val="99"/>
    <w:pPr>
      <w:spacing w:beforeLines="30"/>
    </w:pPr>
    <w:rPr>
      <w:rFonts w:ascii="仿宋_GB2312" w:eastAsia="仿宋_GB2312"/>
      <w:kern w:val="0"/>
      <w:sz w:val="30"/>
    </w:rPr>
  </w:style>
  <w:style w:type="paragraph" w:styleId="15">
    <w:name w:val="Body Text Indent"/>
    <w:basedOn w:val="1"/>
    <w:next w:val="16"/>
    <w:qFormat/>
    <w:uiPriority w:val="0"/>
    <w:pPr>
      <w:spacing w:after="120"/>
      <w:ind w:left="200" w:leftChars="200"/>
    </w:pPr>
    <w:rPr>
      <w:rFonts w:ascii="仿宋_GB2312"/>
      <w:szCs w:val="32"/>
    </w:rPr>
  </w:style>
  <w:style w:type="paragraph" w:styleId="16">
    <w:name w:val="Body Text First Indent 2"/>
    <w:basedOn w:val="15"/>
    <w:unhideWhenUsed/>
    <w:qFormat/>
    <w:uiPriority w:val="99"/>
    <w:pPr>
      <w:ind w:firstLine="420" w:firstLineChars="200"/>
    </w:pPr>
  </w:style>
  <w:style w:type="paragraph" w:styleId="17">
    <w:name w:val="toc 5"/>
    <w:basedOn w:val="1"/>
    <w:next w:val="1"/>
    <w:unhideWhenUsed/>
    <w:qFormat/>
    <w:uiPriority w:val="39"/>
    <w:pPr>
      <w:spacing w:after="57"/>
      <w:ind w:left="1134" w:right="0" w:firstLine="0"/>
    </w:pPr>
  </w:style>
  <w:style w:type="paragraph" w:styleId="18">
    <w:name w:val="toc 3"/>
    <w:basedOn w:val="1"/>
    <w:next w:val="1"/>
    <w:unhideWhenUsed/>
    <w:qFormat/>
    <w:uiPriority w:val="39"/>
    <w:pPr>
      <w:tabs>
        <w:tab w:val="right" w:leader="dot" w:pos="8296"/>
      </w:tabs>
      <w:ind w:left="840" w:leftChars="400"/>
    </w:pPr>
  </w:style>
  <w:style w:type="paragraph" w:styleId="19">
    <w:name w:val="toc 8"/>
    <w:basedOn w:val="1"/>
    <w:next w:val="1"/>
    <w:unhideWhenUsed/>
    <w:qFormat/>
    <w:uiPriority w:val="39"/>
    <w:pPr>
      <w:spacing w:after="57"/>
      <w:ind w:left="1984" w:right="0" w:firstLine="0"/>
    </w:pPr>
  </w:style>
  <w:style w:type="paragraph" w:styleId="20">
    <w:name w:val="endnote text"/>
    <w:basedOn w:val="1"/>
    <w:link w:val="184"/>
    <w:semiHidden/>
    <w:unhideWhenUsed/>
    <w:qFormat/>
    <w:uiPriority w:val="99"/>
    <w:pPr>
      <w:spacing w:after="0" w:line="240" w:lineRule="auto"/>
    </w:pPr>
    <w:rPr>
      <w:sz w:val="20"/>
    </w:rPr>
  </w:style>
  <w:style w:type="paragraph" w:styleId="21">
    <w:name w:val="Balloon Text"/>
    <w:basedOn w:val="1"/>
    <w:link w:val="198"/>
    <w:semiHidden/>
    <w:unhideWhenUsed/>
    <w:qFormat/>
    <w:uiPriority w:val="99"/>
    <w:rPr>
      <w:sz w:val="18"/>
      <w:szCs w:val="18"/>
    </w:rPr>
  </w:style>
  <w:style w:type="paragraph" w:styleId="22">
    <w:name w:val="footer"/>
    <w:basedOn w:val="1"/>
    <w:link w:val="190"/>
    <w:qFormat/>
    <w:uiPriority w:val="99"/>
    <w:pPr>
      <w:tabs>
        <w:tab w:val="center" w:pos="4153"/>
        <w:tab w:val="right" w:pos="8306"/>
      </w:tabs>
      <w:snapToGrid w:val="0"/>
      <w:jc w:val="left"/>
    </w:pPr>
    <w:rPr>
      <w:rFonts w:ascii="Calibri" w:hAnsi="Calibri"/>
      <w:kern w:val="0"/>
      <w:sz w:val="18"/>
      <w:szCs w:val="18"/>
    </w:rPr>
  </w:style>
  <w:style w:type="paragraph" w:styleId="23">
    <w:name w:val="header"/>
    <w:basedOn w:val="1"/>
    <w:link w:val="18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25">
    <w:name w:val="toc 4"/>
    <w:basedOn w:val="1"/>
    <w:next w:val="1"/>
    <w:unhideWhenUsed/>
    <w:qFormat/>
    <w:uiPriority w:val="39"/>
    <w:pPr>
      <w:spacing w:after="57"/>
      <w:ind w:left="850" w:right="0" w:firstLine="0"/>
    </w:pPr>
  </w:style>
  <w:style w:type="paragraph" w:styleId="26">
    <w:name w:val="Subtitle"/>
    <w:basedOn w:val="1"/>
    <w:next w:val="1"/>
    <w:link w:val="52"/>
    <w:qFormat/>
    <w:uiPriority w:val="11"/>
    <w:pPr>
      <w:spacing w:before="200" w:after="200"/>
    </w:pPr>
    <w:rPr>
      <w:sz w:val="24"/>
      <w:szCs w:val="24"/>
    </w:rPr>
  </w:style>
  <w:style w:type="paragraph" w:styleId="27">
    <w:name w:val="footnote text"/>
    <w:basedOn w:val="1"/>
    <w:next w:val="16"/>
    <w:semiHidden/>
    <w:qFormat/>
    <w:uiPriority w:val="0"/>
    <w:pPr>
      <w:snapToGrid w:val="0"/>
      <w:jc w:val="left"/>
    </w:pPr>
    <w:rPr>
      <w:sz w:val="18"/>
      <w:szCs w:val="18"/>
    </w:rPr>
  </w:style>
  <w:style w:type="paragraph" w:styleId="28">
    <w:name w:val="toc 6"/>
    <w:basedOn w:val="1"/>
    <w:next w:val="1"/>
    <w:unhideWhenUsed/>
    <w:qFormat/>
    <w:uiPriority w:val="39"/>
    <w:pPr>
      <w:spacing w:after="57"/>
      <w:ind w:left="1417" w:right="0" w:firstLine="0"/>
    </w:pPr>
  </w:style>
  <w:style w:type="paragraph" w:styleId="29">
    <w:name w:val="table of figures"/>
    <w:basedOn w:val="1"/>
    <w:next w:val="1"/>
    <w:unhideWhenUsed/>
    <w:qFormat/>
    <w:uiPriority w:val="99"/>
    <w:pPr>
      <w:spacing w:after="0" w:afterAutospacing="0"/>
    </w:pPr>
  </w:style>
  <w:style w:type="paragraph" w:styleId="30">
    <w:name w:val="toc 2"/>
    <w:basedOn w:val="1"/>
    <w:next w:val="1"/>
    <w:unhideWhenUsed/>
    <w:qFormat/>
    <w:uiPriority w:val="39"/>
    <w:pPr>
      <w:tabs>
        <w:tab w:val="right" w:leader="dot" w:pos="8296"/>
      </w:tabs>
      <w:ind w:left="420" w:leftChars="200"/>
    </w:pPr>
  </w:style>
  <w:style w:type="paragraph" w:styleId="31">
    <w:name w:val="toc 9"/>
    <w:basedOn w:val="1"/>
    <w:next w:val="1"/>
    <w:unhideWhenUsed/>
    <w:qFormat/>
    <w:uiPriority w:val="39"/>
    <w:pPr>
      <w:spacing w:after="57"/>
      <w:ind w:left="2268" w:right="0" w:firstLine="0"/>
    </w:pPr>
  </w:style>
  <w:style w:type="paragraph" w:styleId="3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33">
    <w:name w:val="Title"/>
    <w:basedOn w:val="1"/>
    <w:next w:val="1"/>
    <w:link w:val="51"/>
    <w:qFormat/>
    <w:uiPriority w:val="10"/>
    <w:pPr>
      <w:spacing w:before="300" w:after="200"/>
      <w:contextualSpacing/>
    </w:pPr>
    <w:rPr>
      <w:sz w:val="48"/>
      <w:szCs w:val="48"/>
    </w:rPr>
  </w:style>
  <w:style w:type="table" w:styleId="35">
    <w:name w:val="Table Grid"/>
    <w:basedOn w:val="34"/>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Strong"/>
    <w:basedOn w:val="36"/>
    <w:qFormat/>
    <w:uiPriority w:val="99"/>
    <w:rPr>
      <w:b/>
    </w:rPr>
  </w:style>
  <w:style w:type="character" w:styleId="38">
    <w:name w:val="endnote reference"/>
    <w:basedOn w:val="36"/>
    <w:semiHidden/>
    <w:unhideWhenUsed/>
    <w:qFormat/>
    <w:uiPriority w:val="99"/>
    <w:rPr>
      <w:vertAlign w:val="superscript"/>
    </w:rPr>
  </w:style>
  <w:style w:type="character" w:styleId="39">
    <w:name w:val="Hyperlink"/>
    <w:basedOn w:val="36"/>
    <w:unhideWhenUsed/>
    <w:qFormat/>
    <w:uiPriority w:val="99"/>
    <w:rPr>
      <w:color w:val="0000FF" w:themeColor="hyperlink"/>
      <w:u w:val="single"/>
      <w14:textFill>
        <w14:solidFill>
          <w14:schemeClr w14:val="hlink"/>
        </w14:solidFill>
      </w14:textFill>
    </w:rPr>
  </w:style>
  <w:style w:type="character" w:styleId="40">
    <w:name w:val="footnote reference"/>
    <w:basedOn w:val="36"/>
    <w:unhideWhenUsed/>
    <w:qFormat/>
    <w:uiPriority w:val="99"/>
    <w:rPr>
      <w:vertAlign w:val="superscript"/>
    </w:rPr>
  </w:style>
  <w:style w:type="character" w:customStyle="1" w:styleId="41">
    <w:name w:val="Heading 1 Char"/>
    <w:basedOn w:val="36"/>
    <w:qFormat/>
    <w:uiPriority w:val="9"/>
    <w:rPr>
      <w:rFonts w:ascii="Arial" w:hAnsi="Arial" w:eastAsia="Arial" w:cs="Arial"/>
      <w:sz w:val="40"/>
      <w:szCs w:val="40"/>
    </w:rPr>
  </w:style>
  <w:style w:type="character" w:customStyle="1" w:styleId="42">
    <w:name w:val="Heading 2 Char"/>
    <w:basedOn w:val="36"/>
    <w:qFormat/>
    <w:uiPriority w:val="9"/>
    <w:rPr>
      <w:rFonts w:ascii="Arial" w:hAnsi="Arial" w:eastAsia="Arial" w:cs="Arial"/>
      <w:sz w:val="34"/>
    </w:rPr>
  </w:style>
  <w:style w:type="character" w:customStyle="1" w:styleId="43">
    <w:name w:val="Heading 3 Char"/>
    <w:basedOn w:val="36"/>
    <w:qFormat/>
    <w:uiPriority w:val="9"/>
    <w:rPr>
      <w:rFonts w:ascii="Arial" w:hAnsi="Arial" w:eastAsia="Arial" w:cs="Arial"/>
      <w:sz w:val="30"/>
      <w:szCs w:val="30"/>
    </w:rPr>
  </w:style>
  <w:style w:type="character" w:customStyle="1" w:styleId="44">
    <w:name w:val="Heading 4 Char"/>
    <w:basedOn w:val="36"/>
    <w:link w:val="5"/>
    <w:qFormat/>
    <w:uiPriority w:val="9"/>
    <w:rPr>
      <w:rFonts w:ascii="Arial" w:hAnsi="Arial" w:eastAsia="Arial" w:cs="Arial"/>
      <w:b/>
      <w:bCs/>
      <w:sz w:val="26"/>
      <w:szCs w:val="26"/>
    </w:rPr>
  </w:style>
  <w:style w:type="character" w:customStyle="1" w:styleId="45">
    <w:name w:val="Heading 5 Char"/>
    <w:basedOn w:val="36"/>
    <w:link w:val="6"/>
    <w:qFormat/>
    <w:uiPriority w:val="9"/>
    <w:rPr>
      <w:rFonts w:ascii="Arial" w:hAnsi="Arial" w:eastAsia="Arial" w:cs="Arial"/>
      <w:b/>
      <w:bCs/>
      <w:sz w:val="24"/>
      <w:szCs w:val="24"/>
    </w:rPr>
  </w:style>
  <w:style w:type="character" w:customStyle="1" w:styleId="46">
    <w:name w:val="Heading 6 Char"/>
    <w:basedOn w:val="36"/>
    <w:link w:val="7"/>
    <w:qFormat/>
    <w:uiPriority w:val="9"/>
    <w:rPr>
      <w:rFonts w:ascii="Arial" w:hAnsi="Arial" w:eastAsia="Arial" w:cs="Arial"/>
      <w:b/>
      <w:bCs/>
      <w:sz w:val="22"/>
      <w:szCs w:val="22"/>
    </w:rPr>
  </w:style>
  <w:style w:type="character" w:customStyle="1" w:styleId="47">
    <w:name w:val="Heading 7 Char"/>
    <w:basedOn w:val="36"/>
    <w:link w:val="8"/>
    <w:qFormat/>
    <w:uiPriority w:val="9"/>
    <w:rPr>
      <w:rFonts w:ascii="Arial" w:hAnsi="Arial" w:eastAsia="Arial" w:cs="Arial"/>
      <w:b/>
      <w:bCs/>
      <w:i/>
      <w:iCs/>
      <w:sz w:val="22"/>
      <w:szCs w:val="22"/>
    </w:rPr>
  </w:style>
  <w:style w:type="character" w:customStyle="1" w:styleId="48">
    <w:name w:val="Heading 8 Char"/>
    <w:basedOn w:val="36"/>
    <w:link w:val="9"/>
    <w:qFormat/>
    <w:uiPriority w:val="9"/>
    <w:rPr>
      <w:rFonts w:ascii="Arial" w:hAnsi="Arial" w:eastAsia="Arial" w:cs="Arial"/>
      <w:i/>
      <w:iCs/>
      <w:sz w:val="22"/>
      <w:szCs w:val="22"/>
    </w:rPr>
  </w:style>
  <w:style w:type="character" w:customStyle="1" w:styleId="49">
    <w:name w:val="Heading 9 Char"/>
    <w:basedOn w:val="36"/>
    <w:link w:val="10"/>
    <w:qFormat/>
    <w:uiPriority w:val="9"/>
    <w:rPr>
      <w:rFonts w:ascii="Arial" w:hAnsi="Arial" w:eastAsia="Arial" w:cs="Arial"/>
      <w:i/>
      <w:iCs/>
      <w:sz w:val="21"/>
      <w:szCs w:val="21"/>
    </w:rPr>
  </w:style>
  <w:style w:type="paragraph" w:styleId="50">
    <w:name w:val="No Spacing"/>
    <w:qFormat/>
    <w:uiPriority w:val="1"/>
    <w:pPr>
      <w:spacing w:before="0" w:after="0" w:line="240" w:lineRule="auto"/>
    </w:pPr>
    <w:rPr>
      <w:rFonts w:hint="default" w:ascii="Times New Roman" w:hAnsi="Times New Roman" w:eastAsia="宋体" w:cs="Times New Roman"/>
    </w:rPr>
  </w:style>
  <w:style w:type="character" w:customStyle="1" w:styleId="51">
    <w:name w:val="Title Char"/>
    <w:basedOn w:val="36"/>
    <w:link w:val="33"/>
    <w:qFormat/>
    <w:uiPriority w:val="10"/>
    <w:rPr>
      <w:sz w:val="48"/>
      <w:szCs w:val="48"/>
    </w:rPr>
  </w:style>
  <w:style w:type="character" w:customStyle="1" w:styleId="52">
    <w:name w:val="Subtitle Char"/>
    <w:basedOn w:val="36"/>
    <w:link w:val="26"/>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Quote Char"/>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6">
    <w:name w:val="Intense Quote Char"/>
    <w:link w:val="55"/>
    <w:qFormat/>
    <w:uiPriority w:val="30"/>
    <w:rPr>
      <w:i/>
    </w:rPr>
  </w:style>
  <w:style w:type="character" w:customStyle="1" w:styleId="57">
    <w:name w:val="Caption Char"/>
    <w:qFormat/>
    <w:uiPriority w:val="99"/>
  </w:style>
  <w:style w:type="table" w:customStyle="1" w:styleId="58">
    <w:name w:val="Table Grid Light"/>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9">
    <w:name w:val="Plain Table 1"/>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0">
    <w:name w:val="Plain Table 2"/>
    <w:basedOn w:val="34"/>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1">
    <w:name w:val="Plain Table 3"/>
    <w:basedOn w:val="34"/>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Plain Table 4"/>
    <w:basedOn w:val="3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3">
    <w:name w:val="Plain Table 5"/>
    <w:basedOn w:val="34"/>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Grid Table 1 Light"/>
    <w:basedOn w:val="34"/>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5">
    <w:name w:val="Grid Table 1 Light - Accent 1"/>
    <w:basedOn w:val="34"/>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6">
    <w:name w:val="Grid Table 1 Light - Accent 2"/>
    <w:basedOn w:val="34"/>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7">
    <w:name w:val="Grid Table 1 Light - Accent 3"/>
    <w:basedOn w:val="34"/>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8">
    <w:name w:val="Grid Table 1 Light - Accent 4"/>
    <w:basedOn w:val="3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9">
    <w:name w:val="Grid Table 1 Light - Accent 5"/>
    <w:basedOn w:val="34"/>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0">
    <w:name w:val="Grid Table 1 Light - Accent 6"/>
    <w:basedOn w:val="34"/>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1">
    <w:name w:val="Grid Table 2"/>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2">
    <w:name w:val="Grid Table 2 - Accent 1"/>
    <w:basedOn w:val="34"/>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3">
    <w:name w:val="Grid Table 2 - Accent 2"/>
    <w:basedOn w:val="34"/>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4">
    <w:name w:val="Grid Table 2 - Accent 3"/>
    <w:basedOn w:val="34"/>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5">
    <w:name w:val="Grid Table 2 - Accent 4"/>
    <w:basedOn w:val="3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6">
    <w:name w:val="Grid Table 2 - Accent 5"/>
    <w:basedOn w:val="34"/>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7">
    <w:name w:val="Grid Table 2 - Accent 6"/>
    <w:basedOn w:val="34"/>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8">
    <w:name w:val="Grid Table 3"/>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9">
    <w:name w:val="Grid Table 3 - Accent 1"/>
    <w:basedOn w:val="34"/>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0">
    <w:name w:val="Grid Table 3 - Accent 2"/>
    <w:basedOn w:val="34"/>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1">
    <w:name w:val="Grid Table 3 - Accent 3"/>
    <w:basedOn w:val="34"/>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2">
    <w:name w:val="Grid Table 3 - Accent 4"/>
    <w:basedOn w:val="34"/>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3">
    <w:name w:val="Grid Table 3 - Accent 5"/>
    <w:basedOn w:val="34"/>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4">
    <w:name w:val="Grid Table 3 - Accent 6"/>
    <w:basedOn w:val="34"/>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5">
    <w:name w:val="Grid Table 4"/>
    <w:basedOn w:val="3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6">
    <w:name w:val="Grid Table 4 - Accent 1"/>
    <w:basedOn w:val="34"/>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7">
    <w:name w:val="Grid Table 4 - Accent 2"/>
    <w:basedOn w:val="34"/>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8">
    <w:name w:val="Grid Table 4 - Accent 3"/>
    <w:basedOn w:val="34"/>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9">
    <w:name w:val="Grid Table 4 - Accent 4"/>
    <w:basedOn w:val="3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0">
    <w:name w:val="Grid Table 4 - Accent 5"/>
    <w:basedOn w:val="34"/>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1">
    <w:name w:val="Grid Table 4 - Accent 6"/>
    <w:basedOn w:val="34"/>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2">
    <w:name w:val="Grid Table 5 Dark"/>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3">
    <w:name w:val="Grid Table 5 Dark- Accent 1"/>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4">
    <w:name w:val="Grid Table 5 Dark - Accent 2"/>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5">
    <w:name w:val="Grid Table 5 Dark - Accent 3"/>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6">
    <w:name w:val="Grid Table 5 Dark- Accent 4"/>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7">
    <w:name w:val="Grid Table 5 Dark - Accent 5"/>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8">
    <w:name w:val="Grid Table 5 Dark - Accent 6"/>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9">
    <w:name w:val="Grid Table 6 Colorful"/>
    <w:basedOn w:val="34"/>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0">
    <w:name w:val="Grid Table 6 Colorful - Accent 1"/>
    <w:basedOn w:val="34"/>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1">
    <w:name w:val="Grid Table 6 Colorful - Accent 2"/>
    <w:basedOn w:val="34"/>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2">
    <w:name w:val="Grid Table 6 Colorful - Accent 3"/>
    <w:basedOn w:val="34"/>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3">
    <w:name w:val="Grid Table 6 Colorful - Accent 4"/>
    <w:basedOn w:val="3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4">
    <w:name w:val="Grid Table 6 Colorful - Accent 5"/>
    <w:basedOn w:val="34"/>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5">
    <w:name w:val="Grid Table 6 Colorful - Accent 6"/>
    <w:basedOn w:val="34"/>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6">
    <w:name w:val="Grid Table 7 Colorful"/>
    <w:basedOn w:val="34"/>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7">
    <w:name w:val="Grid Table 7 Colorful - Accent 1"/>
    <w:basedOn w:val="34"/>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8">
    <w:name w:val="Grid Table 7 Colorful - Accent 2"/>
    <w:basedOn w:val="34"/>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9">
    <w:name w:val="Grid Table 7 Colorful - Accent 3"/>
    <w:basedOn w:val="34"/>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0">
    <w:name w:val="Grid Table 7 Colorful - Accent 4"/>
    <w:basedOn w:val="3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1">
    <w:name w:val="Grid Table 7 Colorful - Accent 5"/>
    <w:basedOn w:val="34"/>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2">
    <w:name w:val="Grid Table 7 Colorful - Accent 6"/>
    <w:basedOn w:val="34"/>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3">
    <w:name w:val="List Table 1 Light"/>
    <w:basedOn w:val="34"/>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4">
    <w:name w:val="List Table 1 Light - Accent 1"/>
    <w:basedOn w:val="34"/>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5">
    <w:name w:val="List Table 1 Light - Accent 2"/>
    <w:basedOn w:val="34"/>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6">
    <w:name w:val="List Table 1 Light - Accent 3"/>
    <w:basedOn w:val="34"/>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7">
    <w:name w:val="List Table 1 Light - Accent 4"/>
    <w:basedOn w:val="3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8">
    <w:name w:val="List Table 1 Light - Accent 5"/>
    <w:basedOn w:val="34"/>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9">
    <w:name w:val="List Table 1 Light - Accent 6"/>
    <w:basedOn w:val="34"/>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0">
    <w:name w:val="List Table 2"/>
    <w:basedOn w:val="34"/>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1">
    <w:name w:val="List Table 2 - Accent 1"/>
    <w:basedOn w:val="34"/>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2">
    <w:name w:val="List Table 2 - Accent 2"/>
    <w:basedOn w:val="34"/>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3">
    <w:name w:val="List Table 2 - Accent 3"/>
    <w:basedOn w:val="34"/>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4">
    <w:name w:val="List Table 2 - Accent 4"/>
    <w:basedOn w:val="3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5">
    <w:name w:val="List Table 2 - Accent 5"/>
    <w:basedOn w:val="34"/>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6">
    <w:name w:val="List Table 2 - Accent 6"/>
    <w:basedOn w:val="34"/>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7">
    <w:name w:val="List Table 3"/>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8">
    <w:name w:val="List Table 3 - Accent 1"/>
    <w:basedOn w:val="34"/>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9">
    <w:name w:val="List Table 3 - Accent 2"/>
    <w:basedOn w:val="34"/>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0">
    <w:name w:val="List Table 3 - Accent 3"/>
    <w:basedOn w:val="34"/>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1">
    <w:name w:val="List Table 3 - Accent 4"/>
    <w:basedOn w:val="3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2">
    <w:name w:val="List Table 3 - Accent 5"/>
    <w:basedOn w:val="34"/>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3">
    <w:name w:val="List Table 3 - Accent 6"/>
    <w:basedOn w:val="34"/>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4">
    <w:name w:val="List Table 4"/>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5">
    <w:name w:val="List Table 4 - Accent 1"/>
    <w:basedOn w:val="34"/>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6">
    <w:name w:val="List Table 4 - Accent 2"/>
    <w:basedOn w:val="34"/>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7">
    <w:name w:val="List Table 4 - Accent 3"/>
    <w:basedOn w:val="34"/>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8">
    <w:name w:val="List Table 4 - Accent 4"/>
    <w:basedOn w:val="3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9">
    <w:name w:val="List Table 4 - Accent 5"/>
    <w:basedOn w:val="34"/>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0">
    <w:name w:val="List Table 4 - Accent 6"/>
    <w:basedOn w:val="34"/>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1">
    <w:name w:val="List Table 5 Dark"/>
    <w:basedOn w:val="34"/>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2">
    <w:name w:val="List Table 5 Dark - Accent 1"/>
    <w:basedOn w:val="34"/>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3">
    <w:name w:val="List Table 5 Dark - Accent 2"/>
    <w:basedOn w:val="34"/>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4">
    <w:name w:val="List Table 5 Dark - Accent 3"/>
    <w:basedOn w:val="34"/>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5">
    <w:name w:val="List Table 5 Dark - Accent 4"/>
    <w:basedOn w:val="3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6">
    <w:name w:val="List Table 5 Dark - Accent 5"/>
    <w:basedOn w:val="34"/>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7">
    <w:name w:val="List Table 5 Dark - Accent 6"/>
    <w:basedOn w:val="34"/>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8">
    <w:name w:val="List Table 6 Colorful"/>
    <w:basedOn w:val="34"/>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9">
    <w:name w:val="List Table 6 Colorful - Accent 1"/>
    <w:basedOn w:val="34"/>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0">
    <w:name w:val="List Table 6 Colorful - Accent 2"/>
    <w:basedOn w:val="34"/>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1">
    <w:name w:val="List Table 6 Colorful - Accent 3"/>
    <w:basedOn w:val="34"/>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2">
    <w:name w:val="List Table 6 Colorful - Accent 4"/>
    <w:basedOn w:val="34"/>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3">
    <w:name w:val="List Table 6 Colorful - Accent 5"/>
    <w:basedOn w:val="34"/>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4">
    <w:name w:val="List Table 6 Colorful - Accent 6"/>
    <w:basedOn w:val="34"/>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5">
    <w:name w:val="List Table 7 Colorful"/>
    <w:basedOn w:val="34"/>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6">
    <w:name w:val="List Table 7 Colorful - Accent 1"/>
    <w:basedOn w:val="34"/>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7">
    <w:name w:val="List Table 7 Colorful - Accent 2"/>
    <w:basedOn w:val="34"/>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8">
    <w:name w:val="List Table 7 Colorful - Accent 3"/>
    <w:basedOn w:val="34"/>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9">
    <w:name w:val="List Table 7 Colorful - Accent 4"/>
    <w:basedOn w:val="34"/>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0">
    <w:name w:val="List Table 7 Colorful - Accent 5"/>
    <w:basedOn w:val="34"/>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1">
    <w:name w:val="List Table 7 Colorful - Accent 6"/>
    <w:basedOn w:val="34"/>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2">
    <w:name w:val="Lined - Accent"/>
    <w:basedOn w:val="34"/>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3">
    <w:name w:val="Lined - Accent 1"/>
    <w:basedOn w:val="34"/>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4">
    <w:name w:val="Lined - Accent 2"/>
    <w:basedOn w:val="34"/>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5">
    <w:name w:val="Lined - Accent 3"/>
    <w:basedOn w:val="34"/>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6">
    <w:name w:val="Lined - Accent 4"/>
    <w:basedOn w:val="3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7">
    <w:name w:val="Lined - Accent 5"/>
    <w:basedOn w:val="34"/>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8">
    <w:name w:val="Lined - Accent 6"/>
    <w:basedOn w:val="34"/>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9">
    <w:name w:val="Bordered &amp; Lined - Accent"/>
    <w:basedOn w:val="34"/>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0">
    <w:name w:val="Bordered &amp; Lined - Accent 1"/>
    <w:basedOn w:val="34"/>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1">
    <w:name w:val="Bordered &amp; Lined - Accent 2"/>
    <w:basedOn w:val="34"/>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2">
    <w:name w:val="Bordered &amp; Lined - Accent 3"/>
    <w:basedOn w:val="34"/>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3">
    <w:name w:val="Bordered &amp; Lined - Accent 4"/>
    <w:basedOn w:val="3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4">
    <w:name w:val="Bordered &amp; Lined - Accent 5"/>
    <w:basedOn w:val="34"/>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5">
    <w:name w:val="Bordered &amp; Lined - Accent 6"/>
    <w:basedOn w:val="34"/>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6">
    <w:name w:val="Bordered"/>
    <w:basedOn w:val="34"/>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7">
    <w:name w:val="Bordered - Accent 1"/>
    <w:basedOn w:val="34"/>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8">
    <w:name w:val="Bordered - Accent 2"/>
    <w:basedOn w:val="34"/>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9">
    <w:name w:val="Bordered - Accent 3"/>
    <w:basedOn w:val="34"/>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0">
    <w:name w:val="Bordered - Accent 4"/>
    <w:basedOn w:val="3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1">
    <w:name w:val="Bordered - Accent 5"/>
    <w:basedOn w:val="34"/>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2">
    <w:name w:val="Bordered - Accent 6"/>
    <w:basedOn w:val="34"/>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3">
    <w:name w:val="Footnote Text Char"/>
    <w:qFormat/>
    <w:uiPriority w:val="99"/>
    <w:rPr>
      <w:sz w:val="18"/>
    </w:rPr>
  </w:style>
  <w:style w:type="character" w:customStyle="1" w:styleId="184">
    <w:name w:val="Endnote Text Char"/>
    <w:link w:val="20"/>
    <w:qFormat/>
    <w:uiPriority w:val="99"/>
    <w:rPr>
      <w:sz w:val="20"/>
    </w:rPr>
  </w:style>
  <w:style w:type="paragraph" w:customStyle="1" w:styleId="185">
    <w:name w:val="TOC Heading"/>
    <w:unhideWhenUsed/>
    <w:qFormat/>
    <w:uiPriority w:val="39"/>
    <w:rPr>
      <w:rFonts w:hint="default" w:ascii="Times New Roman" w:hAnsi="Times New Roman" w:eastAsia="宋体" w:cs="Times New Roman"/>
    </w:rPr>
  </w:style>
  <w:style w:type="paragraph" w:customStyle="1" w:styleId="186">
    <w:name w:val="标题 5（有编号）（绿盟科技）"/>
    <w:next w:val="1"/>
    <w:qFormat/>
    <w:uiPriority w:val="99"/>
    <w:pPr>
      <w:keepNext/>
      <w:keepLines/>
      <w:widowControl w:val="0"/>
      <w:spacing w:before="280" w:after="156" w:line="377" w:lineRule="auto"/>
      <w:outlineLvl w:val="4"/>
    </w:pPr>
    <w:rPr>
      <w:rFonts w:hint="default" w:ascii="Arial" w:hAnsi="Arial" w:eastAsia="黑体" w:cs="Times New Roman"/>
      <w:b/>
      <w:kern w:val="2"/>
      <w:sz w:val="24"/>
      <w:szCs w:val="28"/>
      <w:lang w:val="en-US" w:eastAsia="zh-CN" w:bidi="ar-SA"/>
    </w:rPr>
  </w:style>
  <w:style w:type="character" w:customStyle="1" w:styleId="187">
    <w:name w:val="Header Char"/>
    <w:basedOn w:val="36"/>
    <w:semiHidden/>
    <w:qFormat/>
    <w:uiPriority w:val="99"/>
    <w:rPr>
      <w:rFonts w:ascii="Times New Roman" w:hAnsi="Times New Roman"/>
      <w:sz w:val="18"/>
      <w:szCs w:val="18"/>
    </w:rPr>
  </w:style>
  <w:style w:type="character" w:customStyle="1" w:styleId="188">
    <w:name w:val="页眉 Char"/>
    <w:link w:val="23"/>
    <w:semiHidden/>
    <w:qFormat/>
    <w:uiPriority w:val="99"/>
    <w:rPr>
      <w:sz w:val="18"/>
    </w:rPr>
  </w:style>
  <w:style w:type="character" w:customStyle="1" w:styleId="189">
    <w:name w:val="Footer Char"/>
    <w:basedOn w:val="36"/>
    <w:semiHidden/>
    <w:qFormat/>
    <w:uiPriority w:val="99"/>
    <w:rPr>
      <w:rFonts w:ascii="Times New Roman" w:hAnsi="Times New Roman"/>
      <w:sz w:val="18"/>
      <w:szCs w:val="18"/>
    </w:rPr>
  </w:style>
  <w:style w:type="character" w:customStyle="1" w:styleId="190">
    <w:name w:val="页脚 Char"/>
    <w:link w:val="22"/>
    <w:qFormat/>
    <w:uiPriority w:val="99"/>
    <w:rPr>
      <w:sz w:val="18"/>
    </w:rPr>
  </w:style>
  <w:style w:type="character" w:customStyle="1" w:styleId="191">
    <w:name w:val="Body Text Char"/>
    <w:basedOn w:val="36"/>
    <w:semiHidden/>
    <w:qFormat/>
    <w:uiPriority w:val="99"/>
    <w:rPr>
      <w:rFonts w:ascii="Times New Roman" w:hAnsi="Times New Roman"/>
      <w:szCs w:val="24"/>
    </w:rPr>
  </w:style>
  <w:style w:type="character" w:customStyle="1" w:styleId="192">
    <w:name w:val="正文文本 Char"/>
    <w:link w:val="14"/>
    <w:qFormat/>
    <w:uiPriority w:val="99"/>
    <w:rPr>
      <w:rFonts w:ascii="仿宋_GB2312" w:hAnsi="Times New Roman" w:eastAsia="仿宋_GB2312"/>
      <w:sz w:val="24"/>
    </w:rPr>
  </w:style>
  <w:style w:type="paragraph" w:customStyle="1" w:styleId="193">
    <w:name w:val="Default"/>
    <w:qFormat/>
    <w:uiPriority w:val="99"/>
    <w:pPr>
      <w:widowControl w:val="0"/>
      <w:autoSpaceDE w:val="0"/>
      <w:autoSpaceDN w:val="0"/>
      <w:adjustRightInd w:val="0"/>
    </w:pPr>
    <w:rPr>
      <w:rFonts w:hint="default" w:ascii="仿宋" w:hAnsi="Calibri" w:eastAsia="仿宋" w:cs="仿宋"/>
      <w:color w:val="000000"/>
      <w:sz w:val="24"/>
      <w:szCs w:val="24"/>
      <w:lang w:val="en-US" w:eastAsia="zh-CN" w:bidi="ar-SA"/>
    </w:rPr>
  </w:style>
  <w:style w:type="paragraph" w:styleId="194">
    <w:name w:val="List Paragraph"/>
    <w:basedOn w:val="1"/>
    <w:qFormat/>
    <w:uiPriority w:val="34"/>
    <w:pPr>
      <w:ind w:firstLine="420" w:firstLineChars="200"/>
    </w:pPr>
  </w:style>
  <w:style w:type="character" w:customStyle="1" w:styleId="195">
    <w:name w:val="标题 1 Char"/>
    <w:basedOn w:val="36"/>
    <w:link w:val="2"/>
    <w:qFormat/>
    <w:uiPriority w:val="9"/>
    <w:rPr>
      <w:rFonts w:ascii="Times New Roman" w:hAnsi="Times New Roman"/>
      <w:b/>
      <w:bCs/>
      <w:kern w:val="44"/>
      <w:sz w:val="44"/>
      <w:szCs w:val="44"/>
    </w:rPr>
  </w:style>
  <w:style w:type="character" w:customStyle="1" w:styleId="196">
    <w:name w:val="标题 2 Char"/>
    <w:basedOn w:val="36"/>
    <w:link w:val="3"/>
    <w:qFormat/>
    <w:uiPriority w:val="9"/>
    <w:rPr>
      <w:rFonts w:asciiTheme="majorHAnsi" w:hAnsiTheme="majorHAnsi" w:eastAsiaTheme="majorEastAsia" w:cstheme="majorBidi"/>
      <w:b/>
      <w:bCs/>
      <w:kern w:val="2"/>
      <w:sz w:val="32"/>
      <w:szCs w:val="32"/>
    </w:rPr>
  </w:style>
  <w:style w:type="paragraph" w:customStyle="1" w:styleId="19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98">
    <w:name w:val="批注框文本 Char"/>
    <w:basedOn w:val="36"/>
    <w:link w:val="21"/>
    <w:semiHidden/>
    <w:qFormat/>
    <w:uiPriority w:val="99"/>
    <w:rPr>
      <w:rFonts w:ascii="Times New Roman" w:hAnsi="Times New Roman"/>
      <w:kern w:val="2"/>
      <w:sz w:val="18"/>
      <w:szCs w:val="18"/>
    </w:rPr>
  </w:style>
  <w:style w:type="character" w:customStyle="1" w:styleId="199">
    <w:name w:val="标题 3 Char"/>
    <w:basedOn w:val="36"/>
    <w:link w:val="4"/>
    <w:qFormat/>
    <w:uiPriority w:val="9"/>
    <w:rPr>
      <w:rFonts w:ascii="Times New Roman" w:hAnsi="Times New Roman"/>
      <w:b/>
      <w:bCs/>
      <w:kern w:val="2"/>
      <w:sz w:val="32"/>
      <w:szCs w:val="32"/>
    </w:rPr>
  </w:style>
  <w:style w:type="paragraph" w:customStyle="1" w:styleId="20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201">
    <w:name w:val="四号正文"/>
    <w:basedOn w:val="1"/>
    <w:qFormat/>
    <w:uiPriority w:val="0"/>
    <w:pPr>
      <w:spacing w:line="360" w:lineRule="auto"/>
    </w:pPr>
    <w:rPr>
      <w:rFonts w:ascii="??" w:hAnsi="??"/>
      <w:color w:val="000000"/>
      <w:kern w:val="0"/>
      <w:sz w:val="28"/>
      <w:szCs w:val="21"/>
      <w:lang w:val="zh-CN"/>
    </w:rPr>
  </w:style>
  <w:style w:type="paragraph" w:customStyle="1" w:styleId="202">
    <w:name w:val="正文文本1"/>
    <w:next w:val="1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93" w:beforeAutospacing="0" w:after="100" w:afterAutospacing="1" w:line="240" w:lineRule="auto"/>
      <w:ind w:left="0" w:right="0" w:firstLine="0"/>
      <w:jc w:val="both"/>
      <w:textAlignment w:val="auto"/>
      <w:outlineLvl w:val="9"/>
    </w:pPr>
    <w:rPr>
      <w:rFonts w:hint="default" w:ascii="仿宋_GB2312" w:hAnsi="Times New Roman" w:eastAsia="仿宋_GB2312" w:cs="Times New Roman"/>
      <w:snapToGrid/>
      <w:color w:val="auto"/>
      <w:spacing w:val="0"/>
      <w:kern w:val="0"/>
      <w:position w:val="0"/>
      <w:sz w:val="30"/>
      <w:szCs w:val="30"/>
      <w:u w:val="none"/>
      <w:vertAlign w:val="baseline"/>
      <w:lang w:val="en-US" w:eastAsia="zh-CN" w:bidi="ar-SA"/>
    </w:rPr>
  </w:style>
  <w:style w:type="character" w:customStyle="1" w:styleId="203">
    <w:name w:val="18"/>
    <w:qFormat/>
    <w:uiPriority w:val="0"/>
    <w:rPr>
      <w:rFonts w:ascii="Calibri" w:hAnsi="Calibri"/>
      <w:b/>
    </w:rPr>
  </w:style>
  <w:style w:type="character" w:customStyle="1" w:styleId="204">
    <w:name w:val="font51"/>
    <w:basedOn w:val="36"/>
    <w:qFormat/>
    <w:uiPriority w:val="0"/>
    <w:rPr>
      <w:rFonts w:hint="eastAsia" w:ascii="微软雅黑" w:hAnsi="微软雅黑" w:eastAsia="微软雅黑" w:cs="微软雅黑"/>
      <w:i/>
      <w:iCs/>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287629862285576"/>
          <c:y val="0.0365490862728432"/>
        </c:manualLayout>
      </c:layout>
      <c:overlay val="0"/>
      <c:spPr>
        <a:noFill/>
        <a:ln>
          <a:noFill/>
        </a:ln>
        <a:effectLst/>
      </c:spPr>
    </c:title>
    <c:autoTitleDeleted val="0"/>
    <c:plotArea>
      <c:layout>
        <c:manualLayout>
          <c:layoutTarget val="inner"/>
          <c:xMode val="edge"/>
          <c:yMode val="edge"/>
          <c:x val="0.052621406136748"/>
          <c:y val="0.298555036124097"/>
          <c:w val="0.89784972215511"/>
          <c:h val="0.639481512962176"/>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收入</c:v>
                </c:pt>
                <c:pt idx="1">
                  <c:v>支出</c:v>
                </c:pt>
              </c:strCache>
            </c:strRef>
          </c:cat>
          <c:val>
            <c:numRef>
              <c:f>Sheet1!$B$2:$B$3</c:f>
              <c:numCache>
                <c:formatCode>General</c:formatCode>
                <c:ptCount val="2"/>
                <c:pt idx="0">
                  <c:v>720.66</c:v>
                </c:pt>
                <c:pt idx="1">
                  <c:v>720.66</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收入</c:v>
                </c:pt>
                <c:pt idx="1">
                  <c:v>支出</c:v>
                </c:pt>
              </c:strCache>
            </c:strRef>
          </c:cat>
          <c:val>
            <c:numRef>
              <c:f>Sheet1!$C$2:$C$3</c:f>
              <c:numCache>
                <c:formatCode>General</c:formatCode>
                <c:ptCount val="2"/>
                <c:pt idx="0">
                  <c:v>3326.64</c:v>
                </c:pt>
                <c:pt idx="1">
                  <c:v>3415.18</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收入</c:v>
                </c:pt>
                <c:pt idx="1">
                  <c:v>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273930964"/>
        <c:axId val="264460263"/>
      </c:barChart>
      <c:catAx>
        <c:axId val="2739309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64460263"/>
        <c:crosses val="autoZero"/>
        <c:auto val="1"/>
        <c:lblAlgn val="ctr"/>
        <c:lblOffset val="100"/>
        <c:noMultiLvlLbl val="0"/>
      </c:catAx>
      <c:valAx>
        <c:axId val="26446026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73930964"/>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800f4b3-5ff0-449f-a7bb-7fea80b900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pt idx="1">
                  <c:v>政府性基金预算财政拨款收入</c:v>
                </c:pt>
                <c:pt idx="2">
                  <c:v>国有资本经营预算财政拨款收入</c:v>
                </c:pt>
                <c:pt idx="3">
                  <c:v>上级补助收入</c:v>
                </c:pt>
              </c:strCache>
            </c:strRef>
          </c:cat>
          <c:val>
            <c:numRef>
              <c:f>Sheet1!$B$2:$B$5</c:f>
              <c:numCache>
                <c:formatCode>0%</c:formatCode>
                <c:ptCount val="4"/>
                <c:pt idx="0">
                  <c:v>1</c:v>
                </c:pt>
                <c:pt idx="1" c:formatCode="General">
                  <c:v>0</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1384a2-c898-46c3-a15f-62df824404e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项目支出</c:v>
                </c:pt>
                <c:pt idx="1">
                  <c:v>基本支出</c:v>
                </c:pt>
                <c:pt idx="2">
                  <c:v>上缴上级支出</c:v>
                </c:pt>
                <c:pt idx="3">
                  <c:v>经营支出</c:v>
                </c:pt>
              </c:strCache>
            </c:strRef>
          </c:cat>
          <c:val>
            <c:numRef>
              <c:f>Sheet1!$B$2:$B$5</c:f>
              <c:numCache>
                <c:formatCode>General</c:formatCode>
                <c:ptCount val="4"/>
                <c:pt idx="0">
                  <c:v>2905.58</c:v>
                </c:pt>
                <c:pt idx="1">
                  <c:v>428.53</c:v>
                </c:pt>
                <c:pt idx="2">
                  <c:v>0</c:v>
                </c:pt>
                <c:pt idx="3">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round/>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f2a0d1-cb9b-468c-a6e8-9200cb594a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dk1">
                    <a:lumMod val="75000"/>
                    <a:lumOff val="25000"/>
                  </a:schemeClr>
                </a:solidFill>
                <a:latin typeface="+mn-lt"/>
                <a:ea typeface="+mn-ea"/>
                <a:cs typeface="+mn-cs"/>
              </a:defRPr>
            </a:pPr>
            <a:r>
              <a:rPr lang="zh-CN"/>
              <a:t>财政拨款收、支决算总计变动情况表</a:t>
            </a:r>
            <a:endParaRPr lang="zh-CN"/>
          </a:p>
        </c:rich>
      </c:tx>
      <c:layout/>
      <c:overlay val="0"/>
      <c:spPr>
        <a:noFill/>
        <a:ln>
          <a:noFill/>
        </a:ln>
        <a:effectLst/>
      </c:spPr>
    </c:title>
    <c:autoTitleDeleted val="0"/>
    <c:plotArea>
      <c:layout>
        <c:manualLayout>
          <c:layoutTarget val="inner"/>
          <c:xMode val="edge"/>
          <c:yMode val="edge"/>
          <c:x val="0.0566078762986229"/>
          <c:y val="0.168295792605185"/>
          <c:w val="0.908359507127325"/>
          <c:h val="0.63905652358691"/>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Sheet1!$A$2:$A$5</c:f>
              <c:strCache>
                <c:ptCount val="4"/>
                <c:pt idx="0">
                  <c:v>财政拨款收入总计</c:v>
                </c:pt>
                <c:pt idx="1">
                  <c:v>财政拨款支出总计</c:v>
                </c:pt>
              </c:strCache>
            </c:strRef>
          </c:cat>
          <c:val>
            <c:numRef>
              <c:f>Sheet1!$B$2:$B$5</c:f>
              <c:numCache>
                <c:formatCode>General</c:formatCode>
                <c:ptCount val="4"/>
                <c:pt idx="0">
                  <c:v>720.66</c:v>
                </c:pt>
                <c:pt idx="1">
                  <c:v>720.66</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Sheet1!$A$2:$A$5</c:f>
              <c:strCache>
                <c:ptCount val="4"/>
                <c:pt idx="0">
                  <c:v>财政拨款收入总计</c:v>
                </c:pt>
                <c:pt idx="1">
                  <c:v>财政拨款支出总计</c:v>
                </c:pt>
              </c:strCache>
            </c:strRef>
          </c:cat>
          <c:val>
            <c:numRef>
              <c:f>Sheet1!$C$2:$C$5</c:f>
              <c:numCache>
                <c:formatCode>General</c:formatCode>
                <c:ptCount val="4"/>
                <c:pt idx="0">
                  <c:v>3326.64</c:v>
                </c:pt>
                <c:pt idx="1">
                  <c:v>3326.64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财政拨款收入总计</c:v>
                </c:pt>
                <c:pt idx="1">
                  <c:v>财政拨款支出总计</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314661862"/>
        <c:axId val="25048695"/>
      </c:barChart>
      <c:catAx>
        <c:axId val="31466186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25048695"/>
        <c:crosses val="autoZero"/>
        <c:auto val="1"/>
        <c:lblAlgn val="ctr"/>
        <c:lblOffset val="100"/>
        <c:noMultiLvlLbl val="0"/>
      </c:catAx>
      <c:valAx>
        <c:axId val="25048695"/>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314661862"/>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c13977-63a6-4c51-bf75-4afc70d5f1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dk1">
                    <a:lumMod val="75000"/>
                    <a:lumOff val="25000"/>
                  </a:schemeClr>
                </a:solidFill>
                <a:latin typeface="+mn-lt"/>
                <a:ea typeface="+mn-ea"/>
                <a:cs typeface="+mn-cs"/>
              </a:defRPr>
            </a:pPr>
            <a:r>
              <a:rPr lang="zh-CN"/>
              <a:t>一般公共预算财政拨款支出决算变动情况表</a:t>
            </a:r>
            <a:endParaRPr lang="zh-CN"/>
          </a:p>
        </c:rich>
      </c:tx>
      <c:layout/>
      <c:overlay val="0"/>
      <c:spPr>
        <a:noFill/>
        <a:ln>
          <a:noFill/>
        </a:ln>
        <a:effectLst/>
      </c:spPr>
    </c:title>
    <c:autoTitleDeleted val="0"/>
    <c:plotArea>
      <c:layout>
        <c:manualLayout>
          <c:layoutTarget val="inner"/>
          <c:xMode val="edge"/>
          <c:yMode val="edge"/>
          <c:x val="0.0566078762986229"/>
          <c:y val="0.196982575435615"/>
          <c:w val="0.913916404928727"/>
          <c:h val="0.63905652358691"/>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Sheet1!$A$2:$A$3</c:f>
              <c:strCache>
                <c:ptCount val="2"/>
                <c:pt idx="0">
                  <c:v>一般公共预算财政拨款支出</c:v>
                </c:pt>
              </c:strCache>
            </c:strRef>
          </c:cat>
          <c:val>
            <c:numRef>
              <c:f>Sheet1!$B$2:$B$3</c:f>
              <c:numCache>
                <c:formatCode>General</c:formatCode>
                <c:ptCount val="2"/>
                <c:pt idx="0">
                  <c:v>720.66</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Sheet1!$A$2:$A$3</c:f>
              <c:strCache>
                <c:ptCount val="2"/>
                <c:pt idx="0">
                  <c:v>一般公共预算财政拨款支出</c:v>
                </c:pt>
              </c:strCache>
            </c:strRef>
          </c:cat>
          <c:val>
            <c:numRef>
              <c:f>Sheet1!$C$2:$C$3</c:f>
              <c:numCache>
                <c:formatCode>General</c:formatCode>
                <c:ptCount val="2"/>
                <c:pt idx="0">
                  <c:v>3326.64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Sheet1!$A$2:$A$3</c:f>
              <c:strCache>
                <c:ptCount val="2"/>
                <c:pt idx="0">
                  <c:v>一般公共预算财政拨款支出</c:v>
                </c:pt>
              </c:strCache>
            </c:strRef>
          </c:cat>
          <c:val>
            <c:numRef>
              <c:f>Sheet1!$D$2:$D$3</c:f>
              <c:numCache>
                <c:formatCode>General</c:formatCode>
                <c:ptCount val="2"/>
              </c:numCache>
            </c:numRef>
          </c:val>
        </c:ser>
        <c:dLbls>
          <c:showLegendKey val="0"/>
          <c:showVal val="0"/>
          <c:showCatName val="0"/>
          <c:showSerName val="0"/>
          <c:showPercent val="0"/>
          <c:showBubbleSize val="0"/>
        </c:dLbls>
        <c:gapWidth val="246"/>
        <c:overlap val="-28"/>
        <c:axId val="570536231"/>
        <c:axId val="351814391"/>
      </c:barChart>
      <c:catAx>
        <c:axId val="57053623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351814391"/>
        <c:crosses val="autoZero"/>
        <c:auto val="1"/>
        <c:lblAlgn val="ctr"/>
        <c:lblOffset val="100"/>
        <c:noMultiLvlLbl val="0"/>
      </c:catAx>
      <c:valAx>
        <c:axId val="35181439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crossAx val="570536231"/>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b5c1b2-7abd-4f72-b0b6-b9c16fff321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baseline="0">
                <a:solidFill>
                  <a:schemeClr val="dk1">
                    <a:lumMod val="75000"/>
                    <a:lumOff val="25000"/>
                  </a:schemeClr>
                </a:solidFill>
                <a:latin typeface="+mn-lt"/>
                <a:ea typeface="+mn-ea"/>
                <a:cs typeface="+mn-cs"/>
              </a:defRPr>
            </a:pPr>
            <a:r>
              <a:t>一般公共预算财政拨款支出决算结构图</a:t>
            </a:r>
          </a:p>
        </c:rich>
      </c:tx>
      <c:layout>
        <c:manualLayout>
          <c:xMode val="edge"/>
          <c:yMode val="edge"/>
          <c:x val="0.205484416525731"/>
          <c:y val="0.0233540925266904"/>
        </c:manualLayout>
      </c:layout>
      <c:overlay val="0"/>
      <c:spPr>
        <a:noFill/>
        <a:ln>
          <a:noFill/>
        </a:ln>
        <a:effectLst/>
      </c:sp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c:formatCode>
                <c:ptCount val="4"/>
                <c:pt idx="0">
                  <c:v>0.897</c:v>
                </c:pt>
                <c:pt idx="1" c:formatCode="0.00%">
                  <c:v>0.053</c:v>
                </c:pt>
                <c:pt idx="2" c:formatCode="0.00%">
                  <c:v>0.021</c:v>
                </c:pt>
                <c:pt idx="3" c:formatCode="0.00%">
                  <c:v>0.029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04ab5a3-e7d2-4717-89b1-cc7353c39e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因公出国（境）费支出</c:v>
                </c:pt>
                <c:pt idx="1">
                  <c:v>公务用车购置及运行维护费支出</c:v>
                </c:pt>
                <c:pt idx="2">
                  <c:v>公务接待费支出</c:v>
                </c:pt>
              </c:strCache>
            </c:strRef>
          </c:cat>
          <c:val>
            <c:numRef>
              <c:f>Sheet1!$B$2:$B$5</c:f>
              <c:numCache>
                <c:formatCode>General</c:formatCode>
                <c:ptCount val="4"/>
                <c:pt idx="0">
                  <c:v>0</c:v>
                </c:pt>
                <c:pt idx="1">
                  <c:v>8.89</c:v>
                </c:pt>
                <c:pt idx="2">
                  <c:v>0.11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17117661270838"/>
          <c:y val="0.134296642583935"/>
        </c:manualLayout>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39f9fbe-5289-499d-a629-2791972a8d3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miter/>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10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11882</Words>
  <Characters>13169</Characters>
  <TotalTime>12</TotalTime>
  <ScaleCrop>false</ScaleCrop>
  <LinksUpToDate>false</LinksUpToDate>
  <CharactersWithSpaces>13223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2026-08-28T21:16:00Z</dcterms:created>
  <dc:creator>曹颖</dc:creator>
  <cp:lastModifiedBy>user</cp:lastModifiedBy>
  <dcterms:modified xsi:type="dcterms:W3CDTF">2026-09-18T17:09:13Z</dcterms:modified>
  <dc:title>四川省***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3AF0DB985EFFF7A465B0AC6A2A02CF9B</vt:lpwstr>
  </property>
  <property fmtid="{D5CDD505-2E9C-101B-9397-08002B2CF9AE}" pid="4" name="KSOTemplateDocerSaveRecord">
    <vt:lpwstr>eyJoZGlkIjoiYjJmNjkyOTJlZmQ2NzEyNGIwYmY4ZDc0OGJkNmNlOWEiLCJ1c2VySWQiOiIzODE1NzM1NTYifQ==</vt:lpwstr>
  </property>
</Properties>
</file>