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BCB16">
      <w:pPr>
        <w:pStyle w:val="16"/>
        <w:spacing w:before="93"/>
        <w:rPr>
          <w:rFonts w:ascii="Times New Roman" w:eastAsia="方正小标宋简体"/>
          <w:kern w:val="2"/>
          <w:sz w:val="72"/>
          <w:szCs w:val="72"/>
        </w:rPr>
      </w:pPr>
      <w:bookmarkStart w:id="0" w:name="_Toc15378441"/>
      <w:bookmarkStart w:id="1" w:name="_Toc15377425"/>
      <w:bookmarkStart w:id="2" w:name="_Toc15306267"/>
      <w:bookmarkStart w:id="3" w:name="_Toc15396475"/>
      <w:bookmarkStart w:id="4" w:name="_Toc15377193"/>
      <w:bookmarkStart w:id="5" w:name="_Toc15396597"/>
      <w:r>
        <w:rPr>
          <w:rFonts w:hint="eastAsia" w:ascii="Times New Roman" w:hAnsi="Times New Roman" w:eastAsia="黑体" w:cs="Times New Roman"/>
          <w:kern w:val="2"/>
          <w:sz w:val="32"/>
          <w:szCs w:val="32"/>
        </w:rPr>
        <w:t>附件</w:t>
      </w:r>
    </w:p>
    <w:p w14:paraId="41BFF9A5">
      <w:pPr>
        <w:pStyle w:val="16"/>
        <w:keepNext w:val="0"/>
        <w:keepLines w:val="0"/>
        <w:pageBreakBefore w:val="0"/>
        <w:widowControl w:val="0"/>
        <w:kinsoku/>
        <w:wordWrap/>
        <w:overflowPunct/>
        <w:topLinePunct w:val="0"/>
        <w:autoSpaceDE/>
        <w:autoSpaceDN/>
        <w:bidi w:val="0"/>
        <w:adjustRightInd/>
        <w:snapToGrid/>
        <w:spacing w:before="93" w:line="640" w:lineRule="exact"/>
        <w:jc w:val="center"/>
        <w:textAlignment w:val="auto"/>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rPr>
        <w:t>2025年度</w:t>
      </w:r>
      <w:r>
        <w:rPr>
          <w:rFonts w:hint="eastAsia" w:ascii="方正小标宋简体" w:hAnsi="方正小标宋简体" w:eastAsia="方正小标宋简体" w:cs="方正小标宋简体"/>
          <w:kern w:val="2"/>
          <w:sz w:val="44"/>
          <w:szCs w:val="44"/>
          <w:lang w:val="en-US" w:eastAsia="zh-CN"/>
        </w:rPr>
        <w:t>阿坝州机关后勤服务中心</w:t>
      </w:r>
    </w:p>
    <w:p w14:paraId="3BADC6B1">
      <w:pPr>
        <w:pStyle w:val="16"/>
        <w:keepNext w:val="0"/>
        <w:keepLines w:val="0"/>
        <w:pageBreakBefore w:val="0"/>
        <w:widowControl w:val="0"/>
        <w:kinsoku/>
        <w:wordWrap/>
        <w:overflowPunct/>
        <w:topLinePunct w:val="0"/>
        <w:autoSpaceDE/>
        <w:autoSpaceDN/>
        <w:bidi w:val="0"/>
        <w:adjustRightInd/>
        <w:snapToGrid/>
        <w:spacing w:before="93" w:line="640" w:lineRule="exact"/>
        <w:jc w:val="center"/>
        <w:textAlignment w:val="auto"/>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决算公开</w:t>
      </w:r>
      <w:bookmarkEnd w:id="0"/>
      <w:bookmarkEnd w:id="1"/>
      <w:bookmarkEnd w:id="2"/>
      <w:bookmarkEnd w:id="3"/>
      <w:bookmarkEnd w:id="4"/>
      <w:bookmarkEnd w:id="5"/>
    </w:p>
    <w:p w14:paraId="4A95134E">
      <w:pPr>
        <w:pStyle w:val="16"/>
        <w:spacing w:before="93"/>
        <w:jc w:val="center"/>
        <w:rPr>
          <w:rFonts w:hint="eastAsia" w:ascii="Times New Roman" w:eastAsia="方正小标宋简体"/>
          <w:kern w:val="2"/>
          <w:sz w:val="44"/>
          <w:szCs w:val="44"/>
        </w:rPr>
      </w:pPr>
    </w:p>
    <w:p w14:paraId="7E25B507">
      <w:pPr>
        <w:pStyle w:val="16"/>
        <w:spacing w:before="93"/>
        <w:jc w:val="center"/>
        <w:rPr>
          <w:rFonts w:hint="eastAsia" w:ascii="Times New Roman" w:eastAsia="方正小标宋简体"/>
          <w:kern w:val="2"/>
          <w:sz w:val="44"/>
          <w:szCs w:val="44"/>
        </w:rPr>
      </w:pPr>
    </w:p>
    <w:p w14:paraId="360A0A62">
      <w:pPr>
        <w:pStyle w:val="16"/>
        <w:spacing w:before="93"/>
        <w:jc w:val="center"/>
        <w:rPr>
          <w:rFonts w:hint="eastAsia" w:ascii="Times New Roman" w:eastAsia="方正小标宋简体"/>
          <w:kern w:val="2"/>
          <w:sz w:val="44"/>
          <w:szCs w:val="44"/>
        </w:rPr>
      </w:pPr>
    </w:p>
    <w:p w14:paraId="10A17A74">
      <w:pPr>
        <w:pStyle w:val="16"/>
        <w:spacing w:before="93"/>
        <w:jc w:val="center"/>
        <w:rPr>
          <w:rFonts w:hint="eastAsia" w:ascii="Times New Roman" w:eastAsia="方正小标宋简体"/>
          <w:kern w:val="2"/>
          <w:sz w:val="44"/>
          <w:szCs w:val="44"/>
        </w:rPr>
      </w:pPr>
    </w:p>
    <w:p w14:paraId="20C2D56C">
      <w:pPr>
        <w:autoSpaceDE w:val="0"/>
        <w:autoSpaceDN w:val="0"/>
        <w:adjustRightInd w:val="0"/>
        <w:ind w:left="420" w:leftChars="200"/>
        <w:jc w:val="left"/>
        <w:rPr>
          <w:rFonts w:hint="eastAsia" w:eastAsia="仿宋_GB2312"/>
          <w:sz w:val="32"/>
          <w:szCs w:val="32"/>
        </w:rPr>
      </w:pPr>
      <w:r>
        <w:rPr>
          <w:rFonts w:hint="eastAsia" w:ascii="Times New Roman" w:hAnsi="Times New Roman" w:eastAsia="仿宋_GB2312" w:cs="Times New Roman"/>
          <w:sz w:val="32"/>
          <w:szCs w:val="32"/>
        </w:rPr>
        <w:t>保密审查情况：已审查，内容审定</w:t>
      </w:r>
    </w:p>
    <w:p w14:paraId="77E1D37D">
      <w:pPr>
        <w:autoSpaceDE w:val="0"/>
        <w:autoSpaceDN w:val="0"/>
        <w:adjustRightInd w:val="0"/>
        <w:ind w:left="420" w:leftChars="200"/>
        <w:jc w:val="left"/>
        <w:rPr>
          <w:rFonts w:hint="eastAsia" w:eastAsia="仿宋_GB2312"/>
          <w:sz w:val="32"/>
          <w:szCs w:val="32"/>
        </w:rPr>
      </w:pPr>
      <w:r>
        <w:rPr>
          <w:rFonts w:hint="eastAsia" w:ascii="Times New Roman" w:hAnsi="Times New Roman" w:eastAsia="仿宋_GB2312" w:cs="Times New Roman"/>
          <w:sz w:val="32"/>
          <w:szCs w:val="32"/>
        </w:rPr>
        <w:t>部门主要负责人审签情况：已审签，同意对外公开</w:t>
      </w:r>
    </w:p>
    <w:p w14:paraId="5CE46875">
      <w:pPr>
        <w:pStyle w:val="16"/>
        <w:spacing w:before="93"/>
        <w:jc w:val="center"/>
        <w:rPr>
          <w:rFonts w:hint="eastAsia" w:ascii="Times New Roman" w:hAnsi="Times New Roman" w:eastAsia="方正小标宋简体" w:cs="Times New Roman"/>
          <w:kern w:val="2"/>
          <w:sz w:val="44"/>
          <w:szCs w:val="44"/>
        </w:rPr>
        <w:sectPr>
          <w:footerReference r:id="rId5" w:type="first"/>
          <w:headerReference r:id="rId3" w:type="default"/>
          <w:footerReference r:id="rId4" w:type="default"/>
          <w:pgSz w:w="11906" w:h="16838"/>
          <w:pgMar w:top="2098" w:right="1474" w:bottom="1984" w:left="1587" w:header="851" w:footer="992" w:gutter="0"/>
          <w:pgNumType w:fmt="decimal" w:start="1"/>
          <w:cols w:space="425" w:num="1"/>
          <w:titlePg/>
          <w:docGrid w:type="lines" w:linePitch="312" w:charSpace="0"/>
        </w:sectPr>
      </w:pPr>
    </w:p>
    <w:p w14:paraId="3B780AE6">
      <w:pPr>
        <w:widowControl/>
        <w:jc w:val="center"/>
      </w:pPr>
      <w:r>
        <w:rPr>
          <w:rFonts w:hint="eastAsia" w:eastAsia="黑体"/>
          <w:sz w:val="48"/>
          <w:szCs w:val="48"/>
        </w:rPr>
        <w:t>目录</w:t>
      </w:r>
    </w:p>
    <w:p w14:paraId="3875AED3">
      <w:pPr>
        <w:pStyle w:val="24"/>
        <w:jc w:val="center"/>
        <w:rPr>
          <w:rFonts w:ascii="Times New Roman" w:hAnsi="Times New Roman" w:eastAsia="仿宋_GB2312"/>
          <w:sz w:val="32"/>
          <w:szCs w:val="32"/>
        </w:rPr>
      </w:pPr>
      <w:r>
        <w:rPr>
          <w:rFonts w:hint="eastAsia" w:ascii="Times New Roman" w:hAnsi="Times New Roman" w:eastAsia="仿宋_GB2312" w:cs="Times New Roman"/>
          <w:sz w:val="32"/>
          <w:szCs w:val="32"/>
        </w:rPr>
        <w:t xml:space="preserve">公开时间：2026年 </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 xml:space="preserve"> 月 </w:t>
      </w:r>
      <w:r>
        <w:rPr>
          <w:rFonts w:hint="eastAsia" w:ascii="Times New Roman" w:hAnsi="Times New Roman" w:eastAsia="仿宋_GB2312" w:cs="Times New Roman"/>
          <w:sz w:val="32"/>
          <w:szCs w:val="32"/>
          <w:lang w:val="en-US" w:eastAsia="zh-CN"/>
        </w:rPr>
        <w:t>17</w:t>
      </w:r>
      <w:r>
        <w:rPr>
          <w:rFonts w:hint="eastAsia" w:ascii="Times New Roman" w:hAnsi="Times New Roman" w:eastAsia="仿宋_GB2312" w:cs="Times New Roman"/>
          <w:sz w:val="32"/>
          <w:szCs w:val="32"/>
        </w:rPr>
        <w:t>日</w:t>
      </w:r>
    </w:p>
    <w:p w14:paraId="64765E8B">
      <w:pPr>
        <w:pStyle w:val="24"/>
        <w:adjustRightInd w:val="0"/>
        <w:snapToGrid w:val="0"/>
        <w:spacing w:before="0" w:line="560" w:lineRule="exact"/>
        <w:jc w:val="left"/>
        <w:rPr>
          <w:rFonts w:hint="eastAsia" w:ascii="Times New Roman" w:hAnsi="Times New Roman" w:eastAsia="黑体" w:cs="Times New Roman"/>
          <w:sz w:val="32"/>
          <w:szCs w:val="32"/>
        </w:rPr>
      </w:pPr>
    </w:p>
    <w:p w14:paraId="5B425200">
      <w:pPr>
        <w:pStyle w:val="24"/>
        <w:adjustRightInd w:val="0"/>
        <w:snapToGrid w:val="0"/>
        <w:spacing w:before="0" w:line="560" w:lineRule="exact"/>
        <w:ind w:firstLine="640" w:firstLineChars="200"/>
        <w:jc w:val="left"/>
        <w:rPr>
          <w:rFonts w:ascii="Times New Roman" w:hAnsi="Times New Roman" w:eastAsia="黑体"/>
          <w:sz w:val="32"/>
          <w:szCs w:val="32"/>
        </w:rPr>
      </w:pPr>
      <w:r>
        <w:rPr>
          <w:rFonts w:hint="eastAsia" w:ascii="Times New Roman" w:hAnsi="Times New Roman" w:eastAsia="黑体" w:cs="Times New Roman"/>
          <w:sz w:val="32"/>
          <w:szCs w:val="32"/>
        </w:rPr>
        <w:t>第一部分 部门概况</w:t>
      </w:r>
    </w:p>
    <w:p w14:paraId="3D40E842">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一、部门职责</w:t>
      </w:r>
    </w:p>
    <w:p w14:paraId="47D1C0E5">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二、机构设置</w:t>
      </w:r>
    </w:p>
    <w:p w14:paraId="793C9B30">
      <w:pPr>
        <w:pStyle w:val="24"/>
        <w:adjustRightInd w:val="0"/>
        <w:snapToGrid w:val="0"/>
        <w:spacing w:before="0" w:line="560" w:lineRule="exact"/>
        <w:ind w:firstLine="640" w:firstLineChars="200"/>
        <w:jc w:val="left"/>
        <w:rPr>
          <w:rFonts w:ascii="Times New Roman" w:hAnsi="Times New Roman" w:eastAsia="黑体"/>
          <w:sz w:val="32"/>
          <w:szCs w:val="32"/>
        </w:rPr>
      </w:pPr>
      <w:r>
        <w:rPr>
          <w:rFonts w:hint="eastAsia" w:ascii="Times New Roman" w:hAnsi="Times New Roman" w:eastAsia="黑体" w:cs="Times New Roman"/>
          <w:sz w:val="32"/>
          <w:szCs w:val="32"/>
        </w:rPr>
        <w:t>第二部分 2025年度部门决算情况说明</w:t>
      </w:r>
    </w:p>
    <w:p w14:paraId="6597BB35">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一、收入支出决算总体情况说明</w:t>
      </w:r>
    </w:p>
    <w:p w14:paraId="7886F738">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二、收入决算情况说明</w:t>
      </w:r>
    </w:p>
    <w:p w14:paraId="2239E3BC">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三、支出决算情况说明</w:t>
      </w:r>
    </w:p>
    <w:p w14:paraId="0AB1A5A2">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四、财政拨款收入支出决算总体情况说明</w:t>
      </w:r>
    </w:p>
    <w:p w14:paraId="061E14E1">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五、一般公共预算财政拨款支出决算情况说明</w:t>
      </w:r>
    </w:p>
    <w:p w14:paraId="676A8D97">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六、一般公共预算财政拨款基本支出决算情况说明</w:t>
      </w:r>
    </w:p>
    <w:p w14:paraId="78CF2656">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七、财政拨款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经费支出决算情况说明</w:t>
      </w:r>
    </w:p>
    <w:p w14:paraId="0ABDECD6">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八、政府性基金预算支出决算情况说明</w:t>
      </w:r>
    </w:p>
    <w:p w14:paraId="529D7A56">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九、国有资本经营预算支出决算情况说明</w:t>
      </w:r>
    </w:p>
    <w:p w14:paraId="1A2F4B58">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十、其他重要事项的情况说明</w:t>
      </w:r>
    </w:p>
    <w:p w14:paraId="75E8CC3F">
      <w:pPr>
        <w:pStyle w:val="24"/>
        <w:adjustRightInd w:val="0"/>
        <w:snapToGrid w:val="0"/>
        <w:spacing w:before="0" w:line="560" w:lineRule="exact"/>
        <w:ind w:firstLine="640" w:firstLineChars="200"/>
        <w:jc w:val="left"/>
        <w:rPr>
          <w:rFonts w:ascii="Times New Roman" w:hAnsi="Times New Roman" w:eastAsia="黑体"/>
          <w:sz w:val="32"/>
          <w:szCs w:val="32"/>
        </w:rPr>
      </w:pPr>
      <w:r>
        <w:rPr>
          <w:rFonts w:hint="eastAsia" w:ascii="Times New Roman" w:hAnsi="Times New Roman" w:eastAsia="黑体" w:cs="Times New Roman"/>
          <w:sz w:val="32"/>
          <w:szCs w:val="32"/>
        </w:rPr>
        <w:t>第三部分 名词解释</w:t>
      </w:r>
    </w:p>
    <w:p w14:paraId="6783B607">
      <w:pPr>
        <w:pStyle w:val="24"/>
        <w:adjustRightInd w:val="0"/>
        <w:snapToGrid w:val="0"/>
        <w:spacing w:before="0" w:line="560" w:lineRule="exact"/>
        <w:ind w:firstLine="640" w:firstLineChars="200"/>
        <w:jc w:val="left"/>
        <w:rPr>
          <w:rFonts w:ascii="Times New Roman" w:hAnsi="Times New Roman" w:eastAsia="黑体"/>
          <w:sz w:val="32"/>
          <w:szCs w:val="32"/>
        </w:rPr>
      </w:pPr>
      <w:r>
        <w:rPr>
          <w:rFonts w:hint="eastAsia" w:ascii="Times New Roman" w:hAnsi="Times New Roman" w:eastAsia="黑体" w:cs="Times New Roman"/>
          <w:sz w:val="32"/>
          <w:szCs w:val="32"/>
        </w:rPr>
        <w:t>第四部分 附件</w:t>
      </w:r>
    </w:p>
    <w:p w14:paraId="7313895D">
      <w:pPr>
        <w:pStyle w:val="24"/>
        <w:adjustRightInd w:val="0"/>
        <w:snapToGrid w:val="0"/>
        <w:spacing w:before="0" w:line="560" w:lineRule="exact"/>
        <w:ind w:firstLine="640" w:firstLineChars="200"/>
        <w:jc w:val="left"/>
        <w:rPr>
          <w:rFonts w:ascii="Times New Roman" w:hAnsi="Times New Roman" w:eastAsia="黑体"/>
          <w:sz w:val="32"/>
          <w:szCs w:val="32"/>
        </w:rPr>
      </w:pPr>
      <w:r>
        <w:rPr>
          <w:rFonts w:hint="eastAsia" w:ascii="Times New Roman" w:hAnsi="Times New Roman" w:eastAsia="黑体" w:cs="Times New Roman"/>
          <w:sz w:val="32"/>
          <w:szCs w:val="32"/>
        </w:rPr>
        <w:t>第五部分 附表</w:t>
      </w:r>
    </w:p>
    <w:p w14:paraId="7AEC15DA">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一、收入支出决算总表</w:t>
      </w:r>
    </w:p>
    <w:p w14:paraId="61878354">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二、收入决算表</w:t>
      </w:r>
    </w:p>
    <w:p w14:paraId="1C5031F2">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三、支出决算表</w:t>
      </w:r>
    </w:p>
    <w:p w14:paraId="7A3E9D6E">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四、财政拨款收入支出决算总表</w:t>
      </w:r>
    </w:p>
    <w:p w14:paraId="1491602C">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五、财政拨款支出决算明细表</w:t>
      </w:r>
    </w:p>
    <w:p w14:paraId="753B4568">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六、一般公共预算财政拨款支出决算表</w:t>
      </w:r>
    </w:p>
    <w:p w14:paraId="283D5DFE">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七、一般公共预算财政拨款支出决算明细表</w:t>
      </w:r>
    </w:p>
    <w:p w14:paraId="2D54681B">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八、一般公共预算财政拨款基本支出决算明细表</w:t>
      </w:r>
    </w:p>
    <w:p w14:paraId="1337D8BB">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九、一般公共预算财政拨款项目支出决算表</w:t>
      </w:r>
    </w:p>
    <w:p w14:paraId="43F71A4A">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十、政府性基金预算财政拨款收入支出决算表</w:t>
      </w:r>
    </w:p>
    <w:p w14:paraId="5D04D0A9">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十一、国有资本经营预算财政拨款收入支出决算表</w:t>
      </w:r>
    </w:p>
    <w:p w14:paraId="0A276AD8">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十二、国有资本经营预算财政拨款支出决算表</w:t>
      </w:r>
    </w:p>
    <w:p w14:paraId="021B2EF2">
      <w:pPr>
        <w:pStyle w:val="29"/>
        <w:adjustRightInd w:val="0"/>
        <w:snapToGrid w:val="0"/>
        <w:spacing w:line="560" w:lineRule="exact"/>
        <w:ind w:left="0" w:leftChars="0" w:firstLine="640" w:firstLineChars="200"/>
        <w:jc w:val="left"/>
        <w:rPr>
          <w:rFonts w:eastAsia="仿宋_GB2312"/>
          <w:sz w:val="32"/>
          <w:szCs w:val="32"/>
        </w:rPr>
      </w:pPr>
      <w:r>
        <w:rPr>
          <w:rFonts w:hint="eastAsia" w:eastAsia="仿宋_GB2312" w:cs="Times New Roman"/>
          <w:sz w:val="32"/>
          <w:szCs w:val="32"/>
        </w:rPr>
        <w:t>十三、财政拨款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经费支出决算表</w:t>
      </w:r>
    </w:p>
    <w:p w14:paraId="7DA02424">
      <w:pPr>
        <w:widowControl/>
        <w:spacing w:line="560" w:lineRule="exact"/>
        <w:jc w:val="left"/>
        <w:rPr>
          <w:rFonts w:eastAsia="仿宋_GB2312"/>
          <w:bCs/>
          <w:kern w:val="44"/>
          <w:sz w:val="32"/>
          <w:szCs w:val="32"/>
        </w:rPr>
      </w:pPr>
      <w:bookmarkStart w:id="6" w:name="_Toc15377196"/>
      <w:bookmarkStart w:id="7" w:name="_Toc15396599"/>
      <w:r>
        <w:rPr>
          <w:rFonts w:hint="eastAsia" w:eastAsia="仿宋_GB2312" w:cs="Times New Roman"/>
          <w:b/>
          <w:sz w:val="32"/>
          <w:szCs w:val="32"/>
        </w:rPr>
        <w:br w:type="page" w:clear="all"/>
      </w:r>
    </w:p>
    <w:p w14:paraId="7BE8AFB9">
      <w:pPr>
        <w:pStyle w:val="5"/>
        <w:jc w:val="center"/>
        <w:rPr>
          <w:rFonts w:eastAsia="黑体"/>
          <w:sz w:val="32"/>
          <w:szCs w:val="32"/>
        </w:rPr>
      </w:pPr>
      <w:r>
        <w:rPr>
          <w:rFonts w:hint="eastAsia" w:eastAsia="方正小标宋简体" w:cs="Times New Roman"/>
          <w:b w:val="0"/>
        </w:rPr>
        <w:t xml:space="preserve">第一部分  </w:t>
      </w:r>
      <w:r>
        <w:rPr>
          <w:rStyle w:val="193"/>
          <w:rFonts w:hint="eastAsia" w:eastAsia="方正小标宋简体" w:cs="Times New Roman"/>
          <w:b w:val="0"/>
          <w:bCs w:val="0"/>
          <w:lang w:val="en-US" w:eastAsia="zh-CN"/>
        </w:rPr>
        <w:t>单位</w:t>
      </w:r>
      <w:r>
        <w:rPr>
          <w:rStyle w:val="193"/>
          <w:rFonts w:hint="eastAsia" w:eastAsia="方正小标宋简体" w:cs="Times New Roman"/>
          <w:b w:val="0"/>
          <w:bCs w:val="0"/>
        </w:rPr>
        <w:t>概况</w:t>
      </w:r>
      <w:bookmarkEnd w:id="6"/>
      <w:bookmarkEnd w:id="7"/>
    </w:p>
    <w:p w14:paraId="67D1DBE4">
      <w:pPr>
        <w:pageBreakBefore w:val="0"/>
        <w:numPr>
          <w:ilvl w:val="0"/>
          <w:numId w:val="1"/>
        </w:numPr>
        <w:kinsoku/>
        <w:wordWrap/>
        <w:overflowPunct/>
        <w:topLinePunct w:val="0"/>
        <w:autoSpaceDE/>
        <w:autoSpaceDN/>
        <w:bidi w:val="0"/>
        <w:adjustRightInd/>
        <w:spacing w:before="0" w:after="0" w:line="560" w:lineRule="exact"/>
        <w:ind w:firstLine="640" w:firstLineChars="200"/>
        <w:jc w:val="both"/>
        <w:textAlignment w:val="auto"/>
        <w:outlineLvl w:val="9"/>
        <w:rPr>
          <w:rStyle w:val="194"/>
          <w:rFonts w:hint="eastAsia" w:ascii="黑体" w:hAnsi="黑体" w:eastAsia="黑体" w:cs="黑体"/>
          <w:b w:val="0"/>
          <w:bCs w:val="0"/>
          <w:sz w:val="32"/>
          <w:szCs w:val="32"/>
        </w:rPr>
      </w:pPr>
      <w:r>
        <w:rPr>
          <w:rStyle w:val="194"/>
          <w:rFonts w:hint="eastAsia" w:ascii="黑体" w:hAnsi="黑体" w:eastAsia="黑体" w:cs="黑体"/>
          <w:b w:val="0"/>
          <w:bCs w:val="0"/>
          <w:sz w:val="32"/>
          <w:szCs w:val="32"/>
        </w:rPr>
        <w:t>部门职责</w:t>
      </w:r>
    </w:p>
    <w:p w14:paraId="791CA0BA">
      <w:pPr>
        <w:pStyle w:val="16"/>
        <w:adjustRightInd w:val="0"/>
        <w:snapToGrid w:val="0"/>
        <w:spacing w:beforeLines="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负责拟</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全州统一的机关后勤服务管理制度，负责指导和管理各县(市)、州直机关后勤服务工作。负责拟</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州直机关后勤服务管理制度并监督实施。负责拟</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州直机关后勤服务项目和标准。负责州直机关周转房分配、管理、维修、维护、物业管理等后勤保障工作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负责会同相关部门提出州直机关周转房的需求及建设计划。</w:t>
      </w:r>
    </w:p>
    <w:p w14:paraId="44F05AC3">
      <w:pPr>
        <w:pageBreakBefore w:val="0"/>
        <w:numPr>
          <w:ilvl w:val="0"/>
          <w:numId w:val="0"/>
        </w:numPr>
        <w:kinsoku/>
        <w:wordWrap/>
        <w:overflowPunct/>
        <w:topLinePunct w:val="0"/>
        <w:autoSpaceDE/>
        <w:autoSpaceDN/>
        <w:bidi w:val="0"/>
        <w:adjustRightInd/>
        <w:spacing w:before="0" w:after="0" w:line="560" w:lineRule="exact"/>
        <w:ind w:firstLine="640" w:firstLineChars="200"/>
        <w:jc w:val="both"/>
        <w:textAlignment w:val="auto"/>
        <w:outlineLvl w:val="9"/>
        <w:rPr>
          <w:rStyle w:val="194"/>
          <w:rFonts w:hint="eastAsia" w:ascii="黑体" w:hAnsi="黑体" w:eastAsia="黑体" w:cs="黑体"/>
          <w:b w:val="0"/>
          <w:bCs w:val="0"/>
          <w:sz w:val="32"/>
          <w:szCs w:val="32"/>
        </w:rPr>
      </w:pPr>
      <w:bookmarkStart w:id="8" w:name="_Toc15396601"/>
      <w:bookmarkStart w:id="9" w:name="_Toc15377200"/>
      <w:r>
        <w:rPr>
          <w:rStyle w:val="194"/>
          <w:rFonts w:hint="eastAsia" w:ascii="黑体" w:hAnsi="黑体" w:eastAsia="黑体" w:cs="黑体"/>
          <w:b w:val="0"/>
          <w:bCs w:val="0"/>
          <w:sz w:val="32"/>
          <w:szCs w:val="32"/>
          <w:lang w:val="en-US" w:eastAsia="zh-CN"/>
        </w:rPr>
        <w:t>二</w:t>
      </w:r>
      <w:r>
        <w:rPr>
          <w:rStyle w:val="194"/>
          <w:rFonts w:hint="eastAsia" w:ascii="黑体" w:hAnsi="黑体" w:eastAsia="黑体" w:cs="黑体"/>
          <w:b w:val="0"/>
          <w:bCs w:val="0"/>
          <w:sz w:val="32"/>
          <w:szCs w:val="32"/>
        </w:rPr>
        <w:t>、机构设置</w:t>
      </w:r>
      <w:bookmarkEnd w:id="8"/>
      <w:bookmarkEnd w:id="9"/>
    </w:p>
    <w:p w14:paraId="6FA98F3C">
      <w:pPr>
        <w:pStyle w:val="16"/>
        <w:adjustRightInd w:val="0"/>
        <w:snapToGrid w:val="0"/>
        <w:spacing w:beforeLines="0"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州机关后勤服务中心纳入阿坝州机关事务管理局202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年度部门决算编制范围的二级预算单位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属于其他事业单位。州机关后勤服务中心</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年度纳入本套决算编制范围的独立编制机构数共1个，比上年增加0个；独立核算机构数共1个，比上年增加0个。</w:t>
      </w:r>
    </w:p>
    <w:p w14:paraId="1D9330DE">
      <w:pPr>
        <w:pageBreakBefore w:val="0"/>
        <w:numPr>
          <w:ilvl w:val="0"/>
          <w:numId w:val="0"/>
        </w:numPr>
        <w:kinsoku/>
        <w:wordWrap/>
        <w:overflowPunct/>
        <w:topLinePunct w:val="0"/>
        <w:autoSpaceDE/>
        <w:autoSpaceDN/>
        <w:bidi w:val="0"/>
        <w:adjustRightInd/>
        <w:spacing w:before="0" w:after="0" w:line="560" w:lineRule="exact"/>
        <w:ind w:firstLine="640" w:firstLineChars="200"/>
        <w:jc w:val="both"/>
        <w:textAlignment w:val="auto"/>
        <w:outlineLvl w:val="9"/>
        <w:rPr>
          <w:rStyle w:val="194"/>
          <w:rFonts w:hint="eastAsia" w:ascii="黑体" w:hAnsi="黑体" w:eastAsia="黑体" w:cs="黑体"/>
          <w:b w:val="0"/>
          <w:bCs w:val="0"/>
          <w:sz w:val="32"/>
          <w:szCs w:val="32"/>
        </w:rPr>
      </w:pPr>
      <w:r>
        <w:rPr>
          <w:rStyle w:val="194"/>
          <w:rFonts w:hint="eastAsia" w:ascii="黑体" w:hAnsi="黑体" w:eastAsia="黑体" w:cs="黑体"/>
          <w:b w:val="0"/>
          <w:bCs w:val="0"/>
          <w:sz w:val="32"/>
          <w:szCs w:val="32"/>
          <w:lang w:eastAsia="zh-CN"/>
        </w:rPr>
        <w:t>三、</w:t>
      </w:r>
      <w:r>
        <w:rPr>
          <w:rStyle w:val="194"/>
          <w:rFonts w:hint="eastAsia" w:ascii="黑体" w:hAnsi="黑体" w:eastAsia="黑体" w:cs="黑体"/>
          <w:b w:val="0"/>
          <w:bCs w:val="0"/>
          <w:sz w:val="32"/>
          <w:szCs w:val="32"/>
        </w:rPr>
        <w:t>人员情况</w:t>
      </w:r>
    </w:p>
    <w:p w14:paraId="740C61FD">
      <w:pPr>
        <w:pageBreakBefore w:val="0"/>
        <w:numPr>
          <w:ilvl w:val="0"/>
          <w:numId w:val="0"/>
        </w:numPr>
        <w:kinsoku/>
        <w:wordWrap/>
        <w:overflowPunct/>
        <w:topLinePunct w:val="0"/>
        <w:autoSpaceDE/>
        <w:autoSpaceDN/>
        <w:bidi w:val="0"/>
        <w:adjustRightInd/>
        <w:spacing w:before="0"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州机关后勤服务中心事业编制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名。其中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主任1名，副主任1名。</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度年末实有人数为</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主任1名，副主任</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一般人员6名。</w:t>
      </w:r>
      <w:r>
        <w:rPr>
          <w:rFonts w:hint="eastAsia" w:ascii="仿宋_GB2312" w:hAnsi="仿宋_GB2312" w:eastAsia="仿宋_GB2312" w:cs="仿宋_GB2312"/>
          <w:sz w:val="32"/>
          <w:szCs w:val="32"/>
        </w:rPr>
        <w:t>比上年增加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年末实有离退休人数为0人，比上年增加0</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w:t>
      </w:r>
      <w:bookmarkStart w:id="10" w:name="_Toc15377204"/>
      <w:bookmarkStart w:id="11" w:name="_Toc15396602"/>
    </w:p>
    <w:p w14:paraId="070C32FE">
      <w:pPr>
        <w:pageBreakBefore w:val="0"/>
        <w:numPr>
          <w:ilvl w:val="0"/>
          <w:numId w:val="0"/>
        </w:numPr>
        <w:kinsoku/>
        <w:wordWrap/>
        <w:overflowPunct/>
        <w:topLinePunct w:val="0"/>
        <w:autoSpaceDE/>
        <w:autoSpaceDN/>
        <w:bidi w:val="0"/>
        <w:adjustRightInd/>
        <w:spacing w:before="0" w:after="0" w:line="560" w:lineRule="exact"/>
        <w:jc w:val="both"/>
        <w:textAlignment w:val="auto"/>
        <w:outlineLvl w:val="9"/>
        <w:rPr>
          <w:rFonts w:hint="eastAsia" w:ascii="仿宋_GB2312" w:hAnsi="仿宋_GB2312" w:eastAsia="仿宋_GB2312" w:cs="仿宋_GB2312"/>
          <w:sz w:val="32"/>
          <w:szCs w:val="32"/>
        </w:rPr>
      </w:pPr>
    </w:p>
    <w:p w14:paraId="6FFB1A2B">
      <w:pPr>
        <w:pageBreakBefore w:val="0"/>
        <w:numPr>
          <w:ilvl w:val="0"/>
          <w:numId w:val="2"/>
        </w:numPr>
        <w:kinsoku/>
        <w:wordWrap/>
        <w:overflowPunct/>
        <w:topLinePunct w:val="0"/>
        <w:autoSpaceDE/>
        <w:autoSpaceDN/>
        <w:bidi w:val="0"/>
        <w:adjustRightInd/>
        <w:spacing w:before="0" w:after="0" w:line="560" w:lineRule="exact"/>
        <w:jc w:val="center"/>
        <w:textAlignment w:val="auto"/>
        <w:outlineLvl w:val="9"/>
        <w:rPr>
          <w:rStyle w:val="193"/>
          <w:rFonts w:hint="eastAsia" w:eastAsia="方正小标宋简体" w:cs="Times New Roman"/>
          <w:b w:val="0"/>
          <w:bCs w:val="0"/>
          <w:lang w:val="en-US" w:eastAsia="zh-CN"/>
        </w:rPr>
      </w:pPr>
      <w:r>
        <w:rPr>
          <w:rStyle w:val="193"/>
          <w:rFonts w:hint="eastAsia" w:eastAsia="方正小标宋简体" w:cs="Times New Roman"/>
          <w:b w:val="0"/>
          <w:bCs w:val="0"/>
          <w:lang w:val="en-US" w:eastAsia="zh-CN"/>
        </w:rPr>
        <w:t xml:space="preserve"> 2025年度单位决算情况说明</w:t>
      </w:r>
      <w:bookmarkEnd w:id="10"/>
      <w:bookmarkEnd w:id="11"/>
    </w:p>
    <w:p w14:paraId="57E19911">
      <w:pPr>
        <w:pStyle w:val="2"/>
        <w:numPr>
          <w:numId w:val="0"/>
        </w:numPr>
        <w:rPr>
          <w:rFonts w:hint="eastAsia"/>
          <w:lang w:val="en-US" w:eastAsia="zh-CN"/>
        </w:rPr>
      </w:pPr>
    </w:p>
    <w:p w14:paraId="610EB667">
      <w:pPr>
        <w:pStyle w:val="3"/>
        <w:rPr>
          <w:rFonts w:hint="eastAsia"/>
          <w:lang w:val="en-US" w:eastAsia="zh-CN"/>
        </w:rPr>
      </w:pPr>
      <w:bookmarkStart w:id="60" w:name="_GoBack"/>
      <w:bookmarkEnd w:id="60"/>
    </w:p>
    <w:p w14:paraId="7D39DA08">
      <w:pPr>
        <w:pStyle w:val="192"/>
        <w:keepNext w:val="0"/>
        <w:keepLines w:val="0"/>
        <w:pageBreakBefore w:val="0"/>
        <w:kinsoku/>
        <w:wordWrap/>
        <w:overflowPunct/>
        <w:topLinePunct w:val="0"/>
        <w:autoSpaceDE/>
        <w:autoSpaceDN/>
        <w:bidi w:val="0"/>
        <w:spacing w:line="560" w:lineRule="exact"/>
        <w:ind w:firstLine="640"/>
        <w:textAlignment w:val="auto"/>
        <w:outlineLvl w:val="1"/>
        <w:rPr>
          <w:rStyle w:val="194"/>
          <w:rFonts w:ascii="Times New Roman" w:hAnsi="Times New Roman" w:eastAsia="黑体" w:cs="Times New Roman"/>
          <w:b w:val="0"/>
        </w:rPr>
      </w:pPr>
      <w:bookmarkStart w:id="12" w:name="_Toc15396603"/>
      <w:bookmarkStart w:id="13" w:name="_Toc15377205"/>
      <w:r>
        <w:rPr>
          <w:rFonts w:hint="eastAsia" w:eastAsia="黑体"/>
          <w:sz w:val="32"/>
          <w:szCs w:val="32"/>
        </w:rPr>
        <w:t>一、收</w:t>
      </w:r>
      <w:r>
        <w:rPr>
          <w:rStyle w:val="194"/>
          <w:rFonts w:hint="eastAsia" w:ascii="Times New Roman" w:hAnsi="Times New Roman" w:eastAsia="黑体" w:cs="Times New Roman"/>
          <w:b w:val="0"/>
        </w:rPr>
        <w:t>入支出决算总体情况说明</w:t>
      </w:r>
      <w:bookmarkEnd w:id="12"/>
      <w:bookmarkEnd w:id="13"/>
    </w:p>
    <w:p w14:paraId="3DC0204C">
      <w:pPr>
        <w:pStyle w:val="192"/>
        <w:keepNext w:val="0"/>
        <w:keepLines w:val="0"/>
        <w:pageBreakBefore w:val="0"/>
        <w:kinsoku/>
        <w:wordWrap/>
        <w:overflowPunct/>
        <w:topLinePunct w:val="0"/>
        <w:autoSpaceDE/>
        <w:autoSpaceDN/>
        <w:bidi w:val="0"/>
        <w:spacing w:line="560" w:lineRule="exact"/>
        <w:ind w:firstLine="640"/>
        <w:textAlignment w:val="auto"/>
        <w:outlineLvl w:val="1"/>
        <w:rPr>
          <w:rFonts w:hint="default" w:eastAsia="仿宋_GB2312" w:cs="仿宋_GB2312"/>
          <w:sz w:val="32"/>
          <w:szCs w:val="32"/>
          <w:lang w:val="en-US" w:eastAsia="zh-CN"/>
        </w:rPr>
      </w:pPr>
      <w:r>
        <w:rPr>
          <w:rFonts w:hint="eastAsia" w:eastAsia="仿宋_GB2312" w:cs="Times New Roman"/>
          <w:sz w:val="32"/>
          <w:szCs w:val="32"/>
        </w:rPr>
        <w:t>2025年度收入、支出总计均为</w:t>
      </w:r>
      <w:r>
        <w:rPr>
          <w:rFonts w:hint="eastAsia" w:eastAsia="仿宋_GB2312" w:cs="Times New Roman"/>
          <w:sz w:val="32"/>
          <w:szCs w:val="32"/>
          <w:lang w:val="en-US" w:eastAsia="zh-CN"/>
        </w:rPr>
        <w:t>162.91</w:t>
      </w:r>
      <w:r>
        <w:rPr>
          <w:rFonts w:hint="eastAsia" w:eastAsia="仿宋_GB2312" w:cs="Times New Roman"/>
          <w:sz w:val="32"/>
          <w:szCs w:val="32"/>
        </w:rPr>
        <w:t>万元。与上年度相比，收入、支出总计各增加</w:t>
      </w:r>
      <w:r>
        <w:rPr>
          <w:rFonts w:hint="eastAsia" w:eastAsia="仿宋_GB2312" w:cs="Times New Roman"/>
          <w:sz w:val="32"/>
          <w:szCs w:val="32"/>
          <w:lang w:val="en-US" w:eastAsia="zh-CN"/>
        </w:rPr>
        <w:t>51.82</w:t>
      </w:r>
      <w:r>
        <w:rPr>
          <w:rFonts w:hint="eastAsia" w:eastAsia="仿宋_GB2312" w:cs="Times New Roman"/>
          <w:sz w:val="32"/>
          <w:szCs w:val="32"/>
        </w:rPr>
        <w:t>万元，增长</w:t>
      </w:r>
      <w:r>
        <w:rPr>
          <w:rFonts w:hint="eastAsia" w:eastAsia="仿宋_GB2312" w:cs="Times New Roman"/>
          <w:sz w:val="32"/>
          <w:szCs w:val="32"/>
          <w:lang w:val="en-US" w:eastAsia="zh-CN"/>
        </w:rPr>
        <w:t>46.6</w:t>
      </w:r>
      <w:r>
        <w:rPr>
          <w:rFonts w:hint="eastAsia" w:eastAsia="仿宋_GB2312" w:cs="Times New Roman"/>
          <w:sz w:val="32"/>
          <w:szCs w:val="32"/>
        </w:rPr>
        <w:t>%。主要变动原因是</w:t>
      </w:r>
      <w:r>
        <w:rPr>
          <w:rFonts w:hint="eastAsia" w:eastAsia="仿宋_GB2312" w:cs="Times New Roman"/>
          <w:sz w:val="32"/>
          <w:szCs w:val="32"/>
          <w:lang w:val="en-US" w:eastAsia="zh-CN"/>
        </w:rPr>
        <w:t>2025年新进4名人员。</w:t>
      </w:r>
    </w:p>
    <w:p w14:paraId="6E323EB9">
      <w:pPr>
        <w:pStyle w:val="192"/>
        <w:keepNext w:val="0"/>
        <w:keepLines w:val="0"/>
        <w:pageBreakBefore w:val="0"/>
        <w:kinsoku/>
        <w:wordWrap/>
        <w:overflowPunct/>
        <w:topLinePunct w:val="0"/>
        <w:autoSpaceDE/>
        <w:autoSpaceDN/>
        <w:bidi w:val="0"/>
        <w:spacing w:line="560" w:lineRule="exact"/>
        <w:ind w:firstLine="640"/>
        <w:textAlignment w:val="auto"/>
        <w:outlineLvl w:val="1"/>
        <w:rPr>
          <w:rFonts w:eastAsia="仿宋_GB2312"/>
          <w:sz w:val="32"/>
          <w:szCs w:val="32"/>
        </w:rPr>
      </w:pPr>
      <w:r>
        <w:rPr>
          <w:rFonts w:hint="eastAsia" w:eastAsia="仿宋_GB2312" w:cs="Times New Roman"/>
          <w:sz w:val="32"/>
          <w:szCs w:val="32"/>
        </w:rPr>
        <w:t>（图1：收入、支出决算总计变动情况图）（柱状图）</w:t>
      </w:r>
    </w:p>
    <w:p w14:paraId="629C31EE">
      <w:pPr>
        <w:pStyle w:val="2"/>
        <w:keepNext w:val="0"/>
        <w:keepLines w:val="0"/>
        <w:pageBreakBefore w:val="0"/>
        <w:kinsoku/>
        <w:wordWrap/>
        <w:overflowPunct/>
        <w:topLinePunct w:val="0"/>
        <w:autoSpaceDE/>
        <w:autoSpaceDN/>
        <w:bidi w:val="0"/>
        <w:spacing w:line="560" w:lineRule="exact"/>
        <w:textAlignment w:val="auto"/>
        <w:rPr>
          <w:rFonts w:eastAsia="仿宋_GB2312"/>
          <w:sz w:val="32"/>
          <w:szCs w:val="32"/>
        </w:rPr>
      </w:pPr>
    </w:p>
    <w:p w14:paraId="0526034A">
      <w:pPr>
        <w:pStyle w:val="3"/>
        <w:keepNext w:val="0"/>
        <w:keepLines w:val="0"/>
        <w:pageBreakBefore w:val="0"/>
        <w:kinsoku/>
        <w:wordWrap/>
        <w:overflowPunct/>
        <w:topLinePunct w:val="0"/>
        <w:autoSpaceDE/>
        <w:autoSpaceDN/>
        <w:bidi w:val="0"/>
        <w:spacing w:line="560" w:lineRule="exact"/>
        <w:ind w:left="0" w:leftChars="0" w:firstLine="0" w:firstLineChars="0"/>
        <w:textAlignment w:val="auto"/>
      </w:pPr>
      <w:r>
        <w:rPr>
          <w:rFonts w:hint="eastAsia" w:ascii="Times New Roman" w:eastAsia="仿宋_GB2312" w:cs="Times New Roman"/>
          <w:sz w:val="32"/>
          <w:szCs w:val="32"/>
          <w:lang w:eastAsia="zh-CN"/>
        </w:rPr>
        <w:drawing>
          <wp:inline distT="0" distB="0" distL="0" distR="0">
            <wp:extent cx="5256530" cy="2988310"/>
            <wp:effectExtent l="5080" t="4445" r="15240" b="1714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2D4096">
      <w:pPr>
        <w:pStyle w:val="192"/>
        <w:keepNext w:val="0"/>
        <w:keepLines w:val="0"/>
        <w:pageBreakBefore w:val="0"/>
        <w:kinsoku/>
        <w:wordWrap/>
        <w:overflowPunct/>
        <w:topLinePunct w:val="0"/>
        <w:autoSpaceDE/>
        <w:autoSpaceDN/>
        <w:bidi w:val="0"/>
        <w:spacing w:line="560" w:lineRule="exact"/>
        <w:ind w:firstLine="640"/>
        <w:textAlignment w:val="auto"/>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527A3B34">
      <w:pPr>
        <w:pStyle w:val="192"/>
        <w:keepNext w:val="0"/>
        <w:keepLines w:val="0"/>
        <w:pageBreakBefore w:val="0"/>
        <w:kinsoku/>
        <w:wordWrap/>
        <w:overflowPunct/>
        <w:topLinePunct w:val="0"/>
        <w:autoSpaceDE/>
        <w:autoSpaceDN/>
        <w:bidi w:val="0"/>
        <w:spacing w:line="560" w:lineRule="exact"/>
        <w:ind w:firstLine="640"/>
        <w:textAlignment w:val="auto"/>
        <w:outlineLvl w:val="1"/>
        <w:rPr>
          <w:rFonts w:eastAsia="仿宋_GB2312" w:cs="仿宋_GB2312"/>
          <w:b/>
          <w:bCs/>
          <w:sz w:val="32"/>
          <w:szCs w:val="32"/>
        </w:rPr>
      </w:pPr>
      <w:r>
        <w:rPr>
          <w:rFonts w:hint="eastAsia" w:eastAsia="仿宋_GB2312" w:cs="Times New Roman"/>
          <w:sz w:val="32"/>
          <w:szCs w:val="32"/>
        </w:rPr>
        <w:t>2025年度本年收入合计</w:t>
      </w:r>
      <w:r>
        <w:rPr>
          <w:rFonts w:hint="eastAsia" w:ascii="Times New Roman" w:hAnsi="Times New Roman" w:eastAsia="仿宋_GB2312" w:cs="Times New Roman"/>
          <w:sz w:val="32"/>
          <w:szCs w:val="32"/>
        </w:rPr>
        <w:t>162.91</w:t>
      </w:r>
      <w:r>
        <w:rPr>
          <w:rFonts w:hint="eastAsia" w:eastAsia="仿宋_GB2312" w:cs="Times New Roman"/>
          <w:sz w:val="32"/>
          <w:szCs w:val="32"/>
        </w:rPr>
        <w:t>万元，其中：一般公共预算财政拨款收入</w:t>
      </w:r>
      <w:r>
        <w:rPr>
          <w:rFonts w:hint="eastAsia" w:ascii="Times New Roman" w:hAnsi="Times New Roman" w:eastAsia="仿宋_GB2312" w:cs="Times New Roman"/>
          <w:sz w:val="32"/>
          <w:szCs w:val="32"/>
        </w:rPr>
        <w:t>162.91</w:t>
      </w:r>
      <w:r>
        <w:rPr>
          <w:rFonts w:hint="eastAsia" w:eastAsia="仿宋_GB2312" w:cs="Times New Roman"/>
          <w:sz w:val="32"/>
          <w:szCs w:val="32"/>
        </w:rPr>
        <w:t>万元，占</w:t>
      </w:r>
      <w:r>
        <w:rPr>
          <w:rFonts w:hint="eastAsia" w:ascii="Times New Roman" w:hAnsi="Times New Roman" w:eastAsia="仿宋_GB2312" w:cs="Times New Roman"/>
          <w:sz w:val="32"/>
          <w:szCs w:val="32"/>
        </w:rPr>
        <w:t>100</w:t>
      </w:r>
      <w:r>
        <w:rPr>
          <w:rFonts w:hint="eastAsia" w:eastAsia="仿宋_GB2312" w:cs="Times New Roman"/>
          <w:sz w:val="32"/>
          <w:szCs w:val="32"/>
        </w:rPr>
        <w:t>%；政府性基金预算财政拨款收入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%；国有资本经营预算财政拨款收入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%；上级补助收入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%；事业收入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%；经营收入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%；附属单位上缴收入</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71A55B65">
      <w:pPr>
        <w:pStyle w:val="192"/>
        <w:keepNext w:val="0"/>
        <w:keepLines w:val="0"/>
        <w:pageBreakBefore w:val="0"/>
        <w:kinsoku/>
        <w:wordWrap/>
        <w:overflowPunct/>
        <w:topLinePunct w:val="0"/>
        <w:autoSpaceDE/>
        <w:autoSpaceDN/>
        <w:bidi w:val="0"/>
        <w:spacing w:line="560" w:lineRule="exact"/>
        <w:ind w:firstLine="640"/>
        <w:textAlignment w:val="auto"/>
        <w:outlineLvl w:val="1"/>
        <w:rPr>
          <w:rFonts w:hint="eastAsia" w:eastAsia="仿宋_GB2312" w:cs="仿宋_GB2312"/>
          <w:sz w:val="32"/>
          <w:szCs w:val="32"/>
          <w:lang w:eastAsia="zh-CN"/>
        </w:rPr>
      </w:pPr>
      <w:r>
        <w:rPr>
          <w:rFonts w:hint="eastAsia" w:ascii="Times New Roman" w:eastAsia="仿宋_GB2312"/>
          <w:sz w:val="32"/>
          <w:szCs w:val="32"/>
        </w:rPr>
        <w:drawing>
          <wp:anchor distT="0" distB="0" distL="114300" distR="114300" simplePos="0" relativeHeight="251660288" behindDoc="1" locked="0" layoutInCell="1" allowOverlap="1">
            <wp:simplePos x="0" y="0"/>
            <wp:positionH relativeFrom="column">
              <wp:posOffset>-387985</wp:posOffset>
            </wp:positionH>
            <wp:positionV relativeFrom="paragraph">
              <wp:posOffset>367665</wp:posOffset>
            </wp:positionV>
            <wp:extent cx="5263515" cy="2513330"/>
            <wp:effectExtent l="4445" t="4445" r="27940" b="53975"/>
            <wp:wrapTight wrapText="bothSides">
              <wp:wrapPolygon>
                <wp:start x="-18" y="-38"/>
                <wp:lineTo x="-18" y="21409"/>
                <wp:lineTo x="21558" y="21409"/>
                <wp:lineTo x="21558" y="-38"/>
                <wp:lineTo x="-18" y="-38"/>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Times New Roman"/>
          <w:sz w:val="32"/>
          <w:szCs w:val="32"/>
        </w:rPr>
        <w:t>（图2：收入决算结构图</w:t>
      </w:r>
      <w:r>
        <w:rPr>
          <w:rFonts w:hint="eastAsia" w:eastAsia="仿宋_GB2312" w:cs="仿宋_GB2312"/>
          <w:sz w:val="32"/>
          <w:szCs w:val="32"/>
          <w:lang w:eastAsia="zh-CN"/>
        </w:rPr>
        <w:t>）</w:t>
      </w:r>
    </w:p>
    <w:p w14:paraId="797BDC8B">
      <w:pPr>
        <w:pStyle w:val="2"/>
        <w:keepNext w:val="0"/>
        <w:keepLines w:val="0"/>
        <w:pageBreakBefore w:val="0"/>
        <w:kinsoku/>
        <w:wordWrap/>
        <w:overflowPunct/>
        <w:topLinePunct w:val="0"/>
        <w:autoSpaceDE/>
        <w:autoSpaceDN/>
        <w:bidi w:val="0"/>
        <w:spacing w:line="560" w:lineRule="exact"/>
        <w:textAlignment w:val="auto"/>
        <w:rPr>
          <w:rFonts w:hint="eastAsia" w:eastAsia="仿宋_GB2312"/>
          <w:sz w:val="32"/>
          <w:szCs w:val="32"/>
        </w:rPr>
      </w:pPr>
      <w:r>
        <w:rPr>
          <w:rFonts w:hint="eastAsia" w:eastAsia="仿宋_GB2312" w:cs="Times New Roman"/>
          <w:sz w:val="32"/>
          <w:szCs w:val="32"/>
          <w:lang w:val="en-US" w:eastAsia="zh-CN"/>
        </w:rPr>
        <w:t xml:space="preserve"> </w:t>
      </w:r>
    </w:p>
    <w:p w14:paraId="307195DA">
      <w:pPr>
        <w:pStyle w:val="3"/>
        <w:keepNext w:val="0"/>
        <w:keepLines w:val="0"/>
        <w:pageBreakBefore w:val="0"/>
        <w:kinsoku/>
        <w:wordWrap/>
        <w:overflowPunct/>
        <w:topLinePunct w:val="0"/>
        <w:autoSpaceDE/>
        <w:autoSpaceDN/>
        <w:bidi w:val="0"/>
        <w:spacing w:line="560" w:lineRule="exact"/>
        <w:textAlignment w:val="auto"/>
        <w:rPr>
          <w:rFonts w:hint="eastAsia" w:ascii="Times New Roman" w:eastAsia="仿宋_GB2312"/>
          <w:sz w:val="32"/>
        </w:rPr>
      </w:pPr>
    </w:p>
    <w:p w14:paraId="4A274B00">
      <w:pPr>
        <w:pStyle w:val="2"/>
        <w:keepNext w:val="0"/>
        <w:keepLines w:val="0"/>
        <w:pageBreakBefore w:val="0"/>
        <w:kinsoku/>
        <w:wordWrap/>
        <w:overflowPunct/>
        <w:topLinePunct w:val="0"/>
        <w:autoSpaceDE/>
        <w:autoSpaceDN/>
        <w:bidi w:val="0"/>
        <w:spacing w:line="560" w:lineRule="exact"/>
        <w:textAlignment w:val="auto"/>
        <w:rPr>
          <w:rFonts w:hint="eastAsia" w:eastAsia="仿宋_GB2312"/>
          <w:sz w:val="32"/>
          <w:szCs w:val="32"/>
        </w:rPr>
      </w:pPr>
      <w:r>
        <w:rPr>
          <w:rFonts w:hint="eastAsia" w:eastAsia="仿宋_GB2312" w:cs="Times New Roman"/>
          <w:sz w:val="32"/>
          <w:szCs w:val="32"/>
          <w:lang w:val="en-US" w:eastAsia="zh-CN"/>
        </w:rPr>
        <w:t xml:space="preserve"> </w:t>
      </w:r>
    </w:p>
    <w:p w14:paraId="1DFB30BF">
      <w:pPr>
        <w:pStyle w:val="3"/>
        <w:keepNext w:val="0"/>
        <w:keepLines w:val="0"/>
        <w:pageBreakBefore w:val="0"/>
        <w:kinsoku/>
        <w:wordWrap/>
        <w:overflowPunct/>
        <w:topLinePunct w:val="0"/>
        <w:autoSpaceDE/>
        <w:autoSpaceDN/>
        <w:bidi w:val="0"/>
        <w:spacing w:line="560" w:lineRule="exact"/>
        <w:textAlignment w:val="auto"/>
        <w:rPr>
          <w:rFonts w:ascii="Times New Roman"/>
        </w:rPr>
      </w:pPr>
    </w:p>
    <w:p w14:paraId="375C56C1">
      <w:pPr>
        <w:pStyle w:val="192"/>
        <w:keepNext w:val="0"/>
        <w:keepLines w:val="0"/>
        <w:pageBreakBefore w:val="0"/>
        <w:kinsoku/>
        <w:wordWrap/>
        <w:overflowPunct/>
        <w:topLinePunct w:val="0"/>
        <w:autoSpaceDE/>
        <w:autoSpaceDN/>
        <w:bidi w:val="0"/>
        <w:spacing w:line="560" w:lineRule="exact"/>
        <w:ind w:firstLine="640"/>
        <w:textAlignment w:val="auto"/>
        <w:outlineLvl w:val="1"/>
        <w:rPr>
          <w:rFonts w:hint="eastAsia" w:eastAsia="黑体"/>
          <w:sz w:val="32"/>
          <w:szCs w:val="32"/>
        </w:rPr>
      </w:pPr>
      <w:bookmarkStart w:id="16" w:name="_Toc15377207"/>
      <w:bookmarkStart w:id="17" w:name="_Toc15396605"/>
    </w:p>
    <w:p w14:paraId="6BC090D2">
      <w:pPr>
        <w:pStyle w:val="192"/>
        <w:keepNext w:val="0"/>
        <w:keepLines w:val="0"/>
        <w:pageBreakBefore w:val="0"/>
        <w:kinsoku/>
        <w:wordWrap/>
        <w:overflowPunct/>
        <w:topLinePunct w:val="0"/>
        <w:autoSpaceDE/>
        <w:autoSpaceDN/>
        <w:bidi w:val="0"/>
        <w:spacing w:line="560" w:lineRule="exact"/>
        <w:ind w:firstLine="640"/>
        <w:textAlignment w:val="auto"/>
        <w:outlineLvl w:val="1"/>
        <w:rPr>
          <w:rStyle w:val="194"/>
          <w:rFonts w:ascii="Times New Roman" w:hAnsi="Times New Roman" w:eastAsia="黑体" w:cs="Times New Roman"/>
          <w:b w:val="0"/>
        </w:rPr>
      </w:pPr>
      <w:r>
        <w:rPr>
          <w:rFonts w:hint="eastAsia" w:eastAsia="黑体"/>
          <w:sz w:val="32"/>
          <w:szCs w:val="32"/>
        </w:rPr>
        <w:t>三、支</w:t>
      </w:r>
      <w:r>
        <w:rPr>
          <w:rStyle w:val="194"/>
          <w:rFonts w:hint="eastAsia" w:ascii="Times New Roman" w:hAnsi="Times New Roman" w:eastAsia="黑体" w:cs="Times New Roman"/>
          <w:b w:val="0"/>
        </w:rPr>
        <w:t>出决算情况说明</w:t>
      </w:r>
      <w:bookmarkEnd w:id="16"/>
      <w:bookmarkEnd w:id="17"/>
    </w:p>
    <w:p w14:paraId="092BDE43">
      <w:pPr>
        <w:pStyle w:val="192"/>
        <w:keepNext w:val="0"/>
        <w:keepLines w:val="0"/>
        <w:pageBreakBefore w:val="0"/>
        <w:kinsoku/>
        <w:wordWrap/>
        <w:overflowPunct/>
        <w:topLinePunct w:val="0"/>
        <w:autoSpaceDE/>
        <w:autoSpaceDN/>
        <w:bidi w:val="0"/>
        <w:spacing w:line="560" w:lineRule="exact"/>
        <w:ind w:firstLine="640"/>
        <w:textAlignment w:val="auto"/>
        <w:outlineLvl w:val="1"/>
        <w:rPr>
          <w:rFonts w:eastAsia="仿宋_GB2312" w:cs="仿宋_GB2312"/>
          <w:b/>
          <w:bCs/>
          <w:sz w:val="32"/>
          <w:szCs w:val="32"/>
        </w:rPr>
      </w:pPr>
      <w:r>
        <w:rPr>
          <w:rFonts w:hint="eastAsia" w:eastAsia="仿宋_GB2312" w:cs="Times New Roman"/>
          <w:sz w:val="32"/>
          <w:szCs w:val="32"/>
        </w:rPr>
        <w:t>2025年度本年支出合计</w:t>
      </w:r>
      <w:r>
        <w:rPr>
          <w:rFonts w:hint="eastAsia" w:ascii="Times New Roman" w:hAnsi="Times New Roman" w:eastAsia="仿宋_GB2312" w:cs="Times New Roman"/>
          <w:sz w:val="32"/>
          <w:szCs w:val="32"/>
        </w:rPr>
        <w:t>162.91</w:t>
      </w:r>
      <w:r>
        <w:rPr>
          <w:rFonts w:hint="eastAsia" w:eastAsia="仿宋_GB2312" w:cs="Times New Roman"/>
          <w:sz w:val="32"/>
          <w:szCs w:val="32"/>
        </w:rPr>
        <w:t>万元，其中：基本支出</w:t>
      </w:r>
      <w:r>
        <w:rPr>
          <w:rFonts w:hint="eastAsia" w:ascii="Times New Roman" w:hAnsi="Times New Roman" w:eastAsia="仿宋_GB2312" w:cs="Times New Roman"/>
          <w:sz w:val="32"/>
          <w:szCs w:val="32"/>
        </w:rPr>
        <w:t>162.91</w:t>
      </w:r>
      <w:r>
        <w:rPr>
          <w:rFonts w:hint="eastAsia" w:eastAsia="仿宋_GB2312" w:cs="Times New Roman"/>
          <w:sz w:val="32"/>
          <w:szCs w:val="32"/>
        </w:rPr>
        <w:t>万元，占</w:t>
      </w:r>
      <w:r>
        <w:rPr>
          <w:rFonts w:hint="eastAsia" w:ascii="Times New Roman" w:hAnsi="Times New Roman" w:eastAsia="仿宋_GB2312" w:cs="Times New Roman"/>
          <w:sz w:val="32"/>
          <w:szCs w:val="32"/>
        </w:rPr>
        <w:t>100</w:t>
      </w:r>
      <w:r>
        <w:rPr>
          <w:rFonts w:hint="eastAsia" w:eastAsia="仿宋_GB2312" w:cs="Times New Roman"/>
          <w:sz w:val="32"/>
          <w:szCs w:val="32"/>
        </w:rPr>
        <w:t>%；项目支出</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%；上缴上级支出</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%；经营支出</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Times New Roman" w:hAnsi="Times New Roman" w:eastAsia="仿宋_GB2312" w:cs="Times New Roman"/>
          <w:sz w:val="32"/>
          <w:szCs w:val="32"/>
        </w:rPr>
        <w:t>0</w:t>
      </w:r>
      <w:r>
        <w:rPr>
          <w:rFonts w:hint="eastAsia" w:eastAsia="仿宋_GB2312" w:cs="Times New Roman"/>
          <w:sz w:val="32"/>
          <w:szCs w:val="32"/>
        </w:rPr>
        <w:t>%；对附属单位补助支出</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6FDDAC90">
      <w:pPr>
        <w:pStyle w:val="192"/>
        <w:keepNext w:val="0"/>
        <w:keepLines w:val="0"/>
        <w:pageBreakBefore w:val="0"/>
        <w:kinsoku/>
        <w:wordWrap/>
        <w:overflowPunct/>
        <w:topLinePunct w:val="0"/>
        <w:autoSpaceDE/>
        <w:autoSpaceDN/>
        <w:bidi w:val="0"/>
        <w:spacing w:line="560" w:lineRule="exact"/>
        <w:ind w:firstLine="640"/>
        <w:textAlignment w:val="auto"/>
        <w:outlineLvl w:val="1"/>
        <w:rPr>
          <w:rFonts w:hint="eastAsia" w:eastAsia="仿宋_GB2312"/>
          <w:sz w:val="32"/>
          <w:szCs w:val="32"/>
        </w:rPr>
      </w:pPr>
      <w:r>
        <w:rPr>
          <w:rFonts w:hint="eastAsia" w:eastAsia="仿宋_GB2312" w:cs="Times New Roman"/>
          <w:sz w:val="32"/>
          <w:szCs w:val="32"/>
        </w:rPr>
        <w:t>（图3：支出决算结构图）（饼状图）</w:t>
      </w:r>
    </w:p>
    <w:p w14:paraId="07C8B30E">
      <w:pPr>
        <w:pStyle w:val="192"/>
        <w:keepNext w:val="0"/>
        <w:keepLines w:val="0"/>
        <w:pageBreakBefore w:val="0"/>
        <w:kinsoku/>
        <w:wordWrap/>
        <w:overflowPunct/>
        <w:topLinePunct w:val="0"/>
        <w:autoSpaceDE/>
        <w:autoSpaceDN/>
        <w:bidi w:val="0"/>
        <w:spacing w:line="560" w:lineRule="exact"/>
        <w:ind w:firstLine="640"/>
        <w:textAlignment w:val="auto"/>
        <w:outlineLvl w:val="1"/>
        <w:rPr>
          <w:rFonts w:eastAsia="仿宋_GB2312"/>
          <w:sz w:val="32"/>
          <w:szCs w:val="32"/>
        </w:rPr>
      </w:pPr>
      <w:r>
        <w:rPr>
          <w:rFonts w:hint="eastAsia" w:ascii="Times New Roman" w:eastAsia="仿宋_GB2312"/>
          <w:sz w:val="32"/>
          <w:szCs w:val="32"/>
        </w:rPr>
        <w:drawing>
          <wp:anchor distT="0" distB="0" distL="114300" distR="114300" simplePos="0" relativeHeight="251661312" behindDoc="1" locked="0" layoutInCell="1" allowOverlap="1">
            <wp:simplePos x="0" y="0"/>
            <wp:positionH relativeFrom="column">
              <wp:posOffset>-140970</wp:posOffset>
            </wp:positionH>
            <wp:positionV relativeFrom="paragraph">
              <wp:posOffset>281940</wp:posOffset>
            </wp:positionV>
            <wp:extent cx="5147945" cy="2328545"/>
            <wp:effectExtent l="4445" t="4445" r="48260" b="48260"/>
            <wp:wrapTight wrapText="bothSides">
              <wp:wrapPolygon>
                <wp:start x="-19" y="-41"/>
                <wp:lineTo x="-19" y="21518"/>
                <wp:lineTo x="21563" y="21518"/>
                <wp:lineTo x="21563" y="-41"/>
                <wp:lineTo x="-19" y="-41"/>
              </wp:wrapPolygon>
            </wp:wrapTight>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9CA078E">
      <w:pPr>
        <w:keepNext w:val="0"/>
        <w:keepLines w:val="0"/>
        <w:pageBreakBefore w:val="0"/>
        <w:kinsoku/>
        <w:wordWrap/>
        <w:overflowPunct/>
        <w:topLinePunct w:val="0"/>
        <w:autoSpaceDE/>
        <w:autoSpaceDN/>
        <w:bidi w:val="0"/>
        <w:spacing w:line="560" w:lineRule="exact"/>
        <w:ind w:firstLine="640" w:firstLineChars="200"/>
        <w:textAlignment w:val="auto"/>
        <w:outlineLvl w:val="1"/>
        <w:rPr>
          <w:rStyle w:val="194"/>
          <w:rFonts w:ascii="Times New Roman" w:hAnsi="Times New Roman" w:eastAsia="黑体" w:cs="Times New Roman"/>
          <w:b w:val="0"/>
        </w:rPr>
      </w:pPr>
      <w:bookmarkStart w:id="18" w:name="_Toc15396606"/>
      <w:bookmarkStart w:id="19" w:name="_Toc15377208"/>
      <w:r>
        <w:rPr>
          <w:rFonts w:hint="eastAsia" w:eastAsia="黑体"/>
          <w:sz w:val="32"/>
          <w:szCs w:val="32"/>
        </w:rPr>
        <w:t>四、财</w:t>
      </w:r>
      <w:r>
        <w:rPr>
          <w:rStyle w:val="194"/>
          <w:rFonts w:hint="eastAsia" w:ascii="Times New Roman" w:hAnsi="Times New Roman" w:eastAsia="黑体" w:cs="Times New Roman"/>
          <w:b w:val="0"/>
        </w:rPr>
        <w:t>政拨款收入支出决算总体情况说明</w:t>
      </w:r>
      <w:bookmarkEnd w:id="18"/>
      <w:bookmarkEnd w:id="19"/>
    </w:p>
    <w:p w14:paraId="41D838BC">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r>
        <w:rPr>
          <w:rFonts w:hint="eastAsia" w:eastAsia="仿宋_GB2312" w:cs="Times New Roman"/>
          <w:sz w:val="32"/>
          <w:szCs w:val="32"/>
        </w:rPr>
        <w:t>2025年度财政拨款收入、支出总计均为</w:t>
      </w:r>
      <w:r>
        <w:rPr>
          <w:rFonts w:hint="eastAsia" w:ascii="Times New Roman" w:hAnsi="Times New Roman" w:eastAsia="仿宋_GB2312" w:cs="Times New Roman"/>
          <w:sz w:val="32"/>
          <w:szCs w:val="32"/>
        </w:rPr>
        <w:t>162.91</w:t>
      </w:r>
      <w:r>
        <w:rPr>
          <w:rFonts w:hint="eastAsia" w:eastAsia="仿宋_GB2312" w:cs="Times New Roman"/>
          <w:sz w:val="32"/>
          <w:szCs w:val="32"/>
        </w:rPr>
        <w:t>万元。与上年度相比，</w:t>
      </w:r>
      <w:r>
        <w:rPr>
          <w:rFonts w:hint="eastAsia" w:ascii="Times New Roman" w:eastAsia="仿宋_GB2312" w:cs="Times New Roman"/>
          <w:spacing w:val="0"/>
          <w:kern w:val="2"/>
          <w:sz w:val="32"/>
          <w:szCs w:val="32"/>
          <w:lang w:bidi="ar-SA"/>
        </w:rPr>
        <w:t>年度相比，财政拨款收、支总计各</w:t>
      </w:r>
      <w:r>
        <w:rPr>
          <w:rFonts w:hint="eastAsia" w:ascii="Times New Roman" w:eastAsia="仿宋_GB2312" w:cs="Times New Roman"/>
          <w:spacing w:val="0"/>
          <w:kern w:val="2"/>
          <w:sz w:val="32"/>
          <w:szCs w:val="32"/>
          <w:lang w:val="en-US" w:eastAsia="zh-CN" w:bidi="ar-SA"/>
        </w:rPr>
        <w:t>增加</w:t>
      </w:r>
      <w:r>
        <w:rPr>
          <w:rFonts w:hint="eastAsia" w:eastAsia="仿宋_GB2312" w:cs="Times New Roman"/>
          <w:sz w:val="32"/>
          <w:szCs w:val="32"/>
          <w:lang w:val="en-US" w:eastAsia="zh-CN"/>
        </w:rPr>
        <w:t>51.82</w:t>
      </w:r>
      <w:r>
        <w:rPr>
          <w:rFonts w:hint="eastAsia" w:ascii="Times New Roman" w:eastAsia="仿宋_GB2312" w:cs="Times New Roman"/>
          <w:spacing w:val="0"/>
          <w:kern w:val="2"/>
          <w:sz w:val="32"/>
          <w:szCs w:val="32"/>
          <w:lang w:bidi="ar-SA"/>
        </w:rPr>
        <w:t>万元，</w:t>
      </w:r>
      <w:r>
        <w:rPr>
          <w:rFonts w:hint="eastAsia" w:eastAsia="仿宋_GB2312" w:cs="Times New Roman"/>
          <w:sz w:val="32"/>
          <w:szCs w:val="32"/>
          <w:lang w:val="en-US" w:eastAsia="zh-CN" w:bidi="ar-SA"/>
        </w:rPr>
        <w:t>增幅</w:t>
      </w:r>
      <w:r>
        <w:rPr>
          <w:rFonts w:hint="eastAsia" w:ascii="Times New Roman" w:hAnsi="Times New Roman" w:eastAsia="仿宋_GB2312" w:cs="Times New Roman"/>
          <w:sz w:val="32"/>
          <w:szCs w:val="32"/>
          <w:lang w:val="en-US" w:eastAsia="zh-CN"/>
        </w:rPr>
        <w:t>46.6</w:t>
      </w:r>
      <w:r>
        <w:rPr>
          <w:rFonts w:hint="default" w:ascii="Times New Roman" w:hAnsi="Times New Roman" w:eastAsia="仿宋_GB2312" w:cs="Times New Roman"/>
          <w:sz w:val="32"/>
          <w:szCs w:val="32"/>
          <w:lang w:val="en-US" w:eastAsia="zh-CN"/>
        </w:rPr>
        <w:t>%</w:t>
      </w:r>
      <w:r>
        <w:rPr>
          <w:rFonts w:hint="eastAsia" w:ascii="Times New Roman" w:eastAsia="仿宋_GB2312" w:cs="Times New Roman"/>
          <w:spacing w:val="0"/>
          <w:kern w:val="2"/>
          <w:sz w:val="32"/>
          <w:szCs w:val="32"/>
          <w:lang w:bidi="ar-SA"/>
        </w:rPr>
        <w:t>。主要变动原因是</w:t>
      </w:r>
      <w:r>
        <w:rPr>
          <w:rFonts w:hint="eastAsia" w:eastAsia="仿宋_GB2312" w:cs="Times New Roman"/>
          <w:sz w:val="32"/>
          <w:szCs w:val="32"/>
          <w:lang w:val="en-US" w:eastAsia="zh-CN"/>
        </w:rPr>
        <w:t>2025年新进4名人员。</w:t>
      </w:r>
    </w:p>
    <w:p w14:paraId="548CE443">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cs="Times New Roman"/>
          <w:sz w:val="32"/>
          <w:szCs w:val="32"/>
        </w:rPr>
        <w:t>（图4：财政拨款收、支决算总计变动情况）（柱状图）</w:t>
      </w:r>
    </w:p>
    <w:p w14:paraId="4D6BDE58">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p>
    <w:p w14:paraId="5732B9A7">
      <w:pPr>
        <w:pStyle w:val="2"/>
        <w:keepNext w:val="0"/>
        <w:keepLines w:val="0"/>
        <w:pageBreakBefore w:val="0"/>
        <w:kinsoku/>
        <w:wordWrap/>
        <w:overflowPunct/>
        <w:topLinePunct w:val="0"/>
        <w:autoSpaceDE/>
        <w:autoSpaceDN/>
        <w:bidi w:val="0"/>
        <w:spacing w:line="560" w:lineRule="exact"/>
        <w:textAlignment w:val="auto"/>
      </w:pPr>
      <w:r>
        <w:rPr>
          <w:rFonts w:hint="eastAsia" w:eastAsia="仿宋_GB2312" w:cs="Times New Roman"/>
          <w:sz w:val="32"/>
          <w:szCs w:val="32"/>
          <w:lang w:eastAsia="zh-CN"/>
        </w:rPr>
        <w:drawing>
          <wp:inline distT="0" distB="0" distL="0" distR="0">
            <wp:extent cx="5256530" cy="2988310"/>
            <wp:effectExtent l="5080" t="4445" r="15240" b="17145"/>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988457">
      <w:pPr>
        <w:pStyle w:val="2"/>
        <w:keepNext w:val="0"/>
        <w:keepLines w:val="0"/>
        <w:pageBreakBefore w:val="0"/>
        <w:kinsoku/>
        <w:wordWrap/>
        <w:overflowPunct/>
        <w:topLinePunct w:val="0"/>
        <w:autoSpaceDE/>
        <w:autoSpaceDN/>
        <w:bidi w:val="0"/>
        <w:spacing w:line="560" w:lineRule="exact"/>
        <w:textAlignment w:val="auto"/>
      </w:pPr>
    </w:p>
    <w:p w14:paraId="1C9C10E0">
      <w:pPr>
        <w:keepNext w:val="0"/>
        <w:keepLines w:val="0"/>
        <w:pageBreakBefore w:val="0"/>
        <w:kinsoku/>
        <w:wordWrap/>
        <w:overflowPunct/>
        <w:topLinePunct w:val="0"/>
        <w:autoSpaceDE/>
        <w:autoSpaceDN/>
        <w:bidi w:val="0"/>
        <w:spacing w:line="560" w:lineRule="exact"/>
        <w:ind w:firstLine="640" w:firstLineChars="200"/>
        <w:textAlignment w:val="auto"/>
        <w:outlineLvl w:val="1"/>
        <w:rPr>
          <w:rStyle w:val="194"/>
          <w:rFonts w:ascii="Times New Roman" w:hAnsi="Times New Roman" w:eastAsia="黑体" w:cs="Times New Roman"/>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194"/>
          <w:rFonts w:hint="eastAsia" w:ascii="Times New Roman" w:hAnsi="Times New Roman" w:eastAsia="黑体" w:cs="Times New Roman"/>
          <w:b w:val="0"/>
        </w:rPr>
        <w:t>般公共预算财政拨款支出决算情况说明</w:t>
      </w:r>
      <w:bookmarkEnd w:id="20"/>
      <w:bookmarkEnd w:id="21"/>
    </w:p>
    <w:p w14:paraId="4F0D55A2">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bookmarkStart w:id="22" w:name="_Toc15377210"/>
      <w:r>
        <w:rPr>
          <w:rFonts w:hint="eastAsia" w:eastAsia="楷体_GB2312" w:cs="Times New Roman"/>
          <w:b/>
          <w:sz w:val="32"/>
          <w:szCs w:val="32"/>
        </w:rPr>
        <w:t>（一）一般公共预算财政拨款支出决算总体情况</w:t>
      </w:r>
      <w:bookmarkEnd w:id="22"/>
    </w:p>
    <w:p w14:paraId="745D3181">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cs="仿宋_GB2312"/>
          <w:sz w:val="32"/>
          <w:szCs w:val="32"/>
          <w:lang w:val="en-US" w:eastAsia="zh-CN"/>
        </w:rPr>
      </w:pPr>
      <w:r>
        <w:rPr>
          <w:rFonts w:hint="eastAsia" w:eastAsia="仿宋_GB2312" w:cs="Times New Roman"/>
          <w:sz w:val="32"/>
          <w:szCs w:val="32"/>
        </w:rPr>
        <w:t>2025年度一般公共预算财政拨款支出</w:t>
      </w:r>
      <w:r>
        <w:rPr>
          <w:rFonts w:hint="eastAsia" w:ascii="Times New Roman" w:hAnsi="Times New Roman" w:eastAsia="仿宋_GB2312" w:cs="Times New Roman"/>
          <w:sz w:val="32"/>
          <w:szCs w:val="32"/>
        </w:rPr>
        <w:t>162.91</w:t>
      </w:r>
      <w:r>
        <w:rPr>
          <w:rFonts w:hint="eastAsia"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hint="eastAsia" w:eastAsia="仿宋_GB2312" w:cs="Times New Roman"/>
          <w:sz w:val="32"/>
          <w:szCs w:val="32"/>
        </w:rPr>
        <w:t>%。与上年度相比，一般公共预算财政拨款支出增加</w:t>
      </w:r>
      <w:r>
        <w:rPr>
          <w:rFonts w:hint="eastAsia" w:eastAsia="仿宋_GB2312" w:cs="Times New Roman"/>
          <w:sz w:val="32"/>
          <w:szCs w:val="32"/>
          <w:lang w:val="en-US" w:eastAsia="zh-CN"/>
        </w:rPr>
        <w:t>51.82</w:t>
      </w:r>
      <w:r>
        <w:rPr>
          <w:rFonts w:hint="eastAsia" w:eastAsia="仿宋_GB2312" w:cs="Times New Roman"/>
          <w:sz w:val="32"/>
          <w:szCs w:val="32"/>
        </w:rPr>
        <w:t>万元，增长</w:t>
      </w:r>
      <w:r>
        <w:rPr>
          <w:rFonts w:hint="eastAsia" w:eastAsia="仿宋_GB2312" w:cs="Times New Roman"/>
          <w:sz w:val="32"/>
          <w:szCs w:val="32"/>
          <w:lang w:val="en-US" w:eastAsia="zh-CN"/>
        </w:rPr>
        <w:t>46.6</w:t>
      </w:r>
      <w:r>
        <w:rPr>
          <w:rFonts w:hint="eastAsia" w:eastAsia="仿宋_GB2312" w:cs="Times New Roman"/>
          <w:sz w:val="32"/>
          <w:szCs w:val="32"/>
        </w:rPr>
        <w:t>%。主要变动原因是</w:t>
      </w:r>
      <w:r>
        <w:rPr>
          <w:rFonts w:hint="eastAsia" w:eastAsia="仿宋_GB2312" w:cs="仿宋_GB2312"/>
          <w:sz w:val="32"/>
          <w:szCs w:val="32"/>
          <w:lang w:val="en-US" w:eastAsia="zh-CN"/>
        </w:rPr>
        <w:t>2025年新进4名人员。</w:t>
      </w:r>
    </w:p>
    <w:p w14:paraId="2C14E195">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（图5：一般公共预算财政拨款支出决算变动情况）（柱状图）</w:t>
      </w:r>
    </w:p>
    <w:p w14:paraId="53910E08">
      <w:pPr>
        <w:keepNext w:val="0"/>
        <w:keepLines w:val="0"/>
        <w:pageBreakBefore w:val="0"/>
        <w:kinsoku/>
        <w:wordWrap/>
        <w:overflowPunct/>
        <w:topLinePunct w:val="0"/>
        <w:autoSpaceDE/>
        <w:autoSpaceDN/>
        <w:bidi w:val="0"/>
        <w:spacing w:line="560" w:lineRule="exact"/>
        <w:textAlignment w:val="auto"/>
        <w:outlineLvl w:val="2"/>
        <w:rPr>
          <w:rFonts w:hint="eastAsia" w:eastAsia="楷体_GB2312"/>
          <w:b/>
          <w:sz w:val="32"/>
          <w:szCs w:val="32"/>
        </w:rPr>
      </w:pPr>
      <w:bookmarkStart w:id="23" w:name="_Toc15377211"/>
    </w:p>
    <w:p w14:paraId="4EC6ABDE">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hint="eastAsia" w:eastAsia="楷体_GB2312"/>
          <w:b/>
          <w:sz w:val="32"/>
          <w:szCs w:val="32"/>
        </w:rPr>
      </w:pPr>
    </w:p>
    <w:p w14:paraId="227D8061">
      <w:pPr>
        <w:pStyle w:val="2"/>
        <w:keepNext w:val="0"/>
        <w:keepLines w:val="0"/>
        <w:pageBreakBefore w:val="0"/>
        <w:kinsoku/>
        <w:wordWrap/>
        <w:overflowPunct/>
        <w:topLinePunct w:val="0"/>
        <w:autoSpaceDE/>
        <w:autoSpaceDN/>
        <w:bidi w:val="0"/>
        <w:spacing w:line="560" w:lineRule="exact"/>
        <w:textAlignment w:val="auto"/>
        <w:rPr>
          <w:rFonts w:hint="eastAsia" w:eastAsia="楷体_GB2312"/>
          <w:b/>
          <w:sz w:val="32"/>
          <w:szCs w:val="32"/>
        </w:rPr>
      </w:pPr>
      <w:r>
        <w:rPr>
          <w:rFonts w:hint="eastAsia" w:eastAsia="仿宋_GB2312" w:cs="Times New Roman"/>
          <w:sz w:val="32"/>
          <w:szCs w:val="32"/>
          <w:lang w:eastAsia="zh-CN"/>
        </w:rPr>
        <w:drawing>
          <wp:inline distT="0" distB="0" distL="0" distR="0">
            <wp:extent cx="5256530" cy="2988310"/>
            <wp:effectExtent l="5080" t="4445" r="15240" b="17145"/>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07C8EE">
      <w:pPr>
        <w:pStyle w:val="3"/>
        <w:keepNext w:val="0"/>
        <w:keepLines w:val="0"/>
        <w:pageBreakBefore w:val="0"/>
        <w:kinsoku/>
        <w:wordWrap/>
        <w:overflowPunct/>
        <w:topLinePunct w:val="0"/>
        <w:autoSpaceDE/>
        <w:autoSpaceDN/>
        <w:bidi w:val="0"/>
        <w:spacing w:line="560" w:lineRule="exact"/>
        <w:textAlignment w:val="auto"/>
        <w:rPr>
          <w:rFonts w:hint="eastAsia" w:ascii="Times New Roman"/>
        </w:rPr>
      </w:pPr>
    </w:p>
    <w:p w14:paraId="4C8AF7D2">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r>
        <w:rPr>
          <w:rFonts w:hint="eastAsia" w:eastAsia="楷体_GB2312" w:cs="Times New Roman"/>
          <w:b/>
          <w:sz w:val="32"/>
          <w:szCs w:val="32"/>
        </w:rPr>
        <w:t>（二）一般公共预算财政拨款支出决算结构情况</w:t>
      </w:r>
      <w:bookmarkEnd w:id="23"/>
    </w:p>
    <w:p w14:paraId="53CDFE30">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b/>
          <w:bCs/>
          <w:sz w:val="32"/>
          <w:szCs w:val="32"/>
        </w:rPr>
      </w:pPr>
      <w:r>
        <w:rPr>
          <w:rFonts w:hint="eastAsia" w:eastAsia="仿宋_GB2312" w:cs="Times New Roman"/>
          <w:sz w:val="32"/>
          <w:szCs w:val="32"/>
        </w:rPr>
        <w:t>2025年度一般公共预算财政拨款支出</w:t>
      </w:r>
      <w:r>
        <w:rPr>
          <w:rFonts w:hint="eastAsia" w:ascii="Times New Roman" w:hAnsi="Times New Roman" w:eastAsia="仿宋_GB2312" w:cs="Times New Roman"/>
          <w:sz w:val="32"/>
          <w:szCs w:val="32"/>
        </w:rPr>
        <w:t>162.91</w:t>
      </w:r>
      <w:r>
        <w:rPr>
          <w:rFonts w:hint="eastAsia" w:eastAsia="仿宋_GB2312" w:cs="Times New Roman"/>
          <w:sz w:val="32"/>
          <w:szCs w:val="32"/>
        </w:rPr>
        <w:t>万元，主要用于以下方面：一般公共服务支出</w:t>
      </w:r>
      <w:r>
        <w:rPr>
          <w:rFonts w:hint="eastAsia" w:eastAsia="仿宋_GB2312" w:cs="Times New Roman"/>
          <w:sz w:val="32"/>
          <w:szCs w:val="32"/>
          <w:lang w:val="en-US" w:eastAsia="zh-CN"/>
        </w:rPr>
        <w:t>119.34</w:t>
      </w:r>
      <w:r>
        <w:rPr>
          <w:rFonts w:hint="eastAsia" w:eastAsia="仿宋_GB2312" w:cs="Times New Roman"/>
          <w:sz w:val="32"/>
          <w:szCs w:val="32"/>
        </w:rPr>
        <w:t>万元，占</w:t>
      </w:r>
      <w:r>
        <w:rPr>
          <w:rFonts w:hint="eastAsia" w:eastAsia="仿宋_GB2312" w:cs="Times New Roman"/>
          <w:sz w:val="32"/>
          <w:szCs w:val="32"/>
          <w:lang w:val="en-US" w:eastAsia="zh-CN"/>
        </w:rPr>
        <w:t>73.25</w:t>
      </w:r>
      <w:r>
        <w:rPr>
          <w:rFonts w:hint="eastAsia" w:eastAsia="仿宋_GB2312" w:cs="Times New Roman"/>
          <w:sz w:val="32"/>
          <w:szCs w:val="32"/>
        </w:rPr>
        <w:t>%；社会保障和就业支出</w:t>
      </w:r>
      <w:r>
        <w:rPr>
          <w:rFonts w:hint="eastAsia" w:eastAsia="仿宋_GB2312" w:cs="Times New Roman"/>
          <w:sz w:val="32"/>
          <w:szCs w:val="32"/>
          <w:lang w:val="en-US" w:eastAsia="zh-CN"/>
        </w:rPr>
        <w:t>22.52</w:t>
      </w:r>
      <w:r>
        <w:rPr>
          <w:rFonts w:hint="eastAsia" w:eastAsia="仿宋_GB2312" w:cs="Times New Roman"/>
          <w:sz w:val="32"/>
          <w:szCs w:val="32"/>
        </w:rPr>
        <w:t>万元，占</w:t>
      </w:r>
      <w:r>
        <w:rPr>
          <w:rFonts w:hint="eastAsia" w:eastAsia="仿宋_GB2312" w:cs="Times New Roman"/>
          <w:sz w:val="32"/>
          <w:szCs w:val="32"/>
          <w:lang w:val="en-US" w:eastAsia="zh-CN"/>
        </w:rPr>
        <w:t>13.81</w:t>
      </w:r>
      <w:r>
        <w:rPr>
          <w:rFonts w:hint="eastAsia" w:eastAsia="仿宋_GB2312" w:cs="Times New Roman"/>
          <w:sz w:val="32"/>
          <w:szCs w:val="32"/>
        </w:rPr>
        <w:t>%；卫生健康支出</w:t>
      </w:r>
      <w:r>
        <w:rPr>
          <w:rFonts w:hint="eastAsia" w:eastAsia="仿宋_GB2312" w:cs="Times New Roman"/>
          <w:sz w:val="32"/>
          <w:szCs w:val="32"/>
          <w:lang w:val="en-US" w:eastAsia="zh-CN"/>
        </w:rPr>
        <w:t>8.41</w:t>
      </w:r>
      <w:r>
        <w:rPr>
          <w:rFonts w:hint="eastAsia" w:eastAsia="仿宋_GB2312" w:cs="Times New Roman"/>
          <w:sz w:val="32"/>
          <w:szCs w:val="32"/>
        </w:rPr>
        <w:t>万元，占</w:t>
      </w:r>
      <w:r>
        <w:rPr>
          <w:rFonts w:hint="eastAsia" w:eastAsia="仿宋_GB2312" w:cs="Times New Roman"/>
          <w:sz w:val="32"/>
          <w:szCs w:val="32"/>
          <w:lang w:val="en-US" w:eastAsia="zh-CN"/>
        </w:rPr>
        <w:t>5.19</w:t>
      </w:r>
      <w:r>
        <w:rPr>
          <w:rFonts w:hint="eastAsia" w:eastAsia="仿宋_GB2312" w:cs="Times New Roman"/>
          <w:sz w:val="32"/>
          <w:szCs w:val="32"/>
        </w:rPr>
        <w:t>%；住房保障支出</w:t>
      </w:r>
      <w:r>
        <w:rPr>
          <w:rFonts w:hint="eastAsia" w:eastAsia="仿宋_GB2312" w:cs="Times New Roman"/>
          <w:sz w:val="32"/>
          <w:szCs w:val="32"/>
          <w:lang w:val="en-US" w:eastAsia="zh-CN"/>
        </w:rPr>
        <w:t>12.63</w:t>
      </w:r>
      <w:r>
        <w:rPr>
          <w:rFonts w:hint="eastAsia" w:eastAsia="仿宋_GB2312" w:cs="Times New Roman"/>
          <w:sz w:val="32"/>
          <w:szCs w:val="32"/>
        </w:rPr>
        <w:t>万元，占</w:t>
      </w:r>
      <w:r>
        <w:rPr>
          <w:rFonts w:hint="eastAsia" w:eastAsia="仿宋_GB2312" w:cs="Times New Roman"/>
          <w:sz w:val="32"/>
          <w:szCs w:val="32"/>
          <w:lang w:val="en-US" w:eastAsia="zh-CN"/>
        </w:rPr>
        <w:t>7.75</w:t>
      </w:r>
      <w:r>
        <w:rPr>
          <w:rFonts w:hint="eastAsia" w:eastAsia="仿宋_GB2312" w:cs="仿宋_GB2312"/>
          <w:sz w:val="32"/>
          <w:szCs w:val="32"/>
        </w:rPr>
        <w:t>%</w:t>
      </w:r>
      <w:r>
        <w:rPr>
          <w:rFonts w:hint="eastAsia" w:eastAsia="仿宋_GB2312" w:cs="仿宋_GB2312"/>
          <w:sz w:val="32"/>
          <w:szCs w:val="32"/>
          <w:lang w:eastAsia="zh-CN"/>
        </w:rPr>
        <w:t>。</w:t>
      </w:r>
    </w:p>
    <w:p w14:paraId="09BAECAD">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sz w:val="32"/>
          <w:szCs w:val="32"/>
        </w:rPr>
      </w:pPr>
      <w:r>
        <w:rPr>
          <w:rFonts w:hint="eastAsia" w:eastAsia="仿宋_GB2312" w:cs="Times New Roman"/>
          <w:sz w:val="32"/>
          <w:szCs w:val="32"/>
        </w:rPr>
        <w:t>（图6：一般公共预算财政拨款支出决算结构）</w:t>
      </w:r>
    </w:p>
    <w:p w14:paraId="1ED04965">
      <w:pPr>
        <w:pStyle w:val="2"/>
        <w:keepNext w:val="0"/>
        <w:keepLines w:val="0"/>
        <w:pageBreakBefore w:val="0"/>
        <w:kinsoku/>
        <w:wordWrap/>
        <w:overflowPunct/>
        <w:topLinePunct w:val="0"/>
        <w:autoSpaceDE/>
        <w:autoSpaceDN/>
        <w:bidi w:val="0"/>
        <w:spacing w:line="560" w:lineRule="exact"/>
        <w:textAlignment w:val="auto"/>
      </w:pPr>
      <w:r>
        <w:rPr>
          <w:rFonts w:hint="eastAsia" w:eastAsia="仿宋_GB2312" w:cs="Times New Roman"/>
          <w:sz w:val="32"/>
          <w:szCs w:val="32"/>
          <w:lang w:eastAsia="zh-CN"/>
        </w:rPr>
        <w:drawing>
          <wp:inline distT="0" distB="0" distL="0" distR="0">
            <wp:extent cx="5048885" cy="2813050"/>
            <wp:effectExtent l="4445" t="4445" r="13970" b="2095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06145F">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bookmarkStart w:id="24" w:name="_Toc15377212"/>
      <w:r>
        <w:rPr>
          <w:rFonts w:hint="eastAsia" w:eastAsia="楷体_GB2312" w:cs="Times New Roman"/>
          <w:b/>
          <w:sz w:val="32"/>
          <w:szCs w:val="32"/>
        </w:rPr>
        <w:t>（三）一般公共预算财政拨款支出决算具体情况</w:t>
      </w:r>
      <w:bookmarkEnd w:id="24"/>
    </w:p>
    <w:p w14:paraId="72BFBDFE">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bookmarkStart w:id="25" w:name="_Toc15378460"/>
      <w:bookmarkStart w:id="26" w:name="_Toc15377213"/>
      <w:bookmarkStart w:id="27" w:name="_Toc15377444"/>
      <w:r>
        <w:rPr>
          <w:rFonts w:hint="eastAsia" w:eastAsia="仿宋_GB2312" w:cs="Times New Roman"/>
          <w:sz w:val="32"/>
          <w:szCs w:val="32"/>
        </w:rPr>
        <w:t>2025年度一般公共预算支出决算数为</w:t>
      </w:r>
      <w:r>
        <w:rPr>
          <w:rFonts w:hint="eastAsia" w:ascii="Times New Roman" w:hAnsi="Times New Roman" w:eastAsia="仿宋_GB2312" w:cs="Times New Roman"/>
          <w:sz w:val="32"/>
          <w:szCs w:val="32"/>
        </w:rPr>
        <w:t>162.91</w:t>
      </w:r>
      <w:r>
        <w:rPr>
          <w:rFonts w:hint="eastAsia" w:eastAsia="仿宋_GB2312" w:cs="Times New Roman"/>
          <w:sz w:val="32"/>
          <w:szCs w:val="32"/>
        </w:rPr>
        <w:t>，完成预算</w:t>
      </w:r>
      <w:r>
        <w:rPr>
          <w:rFonts w:hint="eastAsia" w:eastAsia="仿宋_GB2312" w:cs="Times New Roman"/>
          <w:sz w:val="32"/>
          <w:szCs w:val="32"/>
          <w:lang w:val="en-US" w:eastAsia="zh-CN"/>
        </w:rPr>
        <w:t>100</w:t>
      </w:r>
      <w:r>
        <w:rPr>
          <w:rFonts w:hint="eastAsia" w:eastAsia="仿宋_GB2312" w:cs="Times New Roman"/>
          <w:sz w:val="32"/>
          <w:szCs w:val="32"/>
        </w:rPr>
        <w:t>%。其中：</w:t>
      </w:r>
      <w:bookmarkEnd w:id="25"/>
      <w:bookmarkEnd w:id="26"/>
      <w:bookmarkEnd w:id="27"/>
    </w:p>
    <w:p w14:paraId="55A9BED9">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eastAsia="仿宋_GB2312" w:cs="Times New Roman"/>
          <w:spacing w:val="0"/>
          <w:kern w:val="2"/>
          <w:sz w:val="32"/>
          <w:szCs w:val="32"/>
          <w:lang w:bidi="ar-SA"/>
        </w:rPr>
      </w:pPr>
      <w:r>
        <w:rPr>
          <w:rFonts w:hint="eastAsia" w:eastAsia="仿宋_GB2312" w:cs="Times New Roman"/>
          <w:sz w:val="32"/>
          <w:szCs w:val="32"/>
        </w:rPr>
        <w:t>1.</w:t>
      </w:r>
      <w:r>
        <w:rPr>
          <w:rFonts w:hint="eastAsia" w:ascii="Times New Roman" w:eastAsia="仿宋_GB2312" w:cs="Times New Roman"/>
          <w:spacing w:val="0"/>
          <w:kern w:val="2"/>
          <w:sz w:val="32"/>
          <w:szCs w:val="32"/>
          <w:lang w:bidi="ar-SA"/>
        </w:rPr>
        <w:t>一般公共服务（类）201政府办公厅（室）及相关机构事务（款）03 事业运行（项）50:支出决算为</w:t>
      </w:r>
      <w:r>
        <w:rPr>
          <w:rFonts w:hint="eastAsia" w:ascii="仿宋_GB2312" w:eastAsia="仿宋_GB2312" w:cs="Times New Roman"/>
          <w:spacing w:val="0"/>
          <w:kern w:val="2"/>
          <w:sz w:val="32"/>
          <w:szCs w:val="32"/>
          <w:lang w:val="en-US" w:eastAsia="zh-CN" w:bidi="ar-SA"/>
        </w:rPr>
        <w:t>119.34</w:t>
      </w:r>
      <w:r>
        <w:rPr>
          <w:rFonts w:hint="eastAsia" w:ascii="仿宋_GB2312" w:eastAsia="仿宋_GB2312" w:cs="Times New Roman"/>
          <w:spacing w:val="0"/>
          <w:kern w:val="2"/>
          <w:sz w:val="32"/>
          <w:szCs w:val="32"/>
          <w:lang w:bidi="ar-SA"/>
        </w:rPr>
        <w:t>万元，完成预算100%。</w:t>
      </w:r>
    </w:p>
    <w:p w14:paraId="52C5A7E7">
      <w:pPr>
        <w:keepNext w:val="0"/>
        <w:keepLines w:val="0"/>
        <w:pageBreakBefore w:val="0"/>
        <w:kinsoku/>
        <w:wordWrap/>
        <w:overflowPunct/>
        <w:topLinePunct w:val="0"/>
        <w:autoSpaceDE/>
        <w:autoSpaceDN/>
        <w:bidi w:val="0"/>
        <w:adjustRightInd/>
        <w:snapToGrid w:val="0"/>
        <w:spacing w:line="560" w:lineRule="exact"/>
        <w:ind w:firstLine="643" w:firstLineChars="200"/>
        <w:jc w:val="both"/>
        <w:textAlignment w:val="auto"/>
        <w:outlineLvl w:val="9"/>
        <w:rPr>
          <w:rFonts w:hint="eastAsia" w:ascii="仿宋_GB2312" w:eastAsia="仿宋_GB2312" w:cs="Times New Roman"/>
          <w:spacing w:val="0"/>
          <w:kern w:val="2"/>
          <w:sz w:val="32"/>
          <w:szCs w:val="32"/>
          <w:lang w:bidi="ar-SA"/>
        </w:rPr>
      </w:pPr>
      <w:r>
        <w:rPr>
          <w:rStyle w:val="35"/>
          <w:rFonts w:hint="eastAsia" w:ascii="Times New Roman" w:eastAsia="仿宋"/>
          <w:bCs/>
          <w:sz w:val="32"/>
          <w:szCs w:val="32"/>
        </w:rPr>
        <w:t>2</w:t>
      </w:r>
      <w:r>
        <w:rPr>
          <w:rFonts w:hint="eastAsia" w:ascii="Times New Roman" w:eastAsia="仿宋_GB2312" w:cs="Times New Roman"/>
          <w:spacing w:val="0"/>
          <w:kern w:val="2"/>
          <w:sz w:val="32"/>
          <w:szCs w:val="32"/>
          <w:lang w:bidi="ar-SA"/>
        </w:rPr>
        <w:t>.社会保障和就业（类）208行政事业单位养老支出（款）05机关事业单位基本养老保险缴费支出（项）05:支出决算为</w:t>
      </w:r>
      <w:r>
        <w:rPr>
          <w:rFonts w:hint="eastAsia" w:ascii="仿宋_GB2312" w:eastAsia="仿宋_GB2312" w:cs="Times New Roman"/>
          <w:spacing w:val="0"/>
          <w:kern w:val="2"/>
          <w:sz w:val="32"/>
          <w:szCs w:val="32"/>
          <w:lang w:val="en-US" w:eastAsia="zh-CN" w:bidi="ar-SA"/>
        </w:rPr>
        <w:t>15.02</w:t>
      </w:r>
      <w:r>
        <w:rPr>
          <w:rFonts w:hint="eastAsia" w:ascii="仿宋_GB2312" w:eastAsia="仿宋_GB2312" w:cs="Times New Roman"/>
          <w:spacing w:val="0"/>
          <w:kern w:val="2"/>
          <w:sz w:val="32"/>
          <w:szCs w:val="32"/>
          <w:lang w:bidi="ar-SA"/>
        </w:rPr>
        <w:t>万元，完成预算100%。</w:t>
      </w:r>
    </w:p>
    <w:p w14:paraId="63889877">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eastAsia="仿宋_GB2312" w:cs="Times New Roman"/>
          <w:spacing w:val="0"/>
          <w:kern w:val="2"/>
          <w:sz w:val="32"/>
          <w:szCs w:val="32"/>
          <w:lang w:bidi="ar-SA"/>
        </w:rPr>
      </w:pPr>
      <w:r>
        <w:rPr>
          <w:rFonts w:hint="eastAsia" w:ascii="Times New Roman" w:eastAsia="仿宋_GB2312" w:cs="Times New Roman"/>
          <w:spacing w:val="0"/>
          <w:kern w:val="2"/>
          <w:sz w:val="32"/>
          <w:szCs w:val="32"/>
          <w:lang w:bidi="ar-SA"/>
        </w:rPr>
        <w:t>3.社会保障和就业（类）208行政事业单位养老支出（款）05机关事业单位职业年金缴费支出（项）06:支出决算为</w:t>
      </w:r>
      <w:r>
        <w:rPr>
          <w:rFonts w:hint="eastAsia" w:ascii="Times New Roman" w:eastAsia="仿宋_GB2312" w:cs="Times New Roman"/>
          <w:spacing w:val="0"/>
          <w:kern w:val="2"/>
          <w:sz w:val="32"/>
          <w:szCs w:val="32"/>
          <w:lang w:val="en-US" w:eastAsia="zh-CN" w:bidi="ar-SA"/>
        </w:rPr>
        <w:t>7.51</w:t>
      </w:r>
      <w:r>
        <w:rPr>
          <w:rFonts w:hint="eastAsia" w:ascii="Times New Roman" w:eastAsia="仿宋_GB2312" w:cs="Times New Roman"/>
          <w:spacing w:val="0"/>
          <w:kern w:val="2"/>
          <w:sz w:val="32"/>
          <w:szCs w:val="32"/>
          <w:lang w:bidi="ar-SA"/>
        </w:rPr>
        <w:t>万元，完成预算100%。</w:t>
      </w:r>
    </w:p>
    <w:p w14:paraId="17110F02">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eastAsia="仿宋_GB2312" w:cs="Times New Roman"/>
          <w:spacing w:val="0"/>
          <w:kern w:val="2"/>
          <w:sz w:val="32"/>
          <w:szCs w:val="32"/>
          <w:lang w:bidi="ar-SA"/>
        </w:rPr>
      </w:pPr>
      <w:r>
        <w:rPr>
          <w:rFonts w:hint="eastAsia" w:ascii="Times New Roman" w:eastAsia="仿宋_GB2312" w:cs="Times New Roman"/>
          <w:spacing w:val="0"/>
          <w:kern w:val="2"/>
          <w:sz w:val="32"/>
          <w:szCs w:val="32"/>
          <w:lang w:bidi="ar-SA"/>
        </w:rPr>
        <w:t>4.卫生健康（类）210行政事业单位医疗（款）11事业单位医疗（项）02:支出决算为</w:t>
      </w:r>
      <w:r>
        <w:rPr>
          <w:rFonts w:hint="eastAsia" w:ascii="Times New Roman" w:eastAsia="仿宋_GB2312" w:cs="Times New Roman"/>
          <w:spacing w:val="0"/>
          <w:kern w:val="2"/>
          <w:sz w:val="32"/>
          <w:szCs w:val="32"/>
          <w:lang w:val="en-US" w:eastAsia="zh-CN" w:bidi="ar-SA"/>
        </w:rPr>
        <w:t>7.01</w:t>
      </w:r>
      <w:r>
        <w:rPr>
          <w:rFonts w:hint="eastAsia" w:ascii="Times New Roman" w:eastAsia="仿宋_GB2312" w:cs="Times New Roman"/>
          <w:spacing w:val="0"/>
          <w:kern w:val="2"/>
          <w:sz w:val="32"/>
          <w:szCs w:val="32"/>
          <w:lang w:bidi="ar-SA"/>
        </w:rPr>
        <w:t>万元，完成预算100%。</w:t>
      </w:r>
    </w:p>
    <w:p w14:paraId="6193B05A">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eastAsia="仿宋_GB2312" w:cs="Times New Roman"/>
          <w:spacing w:val="0"/>
          <w:kern w:val="2"/>
          <w:sz w:val="32"/>
          <w:szCs w:val="32"/>
          <w:lang w:bidi="ar-SA"/>
        </w:rPr>
      </w:pPr>
      <w:r>
        <w:rPr>
          <w:rFonts w:hint="eastAsia" w:ascii="Times New Roman" w:eastAsia="仿宋_GB2312" w:cs="Times New Roman"/>
          <w:spacing w:val="0"/>
          <w:kern w:val="2"/>
          <w:sz w:val="32"/>
          <w:szCs w:val="32"/>
          <w:lang w:bidi="ar-SA"/>
        </w:rPr>
        <w:t>5.卫生健康（类）210行政事业单位医疗（款）11其他行政事业单位医疗支出（项）99:支出决算为</w:t>
      </w:r>
      <w:r>
        <w:rPr>
          <w:rFonts w:hint="eastAsia" w:ascii="Times New Roman" w:eastAsia="仿宋_GB2312" w:cs="Times New Roman"/>
          <w:spacing w:val="0"/>
          <w:kern w:val="2"/>
          <w:sz w:val="32"/>
          <w:szCs w:val="32"/>
          <w:lang w:val="en-US" w:eastAsia="zh-CN" w:bidi="ar-SA"/>
        </w:rPr>
        <w:t>1.4</w:t>
      </w:r>
      <w:r>
        <w:rPr>
          <w:rFonts w:hint="eastAsia" w:ascii="Times New Roman" w:eastAsia="仿宋_GB2312" w:cs="Times New Roman"/>
          <w:spacing w:val="0"/>
          <w:kern w:val="2"/>
          <w:sz w:val="32"/>
          <w:szCs w:val="32"/>
          <w:lang w:bidi="ar-SA"/>
        </w:rPr>
        <w:t>万元，完成预算100%。</w:t>
      </w:r>
    </w:p>
    <w:p w14:paraId="5CF47655">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eastAsia="仿宋_GB2312" w:cs="仿宋_GB2312"/>
          <w:sz w:val="32"/>
          <w:szCs w:val="32"/>
        </w:rPr>
      </w:pPr>
      <w:r>
        <w:rPr>
          <w:rFonts w:hint="eastAsia" w:ascii="Times New Roman" w:eastAsia="仿宋_GB2312" w:cs="Times New Roman"/>
          <w:spacing w:val="0"/>
          <w:kern w:val="2"/>
          <w:sz w:val="32"/>
          <w:szCs w:val="32"/>
          <w:lang w:bidi="ar-SA"/>
        </w:rPr>
        <w:t>6.住房保障（类）221住房改革支出（款）02住房公积金（项）01:支出决算为</w:t>
      </w:r>
      <w:r>
        <w:rPr>
          <w:rFonts w:hint="eastAsia" w:ascii="Times New Roman" w:eastAsia="仿宋_GB2312" w:cs="Times New Roman"/>
          <w:spacing w:val="0"/>
          <w:kern w:val="2"/>
          <w:sz w:val="32"/>
          <w:szCs w:val="32"/>
          <w:lang w:val="en-US" w:eastAsia="zh-CN" w:bidi="ar-SA"/>
        </w:rPr>
        <w:t>12.63</w:t>
      </w:r>
      <w:r>
        <w:rPr>
          <w:rFonts w:hint="eastAsia" w:ascii="Times New Roman" w:eastAsia="仿宋_GB2312" w:cs="Times New Roman"/>
          <w:spacing w:val="0"/>
          <w:kern w:val="2"/>
          <w:sz w:val="32"/>
          <w:szCs w:val="32"/>
          <w:lang w:bidi="ar-SA"/>
        </w:rPr>
        <w:t>元，完成预算100%。</w:t>
      </w:r>
    </w:p>
    <w:p w14:paraId="06A9DD75">
      <w:pPr>
        <w:keepNext w:val="0"/>
        <w:keepLines w:val="0"/>
        <w:pageBreakBefore w:val="0"/>
        <w:tabs>
          <w:tab w:val="right" w:pos="8306"/>
        </w:tabs>
        <w:kinsoku/>
        <w:wordWrap/>
        <w:overflowPunct/>
        <w:topLinePunct w:val="0"/>
        <w:autoSpaceDE/>
        <w:autoSpaceDN/>
        <w:bidi w:val="0"/>
        <w:spacing w:line="560" w:lineRule="exact"/>
        <w:ind w:firstLine="640"/>
        <w:textAlignment w:val="auto"/>
        <w:outlineLvl w:val="1"/>
        <w:rPr>
          <w:rStyle w:val="194"/>
          <w:rFonts w:ascii="Times New Roman" w:hAnsi="Times New Roman" w:cs="Times New Roman"/>
        </w:rPr>
      </w:pPr>
      <w:bookmarkStart w:id="28" w:name="_Toc15377214"/>
      <w:bookmarkStart w:id="29" w:name="_Toc15396608"/>
      <w:r>
        <w:rPr>
          <w:rFonts w:hint="eastAsia" w:eastAsia="黑体"/>
          <w:sz w:val="32"/>
          <w:szCs w:val="32"/>
        </w:rPr>
        <w:t>六</w:t>
      </w:r>
      <w:r>
        <w:rPr>
          <w:rFonts w:hint="eastAsia" w:eastAsia="黑体"/>
          <w:b/>
          <w:sz w:val="32"/>
          <w:szCs w:val="32"/>
        </w:rPr>
        <w:t>、一</w:t>
      </w:r>
      <w:r>
        <w:rPr>
          <w:rStyle w:val="194"/>
          <w:rFonts w:hint="eastAsia" w:ascii="Times New Roman" w:hAnsi="Times New Roman" w:eastAsia="黑体" w:cs="Times New Roman"/>
          <w:b w:val="0"/>
        </w:rPr>
        <w:t>般公共预算财政拨款基本支出决算情况说明</w:t>
      </w:r>
      <w:bookmarkEnd w:id="28"/>
      <w:bookmarkEnd w:id="29"/>
      <w:r>
        <w:rPr>
          <w:rStyle w:val="194"/>
          <w:rFonts w:ascii="Times New Roman" w:hAnsi="Times New Roman" w:eastAsia="黑体" w:cs="Times New Roman"/>
          <w:b w:val="0"/>
        </w:rPr>
        <w:tab/>
      </w:r>
    </w:p>
    <w:p w14:paraId="5DE511CB">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2025年度一般公共预算财政拨款基本支出</w:t>
      </w:r>
      <w:r>
        <w:rPr>
          <w:rFonts w:hint="eastAsia" w:ascii="Times New Roman" w:hAnsi="Times New Roman" w:eastAsia="仿宋_GB2312" w:cs="Times New Roman"/>
          <w:sz w:val="32"/>
          <w:szCs w:val="32"/>
        </w:rPr>
        <w:t>162.91</w:t>
      </w:r>
      <w:r>
        <w:rPr>
          <w:rFonts w:hint="eastAsia" w:eastAsia="仿宋_GB2312" w:cs="Times New Roman"/>
          <w:sz w:val="32"/>
          <w:szCs w:val="32"/>
        </w:rPr>
        <w:t>万元，其中：</w:t>
      </w:r>
    </w:p>
    <w:p w14:paraId="4692A403">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r>
        <w:rPr>
          <w:rFonts w:hint="eastAsia" w:eastAsia="仿宋_GB2312" w:cs="Times New Roman"/>
          <w:sz w:val="32"/>
          <w:szCs w:val="32"/>
        </w:rPr>
        <w:t>人员经费</w:t>
      </w:r>
      <w:r>
        <w:rPr>
          <w:rFonts w:hint="eastAsia" w:ascii="Times New Roman" w:hAnsi="Times New Roman" w:eastAsia="仿宋_GB2312" w:cs="Times New Roman"/>
          <w:sz w:val="32"/>
          <w:szCs w:val="32"/>
        </w:rPr>
        <w:t>147.01</w:t>
      </w:r>
      <w:r>
        <w:rPr>
          <w:rFonts w:hint="eastAsia" w:eastAsia="仿宋_GB2312" w:cs="Times New Roman"/>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Times New Roman"/>
          <w:sz w:val="32"/>
          <w:szCs w:val="32"/>
        </w:rPr>
        <w:br w:type="textWrapping"/>
      </w:r>
      <w:r>
        <w:rPr>
          <w:rFonts w:hint="eastAsia" w:eastAsia="仿宋_GB2312" w:cs="Times New Roman"/>
          <w:sz w:val="32"/>
          <w:szCs w:val="32"/>
          <w:lang w:val="en-US" w:eastAsia="zh-CN"/>
        </w:rPr>
        <w:t xml:space="preserve">   </w:t>
      </w:r>
      <w:r>
        <w:rPr>
          <w:rFonts w:hint="eastAsia" w:eastAsia="仿宋_GB2312" w:cs="Times New Roman"/>
          <w:sz w:val="32"/>
          <w:szCs w:val="32"/>
        </w:rPr>
        <w:t>公用经费</w:t>
      </w:r>
      <w:r>
        <w:rPr>
          <w:rFonts w:hint="eastAsia" w:ascii="Times New Roman" w:hAnsi="Times New Roman" w:eastAsia="仿宋_GB2312" w:cs="Times New Roman"/>
          <w:sz w:val="32"/>
          <w:szCs w:val="32"/>
        </w:rPr>
        <w:t>15.91</w:t>
      </w:r>
      <w:r>
        <w:rPr>
          <w:rFonts w:hint="eastAsia" w:eastAsia="仿宋_GB2312" w:cs="Times New Roman"/>
          <w:sz w:val="32"/>
          <w:szCs w:val="32"/>
        </w:rPr>
        <w:t>万元，主要包括：办公费、印刷费、咨询费、手续费、水费、电费、邮电费、取暖费、差旅费、维修（护）费、租赁费、会议费、培训费、公务接待费、劳务费、委托业务费、福利费、公务用车运行维护费、其他交通费、其他商品和服务支出等。</w:t>
      </w:r>
    </w:p>
    <w:p w14:paraId="70CB7420">
      <w:pPr>
        <w:keepNext w:val="0"/>
        <w:keepLines w:val="0"/>
        <w:pageBreakBefore w:val="0"/>
        <w:kinsoku/>
        <w:wordWrap/>
        <w:overflowPunct/>
        <w:topLinePunct w:val="0"/>
        <w:autoSpaceDE/>
        <w:autoSpaceDN/>
        <w:bidi w:val="0"/>
        <w:spacing w:line="560" w:lineRule="exact"/>
        <w:ind w:firstLine="640"/>
        <w:textAlignment w:val="auto"/>
        <w:outlineLvl w:val="1"/>
        <w:rPr>
          <w:rStyle w:val="194"/>
          <w:rFonts w:ascii="Times New Roman" w:hAnsi="Times New Roman" w:eastAsia="黑体"/>
          <w:b w:val="0"/>
        </w:rPr>
      </w:pPr>
      <w:bookmarkStart w:id="30" w:name="_Toc15396609"/>
      <w:bookmarkStart w:id="31" w:name="_Toc15377215"/>
      <w:r>
        <w:rPr>
          <w:rFonts w:hint="eastAsia" w:eastAsia="黑体"/>
          <w:sz w:val="32"/>
          <w:szCs w:val="32"/>
        </w:rPr>
        <w:t>七、</w:t>
      </w:r>
      <w:r>
        <w:rPr>
          <w:rStyle w:val="194"/>
          <w:rFonts w:hint="eastAsia" w:ascii="Times New Roman" w:hAnsi="Times New Roman" w:eastAsia="黑体" w:cs="Times New Roman"/>
          <w:b w:val="0"/>
        </w:rPr>
        <w:t>财政拨款</w:t>
      </w:r>
      <w:r>
        <w:rPr>
          <w:rStyle w:val="194"/>
          <w:rFonts w:hint="eastAsia" w:ascii="Times New Roman" w:hAnsi="Times New Roman" w:eastAsia="Times New Roman" w:cs="Times New Roman"/>
        </w:rPr>
        <w:t>“</w:t>
      </w:r>
      <w:r>
        <w:rPr>
          <w:rStyle w:val="194"/>
          <w:rFonts w:hint="eastAsia" w:ascii="Times New Roman" w:hAnsi="Times New Roman" w:eastAsia="黑体" w:cs="Times New Roman"/>
          <w:b w:val="0"/>
        </w:rPr>
        <w:t>三公</w:t>
      </w:r>
      <w:r>
        <w:rPr>
          <w:rStyle w:val="194"/>
          <w:rFonts w:hint="eastAsia" w:ascii="Times New Roman" w:hAnsi="Times New Roman" w:eastAsia="Times New Roman" w:cs="Times New Roman"/>
          <w:b w:val="0"/>
        </w:rPr>
        <w:t>”</w:t>
      </w:r>
      <w:r>
        <w:rPr>
          <w:rStyle w:val="194"/>
          <w:rFonts w:hint="eastAsia" w:ascii="Times New Roman" w:hAnsi="Times New Roman" w:eastAsia="黑体" w:cs="Times New Roman"/>
          <w:b w:val="0"/>
        </w:rPr>
        <w:t>经费支出决算情况说明</w:t>
      </w:r>
      <w:bookmarkEnd w:id="30"/>
      <w:bookmarkEnd w:id="31"/>
    </w:p>
    <w:p w14:paraId="329E0B59">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cs="楷体_GB2312"/>
          <w:b/>
          <w:sz w:val="32"/>
          <w:szCs w:val="32"/>
        </w:rPr>
      </w:pPr>
      <w:bookmarkStart w:id="32" w:name="_Toc15377216"/>
      <w:r>
        <w:rPr>
          <w:rFonts w:hint="eastAsia" w:eastAsia="楷体_GB2312" w:cs="Times New Roman"/>
          <w:b/>
          <w:sz w:val="32"/>
          <w:szCs w:val="32"/>
        </w:rPr>
        <w:t>（一）财政拨款</w:t>
      </w:r>
      <w:r>
        <w:rPr>
          <w:rFonts w:hint="eastAsia" w:eastAsia="Times New Roman" w:cs="Times New Roman"/>
          <w:b/>
          <w:sz w:val="32"/>
          <w:szCs w:val="32"/>
        </w:rPr>
        <w:t>“</w:t>
      </w:r>
      <w:r>
        <w:rPr>
          <w:rFonts w:hint="eastAsia" w:eastAsia="楷体_GB2312" w:cs="Times New Roman"/>
          <w:b/>
          <w:sz w:val="32"/>
          <w:szCs w:val="32"/>
        </w:rPr>
        <w:t>三公</w:t>
      </w:r>
      <w:r>
        <w:rPr>
          <w:rFonts w:hint="eastAsia" w:eastAsia="Times New Roman" w:cs="Times New Roman"/>
          <w:b/>
          <w:sz w:val="32"/>
          <w:szCs w:val="32"/>
        </w:rPr>
        <w:t>”</w:t>
      </w:r>
      <w:r>
        <w:rPr>
          <w:rFonts w:hint="eastAsia" w:eastAsia="楷体_GB2312" w:cs="Times New Roman"/>
          <w:b/>
          <w:sz w:val="32"/>
          <w:szCs w:val="32"/>
        </w:rPr>
        <w:t>经费支出决算总体情况说明</w:t>
      </w:r>
      <w:bookmarkEnd w:id="32"/>
    </w:p>
    <w:p w14:paraId="21AFF2C8">
      <w:pPr>
        <w:keepNext w:val="0"/>
        <w:keepLines w:val="0"/>
        <w:pageBreakBefore w:val="0"/>
        <w:kinsoku/>
        <w:wordWrap/>
        <w:overflowPunct/>
        <w:topLinePunct w:val="0"/>
        <w:autoSpaceDE/>
        <w:autoSpaceDN/>
        <w:bidi w:val="0"/>
        <w:spacing w:line="560" w:lineRule="exact"/>
        <w:ind w:firstLine="640"/>
        <w:textAlignment w:val="auto"/>
        <w:rPr>
          <w:rFonts w:hint="default" w:eastAsia="仿宋_GB2312" w:cs="仿宋_GB2312"/>
          <w:sz w:val="32"/>
          <w:szCs w:val="32"/>
          <w:lang w:val="en-US" w:eastAsia="zh-CN"/>
        </w:rPr>
      </w:pPr>
      <w:r>
        <w:rPr>
          <w:rFonts w:hint="eastAsia" w:eastAsia="仿宋_GB2312" w:cs="Times New Roman"/>
          <w:sz w:val="32"/>
          <w:szCs w:val="32"/>
        </w:rPr>
        <w:t>2025年度财政拨款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经费支出决算为</w:t>
      </w:r>
      <w:r>
        <w:rPr>
          <w:rFonts w:hint="eastAsia" w:ascii="Times New Roman" w:hAnsi="Times New Roman" w:eastAsia="仿宋_GB2312" w:cs="Times New Roman"/>
          <w:sz w:val="32"/>
          <w:szCs w:val="32"/>
        </w:rPr>
        <w:t>4.38</w:t>
      </w:r>
      <w:r>
        <w:rPr>
          <w:rFonts w:hint="eastAsia" w:eastAsia="仿宋_GB2312" w:cs="Times New Roman"/>
          <w:sz w:val="32"/>
          <w:szCs w:val="32"/>
        </w:rPr>
        <w:t>万元，完成预算</w:t>
      </w:r>
      <w:r>
        <w:rPr>
          <w:rFonts w:hint="eastAsia" w:ascii="Times New Roman" w:hAnsi="Times New Roman" w:eastAsia="仿宋_GB2312" w:cs="Times New Roman"/>
          <w:sz w:val="32"/>
          <w:szCs w:val="32"/>
        </w:rPr>
        <w:t>92.82</w:t>
      </w:r>
      <w:r>
        <w:rPr>
          <w:rFonts w:hint="eastAsia" w:eastAsia="仿宋_GB2312" w:cs="Times New Roman"/>
          <w:sz w:val="32"/>
          <w:szCs w:val="32"/>
        </w:rPr>
        <w:t>%，较上年度增加</w:t>
      </w:r>
      <w:r>
        <w:rPr>
          <w:rFonts w:hint="eastAsia" w:eastAsia="仿宋_GB2312" w:cs="Times New Roman"/>
          <w:sz w:val="32"/>
          <w:szCs w:val="32"/>
          <w:lang w:val="en-US" w:eastAsia="zh-CN"/>
        </w:rPr>
        <w:t>0.49</w:t>
      </w:r>
      <w:r>
        <w:rPr>
          <w:rFonts w:hint="eastAsia" w:eastAsia="仿宋_GB2312" w:cs="Times New Roman"/>
          <w:sz w:val="32"/>
          <w:szCs w:val="32"/>
        </w:rPr>
        <w:t>万元，增长</w:t>
      </w:r>
      <w:r>
        <w:rPr>
          <w:rFonts w:hint="eastAsia" w:eastAsia="仿宋_GB2312" w:cs="Times New Roman"/>
          <w:sz w:val="32"/>
          <w:szCs w:val="32"/>
          <w:lang w:val="en-US" w:eastAsia="zh-CN"/>
        </w:rPr>
        <w:t>13</w:t>
      </w:r>
      <w:r>
        <w:rPr>
          <w:rFonts w:hint="eastAsia" w:eastAsia="仿宋_GB2312" w:cs="Times New Roman"/>
          <w:sz w:val="32"/>
          <w:szCs w:val="32"/>
        </w:rPr>
        <w:t>%。决算数小于预算数的主要原因是</w:t>
      </w:r>
      <w:r>
        <w:rPr>
          <w:rFonts w:hint="eastAsia" w:eastAsia="仿宋_GB2312" w:cs="仿宋_GB2312"/>
          <w:sz w:val="32"/>
          <w:szCs w:val="32"/>
          <w:lang w:val="en-US" w:eastAsia="zh-CN"/>
        </w:rPr>
        <w:t>厉行节约，中心无接待费支出。支出比去年增长的原因是单位增加了公务接待督导职能。</w:t>
      </w:r>
    </w:p>
    <w:p w14:paraId="25C40951">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cs="楷体_GB2312"/>
          <w:b/>
          <w:sz w:val="32"/>
          <w:szCs w:val="32"/>
        </w:rPr>
      </w:pPr>
      <w:bookmarkStart w:id="33" w:name="_Toc15377217"/>
      <w:r>
        <w:rPr>
          <w:rFonts w:hint="eastAsia" w:eastAsia="楷体_GB2312" w:cs="Times New Roman"/>
          <w:b/>
          <w:sz w:val="32"/>
          <w:szCs w:val="32"/>
        </w:rPr>
        <w:t>（二）财政拨款</w:t>
      </w:r>
      <w:r>
        <w:rPr>
          <w:rFonts w:hint="eastAsia" w:eastAsia="Times New Roman" w:cs="Times New Roman"/>
          <w:b/>
          <w:sz w:val="32"/>
          <w:szCs w:val="32"/>
        </w:rPr>
        <w:t>“</w:t>
      </w:r>
      <w:r>
        <w:rPr>
          <w:rFonts w:hint="eastAsia" w:eastAsia="楷体_GB2312" w:cs="Times New Roman"/>
          <w:b/>
          <w:sz w:val="32"/>
          <w:szCs w:val="32"/>
        </w:rPr>
        <w:t>三公</w:t>
      </w:r>
      <w:r>
        <w:rPr>
          <w:rFonts w:hint="eastAsia" w:eastAsia="Times New Roman" w:cs="Times New Roman"/>
          <w:b/>
          <w:sz w:val="32"/>
          <w:szCs w:val="32"/>
        </w:rPr>
        <w:t>”</w:t>
      </w:r>
      <w:r>
        <w:rPr>
          <w:rFonts w:hint="eastAsia" w:eastAsia="楷体_GB2312" w:cs="Times New Roman"/>
          <w:b/>
          <w:sz w:val="32"/>
          <w:szCs w:val="32"/>
        </w:rPr>
        <w:t>经费支出决算具体情况说明</w:t>
      </w:r>
      <w:bookmarkEnd w:id="33"/>
    </w:p>
    <w:p w14:paraId="102C22D0">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r>
        <w:rPr>
          <w:rFonts w:hint="eastAsia" w:eastAsia="仿宋_GB2312" w:cs="Times New Roman"/>
          <w:sz w:val="32"/>
          <w:szCs w:val="32"/>
        </w:rPr>
        <w:t>2025年度财政拨款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经费支出决算中，因公出国（境）费支出决算</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eastAsia="仿宋_GB2312" w:cs="Times New Roman"/>
          <w:sz w:val="32"/>
          <w:szCs w:val="32"/>
          <w:lang w:val="en-US" w:eastAsia="zh-CN"/>
        </w:rPr>
        <w:t>0</w:t>
      </w:r>
      <w:r>
        <w:rPr>
          <w:rFonts w:hint="eastAsia" w:eastAsia="仿宋_GB2312" w:cs="Times New Roman"/>
          <w:sz w:val="32"/>
          <w:szCs w:val="32"/>
        </w:rPr>
        <w:t>%；决算</w:t>
      </w:r>
      <w:r>
        <w:rPr>
          <w:rFonts w:hint="eastAsia" w:ascii="Times New Roman" w:hAnsi="Times New Roman" w:eastAsia="仿宋_GB2312" w:cs="Times New Roman"/>
          <w:sz w:val="32"/>
          <w:szCs w:val="32"/>
        </w:rPr>
        <w:t>4.38</w:t>
      </w:r>
      <w:r>
        <w:rPr>
          <w:rFonts w:hint="eastAsia" w:eastAsia="仿宋_GB2312" w:cs="Times New Roman"/>
          <w:sz w:val="32"/>
          <w:szCs w:val="32"/>
        </w:rPr>
        <w:t>万元，占</w:t>
      </w:r>
      <w:r>
        <w:rPr>
          <w:rFonts w:hint="eastAsia" w:eastAsia="仿宋_GB2312" w:cs="Times New Roman"/>
          <w:sz w:val="32"/>
          <w:szCs w:val="32"/>
          <w:lang w:val="en-US" w:eastAsia="zh-CN"/>
        </w:rPr>
        <w:t>100</w:t>
      </w:r>
      <w:r>
        <w:rPr>
          <w:rFonts w:hint="eastAsia" w:eastAsia="仿宋_GB2312" w:cs="Times New Roman"/>
          <w:sz w:val="32"/>
          <w:szCs w:val="32"/>
        </w:rPr>
        <w:t>%；公务接待费支出决算</w:t>
      </w:r>
      <w:r>
        <w:rPr>
          <w:rFonts w:hint="eastAsia" w:ascii="Times New Roman" w:hAnsi="Times New Roman" w:eastAsia="仿宋_GB2312" w:cs="Times New Roman"/>
          <w:sz w:val="32"/>
          <w:szCs w:val="32"/>
        </w:rPr>
        <w:t>0</w:t>
      </w:r>
      <w:r>
        <w:rPr>
          <w:rFonts w:hint="eastAsia" w:eastAsia="仿宋_GB2312" w:cs="Times New Roman"/>
          <w:sz w:val="32"/>
          <w:szCs w:val="32"/>
        </w:rPr>
        <w:t>万元，占</w:t>
      </w:r>
      <w:r>
        <w:rPr>
          <w:rFonts w:hint="eastAsia" w:eastAsia="仿宋_GB2312" w:cs="Times New Roman"/>
          <w:sz w:val="32"/>
          <w:szCs w:val="32"/>
          <w:lang w:val="en-US" w:eastAsia="zh-CN"/>
        </w:rPr>
        <w:t>0</w:t>
      </w:r>
      <w:r>
        <w:rPr>
          <w:rFonts w:hint="eastAsia" w:eastAsia="仿宋_GB2312" w:cs="仿宋_GB2312"/>
          <w:sz w:val="32"/>
          <w:szCs w:val="32"/>
        </w:rPr>
        <w:t>%。具体情况如下：</w:t>
      </w:r>
    </w:p>
    <w:p w14:paraId="6145A34E">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sz w:val="32"/>
          <w:szCs w:val="32"/>
        </w:rPr>
      </w:pPr>
      <w:r>
        <w:rPr>
          <w:rFonts w:hint="eastAsia" w:eastAsia="仿宋_GB2312" w:cs="Times New Roman"/>
          <w:sz w:val="32"/>
          <w:szCs w:val="32"/>
        </w:rPr>
        <w:t>（图7：财政拨款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经费支出结构）（饼状图）</w:t>
      </w:r>
    </w:p>
    <w:p w14:paraId="14AB3597">
      <w:pPr>
        <w:pStyle w:val="2"/>
        <w:keepNext w:val="0"/>
        <w:keepLines w:val="0"/>
        <w:pageBreakBefore w:val="0"/>
        <w:kinsoku/>
        <w:wordWrap/>
        <w:overflowPunct/>
        <w:topLinePunct w:val="0"/>
        <w:autoSpaceDE/>
        <w:autoSpaceDN/>
        <w:bidi w:val="0"/>
        <w:spacing w:line="560" w:lineRule="exact"/>
        <w:textAlignment w:val="auto"/>
        <w:rPr>
          <w:rFonts w:hint="eastAsia" w:eastAsia="仿宋_GB2312"/>
          <w:sz w:val="32"/>
          <w:szCs w:val="32"/>
        </w:rPr>
      </w:pPr>
    </w:p>
    <w:p w14:paraId="495F8D6B">
      <w:pPr>
        <w:pStyle w:val="3"/>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Times New Roman" w:eastAsia="仿宋_GB2312"/>
          <w:b/>
          <w:bCs/>
          <w:sz w:val="32"/>
        </w:rPr>
      </w:pPr>
      <w:r>
        <w:rPr>
          <w:rFonts w:hint="eastAsia" w:ascii="Times New Roman" w:eastAsia="仿宋_GB2312" w:cs="Times New Roman"/>
          <w:sz w:val="32"/>
          <w:szCs w:val="32"/>
        </w:rPr>
        <w:drawing>
          <wp:inline distT="0" distB="0" distL="0" distR="0">
            <wp:extent cx="5256530" cy="2988310"/>
            <wp:effectExtent l="5080" t="4445" r="15240" b="17145"/>
            <wp:docPr id="8" name="图表 7"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3288CC">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r>
        <w:rPr>
          <w:rFonts w:hint="eastAsia" w:eastAsia="仿宋_GB2312" w:cs="Times New Roman"/>
          <w:b/>
          <w:bCs/>
          <w:sz w:val="32"/>
          <w:szCs w:val="32"/>
        </w:rPr>
        <w:t>1.因公出国（境）经费支出</w:t>
      </w:r>
      <w:r>
        <w:rPr>
          <w:rFonts w:hint="eastAsia" w:ascii="Times New Roman" w:hAnsi="Times New Roman" w:eastAsia="仿宋_GB2312" w:cs="Times New Roman"/>
          <w:sz w:val="32"/>
          <w:szCs w:val="32"/>
        </w:rPr>
        <w:t>0</w:t>
      </w:r>
      <w:r>
        <w:rPr>
          <w:rFonts w:hint="eastAsia" w:eastAsia="仿宋_GB2312" w:cs="Times New Roman"/>
          <w:b/>
          <w:bCs/>
          <w:sz w:val="32"/>
          <w:szCs w:val="32"/>
        </w:rPr>
        <w:t>万元，完成预算</w:t>
      </w:r>
      <w:r>
        <w:rPr>
          <w:rFonts w:hint="eastAsia" w:eastAsia="仿宋_GB2312" w:cs="Times New Roman"/>
          <w:b/>
          <w:bCs/>
          <w:sz w:val="32"/>
          <w:szCs w:val="32"/>
          <w:lang w:val="en-US" w:eastAsia="zh-CN"/>
        </w:rPr>
        <w:t>100</w:t>
      </w:r>
      <w:r>
        <w:rPr>
          <w:rFonts w:hint="eastAsia" w:eastAsia="仿宋_GB2312" w:cs="Times New Roman"/>
          <w:b/>
          <w:bCs/>
          <w:sz w:val="32"/>
          <w:szCs w:val="32"/>
        </w:rPr>
        <w:t>%。</w:t>
      </w:r>
      <w:r>
        <w:rPr>
          <w:rFonts w:hint="eastAsia" w:eastAsia="仿宋_GB2312" w:cs="Times New Roman"/>
          <w:sz w:val="32"/>
          <w:szCs w:val="32"/>
        </w:rPr>
        <w:t>全年安排因公出国（境）团组</w:t>
      </w:r>
      <w:r>
        <w:rPr>
          <w:rFonts w:hint="eastAsia" w:ascii="Times New Roman" w:hAnsi="Times New Roman" w:eastAsia="仿宋_GB2312" w:cs="Times New Roman"/>
          <w:sz w:val="32"/>
          <w:szCs w:val="32"/>
        </w:rPr>
        <w:t>0</w:t>
      </w:r>
      <w:r>
        <w:rPr>
          <w:rFonts w:hint="eastAsia" w:eastAsia="仿宋_GB2312" w:cs="Times New Roman"/>
          <w:sz w:val="32"/>
          <w:szCs w:val="32"/>
        </w:rPr>
        <w:t>次，出国（境）</w:t>
      </w:r>
      <w:r>
        <w:rPr>
          <w:rFonts w:hint="eastAsia" w:ascii="Times New Roman" w:hAnsi="Times New Roman" w:eastAsia="仿宋_GB2312" w:cs="Times New Roman"/>
          <w:sz w:val="32"/>
          <w:szCs w:val="32"/>
        </w:rPr>
        <w:t>0</w:t>
      </w:r>
      <w:r>
        <w:rPr>
          <w:rFonts w:hint="eastAsia" w:eastAsia="仿宋_GB2312" w:cs="Times New Roman"/>
          <w:sz w:val="32"/>
          <w:szCs w:val="32"/>
        </w:rPr>
        <w:t>人。</w:t>
      </w:r>
    </w:p>
    <w:p w14:paraId="237C4430">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cs="仿宋_GB2312"/>
          <w:sz w:val="32"/>
          <w:szCs w:val="32"/>
        </w:rPr>
      </w:pPr>
      <w:r>
        <w:rPr>
          <w:rFonts w:hint="eastAsia" w:eastAsia="仿宋_GB2312" w:cs="Times New Roman"/>
          <w:b/>
          <w:bCs/>
          <w:sz w:val="32"/>
          <w:szCs w:val="32"/>
        </w:rPr>
        <w:t>2.公务用车购置及运行维护费支出</w:t>
      </w:r>
      <w:r>
        <w:rPr>
          <w:rFonts w:hint="eastAsia" w:ascii="Times New Roman" w:hAnsi="Times New Roman" w:eastAsia="仿宋_GB2312" w:cs="Times New Roman"/>
          <w:b/>
          <w:bCs/>
          <w:sz w:val="32"/>
          <w:szCs w:val="32"/>
        </w:rPr>
        <w:t>4.38</w:t>
      </w:r>
      <w:r>
        <w:rPr>
          <w:rFonts w:hint="eastAsia" w:eastAsia="仿宋_GB2312" w:cs="Times New Roman"/>
          <w:b/>
          <w:bCs/>
          <w:sz w:val="32"/>
          <w:szCs w:val="32"/>
        </w:rPr>
        <w:t>万元，完成预算</w:t>
      </w:r>
      <w:r>
        <w:rPr>
          <w:rFonts w:hint="eastAsia" w:eastAsia="仿宋_GB2312" w:cs="Times New Roman"/>
          <w:b/>
          <w:bCs/>
          <w:sz w:val="32"/>
          <w:szCs w:val="32"/>
          <w:lang w:val="en-US" w:eastAsia="zh-CN"/>
        </w:rPr>
        <w:t>98</w:t>
      </w:r>
      <w:r>
        <w:rPr>
          <w:rFonts w:hint="eastAsia" w:eastAsia="仿宋_GB2312" w:cs="Times New Roman"/>
          <w:b/>
          <w:bCs/>
          <w:sz w:val="32"/>
          <w:szCs w:val="32"/>
        </w:rPr>
        <w:t>%。</w:t>
      </w:r>
      <w:r>
        <w:rPr>
          <w:rFonts w:hint="eastAsia" w:eastAsia="仿宋_GB2312" w:cs="Times New Roman"/>
          <w:sz w:val="32"/>
          <w:szCs w:val="32"/>
        </w:rPr>
        <w:t>公务用车购置及运行维护费支出决算比上年度增加</w:t>
      </w:r>
      <w:r>
        <w:rPr>
          <w:rFonts w:hint="eastAsia" w:eastAsia="仿宋_GB2312" w:cs="Times New Roman"/>
          <w:sz w:val="32"/>
          <w:szCs w:val="32"/>
          <w:lang w:val="en-US" w:eastAsia="zh-CN"/>
        </w:rPr>
        <w:t>0.74</w:t>
      </w:r>
      <w:r>
        <w:rPr>
          <w:rFonts w:hint="eastAsia" w:eastAsia="仿宋_GB2312" w:cs="Times New Roman"/>
          <w:sz w:val="32"/>
          <w:szCs w:val="32"/>
        </w:rPr>
        <w:t>万元，增</w:t>
      </w:r>
      <w:r>
        <w:rPr>
          <w:rFonts w:hint="eastAsia" w:eastAsia="仿宋_GB2312" w:cs="Times New Roman"/>
          <w:sz w:val="32"/>
          <w:szCs w:val="32"/>
          <w:lang w:val="en-US" w:eastAsia="zh-CN"/>
        </w:rPr>
        <w:t>长20</w:t>
      </w:r>
      <w:r>
        <w:rPr>
          <w:rFonts w:hint="eastAsia" w:eastAsia="仿宋_GB2312" w:cs="Times New Roman"/>
          <w:sz w:val="32"/>
          <w:szCs w:val="32"/>
        </w:rPr>
        <w:t>%。主要原因是</w:t>
      </w:r>
      <w:r>
        <w:rPr>
          <w:rFonts w:hint="eastAsia" w:eastAsia="仿宋_GB2312" w:cs="Times New Roman"/>
          <w:sz w:val="32"/>
          <w:szCs w:val="32"/>
          <w:lang w:val="en-US" w:eastAsia="zh-CN"/>
        </w:rPr>
        <w:t>增加了公务接待督导职能。</w:t>
      </w:r>
      <w:r>
        <w:rPr>
          <w:rFonts w:hint="eastAsia" w:eastAsia="仿宋_GB2312" w:cs="Times New Roman"/>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14:paraId="757051EC">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eastAsia="仿宋_GB2312"/>
          <w:sz w:val="32"/>
          <w:szCs w:val="32"/>
        </w:rPr>
      </w:pPr>
      <w:r>
        <w:rPr>
          <w:rFonts w:hint="eastAsia" w:eastAsia="仿宋_GB2312" w:cs="Times New Roman"/>
          <w:sz w:val="32"/>
          <w:szCs w:val="32"/>
        </w:rPr>
        <w:t>公务用车运行维护费支出</w:t>
      </w:r>
      <w:r>
        <w:rPr>
          <w:rFonts w:hint="eastAsia" w:ascii="Times New Roman" w:hAnsi="Times New Roman" w:eastAsia="仿宋_GB2312" w:cs="Times New Roman"/>
          <w:sz w:val="32"/>
          <w:szCs w:val="32"/>
        </w:rPr>
        <w:t>4.38</w:t>
      </w:r>
      <w:r>
        <w:rPr>
          <w:rFonts w:hint="eastAsia" w:eastAsia="仿宋_GB2312" w:cs="Times New Roman"/>
          <w:sz w:val="32"/>
          <w:szCs w:val="32"/>
        </w:rPr>
        <w:t>万元。主要用于</w:t>
      </w:r>
      <w:r>
        <w:rPr>
          <w:rFonts w:hint="eastAsia" w:ascii="Times New Roman" w:hAnsi="Times New Roman" w:eastAsia="仿宋_GB2312" w:cs="Times New Roman"/>
          <w:color w:val="auto"/>
          <w:sz w:val="32"/>
          <w:szCs w:val="32"/>
          <w:lang w:eastAsia="zh-CN" w:bidi="ar-SA"/>
        </w:rPr>
        <w:t>州级机关周转房管理，实施周转房维修</w:t>
      </w:r>
      <w:r>
        <w:rPr>
          <w:rFonts w:hint="eastAsia" w:ascii="Times New Roman" w:eastAsia="仿宋_GB2312" w:cs="Times New Roman"/>
          <w:spacing w:val="0"/>
          <w:kern w:val="2"/>
          <w:sz w:val="32"/>
          <w:szCs w:val="32"/>
          <w:lang w:val="en-US" w:eastAsia="zh-CN" w:bidi="ar-SA"/>
        </w:rPr>
        <w:t>工作，集中食堂管理等</w:t>
      </w:r>
      <w:r>
        <w:rPr>
          <w:rFonts w:hint="eastAsia" w:ascii="Times New Roman" w:eastAsia="仿宋_GB2312" w:cs="Times New Roman"/>
          <w:spacing w:val="0"/>
          <w:kern w:val="2"/>
          <w:sz w:val="32"/>
          <w:szCs w:val="32"/>
          <w:lang w:bidi="ar-SA"/>
        </w:rPr>
        <w:t>所需的公务用车燃料费、维修费、过路过桥费、保险费等支出。</w:t>
      </w:r>
    </w:p>
    <w:p w14:paraId="1FF95C0B">
      <w:pPr>
        <w:keepNext w:val="0"/>
        <w:keepLines w:val="0"/>
        <w:pageBreakBefore w:val="0"/>
        <w:numPr>
          <w:ilvl w:val="0"/>
          <w:numId w:val="0"/>
        </w:numPr>
        <w:kinsoku/>
        <w:wordWrap/>
        <w:overflowPunct/>
        <w:topLinePunct w:val="0"/>
        <w:autoSpaceDE/>
        <w:autoSpaceDN/>
        <w:bidi w:val="0"/>
        <w:spacing w:line="560" w:lineRule="exact"/>
        <w:ind w:firstLine="643" w:firstLineChars="200"/>
        <w:textAlignment w:val="auto"/>
        <w:outlineLvl w:val="1"/>
        <w:rPr>
          <w:rFonts w:hint="eastAsia" w:eastAsia="仿宋_GB2312" w:cs="仿宋_GB2312"/>
          <w:sz w:val="32"/>
          <w:szCs w:val="32"/>
        </w:rPr>
      </w:pPr>
      <w:r>
        <w:rPr>
          <w:rFonts w:hint="eastAsia" w:eastAsia="仿宋_GB2312" w:cs="Times New Roman"/>
          <w:b/>
          <w:bCs/>
          <w:sz w:val="32"/>
          <w:szCs w:val="32"/>
          <w:lang w:val="en-US" w:eastAsia="zh-CN"/>
        </w:rPr>
        <w:t>3.</w:t>
      </w:r>
      <w:r>
        <w:rPr>
          <w:rFonts w:hint="eastAsia" w:eastAsia="仿宋_GB2312" w:cs="Times New Roman"/>
          <w:b/>
          <w:bCs/>
          <w:sz w:val="32"/>
          <w:szCs w:val="32"/>
        </w:rPr>
        <w:t>公务接待费支出</w:t>
      </w:r>
      <w:r>
        <w:rPr>
          <w:rFonts w:hint="eastAsia" w:ascii="Times New Roman" w:hAnsi="Times New Roman" w:eastAsia="仿宋_GB2312" w:cs="Times New Roman"/>
          <w:b/>
          <w:bCs/>
          <w:sz w:val="32"/>
          <w:szCs w:val="32"/>
        </w:rPr>
        <w:t>0</w:t>
      </w:r>
      <w:r>
        <w:rPr>
          <w:rFonts w:hint="eastAsia" w:eastAsia="仿宋_GB2312" w:cs="Times New Roman"/>
          <w:b/>
          <w:bCs/>
          <w:sz w:val="32"/>
          <w:szCs w:val="32"/>
        </w:rPr>
        <w:t>万元，完成预算</w:t>
      </w:r>
      <w:r>
        <w:rPr>
          <w:rFonts w:hint="eastAsia" w:eastAsia="仿宋_GB2312" w:cs="Times New Roman"/>
          <w:b/>
          <w:bCs/>
          <w:sz w:val="32"/>
          <w:szCs w:val="32"/>
          <w:lang w:val="en-US" w:eastAsia="zh-CN"/>
        </w:rPr>
        <w:t>100</w:t>
      </w:r>
      <w:r>
        <w:rPr>
          <w:rFonts w:hint="eastAsia" w:eastAsia="仿宋_GB2312" w:cs="Times New Roman"/>
          <w:b/>
          <w:bCs/>
          <w:sz w:val="32"/>
          <w:szCs w:val="32"/>
        </w:rPr>
        <w:t>%。</w:t>
      </w:r>
      <w:r>
        <w:rPr>
          <w:rFonts w:hint="eastAsia" w:eastAsia="仿宋_GB2312" w:cs="Times New Roman"/>
          <w:sz w:val="32"/>
          <w:szCs w:val="32"/>
        </w:rPr>
        <w:t>公务接待费支出决算比上年度减少</w:t>
      </w:r>
      <w:r>
        <w:rPr>
          <w:rFonts w:hint="eastAsia" w:eastAsia="仿宋_GB2312" w:cs="Times New Roman"/>
          <w:sz w:val="32"/>
          <w:szCs w:val="32"/>
          <w:lang w:val="en-US" w:eastAsia="zh-CN"/>
        </w:rPr>
        <w:t>0.12</w:t>
      </w:r>
      <w:r>
        <w:rPr>
          <w:rFonts w:hint="eastAsia" w:eastAsia="仿宋_GB2312" w:cs="Times New Roman"/>
          <w:sz w:val="32"/>
          <w:szCs w:val="32"/>
        </w:rPr>
        <w:t>万元。主要原因是</w:t>
      </w:r>
      <w:r>
        <w:rPr>
          <w:rFonts w:hint="eastAsia" w:eastAsia="仿宋_GB2312" w:cs="Times New Roman"/>
          <w:sz w:val="32"/>
          <w:szCs w:val="32"/>
          <w:lang w:val="en-US" w:eastAsia="zh-CN"/>
        </w:rPr>
        <w:t>今年调研业务减少</w:t>
      </w:r>
      <w:r>
        <w:rPr>
          <w:rFonts w:hint="eastAsia" w:eastAsia="仿宋_GB2312" w:cs="Times New Roman"/>
          <w:sz w:val="32"/>
          <w:szCs w:val="32"/>
        </w:rPr>
        <w:t>。</w:t>
      </w:r>
      <w:bookmarkStart w:id="34" w:name="_Toc15377218"/>
      <w:bookmarkStart w:id="35" w:name="_Toc15396610"/>
    </w:p>
    <w:p w14:paraId="5C88683E">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outlineLvl w:val="1"/>
        <w:rPr>
          <w:rStyle w:val="194"/>
          <w:rFonts w:ascii="Times New Roman" w:hAnsi="Times New Roman" w:eastAsia="黑体" w:cs="Times New Roman"/>
        </w:rPr>
      </w:pPr>
      <w:r>
        <w:rPr>
          <w:rFonts w:hint="eastAsia" w:eastAsia="黑体"/>
          <w:sz w:val="32"/>
          <w:szCs w:val="32"/>
        </w:rPr>
        <w:t>八、</w:t>
      </w:r>
      <w:r>
        <w:rPr>
          <w:rStyle w:val="194"/>
          <w:rFonts w:hint="eastAsia" w:ascii="Times New Roman" w:hAnsi="Times New Roman" w:eastAsia="黑体" w:cs="Times New Roman"/>
          <w:b w:val="0"/>
        </w:rPr>
        <w:t>政府性基金预算支出决算情况说明</w:t>
      </w:r>
      <w:bookmarkEnd w:id="34"/>
      <w:bookmarkEnd w:id="35"/>
    </w:p>
    <w:p w14:paraId="70588CDA">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2025年度政府性基金预算财政拨款支出</w:t>
      </w:r>
      <w:r>
        <w:rPr>
          <w:rFonts w:hint="eastAsia" w:ascii="Times New Roman" w:hAnsi="Times New Roman" w:eastAsia="仿宋_GB2312" w:cs="Times New Roman"/>
          <w:sz w:val="32"/>
          <w:szCs w:val="32"/>
        </w:rPr>
        <w:t>0</w:t>
      </w:r>
      <w:r>
        <w:rPr>
          <w:rFonts w:hint="eastAsia" w:eastAsia="仿宋_GB2312" w:cs="Times New Roman"/>
          <w:sz w:val="32"/>
          <w:szCs w:val="32"/>
        </w:rPr>
        <w:t>万元</w:t>
      </w:r>
      <w:r>
        <w:rPr>
          <w:rFonts w:hint="eastAsia" w:eastAsia="仿宋_GB2312" w:cs="Times New Roman"/>
          <w:sz w:val="32"/>
          <w:szCs w:val="32"/>
          <w:lang w:eastAsia="zh-CN"/>
        </w:rPr>
        <w:t>。</w:t>
      </w:r>
    </w:p>
    <w:p w14:paraId="6CC6487C">
      <w:pPr>
        <w:keepNext w:val="0"/>
        <w:keepLines w:val="0"/>
        <w:pageBreakBefore w:val="0"/>
        <w:kinsoku/>
        <w:wordWrap/>
        <w:overflowPunct/>
        <w:topLinePunct w:val="0"/>
        <w:autoSpaceDE/>
        <w:autoSpaceDN/>
        <w:bidi w:val="0"/>
        <w:spacing w:line="560" w:lineRule="exact"/>
        <w:ind w:left="630"/>
        <w:textAlignment w:val="auto"/>
        <w:outlineLvl w:val="1"/>
        <w:rPr>
          <w:rStyle w:val="194"/>
          <w:rFonts w:ascii="Times New Roman" w:hAnsi="Times New Roman" w:eastAsia="黑体" w:cs="Times New Roman"/>
          <w:b w:val="0"/>
        </w:rPr>
      </w:pPr>
      <w:bookmarkStart w:id="36" w:name="_Toc15377219"/>
      <w:bookmarkStart w:id="37" w:name="_Toc15396611"/>
      <w:r>
        <w:rPr>
          <w:rStyle w:val="194"/>
          <w:rFonts w:hint="eastAsia" w:ascii="Times New Roman" w:hAnsi="Times New Roman" w:eastAsia="黑体" w:cs="Times New Roman"/>
          <w:b w:val="0"/>
        </w:rPr>
        <w:t>九、国有资本经营预算支出决算情况说明</w:t>
      </w:r>
      <w:bookmarkEnd w:id="36"/>
      <w:bookmarkEnd w:id="37"/>
    </w:p>
    <w:p w14:paraId="579EF8E4">
      <w:pPr>
        <w:keepNext w:val="0"/>
        <w:keepLines w:val="0"/>
        <w:pageBreakBefore w:val="0"/>
        <w:kinsoku/>
        <w:wordWrap/>
        <w:overflowPunct/>
        <w:topLinePunct w:val="0"/>
        <w:autoSpaceDE/>
        <w:autoSpaceDN/>
        <w:bidi w:val="0"/>
        <w:spacing w:line="560" w:lineRule="exact"/>
        <w:ind w:firstLine="640"/>
        <w:textAlignment w:val="auto"/>
        <w:rPr>
          <w:rFonts w:eastAsia="仿宋_GB2312" w:cs="仿宋_GB2312"/>
          <w:sz w:val="32"/>
          <w:szCs w:val="32"/>
        </w:rPr>
      </w:pPr>
      <w:r>
        <w:rPr>
          <w:rFonts w:hint="eastAsia" w:eastAsia="仿宋_GB2312" w:cs="Times New Roman"/>
          <w:sz w:val="32"/>
          <w:szCs w:val="32"/>
        </w:rPr>
        <w:t>2025年度国有资本经营预算财政拨款支出</w:t>
      </w:r>
      <w:r>
        <w:rPr>
          <w:rFonts w:hint="eastAsia" w:ascii="Times New Roman" w:hAnsi="Times New Roman" w:eastAsia="仿宋_GB2312" w:cs="Times New Roman"/>
          <w:sz w:val="32"/>
          <w:szCs w:val="32"/>
        </w:rPr>
        <w:t>0</w:t>
      </w:r>
      <w:r>
        <w:rPr>
          <w:rFonts w:hint="eastAsia" w:eastAsia="仿宋_GB2312" w:cs="Times New Roman"/>
          <w:sz w:val="32"/>
          <w:szCs w:val="32"/>
        </w:rPr>
        <w:t>万元，占本年支出合计的</w:t>
      </w:r>
      <w:r>
        <w:rPr>
          <w:rFonts w:hint="eastAsia" w:ascii="Times New Roman" w:hAnsi="Times New Roman" w:eastAsia="仿宋_GB2312" w:cs="Times New Roman"/>
          <w:sz w:val="32"/>
          <w:szCs w:val="32"/>
        </w:rPr>
        <w:t>0</w:t>
      </w:r>
      <w:r>
        <w:rPr>
          <w:rFonts w:hint="eastAsia" w:eastAsia="仿宋_GB2312" w:cs="Times New Roman"/>
          <w:sz w:val="32"/>
          <w:szCs w:val="32"/>
        </w:rPr>
        <w:t>%。</w:t>
      </w:r>
    </w:p>
    <w:p w14:paraId="07FF6086">
      <w:pPr>
        <w:keepNext w:val="0"/>
        <w:keepLines w:val="0"/>
        <w:pageBreakBefore w:val="0"/>
        <w:kinsoku/>
        <w:wordWrap/>
        <w:overflowPunct/>
        <w:topLinePunct w:val="0"/>
        <w:autoSpaceDE/>
        <w:autoSpaceDN/>
        <w:bidi w:val="0"/>
        <w:spacing w:line="560" w:lineRule="exact"/>
        <w:ind w:left="630"/>
        <w:textAlignment w:val="auto"/>
        <w:outlineLvl w:val="1"/>
        <w:rPr>
          <w:rStyle w:val="194"/>
          <w:rFonts w:ascii="Times New Roman" w:hAnsi="Times New Roman" w:eastAsia="黑体" w:cs="Times New Roman"/>
          <w:b w:val="0"/>
        </w:rPr>
      </w:pPr>
      <w:bookmarkStart w:id="38" w:name="_Toc15377221"/>
      <w:bookmarkStart w:id="39" w:name="_Toc15396612"/>
      <w:r>
        <w:rPr>
          <w:rStyle w:val="194"/>
          <w:rFonts w:hint="eastAsia" w:ascii="Times New Roman" w:hAnsi="Times New Roman" w:eastAsia="黑体" w:cs="Times New Roman"/>
          <w:b w:val="0"/>
        </w:rPr>
        <w:t>十、其他重要事项的情况说明</w:t>
      </w:r>
      <w:bookmarkEnd w:id="38"/>
      <w:bookmarkEnd w:id="39"/>
    </w:p>
    <w:p w14:paraId="765D9623">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bookmarkStart w:id="40" w:name="_Toc15377222"/>
      <w:r>
        <w:rPr>
          <w:rFonts w:hint="eastAsia" w:eastAsia="楷体_GB2312" w:cs="Times New Roman"/>
          <w:b/>
          <w:sz w:val="32"/>
          <w:szCs w:val="32"/>
        </w:rPr>
        <w:t>（一）机关运行经费支出情况</w:t>
      </w:r>
      <w:bookmarkEnd w:id="40"/>
    </w:p>
    <w:p w14:paraId="6EC6BE5D">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outlineLvl w:val="9"/>
        <w:rPr>
          <w:rFonts w:eastAsia="仿宋_GB2312"/>
          <w:sz w:val="32"/>
          <w:szCs w:val="32"/>
        </w:rPr>
      </w:pPr>
      <w:r>
        <w:rPr>
          <w:rFonts w:hint="eastAsia" w:eastAsia="仿宋_GB2312" w:cs="Times New Roman"/>
          <w:sz w:val="32"/>
          <w:szCs w:val="32"/>
        </w:rPr>
        <w:t>2025年度，</w:t>
      </w:r>
      <w:r>
        <w:rPr>
          <w:rFonts w:hint="eastAsia" w:ascii="Times New Roman" w:hAnsi="Times New Roman" w:eastAsia="仿宋_GB2312" w:cs="Times New Roman"/>
          <w:sz w:val="32"/>
          <w:szCs w:val="32"/>
        </w:rPr>
        <w:t>阿坝州机关后勤服务中心</w:t>
      </w:r>
      <w:r>
        <w:rPr>
          <w:rFonts w:hint="eastAsia" w:eastAsia="仿宋_GB2312" w:cs="Times New Roman"/>
          <w:sz w:val="32"/>
          <w:szCs w:val="32"/>
        </w:rPr>
        <w:t>机关运行经费支出</w:t>
      </w:r>
      <w:r>
        <w:rPr>
          <w:rFonts w:hint="eastAsia" w:ascii="Times New Roman" w:hAnsi="Times New Roman" w:eastAsia="仿宋_GB2312" w:cs="Times New Roman"/>
          <w:sz w:val="32"/>
          <w:szCs w:val="32"/>
        </w:rPr>
        <w:t>0</w:t>
      </w:r>
      <w:r>
        <w:rPr>
          <w:rFonts w:hint="eastAsia" w:eastAsia="仿宋_GB2312" w:cs="Times New Roman"/>
          <w:sz w:val="32"/>
          <w:szCs w:val="32"/>
        </w:rPr>
        <w:t>万元，</w:t>
      </w:r>
      <w:r>
        <w:rPr>
          <w:rFonts w:hint="eastAsia" w:eastAsia="仿宋_GB2312" w:cs="Times New Roman"/>
          <w:sz w:val="32"/>
          <w:szCs w:val="32"/>
          <w:lang w:val="en-US" w:eastAsia="zh-CN"/>
        </w:rPr>
        <w:t>与</w:t>
      </w:r>
      <w:r>
        <w:rPr>
          <w:rFonts w:hint="eastAsia" w:ascii="Times New Roman" w:eastAsia="仿宋_GB2312" w:cs="Times New Roman"/>
          <w:spacing w:val="0"/>
          <w:kern w:val="2"/>
          <w:sz w:val="32"/>
          <w:szCs w:val="32"/>
          <w:lang w:bidi="ar-SA"/>
        </w:rPr>
        <w:t>2024年度决算数</w:t>
      </w:r>
      <w:r>
        <w:rPr>
          <w:rFonts w:hint="eastAsia" w:ascii="Times New Roman" w:eastAsia="仿宋_GB2312" w:cs="Times New Roman"/>
          <w:spacing w:val="0"/>
          <w:kern w:val="2"/>
          <w:sz w:val="32"/>
          <w:szCs w:val="32"/>
          <w:lang w:val="en-US" w:eastAsia="zh-CN" w:bidi="ar-SA"/>
        </w:rPr>
        <w:t>一致</w:t>
      </w:r>
      <w:r>
        <w:rPr>
          <w:rFonts w:hint="eastAsia" w:ascii="Times New Roman" w:eastAsia="仿宋_GB2312" w:cs="Times New Roman"/>
          <w:spacing w:val="0"/>
          <w:kern w:val="2"/>
          <w:sz w:val="32"/>
          <w:szCs w:val="32"/>
          <w:lang w:bidi="ar-SA"/>
        </w:rPr>
        <w:t>。</w:t>
      </w:r>
    </w:p>
    <w:p w14:paraId="0E67065B">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bookmarkStart w:id="41" w:name="_Toc15377223"/>
      <w:r>
        <w:rPr>
          <w:rFonts w:hint="eastAsia" w:eastAsia="楷体_GB2312" w:cs="Times New Roman"/>
          <w:b/>
          <w:sz w:val="32"/>
          <w:szCs w:val="32"/>
        </w:rPr>
        <w:t>（二）政府采购支出情况</w:t>
      </w:r>
      <w:bookmarkEnd w:id="41"/>
    </w:p>
    <w:p w14:paraId="7F884A04">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sz w:val="32"/>
          <w:szCs w:val="32"/>
        </w:rPr>
      </w:pPr>
      <w:r>
        <w:rPr>
          <w:rFonts w:hint="eastAsia" w:eastAsia="仿宋_GB2312" w:cs="Times New Roman"/>
          <w:sz w:val="32"/>
          <w:szCs w:val="32"/>
        </w:rPr>
        <w:t>2025年度，</w:t>
      </w:r>
      <w:r>
        <w:rPr>
          <w:rFonts w:hint="eastAsia" w:ascii="Times New Roman" w:hAnsi="Times New Roman" w:eastAsia="仿宋_GB2312" w:cs="Times New Roman"/>
          <w:sz w:val="32"/>
          <w:szCs w:val="32"/>
        </w:rPr>
        <w:t>阿坝州机关后勤服务中心</w:t>
      </w:r>
      <w:r>
        <w:rPr>
          <w:rFonts w:hint="eastAsia" w:ascii="Times New Roman" w:hAnsi="Times New Roman" w:eastAsia="仿宋_GB2312" w:cs="Times New Roman"/>
          <w:sz w:val="32"/>
          <w:szCs w:val="32"/>
          <w:lang w:val="en-US" w:eastAsia="zh-CN"/>
        </w:rPr>
        <w:t>无</w:t>
      </w:r>
      <w:r>
        <w:rPr>
          <w:rFonts w:hint="eastAsia" w:eastAsia="仿宋_GB2312" w:cs="Times New Roman"/>
          <w:sz w:val="32"/>
          <w:szCs w:val="32"/>
        </w:rPr>
        <w:t>政府采购支出</w:t>
      </w:r>
      <w:r>
        <w:rPr>
          <w:rFonts w:hint="eastAsia" w:eastAsia="仿宋_GB2312" w:cs="Times New Roman"/>
          <w:sz w:val="32"/>
          <w:szCs w:val="32"/>
          <w:lang w:eastAsia="zh-CN"/>
        </w:rPr>
        <w:t>。</w:t>
      </w:r>
    </w:p>
    <w:p w14:paraId="20C6BE8A">
      <w:pPr>
        <w:keepNext w:val="0"/>
        <w:keepLines w:val="0"/>
        <w:pageBreakBefore w:val="0"/>
        <w:kinsoku/>
        <w:wordWrap/>
        <w:overflowPunct/>
        <w:topLinePunct w:val="0"/>
        <w:autoSpaceDE/>
        <w:autoSpaceDN/>
        <w:bidi w:val="0"/>
        <w:spacing w:line="560" w:lineRule="exact"/>
        <w:ind w:firstLine="643" w:firstLineChars="200"/>
        <w:textAlignment w:val="auto"/>
        <w:outlineLvl w:val="2"/>
        <w:rPr>
          <w:rFonts w:eastAsia="楷体_GB2312"/>
          <w:b/>
          <w:sz w:val="32"/>
          <w:szCs w:val="32"/>
        </w:rPr>
      </w:pPr>
      <w:bookmarkStart w:id="42" w:name="_Toc15377224"/>
      <w:r>
        <w:rPr>
          <w:rFonts w:hint="eastAsia" w:eastAsia="楷体_GB2312" w:cs="Times New Roman"/>
          <w:b/>
          <w:sz w:val="32"/>
          <w:szCs w:val="32"/>
        </w:rPr>
        <w:t>（三）国有资产占有使用情况</w:t>
      </w:r>
      <w:bookmarkEnd w:id="42"/>
    </w:p>
    <w:p w14:paraId="03CEC284">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截至2025年12月31日，</w:t>
      </w:r>
      <w:r>
        <w:rPr>
          <w:rFonts w:hint="eastAsia" w:ascii="Times New Roman" w:hAnsi="Times New Roman" w:eastAsia="仿宋_GB2312" w:cs="Times New Roman"/>
          <w:sz w:val="32"/>
          <w:szCs w:val="32"/>
        </w:rPr>
        <w:t>阿坝州机关后勤服务中心</w:t>
      </w:r>
      <w:r>
        <w:rPr>
          <w:rFonts w:hint="eastAsia" w:eastAsia="仿宋_GB2312" w:cs="Times New Roman"/>
          <w:sz w:val="32"/>
          <w:szCs w:val="32"/>
        </w:rPr>
        <w:t>共有车辆</w:t>
      </w:r>
      <w:r>
        <w:rPr>
          <w:rFonts w:hint="eastAsia" w:ascii="Times New Roman" w:hAnsi="Times New Roman" w:eastAsia="仿宋_GB2312" w:cs="Times New Roman"/>
          <w:sz w:val="32"/>
          <w:szCs w:val="32"/>
        </w:rPr>
        <w:t>1</w:t>
      </w:r>
      <w:r>
        <w:rPr>
          <w:rFonts w:hint="eastAsia" w:eastAsia="仿宋_GB2312" w:cs="Times New Roman"/>
          <w:sz w:val="32"/>
          <w:szCs w:val="32"/>
        </w:rPr>
        <w:t>辆，其中：副部（省）级及以上领导用车</w:t>
      </w:r>
      <w:r>
        <w:rPr>
          <w:rFonts w:hint="eastAsia" w:ascii="Times New Roman" w:hAnsi="Times New Roman" w:eastAsia="仿宋_GB2312" w:cs="Times New Roman"/>
          <w:sz w:val="32"/>
          <w:szCs w:val="32"/>
        </w:rPr>
        <w:t>0</w:t>
      </w:r>
      <w:r>
        <w:rPr>
          <w:rFonts w:hint="eastAsia" w:eastAsia="仿宋_GB2312" w:cs="Times New Roman"/>
          <w:sz w:val="32"/>
          <w:szCs w:val="32"/>
        </w:rPr>
        <w:t>辆、主要负责人用车</w:t>
      </w:r>
      <w:r>
        <w:rPr>
          <w:rFonts w:hint="eastAsia" w:ascii="Times New Roman" w:hAnsi="Times New Roman" w:eastAsia="仿宋_GB2312" w:cs="Times New Roman"/>
          <w:sz w:val="32"/>
          <w:szCs w:val="32"/>
        </w:rPr>
        <w:t>0</w:t>
      </w:r>
      <w:r>
        <w:rPr>
          <w:rFonts w:hint="eastAsia" w:eastAsia="仿宋_GB2312" w:cs="Times New Roman"/>
          <w:sz w:val="32"/>
          <w:szCs w:val="32"/>
        </w:rPr>
        <w:t>辆、机要通信用车</w:t>
      </w:r>
      <w:r>
        <w:rPr>
          <w:rFonts w:hint="eastAsia" w:ascii="Times New Roman" w:hAnsi="Times New Roman" w:eastAsia="仿宋_GB2312" w:cs="Times New Roman"/>
          <w:sz w:val="32"/>
          <w:szCs w:val="32"/>
        </w:rPr>
        <w:t>0</w:t>
      </w:r>
      <w:r>
        <w:rPr>
          <w:rFonts w:hint="eastAsia" w:eastAsia="仿宋_GB2312" w:cs="Times New Roman"/>
          <w:sz w:val="32"/>
          <w:szCs w:val="32"/>
        </w:rPr>
        <w:t>辆、应急保障用车</w:t>
      </w:r>
      <w:r>
        <w:rPr>
          <w:rFonts w:hint="eastAsia" w:ascii="Times New Roman" w:hAnsi="Times New Roman" w:eastAsia="仿宋_GB2312" w:cs="Times New Roman"/>
          <w:sz w:val="32"/>
          <w:szCs w:val="32"/>
        </w:rPr>
        <w:t>0</w:t>
      </w:r>
      <w:r>
        <w:rPr>
          <w:rFonts w:hint="eastAsia" w:eastAsia="仿宋_GB2312" w:cs="Times New Roman"/>
          <w:sz w:val="32"/>
          <w:szCs w:val="32"/>
        </w:rPr>
        <w:t>辆、执法执勤用车</w:t>
      </w:r>
      <w:r>
        <w:rPr>
          <w:rFonts w:hint="eastAsia" w:ascii="Times New Roman" w:hAnsi="Times New Roman" w:eastAsia="仿宋_GB2312" w:cs="Times New Roman"/>
          <w:sz w:val="32"/>
          <w:szCs w:val="32"/>
        </w:rPr>
        <w:t>0</w:t>
      </w:r>
      <w:r>
        <w:rPr>
          <w:rFonts w:hint="eastAsia" w:eastAsia="仿宋_GB2312" w:cs="Times New Roman"/>
          <w:sz w:val="32"/>
          <w:szCs w:val="32"/>
        </w:rPr>
        <w:t>辆、特种专业技术用车</w:t>
      </w:r>
      <w:r>
        <w:rPr>
          <w:rFonts w:hint="eastAsia" w:ascii="Times New Roman" w:hAnsi="Times New Roman" w:eastAsia="仿宋_GB2312" w:cs="Times New Roman"/>
          <w:sz w:val="32"/>
          <w:szCs w:val="32"/>
        </w:rPr>
        <w:t>0</w:t>
      </w:r>
      <w:r>
        <w:rPr>
          <w:rFonts w:hint="eastAsia" w:eastAsia="仿宋_GB2312" w:cs="Times New Roman"/>
          <w:sz w:val="32"/>
          <w:szCs w:val="32"/>
        </w:rPr>
        <w:t>辆、离退休干部服务用车</w:t>
      </w:r>
      <w:r>
        <w:rPr>
          <w:rFonts w:hint="eastAsia" w:ascii="Times New Roman" w:hAnsi="Times New Roman" w:eastAsia="仿宋_GB2312" w:cs="Times New Roman"/>
          <w:sz w:val="32"/>
          <w:szCs w:val="32"/>
        </w:rPr>
        <w:t>0</w:t>
      </w:r>
      <w:r>
        <w:rPr>
          <w:rFonts w:hint="eastAsia" w:eastAsia="仿宋_GB2312" w:cs="Times New Roman"/>
          <w:sz w:val="32"/>
          <w:szCs w:val="32"/>
        </w:rPr>
        <w:t>辆、其他用车</w:t>
      </w:r>
      <w:r>
        <w:rPr>
          <w:rFonts w:hint="eastAsia" w:ascii="Times New Roman" w:hAnsi="Times New Roman" w:eastAsia="仿宋_GB2312" w:cs="Times New Roman"/>
          <w:sz w:val="32"/>
          <w:szCs w:val="32"/>
        </w:rPr>
        <w:t>1</w:t>
      </w:r>
      <w:r>
        <w:rPr>
          <w:rFonts w:hint="eastAsia" w:eastAsia="仿宋_GB2312" w:cs="Times New Roman"/>
          <w:sz w:val="32"/>
          <w:szCs w:val="32"/>
        </w:rPr>
        <w:t>辆，其他用车主要是用于</w:t>
      </w:r>
      <w:r>
        <w:rPr>
          <w:rFonts w:hint="eastAsia" w:ascii="Times New Roman" w:eastAsia="仿宋_GB2312" w:cs="Times New Roman"/>
          <w:spacing w:val="0"/>
          <w:kern w:val="2"/>
          <w:sz w:val="32"/>
          <w:szCs w:val="32"/>
          <w:lang w:bidi="ar-SA"/>
        </w:rPr>
        <w:t>州直机关周转房分配、管理、维修、维护、物业</w:t>
      </w:r>
      <w:r>
        <w:rPr>
          <w:rFonts w:hint="eastAsia" w:ascii="Times New Roman" w:eastAsia="仿宋_GB2312" w:cs="Times New Roman"/>
          <w:spacing w:val="0"/>
          <w:kern w:val="2"/>
          <w:sz w:val="32"/>
          <w:szCs w:val="32"/>
          <w:lang w:val="en-US" w:eastAsia="zh-CN" w:bidi="ar-SA"/>
        </w:rPr>
        <w:t xml:space="preserve"> </w:t>
      </w:r>
      <w:r>
        <w:rPr>
          <w:rFonts w:hint="eastAsia" w:ascii="Times New Roman" w:eastAsia="仿宋_GB2312" w:cs="Times New Roman"/>
          <w:spacing w:val="0"/>
          <w:kern w:val="2"/>
          <w:sz w:val="32"/>
          <w:szCs w:val="32"/>
          <w:lang w:bidi="ar-SA"/>
        </w:rPr>
        <w:t>管理等后勤保障工作</w:t>
      </w:r>
      <w:r>
        <w:rPr>
          <w:rFonts w:hint="eastAsia" w:ascii="Times New Roman" w:eastAsia="仿宋_GB2312" w:cs="Times New Roman"/>
          <w:spacing w:val="0"/>
          <w:kern w:val="2"/>
          <w:sz w:val="32"/>
          <w:szCs w:val="32"/>
          <w:lang w:val="en-US" w:eastAsia="zh-CN" w:bidi="ar-SA"/>
        </w:rPr>
        <w:t>用车</w:t>
      </w:r>
      <w:r>
        <w:rPr>
          <w:rFonts w:hint="eastAsia" w:ascii="Times New Roman" w:eastAsia="仿宋_GB2312" w:cs="Times New Roman"/>
          <w:spacing w:val="0"/>
          <w:kern w:val="2"/>
          <w:sz w:val="32"/>
          <w:szCs w:val="32"/>
          <w:lang w:bidi="ar-SA"/>
        </w:rPr>
        <w:t>。</w:t>
      </w:r>
    </w:p>
    <w:p w14:paraId="34A04EC3">
      <w:pPr>
        <w:keepNext w:val="0"/>
        <w:keepLines w:val="0"/>
        <w:pageBreakBefore w:val="0"/>
        <w:kinsoku/>
        <w:wordWrap/>
        <w:overflowPunct/>
        <w:topLinePunct w:val="0"/>
        <w:autoSpaceDE/>
        <w:autoSpaceDN/>
        <w:bidi w:val="0"/>
        <w:spacing w:line="560" w:lineRule="exact"/>
        <w:jc w:val="center"/>
        <w:textAlignment w:val="auto"/>
        <w:outlineLvl w:val="0"/>
        <w:rPr>
          <w:rFonts w:hint="eastAsia" w:ascii="方正小标宋简体" w:hAnsi="方正小标宋简体" w:eastAsia="方正小标宋简体" w:cs="方正小标宋简体"/>
          <w:sz w:val="44"/>
          <w:szCs w:val="44"/>
        </w:rPr>
      </w:pPr>
      <w:bookmarkStart w:id="43" w:name="_Toc15377225"/>
      <w:bookmarkStart w:id="44" w:name="_Toc15396613"/>
    </w:p>
    <w:p w14:paraId="53DC4389">
      <w:pPr>
        <w:keepNext w:val="0"/>
        <w:keepLines w:val="0"/>
        <w:pageBreakBefore w:val="0"/>
        <w:kinsoku/>
        <w:wordWrap/>
        <w:overflowPunct/>
        <w:topLinePunct w:val="0"/>
        <w:autoSpaceDE/>
        <w:autoSpaceDN/>
        <w:bidi w:val="0"/>
        <w:spacing w:line="560" w:lineRule="exact"/>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第三部分  名词解释</w:t>
      </w:r>
      <w:bookmarkEnd w:id="43"/>
      <w:bookmarkEnd w:id="44"/>
    </w:p>
    <w:p w14:paraId="61D0AB7F">
      <w:pPr>
        <w:keepNext w:val="0"/>
        <w:keepLines w:val="0"/>
        <w:pageBreakBefore w:val="0"/>
        <w:kinsoku/>
        <w:wordWrap/>
        <w:overflowPunct/>
        <w:topLinePunct w:val="0"/>
        <w:autoSpaceDE/>
        <w:autoSpaceDN/>
        <w:bidi w:val="0"/>
        <w:spacing w:line="560" w:lineRule="exact"/>
        <w:jc w:val="left"/>
        <w:textAlignment w:val="auto"/>
        <w:rPr>
          <w:b/>
          <w:sz w:val="44"/>
          <w:szCs w:val="44"/>
        </w:rPr>
      </w:pPr>
    </w:p>
    <w:p w14:paraId="76468B1A">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1.财政拨款收入：指单位从同级财政部门取得的财政预算资金。</w:t>
      </w:r>
    </w:p>
    <w:p w14:paraId="7529263A">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2.事业收入：指事业单位开展专业业务活动及辅助活动取得的收入。如（二级预算单位事业收入情况）等。</w:t>
      </w:r>
    </w:p>
    <w:p w14:paraId="3DE63F3E">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3.经营收入：指事业单位在专业业务活动及其辅助活动之外开展非独立核算经营活动取得的收入。如（二级预算单位经营收入情况）等。</w:t>
      </w:r>
    </w:p>
    <w:p w14:paraId="1E570D00">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 xml:space="preserve">4.其他收入：指单位取得的除上述收入以外的各项收入。主要是（收入类型）等。 </w:t>
      </w:r>
    </w:p>
    <w:p w14:paraId="67751B80">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 xml:space="preserve">5.使用非财政拨款结余（含专用结余）：指事业单位使用以前年度积累的非财政拨款结余弥补当年收支差额的金额。 </w:t>
      </w:r>
    </w:p>
    <w:p w14:paraId="3F476949">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 xml:space="preserve">6.年初结转和结余：指以前年度尚未完成、结转到本年按有关规定继续使用的资金。 </w:t>
      </w:r>
    </w:p>
    <w:p w14:paraId="14634AD0">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7.结余分配：指事业单位按照会计制度规定缴纳的所得税、提取的专用结余以及转入非财政拨款结余的金额等。</w:t>
      </w:r>
    </w:p>
    <w:p w14:paraId="5E9A36EB">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8.年末结转和结余：指单位按有关规定结转到下年或以后年度继续使用的资金。</w:t>
      </w:r>
    </w:p>
    <w:p w14:paraId="35FB7525">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9.一般公共服务（类）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0360BAF7">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10.外交（类）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16F0E668">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11.公共安全（类）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6BD5EFA8">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12.教育（类）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7DC2CFCD">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13.科学技术（类）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65A03701">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14.文化旅游体育与传媒（类）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28FC14B2">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15.社会保障和就业（类）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5BFEF672">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16.卫生健康（类）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66B90407">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17.节能环保（类）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7B92653D">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18.城乡社区（类）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1E6A236C">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19.农林水（类）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10E28355">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20.交通运输（类）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7BC1F95D">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21.资源勘探工业信息等（类）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20C8F3CD">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22.商业服务业（类）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1773186E">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23.金融（类）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48200AE0">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24.自然资源海洋气象等（类）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36EA9FE2">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25.住房保障（类）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7D7BF8C2">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26.粮油物资储备（类）</w:t>
      </w:r>
      <w:r>
        <w:rPr>
          <w:rFonts w:hint="eastAsia" w:eastAsia="Times New Roman" w:cs="Times New Roman"/>
          <w:sz w:val="32"/>
          <w:szCs w:val="32"/>
        </w:rPr>
        <w:t>……</w:t>
      </w:r>
      <w:r>
        <w:rPr>
          <w:rFonts w:hint="eastAsia" w:eastAsia="仿宋_GB2312" w:cs="Times New Roman"/>
          <w:sz w:val="32"/>
          <w:szCs w:val="32"/>
        </w:rPr>
        <w:t>（款）</w:t>
      </w:r>
      <w:r>
        <w:rPr>
          <w:rFonts w:hint="eastAsia" w:eastAsia="Times New Roman" w:cs="Times New Roman"/>
          <w:sz w:val="32"/>
          <w:szCs w:val="32"/>
        </w:rPr>
        <w:t>……</w:t>
      </w:r>
      <w:r>
        <w:rPr>
          <w:rFonts w:hint="eastAsia" w:eastAsia="仿宋_GB2312" w:cs="Times New Roman"/>
          <w:sz w:val="32"/>
          <w:szCs w:val="32"/>
        </w:rPr>
        <w:t>（项）：指</w:t>
      </w:r>
      <w:r>
        <w:rPr>
          <w:rFonts w:hint="eastAsia" w:eastAsia="Times New Roman" w:cs="Times New Roman"/>
          <w:sz w:val="32"/>
          <w:szCs w:val="32"/>
        </w:rPr>
        <w:t>……</w:t>
      </w:r>
    </w:p>
    <w:p w14:paraId="6B5FF128">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Times New Roman" w:cs="Times New Roman"/>
          <w:sz w:val="32"/>
          <w:szCs w:val="32"/>
        </w:rPr>
        <w:t>……</w:t>
      </w:r>
    </w:p>
    <w:p w14:paraId="55950343">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b/>
          <w:bCs/>
          <w:sz w:val="32"/>
          <w:szCs w:val="32"/>
        </w:rPr>
        <w:t>（注：解释本部门决算报表中涉及的全部功能分类科目至项级，不涉及的科目请自行删除。请参照《2025年政府收支分类科目》增减内容）</w:t>
      </w:r>
    </w:p>
    <w:p w14:paraId="7A791D5B">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27.基本支出：指为保障机构正常运转、完成日常工作任务而发生的人员支出和公用支出。</w:t>
      </w:r>
    </w:p>
    <w:p w14:paraId="5128FBEC">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 xml:space="preserve">28.项目支出：指在基本支出之外为完成特定行政任务和事业发展目标所发生的支出。 </w:t>
      </w:r>
    </w:p>
    <w:p w14:paraId="6B3B55C1">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29.经营支出：指事业单位在专业业务活动及其辅助活动之外开展非独立核算经营活动发生的支出。</w:t>
      </w:r>
    </w:p>
    <w:p w14:paraId="1A16DD8B">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Times New Roman" w:cs="Times New Roman"/>
          <w:sz w:val="32"/>
          <w:szCs w:val="32"/>
        </w:rPr>
        <w:t>30.“</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1E293E7">
      <w:pPr>
        <w:keepNext w:val="0"/>
        <w:keepLines w:val="0"/>
        <w:pageBreakBefore w:val="0"/>
        <w:kinsoku/>
        <w:wordWrap/>
        <w:overflowPunct/>
        <w:topLinePunct w:val="0"/>
        <w:autoSpaceDE/>
        <w:autoSpaceDN/>
        <w:bidi w:val="0"/>
        <w:spacing w:line="560" w:lineRule="exact"/>
        <w:ind w:firstLine="640"/>
        <w:textAlignment w:val="auto"/>
        <w:rPr>
          <w:rFonts w:eastAsia="仿宋_GB2312"/>
          <w:sz w:val="32"/>
          <w:szCs w:val="32"/>
        </w:rPr>
      </w:pPr>
      <w:r>
        <w:rPr>
          <w:rFonts w:hint="eastAsia" w:eastAsia="仿宋_GB2312" w:cs="Times New Roman"/>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9911C3">
      <w:pPr>
        <w:keepNext w:val="0"/>
        <w:keepLines w:val="0"/>
        <w:pageBreakBefore w:val="0"/>
        <w:kinsoku/>
        <w:wordWrap/>
        <w:overflowPunct/>
        <w:topLinePunct w:val="0"/>
        <w:autoSpaceDE/>
        <w:autoSpaceDN/>
        <w:bidi w:val="0"/>
        <w:spacing w:line="560" w:lineRule="exact"/>
        <w:jc w:val="center"/>
        <w:textAlignment w:val="auto"/>
        <w:rPr>
          <w:rFonts w:eastAsia="方正小标宋简体"/>
          <w:bCs/>
          <w:sz w:val="44"/>
          <w:szCs w:val="44"/>
          <w:shd w:val="clear" w:color="auto" w:fill="FFFFFF"/>
        </w:rPr>
      </w:pPr>
      <w:bookmarkStart w:id="45" w:name="_Toc15377226"/>
      <w:r>
        <w:rPr>
          <w:rFonts w:hint="eastAsia" w:eastAsia="仿宋_GB2312" w:cs="Times New Roman"/>
          <w:sz w:val="32"/>
          <w:szCs w:val="32"/>
        </w:rPr>
        <w:br w:type="page" w:clear="all"/>
      </w:r>
    </w:p>
    <w:p w14:paraId="6D5A9A60">
      <w:pPr>
        <w:keepNext w:val="0"/>
        <w:keepLines w:val="0"/>
        <w:pageBreakBefore w:val="0"/>
        <w:kinsoku/>
        <w:wordWrap/>
        <w:overflowPunct/>
        <w:topLinePunct w:val="0"/>
        <w:autoSpaceDE/>
        <w:autoSpaceDN/>
        <w:bidi w:val="0"/>
        <w:spacing w:line="560" w:lineRule="exact"/>
        <w:ind w:firstLine="640"/>
        <w:textAlignment w:val="auto"/>
        <w:rPr>
          <w:rFonts w:hint="eastAsia" w:eastAsia="仿宋_GB2312"/>
          <w:sz w:val="32"/>
          <w:szCs w:val="32"/>
        </w:rPr>
      </w:pPr>
      <w:r>
        <w:rPr>
          <w:rFonts w:hint="eastAsia" w:eastAsia="仿宋_GB2312" w:cs="Times New Roman"/>
          <w:sz w:val="32"/>
          <w:szCs w:val="32"/>
          <w:lang w:val="en-US" w:eastAsia="zh-CN"/>
        </w:rPr>
        <w:t>中心为下属单位，由局机关统一报</w:t>
      </w:r>
      <w:r>
        <w:rPr>
          <w:rFonts w:hint="eastAsia" w:eastAsia="仿宋_GB2312" w:cs="Times New Roman"/>
          <w:sz w:val="32"/>
          <w:szCs w:val="32"/>
        </w:rPr>
        <w:t>预算绩效评价报告</w:t>
      </w:r>
      <w:r>
        <w:rPr>
          <w:rFonts w:hint="eastAsia" w:eastAsia="仿宋_GB2312" w:cs="Times New Roman"/>
          <w:sz w:val="32"/>
          <w:szCs w:val="32"/>
          <w:lang w:eastAsia="zh-CN"/>
        </w:rPr>
        <w:t>。</w:t>
      </w:r>
    </w:p>
    <w:p w14:paraId="60164E20">
      <w:pPr>
        <w:pStyle w:val="16"/>
        <w:keepNext w:val="0"/>
        <w:keepLines w:val="0"/>
        <w:pageBreakBefore w:val="0"/>
        <w:kinsoku/>
        <w:wordWrap/>
        <w:overflowPunct/>
        <w:topLinePunct w:val="0"/>
        <w:autoSpaceDE/>
        <w:autoSpaceDN/>
        <w:bidi w:val="0"/>
        <w:spacing w:before="93" w:line="560" w:lineRule="exact"/>
        <w:textAlignment w:val="auto"/>
        <w:rPr>
          <w:rFonts w:ascii="Times New Roman"/>
          <w:color w:val="FF0000"/>
          <w:sz w:val="32"/>
          <w:szCs w:val="32"/>
          <w:highlight w:val="yellow"/>
          <w:shd w:val="clear" w:color="auto" w:fill="FFFFFF"/>
        </w:rPr>
      </w:pPr>
    </w:p>
    <w:p w14:paraId="534865F4">
      <w:pPr>
        <w:keepNext w:val="0"/>
        <w:keepLines w:val="0"/>
        <w:pageBreakBefore w:val="0"/>
        <w:widowControl/>
        <w:numPr>
          <w:ilvl w:val="0"/>
          <w:numId w:val="3"/>
        </w:numPr>
        <w:kinsoku/>
        <w:wordWrap/>
        <w:overflowPunct/>
        <w:topLinePunct w:val="0"/>
        <w:autoSpaceDE/>
        <w:autoSpaceDN/>
        <w:bidi w:val="0"/>
        <w:spacing w:line="560" w:lineRule="exact"/>
        <w:jc w:val="center"/>
        <w:textAlignment w:val="auto"/>
        <w:rPr>
          <w:rStyle w:val="193"/>
          <w:rFonts w:hint="eastAsia" w:ascii="方正小标宋简体" w:hAnsi="方正小标宋简体" w:eastAsia="方正小标宋简体" w:cs="方正小标宋简体"/>
          <w:b w:val="0"/>
          <w:sz w:val="44"/>
          <w:szCs w:val="44"/>
        </w:rPr>
      </w:pPr>
      <w:bookmarkStart w:id="46" w:name="_Toc15396618"/>
      <w:r>
        <w:rPr>
          <w:rStyle w:val="193"/>
          <w:rFonts w:hint="eastAsia" w:ascii="方正小标宋简体" w:hAnsi="方正小标宋简体" w:eastAsia="方正小标宋简体" w:cs="方正小标宋简体"/>
          <w:b w:val="0"/>
          <w:sz w:val="44"/>
          <w:szCs w:val="44"/>
        </w:rPr>
        <w:t>附表</w:t>
      </w:r>
      <w:bookmarkEnd w:id="45"/>
      <w:bookmarkEnd w:id="46"/>
      <w:bookmarkStart w:id="47" w:name="_Toc15396619"/>
    </w:p>
    <w:p w14:paraId="66174934">
      <w:pPr>
        <w:pStyle w:val="2"/>
        <w:numPr>
          <w:numId w:val="0"/>
        </w:numPr>
        <w:rPr>
          <w:rFonts w:hint="eastAsia"/>
        </w:rPr>
      </w:pPr>
    </w:p>
    <w:p w14:paraId="3B05A4D5">
      <w:pPr>
        <w:pStyle w:val="3"/>
        <w:rPr>
          <w:rFonts w:hint="eastAsia"/>
        </w:rPr>
      </w:pPr>
    </w:p>
    <w:p w14:paraId="5DC18C34">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r>
        <w:rPr>
          <w:rFonts w:hint="eastAsia" w:eastAsia="仿宋_GB2312" w:cs="Times New Roman"/>
          <w:sz w:val="32"/>
          <w:szCs w:val="32"/>
        </w:rPr>
        <w:t>一、收入支出决算总表</w:t>
      </w:r>
      <w:bookmarkEnd w:id="47"/>
    </w:p>
    <w:p w14:paraId="06F5F656">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48" w:name="_Toc15396620"/>
      <w:r>
        <w:rPr>
          <w:rFonts w:hint="eastAsia" w:eastAsia="仿宋_GB2312" w:cs="Times New Roman"/>
          <w:sz w:val="32"/>
          <w:szCs w:val="32"/>
        </w:rPr>
        <w:t>二、收入决算表</w:t>
      </w:r>
      <w:bookmarkEnd w:id="48"/>
    </w:p>
    <w:p w14:paraId="458388E1">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49" w:name="_Toc15396621"/>
      <w:r>
        <w:rPr>
          <w:rFonts w:hint="eastAsia" w:eastAsia="仿宋_GB2312" w:cs="Times New Roman"/>
          <w:sz w:val="32"/>
          <w:szCs w:val="32"/>
        </w:rPr>
        <w:t>三、支出决算表</w:t>
      </w:r>
      <w:bookmarkEnd w:id="49"/>
    </w:p>
    <w:p w14:paraId="46C3F946">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0" w:name="_Toc15396622"/>
      <w:r>
        <w:rPr>
          <w:rFonts w:hint="eastAsia" w:eastAsia="仿宋_GB2312" w:cs="Times New Roman"/>
          <w:sz w:val="32"/>
          <w:szCs w:val="32"/>
        </w:rPr>
        <w:t>四、财政拨款收入支出决算总表</w:t>
      </w:r>
      <w:bookmarkEnd w:id="50"/>
    </w:p>
    <w:p w14:paraId="4DCF1972">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1" w:name="_Toc15396623"/>
      <w:r>
        <w:rPr>
          <w:rFonts w:hint="eastAsia" w:eastAsia="仿宋_GB2312" w:cs="Times New Roman"/>
          <w:sz w:val="32"/>
          <w:szCs w:val="32"/>
        </w:rPr>
        <w:t>五、财政拨款支出决算明细表</w:t>
      </w:r>
      <w:bookmarkEnd w:id="51"/>
      <w:bookmarkStart w:id="52" w:name="_Toc15396624"/>
    </w:p>
    <w:p w14:paraId="3CCC96A3">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r>
        <w:rPr>
          <w:rFonts w:hint="eastAsia" w:eastAsia="仿宋_GB2312" w:cs="Times New Roman"/>
          <w:sz w:val="32"/>
          <w:szCs w:val="32"/>
        </w:rPr>
        <w:t>六、一般公共预算财政拨款支出决算表</w:t>
      </w:r>
      <w:bookmarkEnd w:id="52"/>
    </w:p>
    <w:p w14:paraId="2846ECC0">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3" w:name="_Toc15396625"/>
      <w:r>
        <w:rPr>
          <w:rFonts w:hint="eastAsia" w:eastAsia="仿宋_GB2312" w:cs="Times New Roman"/>
          <w:sz w:val="32"/>
          <w:szCs w:val="32"/>
        </w:rPr>
        <w:t>七、一般公共预算财政拨款支出决算明细表</w:t>
      </w:r>
      <w:bookmarkEnd w:id="53"/>
    </w:p>
    <w:p w14:paraId="6F642465">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4" w:name="_Toc15396626"/>
      <w:r>
        <w:rPr>
          <w:rFonts w:hint="eastAsia" w:eastAsia="仿宋_GB2312" w:cs="Times New Roman"/>
          <w:sz w:val="32"/>
          <w:szCs w:val="32"/>
        </w:rPr>
        <w:t>八、一般公共预算财政拨款基本支出决算表</w:t>
      </w:r>
      <w:bookmarkEnd w:id="54"/>
    </w:p>
    <w:p w14:paraId="455A010A">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5" w:name="_Toc15396627"/>
      <w:r>
        <w:rPr>
          <w:rFonts w:hint="eastAsia" w:eastAsia="仿宋_GB2312" w:cs="Times New Roman"/>
          <w:sz w:val="32"/>
          <w:szCs w:val="32"/>
        </w:rPr>
        <w:t>九、一般公共预算财政拨款项目支出决算表</w:t>
      </w:r>
      <w:bookmarkEnd w:id="55"/>
    </w:p>
    <w:p w14:paraId="142C4DF6">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6" w:name="_Toc15396628"/>
      <w:r>
        <w:rPr>
          <w:rFonts w:hint="eastAsia" w:eastAsia="仿宋_GB2312" w:cs="Times New Roman"/>
          <w:sz w:val="32"/>
          <w:szCs w:val="32"/>
        </w:rPr>
        <w:t>十、</w:t>
      </w:r>
      <w:bookmarkEnd w:id="56"/>
      <w:r>
        <w:rPr>
          <w:rFonts w:hint="eastAsia" w:eastAsia="仿宋_GB2312" w:cs="Times New Roman"/>
          <w:sz w:val="32"/>
          <w:szCs w:val="32"/>
        </w:rPr>
        <w:t>政府性基金预算财政拨款收入支出决算表</w:t>
      </w:r>
    </w:p>
    <w:p w14:paraId="77F78244">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7" w:name="_Toc15396629"/>
      <w:r>
        <w:rPr>
          <w:rFonts w:hint="eastAsia" w:eastAsia="仿宋_GB2312" w:cs="Times New Roman"/>
          <w:sz w:val="32"/>
          <w:szCs w:val="32"/>
        </w:rPr>
        <w:t>十一、</w:t>
      </w:r>
      <w:bookmarkEnd w:id="57"/>
      <w:r>
        <w:rPr>
          <w:rFonts w:hint="eastAsia" w:eastAsia="仿宋_GB2312" w:cs="Times New Roman"/>
          <w:sz w:val="32"/>
          <w:szCs w:val="32"/>
        </w:rPr>
        <w:t>国有资本经营预算财政拨款收入支出决算表</w:t>
      </w:r>
    </w:p>
    <w:p w14:paraId="444AF5E4">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sz w:val="32"/>
          <w:szCs w:val="32"/>
        </w:rPr>
      </w:pPr>
      <w:bookmarkStart w:id="58" w:name="_Toc15396630"/>
      <w:r>
        <w:rPr>
          <w:rFonts w:hint="eastAsia" w:eastAsia="仿宋_GB2312" w:cs="Times New Roman"/>
          <w:sz w:val="32"/>
          <w:szCs w:val="32"/>
        </w:rPr>
        <w:t>十二、</w:t>
      </w:r>
      <w:bookmarkEnd w:id="58"/>
      <w:r>
        <w:rPr>
          <w:rFonts w:hint="eastAsia" w:eastAsia="仿宋_GB2312" w:cs="Times New Roman"/>
          <w:sz w:val="32"/>
          <w:szCs w:val="32"/>
        </w:rPr>
        <w:t>国有资本经营预算财政拨款支出决算表</w:t>
      </w:r>
    </w:p>
    <w:p w14:paraId="78D0D8E6">
      <w:pPr>
        <w:pStyle w:val="2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eastAsia="仿宋_GB2312" w:cs="仿宋_GB2312"/>
          <w:sz w:val="32"/>
          <w:szCs w:val="32"/>
        </w:rPr>
      </w:pPr>
      <w:bookmarkStart w:id="59" w:name="_Toc15396631"/>
      <w:r>
        <w:rPr>
          <w:rFonts w:hint="eastAsia" w:eastAsia="仿宋_GB2312" w:cs="Times New Roman"/>
          <w:sz w:val="32"/>
          <w:szCs w:val="32"/>
        </w:rPr>
        <w:t>十三、</w:t>
      </w:r>
      <w:bookmarkEnd w:id="59"/>
      <w:r>
        <w:rPr>
          <w:rFonts w:hint="eastAsia" w:eastAsia="仿宋_GB2312" w:cs="Times New Roman"/>
          <w:sz w:val="32"/>
          <w:szCs w:val="32"/>
        </w:rPr>
        <w:t>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经费支出决算表</w:t>
      </w:r>
    </w:p>
    <w:p w14:paraId="0BE0D1C3">
      <w:pPr>
        <w:keepNext w:val="0"/>
        <w:keepLines w:val="0"/>
        <w:pageBreakBefore w:val="0"/>
        <w:widowControl w:val="0"/>
        <w:kinsoku/>
        <w:wordWrap/>
        <w:overflowPunct/>
        <w:topLinePunct w:val="0"/>
        <w:autoSpaceDE/>
        <w:autoSpaceDN/>
        <w:bidi w:val="0"/>
        <w:spacing w:line="560" w:lineRule="exact"/>
        <w:ind w:firstLine="420" w:firstLineChars="200"/>
        <w:textAlignment w:val="auto"/>
      </w:pPr>
    </w:p>
    <w:sectPr>
      <w:footerReference r:id="rId7" w:type="first"/>
      <w:footerReference r:id="rId6" w:type="default"/>
      <w:pgSz w:w="11906" w:h="16838"/>
      <w:pgMar w:top="2098" w:right="1474" w:bottom="1984" w:left="1587"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DejaVu Sans"/>
    <w:panose1 w:val="020B0603030804020204"/>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E4C3D">
    <w:pPr>
      <w:pStyle w:val="2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D47EB">
                          <w:pPr>
                            <w:pStyle w:val="2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E2D47EB">
                    <w:pPr>
                      <w:pStyle w:val="2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115BFF92">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56ABB">
    <w:pPr>
      <w:pStyle w:val="2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48C1">
                          <w:pPr>
                            <w:pStyle w:val="2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DC648C1">
                    <w:pPr>
                      <w:pStyle w:val="2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BA59">
    <w:pPr>
      <w:pStyle w:val="2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C6BEBF">
                          <w:pPr>
                            <w:pStyle w:val="2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C6BEBF">
                    <w:pPr>
                      <w:pStyle w:val="2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14:paraId="14FFB283">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3934">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102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71B6399E">
                          <w:pPr>
                            <w:pStyle w:val="2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PP4btyQEAALIDAAAOAAAAAAAAAAEAIAAAAB4BAABkcnMvZTJvRG9j&#10;LnhtbFBLBQYAAAAABgAGAFkBAABZBQAAAAA=&#10;">
              <v:fill on="f" focussize="0,0"/>
              <v:stroke on="f" joinstyle="miter"/>
              <v:imagedata o:title=""/>
              <o:lock v:ext="edit" aspectratio="f"/>
              <v:textbox inset="0mm,0mm,0mm,0mm" style="mso-fit-shape-to-text:t;">
                <w:txbxContent>
                  <w:p w14:paraId="71B6399E">
                    <w:pPr>
                      <w:pStyle w:val="2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E854">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C208C"/>
    <w:multiLevelType w:val="singleLevel"/>
    <w:tmpl w:val="F2BC208C"/>
    <w:lvl w:ilvl="0" w:tentative="0">
      <w:start w:val="5"/>
      <w:numFmt w:val="chineseCounting"/>
      <w:suff w:val="space"/>
      <w:lvlText w:val="第%1部分"/>
      <w:lvlJc w:val="left"/>
      <w:rPr>
        <w:rFonts w:hint="eastAsia"/>
      </w:rPr>
    </w:lvl>
  </w:abstractNum>
  <w:abstractNum w:abstractNumId="1">
    <w:nsid w:val="F684BBA1"/>
    <w:multiLevelType w:val="multilevel"/>
    <w:tmpl w:val="F684BBA1"/>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7D7FD309"/>
    <w:multiLevelType w:val="singleLevel"/>
    <w:tmpl w:val="7D7FD309"/>
    <w:lvl w:ilvl="0" w:tentative="0">
      <w:start w:val="2"/>
      <w:numFmt w:val="chineseCounting"/>
      <w:suff w:val="space"/>
      <w:lvlText w:val="第%1部分"/>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0"/>
  <w:drawingGridVerticalSpacing w:val="312"/>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FD1038"/>
    <w:rsid w:val="6B1CC221"/>
    <w:rsid w:val="7CED62A0"/>
    <w:rsid w:val="7D3DB138"/>
    <w:rsid w:val="7E3301A4"/>
    <w:rsid w:val="B5CB660F"/>
    <w:rsid w:val="BCCD1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5">
    <w:name w:val="heading 1"/>
    <w:basedOn w:val="1"/>
    <w:next w:val="1"/>
    <w:link w:val="193"/>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19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197"/>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42"/>
    <w:unhideWhenUsed/>
    <w:qFormat/>
    <w:uiPriority w:val="9"/>
    <w:pPr>
      <w:keepNext/>
      <w:keepLines/>
      <w:spacing w:before="320" w:after="200"/>
      <w:outlineLvl w:val="3"/>
    </w:pPr>
    <w:rPr>
      <w:rFonts w:ascii="Arial" w:hAnsi="Arial" w:eastAsia="Arial" w:cs="Arial"/>
      <w:b/>
      <w:bCs/>
      <w:sz w:val="26"/>
      <w:szCs w:val="26"/>
    </w:rPr>
  </w:style>
  <w:style w:type="paragraph" w:styleId="9">
    <w:name w:val="heading 5"/>
    <w:basedOn w:val="1"/>
    <w:next w:val="1"/>
    <w:link w:val="43"/>
    <w:unhideWhenUsed/>
    <w:qFormat/>
    <w:uiPriority w:val="9"/>
    <w:pPr>
      <w:keepNext/>
      <w:keepLines/>
      <w:spacing w:before="320" w:after="200"/>
      <w:outlineLvl w:val="4"/>
    </w:pPr>
    <w:rPr>
      <w:rFonts w:ascii="Arial" w:hAnsi="Arial" w:eastAsia="Arial" w:cs="Arial"/>
      <w:b/>
      <w:bCs/>
      <w:sz w:val="24"/>
      <w:szCs w:val="24"/>
    </w:rPr>
  </w:style>
  <w:style w:type="paragraph" w:styleId="10">
    <w:name w:val="heading 6"/>
    <w:basedOn w:val="1"/>
    <w:next w:val="1"/>
    <w:link w:val="44"/>
    <w:unhideWhenUsed/>
    <w:qFormat/>
    <w:uiPriority w:val="9"/>
    <w:pPr>
      <w:keepNext/>
      <w:keepLines/>
      <w:spacing w:before="320" w:after="200"/>
      <w:outlineLvl w:val="5"/>
    </w:pPr>
    <w:rPr>
      <w:rFonts w:ascii="Arial" w:hAnsi="Arial" w:eastAsia="Arial" w:cs="Arial"/>
      <w:b/>
      <w:bCs/>
      <w:sz w:val="22"/>
      <w:szCs w:val="22"/>
    </w:rPr>
  </w:style>
  <w:style w:type="paragraph" w:styleId="11">
    <w:name w:val="heading 7"/>
    <w:basedOn w:val="1"/>
    <w:next w:val="1"/>
    <w:link w:val="45"/>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46"/>
    <w:unhideWhenUsed/>
    <w:qFormat/>
    <w:uiPriority w:val="9"/>
    <w:pPr>
      <w:keepNext/>
      <w:keepLines/>
      <w:spacing w:before="320" w:after="200"/>
      <w:outlineLvl w:val="7"/>
    </w:pPr>
    <w:rPr>
      <w:rFonts w:ascii="Arial" w:hAnsi="Arial" w:eastAsia="Arial" w:cs="Arial"/>
      <w:i/>
      <w:iCs/>
      <w:sz w:val="22"/>
      <w:szCs w:val="22"/>
    </w:rPr>
  </w:style>
  <w:style w:type="paragraph" w:styleId="13">
    <w:name w:val="heading 9"/>
    <w:basedOn w:val="1"/>
    <w:next w:val="1"/>
    <w:link w:val="47"/>
    <w:unhideWhenUsed/>
    <w:qFormat/>
    <w:uiPriority w:val="9"/>
    <w:pPr>
      <w:keepNext/>
      <w:keepLines/>
      <w:spacing w:before="320" w:after="200"/>
      <w:outlineLvl w:val="8"/>
    </w:pPr>
    <w:rPr>
      <w:rFonts w:ascii="Arial" w:hAnsi="Arial" w:eastAsia="Arial" w:cs="Arial"/>
      <w:i/>
      <w:iCs/>
      <w:sz w:val="21"/>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pPr>
      <w:widowControl/>
    </w:pPr>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14">
    <w:name w:val="toc 7"/>
    <w:basedOn w:val="1"/>
    <w:next w:val="1"/>
    <w:unhideWhenUsed/>
    <w:qFormat/>
    <w:uiPriority w:val="39"/>
    <w:pPr>
      <w:spacing w:after="57"/>
      <w:ind w:left="1701" w:right="0" w:firstLine="0"/>
    </w:p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Body Text"/>
    <w:basedOn w:val="1"/>
    <w:link w:val="190"/>
    <w:qFormat/>
    <w:uiPriority w:val="99"/>
    <w:pPr>
      <w:spacing w:beforeLines="30"/>
    </w:pPr>
    <w:rPr>
      <w:rFonts w:ascii="仿宋_GB2312" w:eastAsia="仿宋_GB2312"/>
      <w:kern w:val="0"/>
      <w:sz w:val="30"/>
    </w:r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tabs>
        <w:tab w:val="right" w:leader="dot" w:pos="8296"/>
      </w:tabs>
      <w:ind w:left="840" w:leftChars="400"/>
    </w:pPr>
  </w:style>
  <w:style w:type="paragraph" w:styleId="19">
    <w:name w:val="toc 8"/>
    <w:basedOn w:val="1"/>
    <w:next w:val="1"/>
    <w:unhideWhenUsed/>
    <w:qFormat/>
    <w:uiPriority w:val="39"/>
    <w:pPr>
      <w:spacing w:after="57"/>
      <w:ind w:left="1984" w:right="0" w:firstLine="0"/>
    </w:pPr>
  </w:style>
  <w:style w:type="paragraph" w:styleId="20">
    <w:name w:val="endnote text"/>
    <w:basedOn w:val="1"/>
    <w:link w:val="182"/>
    <w:semiHidden/>
    <w:unhideWhenUsed/>
    <w:qFormat/>
    <w:uiPriority w:val="99"/>
    <w:pPr>
      <w:spacing w:after="0" w:line="240" w:lineRule="auto"/>
    </w:pPr>
    <w:rPr>
      <w:sz w:val="20"/>
    </w:rPr>
  </w:style>
  <w:style w:type="paragraph" w:styleId="21">
    <w:name w:val="Balloon Text"/>
    <w:basedOn w:val="1"/>
    <w:link w:val="196"/>
    <w:semiHidden/>
    <w:unhideWhenUsed/>
    <w:qFormat/>
    <w:uiPriority w:val="99"/>
    <w:rPr>
      <w:sz w:val="18"/>
      <w:szCs w:val="18"/>
    </w:rPr>
  </w:style>
  <w:style w:type="paragraph" w:styleId="22">
    <w:name w:val="footer"/>
    <w:basedOn w:val="1"/>
    <w:link w:val="188"/>
    <w:qFormat/>
    <w:uiPriority w:val="99"/>
    <w:pPr>
      <w:tabs>
        <w:tab w:val="center" w:pos="4153"/>
        <w:tab w:val="right" w:pos="8306"/>
      </w:tabs>
      <w:snapToGrid w:val="0"/>
      <w:jc w:val="left"/>
    </w:pPr>
    <w:rPr>
      <w:rFonts w:ascii="Calibri" w:hAnsi="Calibri"/>
      <w:kern w:val="0"/>
      <w:sz w:val="18"/>
      <w:szCs w:val="18"/>
    </w:rPr>
  </w:style>
  <w:style w:type="paragraph" w:styleId="23">
    <w:name w:val="header"/>
    <w:basedOn w:val="1"/>
    <w:link w:val="18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25">
    <w:name w:val="toc 4"/>
    <w:basedOn w:val="1"/>
    <w:next w:val="1"/>
    <w:unhideWhenUsed/>
    <w:qFormat/>
    <w:uiPriority w:val="39"/>
    <w:pPr>
      <w:spacing w:after="57"/>
      <w:ind w:left="850" w:right="0" w:firstLine="0"/>
    </w:pPr>
  </w:style>
  <w:style w:type="paragraph" w:styleId="26">
    <w:name w:val="Subtitle"/>
    <w:basedOn w:val="1"/>
    <w:next w:val="1"/>
    <w:link w:val="50"/>
    <w:qFormat/>
    <w:uiPriority w:val="11"/>
    <w:pPr>
      <w:spacing w:before="200" w:after="200"/>
    </w:pPr>
    <w:rPr>
      <w:sz w:val="24"/>
      <w:szCs w:val="24"/>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tabs>
        <w:tab w:val="right" w:leader="dot" w:pos="8296"/>
      </w:tabs>
      <w:ind w:left="420" w:leftChars="200"/>
    </w:pPr>
  </w:style>
  <w:style w:type="paragraph" w:styleId="30">
    <w:name w:val="toc 9"/>
    <w:basedOn w:val="1"/>
    <w:next w:val="1"/>
    <w:unhideWhenUsed/>
    <w:qFormat/>
    <w:uiPriority w:val="39"/>
    <w:pPr>
      <w:spacing w:after="57"/>
      <w:ind w:left="2268" w:right="0" w:firstLine="0"/>
    </w:pPr>
  </w:style>
  <w:style w:type="paragraph" w:styleId="31">
    <w:name w:val="Title"/>
    <w:basedOn w:val="1"/>
    <w:next w:val="1"/>
    <w:link w:val="49"/>
    <w:qFormat/>
    <w:uiPriority w:val="10"/>
    <w:pPr>
      <w:spacing w:before="300" w:after="200"/>
      <w:contextualSpacing/>
    </w:pPr>
    <w:rPr>
      <w:sz w:val="48"/>
      <w:szCs w:val="48"/>
    </w:rPr>
  </w:style>
  <w:style w:type="table" w:styleId="33">
    <w:name w:val="Table Grid"/>
    <w:basedOn w:val="3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Strong"/>
    <w:basedOn w:val="34"/>
    <w:qFormat/>
    <w:uiPriority w:val="99"/>
    <w:rPr>
      <w:b/>
    </w:rPr>
  </w:style>
  <w:style w:type="character" w:styleId="36">
    <w:name w:val="endnote reference"/>
    <w:basedOn w:val="34"/>
    <w:semiHidden/>
    <w:unhideWhenUsed/>
    <w:qFormat/>
    <w:uiPriority w:val="99"/>
    <w:rPr>
      <w:vertAlign w:val="superscript"/>
    </w:rPr>
  </w:style>
  <w:style w:type="character" w:styleId="37">
    <w:name w:val="Hyperlink"/>
    <w:basedOn w:val="34"/>
    <w:unhideWhenUsed/>
    <w:qFormat/>
    <w:uiPriority w:val="99"/>
    <w:rPr>
      <w:color w:val="0000FF" w:themeColor="hyperlink"/>
      <w:u w:val="single"/>
      <w14:textFill>
        <w14:solidFill>
          <w14:schemeClr w14:val="hlink"/>
        </w14:solidFill>
      </w14:textFill>
    </w:rPr>
  </w:style>
  <w:style w:type="character" w:styleId="38">
    <w:name w:val="footnote reference"/>
    <w:basedOn w:val="34"/>
    <w:unhideWhenUsed/>
    <w:qFormat/>
    <w:uiPriority w:val="99"/>
    <w:rPr>
      <w:vertAlign w:val="superscript"/>
    </w:rPr>
  </w:style>
  <w:style w:type="character" w:customStyle="1" w:styleId="39">
    <w:name w:val="Heading 1 Char"/>
    <w:basedOn w:val="34"/>
    <w:qFormat/>
    <w:uiPriority w:val="9"/>
    <w:rPr>
      <w:rFonts w:ascii="Arial" w:hAnsi="Arial" w:eastAsia="Arial" w:cs="Arial"/>
      <w:sz w:val="40"/>
      <w:szCs w:val="40"/>
    </w:rPr>
  </w:style>
  <w:style w:type="character" w:customStyle="1" w:styleId="40">
    <w:name w:val="Heading 2 Char"/>
    <w:basedOn w:val="34"/>
    <w:qFormat/>
    <w:uiPriority w:val="9"/>
    <w:rPr>
      <w:rFonts w:ascii="Arial" w:hAnsi="Arial" w:eastAsia="Arial" w:cs="Arial"/>
      <w:sz w:val="34"/>
    </w:rPr>
  </w:style>
  <w:style w:type="character" w:customStyle="1" w:styleId="41">
    <w:name w:val="Heading 3 Char"/>
    <w:basedOn w:val="34"/>
    <w:qFormat/>
    <w:uiPriority w:val="9"/>
    <w:rPr>
      <w:rFonts w:ascii="Arial" w:hAnsi="Arial" w:eastAsia="Arial" w:cs="Arial"/>
      <w:sz w:val="30"/>
      <w:szCs w:val="30"/>
    </w:rPr>
  </w:style>
  <w:style w:type="character" w:customStyle="1" w:styleId="42">
    <w:name w:val="Heading 4 Char"/>
    <w:basedOn w:val="34"/>
    <w:link w:val="8"/>
    <w:qFormat/>
    <w:uiPriority w:val="9"/>
    <w:rPr>
      <w:rFonts w:ascii="Arial" w:hAnsi="Arial" w:eastAsia="Arial" w:cs="Arial"/>
      <w:b/>
      <w:bCs/>
      <w:sz w:val="26"/>
      <w:szCs w:val="26"/>
    </w:rPr>
  </w:style>
  <w:style w:type="character" w:customStyle="1" w:styleId="43">
    <w:name w:val="Heading 5 Char"/>
    <w:basedOn w:val="34"/>
    <w:link w:val="9"/>
    <w:qFormat/>
    <w:uiPriority w:val="9"/>
    <w:rPr>
      <w:rFonts w:ascii="Arial" w:hAnsi="Arial" w:eastAsia="Arial" w:cs="Arial"/>
      <w:b/>
      <w:bCs/>
      <w:sz w:val="24"/>
      <w:szCs w:val="24"/>
    </w:rPr>
  </w:style>
  <w:style w:type="character" w:customStyle="1" w:styleId="44">
    <w:name w:val="Heading 6 Char"/>
    <w:basedOn w:val="34"/>
    <w:link w:val="10"/>
    <w:qFormat/>
    <w:uiPriority w:val="9"/>
    <w:rPr>
      <w:rFonts w:ascii="Arial" w:hAnsi="Arial" w:eastAsia="Arial" w:cs="Arial"/>
      <w:b/>
      <w:bCs/>
      <w:sz w:val="22"/>
      <w:szCs w:val="22"/>
    </w:rPr>
  </w:style>
  <w:style w:type="character" w:customStyle="1" w:styleId="45">
    <w:name w:val="Heading 7 Char"/>
    <w:basedOn w:val="34"/>
    <w:link w:val="11"/>
    <w:qFormat/>
    <w:uiPriority w:val="9"/>
    <w:rPr>
      <w:rFonts w:ascii="Arial" w:hAnsi="Arial" w:eastAsia="Arial" w:cs="Arial"/>
      <w:b/>
      <w:bCs/>
      <w:i/>
      <w:iCs/>
      <w:sz w:val="22"/>
      <w:szCs w:val="22"/>
    </w:rPr>
  </w:style>
  <w:style w:type="character" w:customStyle="1" w:styleId="46">
    <w:name w:val="Heading 8 Char"/>
    <w:basedOn w:val="34"/>
    <w:link w:val="12"/>
    <w:qFormat/>
    <w:uiPriority w:val="9"/>
    <w:rPr>
      <w:rFonts w:ascii="Arial" w:hAnsi="Arial" w:eastAsia="Arial" w:cs="Arial"/>
      <w:i/>
      <w:iCs/>
      <w:sz w:val="22"/>
      <w:szCs w:val="22"/>
    </w:rPr>
  </w:style>
  <w:style w:type="character" w:customStyle="1" w:styleId="47">
    <w:name w:val="Heading 9 Char"/>
    <w:basedOn w:val="34"/>
    <w:link w:val="13"/>
    <w:qFormat/>
    <w:uiPriority w:val="9"/>
    <w:rPr>
      <w:rFonts w:ascii="Arial" w:hAnsi="Arial" w:eastAsia="Arial" w:cs="Arial"/>
      <w:i/>
      <w:iCs/>
      <w:sz w:val="21"/>
      <w:szCs w:val="21"/>
    </w:rPr>
  </w:style>
  <w:style w:type="paragraph" w:styleId="48">
    <w:name w:val="No Spacing"/>
    <w:qFormat/>
    <w:uiPriority w:val="1"/>
    <w:pPr>
      <w:spacing w:before="0" w:after="0" w:line="240" w:lineRule="auto"/>
    </w:pPr>
    <w:rPr>
      <w:rFonts w:hint="default" w:ascii="Times New Roman" w:hAnsi="Times New Roman" w:eastAsia="宋体" w:cs="Times New Roman"/>
    </w:rPr>
  </w:style>
  <w:style w:type="character" w:customStyle="1" w:styleId="49">
    <w:name w:val="Title Char"/>
    <w:basedOn w:val="34"/>
    <w:link w:val="31"/>
    <w:qFormat/>
    <w:uiPriority w:val="10"/>
    <w:rPr>
      <w:sz w:val="48"/>
      <w:szCs w:val="48"/>
    </w:rPr>
  </w:style>
  <w:style w:type="character" w:customStyle="1" w:styleId="50">
    <w:name w:val="Subtitle Char"/>
    <w:basedOn w:val="34"/>
    <w:link w:val="26"/>
    <w:qFormat/>
    <w:uiPriority w:val="11"/>
    <w:rPr>
      <w:sz w:val="24"/>
      <w:szCs w:val="24"/>
    </w:rPr>
  </w:style>
  <w:style w:type="paragraph" w:styleId="51">
    <w:name w:val="Quote"/>
    <w:basedOn w:val="1"/>
    <w:next w:val="1"/>
    <w:link w:val="52"/>
    <w:qFormat/>
    <w:uiPriority w:val="29"/>
    <w:pPr>
      <w:ind w:left="720" w:right="720"/>
    </w:pPr>
    <w:rPr>
      <w:i/>
    </w:rPr>
  </w:style>
  <w:style w:type="character" w:customStyle="1" w:styleId="52">
    <w:name w:val="Quote Char"/>
    <w:link w:val="51"/>
    <w:qFormat/>
    <w:uiPriority w:val="29"/>
    <w:rPr>
      <w:i/>
    </w:rPr>
  </w:style>
  <w:style w:type="paragraph" w:styleId="53">
    <w:name w:val="Intense Quote"/>
    <w:basedOn w:val="1"/>
    <w:next w:val="1"/>
    <w:link w:val="5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4">
    <w:name w:val="Intense Quote Char"/>
    <w:link w:val="53"/>
    <w:qFormat/>
    <w:uiPriority w:val="30"/>
    <w:rPr>
      <w:i/>
    </w:rPr>
  </w:style>
  <w:style w:type="character" w:customStyle="1" w:styleId="55">
    <w:name w:val="Caption Char"/>
    <w:qFormat/>
    <w:uiPriority w:val="99"/>
  </w:style>
  <w:style w:type="table" w:customStyle="1" w:styleId="56">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7">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4">
    <w:name w:val="Grid Table 1 Light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5">
    <w:name w:val="Grid Table 1 Light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6">
    <w:name w:val="Grid Table 1 Light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7">
    <w:name w:val="Grid Table 1 Light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8">
    <w:name w:val="Grid Table 1 Light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9">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1">
    <w:name w:val="Grid Table 2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2">
    <w:name w:val="Grid Table 2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3">
    <w:name w:val="Grid Table 2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4">
    <w:name w:val="Grid Table 2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5">
    <w:name w:val="Grid Table 2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6">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3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3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3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3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3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basedOn w:val="3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5">
    <w:name w:val="Grid Table 4 - Accent 2"/>
    <w:basedOn w:val="3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4 - Accent 3"/>
    <w:basedOn w:val="3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4 - Accent 4"/>
    <w:basedOn w:val="3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4 - Accent 5"/>
    <w:basedOn w:val="3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4 - Accent 6"/>
    <w:basedOn w:val="3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2">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3">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4">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5">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6">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7">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basedOn w:val="3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basedOn w:val="3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1">
    <w:name w:val="Grid Table 6 Colorful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basedOn w:val="3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3">
    <w:name w:val="Grid Table 6 Colorful - Accent 6"/>
    <w:basedOn w:val="3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4">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basedOn w:val="3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basedOn w:val="3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basedOn w:val="3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8">
    <w:name w:val="Grid Table 7 Colorful - Accent 4"/>
    <w:basedOn w:val="3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basedOn w:val="3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7 Colorful - Accent 6"/>
    <w:basedOn w:val="3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1">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basedOn w:val="3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3">
    <w:name w:val="List Table 1 Light - Accent 2"/>
    <w:basedOn w:val="3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4">
    <w:name w:val="List Table 1 Light - Accent 3"/>
    <w:basedOn w:val="3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5">
    <w:name w:val="List Table 1 Light - Accent 4"/>
    <w:basedOn w:val="3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6">
    <w:name w:val="List Table 1 Light - Accent 5"/>
    <w:basedOn w:val="3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7">
    <w:name w:val="List Table 1 Light - Accent 6"/>
    <w:basedOn w:val="3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8">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basedOn w:val="3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0">
    <w:name w:val="List Table 2 - Accent 2"/>
    <w:basedOn w:val="3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1">
    <w:name w:val="List Table 2 - Accent 3"/>
    <w:basedOn w:val="3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2">
    <w:name w:val="List Table 2 - Accent 4"/>
    <w:basedOn w:val="3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3">
    <w:name w:val="List Table 2 - Accent 5"/>
    <w:basedOn w:val="3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4">
    <w:name w:val="List Table 2 - Accent 6"/>
    <w:basedOn w:val="3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5">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basedOn w:val="3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7">
    <w:name w:val="List Table 3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8">
    <w:name w:val="List Table 3 - Accent 3"/>
    <w:basedOn w:val="3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9">
    <w:name w:val="List Table 3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0">
    <w:name w:val="List Table 3 - Accent 5"/>
    <w:basedOn w:val="3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1">
    <w:name w:val="List Table 3 - Accent 6"/>
    <w:basedOn w:val="3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2">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basedOn w:val="32"/>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4">
    <w:name w:val="List Table 4 - Accent 2"/>
    <w:basedOn w:val="3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5">
    <w:name w:val="List Table 4 - Accent 3"/>
    <w:basedOn w:val="3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6">
    <w:name w:val="List Table 4 - Accent 4"/>
    <w:basedOn w:val="3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7">
    <w:name w:val="List Table 4 - Accent 5"/>
    <w:basedOn w:val="3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8">
    <w:name w:val="List Table 4 - Accent 6"/>
    <w:basedOn w:val="3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9">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basedOn w:val="3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1">
    <w:name w:val="List Table 5 Dark - Accent 2"/>
    <w:basedOn w:val="3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2">
    <w:name w:val="List Table 5 Dark - Accent 3"/>
    <w:basedOn w:val="3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3">
    <w:name w:val="List Table 5 Dark - Accent 4"/>
    <w:basedOn w:val="3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4">
    <w:name w:val="List Table 5 Dark - Accent 5"/>
    <w:basedOn w:val="3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5">
    <w:name w:val="List Table 5 Dark - Accent 6"/>
    <w:basedOn w:val="3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6">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basedOn w:val="3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8">
    <w:name w:val="List Table 6 Colorful - Accent 2"/>
    <w:basedOn w:val="3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basedOn w:val="3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basedOn w:val="3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basedOn w:val="3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basedOn w:val="32"/>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3">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basedOn w:val="3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7 Colorful - Accent 2"/>
    <w:basedOn w:val="3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basedOn w:val="3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basedOn w:val="3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basedOn w:val="32"/>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basedOn w:val="32"/>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ned - Accent"/>
    <w:basedOn w:val="3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2">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3">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4">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5">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6">
    <w:name w:val="Lined - Accent 6"/>
    <w:basedOn w:val="32"/>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7">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basedOn w:val="32"/>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Bordered &amp; Lined - Accent 2"/>
    <w:basedOn w:val="3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Bordered &amp; Lined - Accent 3"/>
    <w:basedOn w:val="3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Bordered &amp; Lined - Accent 4"/>
    <w:basedOn w:val="3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Bordered &amp; Lined - Accent 5"/>
    <w:basedOn w:val="3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Bordered &amp; Lined - Accent 6"/>
    <w:basedOn w:val="3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6">
    <w:name w:val="Bordered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7">
    <w:name w:val="Bordered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8">
    <w:name w:val="Bordered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9">
    <w:name w:val="Bordered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0">
    <w:name w:val="Bordered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1">
    <w:name w:val="Footnote Text Char"/>
    <w:qFormat/>
    <w:uiPriority w:val="99"/>
    <w:rPr>
      <w:sz w:val="18"/>
    </w:rPr>
  </w:style>
  <w:style w:type="character" w:customStyle="1" w:styleId="182">
    <w:name w:val="Endnote Text Char"/>
    <w:link w:val="20"/>
    <w:qFormat/>
    <w:uiPriority w:val="99"/>
    <w:rPr>
      <w:sz w:val="20"/>
    </w:rPr>
  </w:style>
  <w:style w:type="paragraph" w:customStyle="1" w:styleId="183">
    <w:name w:val="TOC Heading"/>
    <w:unhideWhenUsed/>
    <w:qFormat/>
    <w:uiPriority w:val="39"/>
    <w:rPr>
      <w:rFonts w:hint="default" w:ascii="Times New Roman" w:hAnsi="Times New Roman" w:eastAsia="宋体" w:cs="Times New Roman"/>
    </w:rPr>
  </w:style>
  <w:style w:type="paragraph" w:customStyle="1" w:styleId="184">
    <w:name w:val="标题 5（有编号）（绿盟科技）"/>
    <w:next w:val="1"/>
    <w:qFormat/>
    <w:uiPriority w:val="99"/>
    <w:pPr>
      <w:keepNext/>
      <w:keepLines/>
      <w:widowControl w:val="0"/>
      <w:spacing w:before="280" w:after="156" w:line="377" w:lineRule="auto"/>
      <w:outlineLvl w:val="4"/>
    </w:pPr>
    <w:rPr>
      <w:rFonts w:hint="default" w:ascii="Arial" w:hAnsi="Arial" w:eastAsia="黑体" w:cs="Times New Roman"/>
      <w:b/>
      <w:kern w:val="2"/>
      <w:sz w:val="24"/>
      <w:szCs w:val="28"/>
      <w:lang w:val="en-US" w:eastAsia="zh-CN" w:bidi="ar-SA"/>
    </w:rPr>
  </w:style>
  <w:style w:type="character" w:customStyle="1" w:styleId="185">
    <w:name w:val="Header Char"/>
    <w:basedOn w:val="34"/>
    <w:semiHidden/>
    <w:qFormat/>
    <w:uiPriority w:val="99"/>
    <w:rPr>
      <w:rFonts w:ascii="Times New Roman" w:hAnsi="Times New Roman"/>
      <w:sz w:val="18"/>
      <w:szCs w:val="18"/>
    </w:rPr>
  </w:style>
  <w:style w:type="character" w:customStyle="1" w:styleId="186">
    <w:name w:val="页眉 Char"/>
    <w:link w:val="23"/>
    <w:semiHidden/>
    <w:qFormat/>
    <w:uiPriority w:val="99"/>
    <w:rPr>
      <w:sz w:val="18"/>
    </w:rPr>
  </w:style>
  <w:style w:type="character" w:customStyle="1" w:styleId="187">
    <w:name w:val="Footer Char"/>
    <w:basedOn w:val="34"/>
    <w:semiHidden/>
    <w:qFormat/>
    <w:uiPriority w:val="99"/>
    <w:rPr>
      <w:rFonts w:ascii="Times New Roman" w:hAnsi="Times New Roman"/>
      <w:sz w:val="18"/>
      <w:szCs w:val="18"/>
    </w:rPr>
  </w:style>
  <w:style w:type="character" w:customStyle="1" w:styleId="188">
    <w:name w:val="页脚 Char"/>
    <w:link w:val="22"/>
    <w:qFormat/>
    <w:uiPriority w:val="99"/>
    <w:rPr>
      <w:sz w:val="18"/>
    </w:rPr>
  </w:style>
  <w:style w:type="character" w:customStyle="1" w:styleId="189">
    <w:name w:val="Body Text Char"/>
    <w:basedOn w:val="34"/>
    <w:semiHidden/>
    <w:qFormat/>
    <w:uiPriority w:val="99"/>
    <w:rPr>
      <w:rFonts w:ascii="Times New Roman" w:hAnsi="Times New Roman"/>
      <w:szCs w:val="24"/>
    </w:rPr>
  </w:style>
  <w:style w:type="character" w:customStyle="1" w:styleId="190">
    <w:name w:val="正文文本 Char"/>
    <w:link w:val="16"/>
    <w:qFormat/>
    <w:uiPriority w:val="99"/>
    <w:rPr>
      <w:rFonts w:ascii="仿宋_GB2312" w:hAnsi="Times New Roman" w:eastAsia="仿宋_GB2312"/>
      <w:sz w:val="24"/>
    </w:rPr>
  </w:style>
  <w:style w:type="paragraph" w:customStyle="1" w:styleId="191">
    <w:name w:val="Default"/>
    <w:qFormat/>
    <w:uiPriority w:val="99"/>
    <w:pPr>
      <w:widowControl w:val="0"/>
      <w:autoSpaceDE w:val="0"/>
      <w:autoSpaceDN w:val="0"/>
      <w:adjustRightInd w:val="0"/>
    </w:pPr>
    <w:rPr>
      <w:rFonts w:hint="default" w:ascii="仿宋" w:hAnsi="Calibri" w:eastAsia="仿宋" w:cs="仿宋"/>
      <w:color w:val="000000"/>
      <w:sz w:val="24"/>
      <w:szCs w:val="24"/>
      <w:lang w:val="en-US" w:eastAsia="zh-CN" w:bidi="ar-SA"/>
    </w:rPr>
  </w:style>
  <w:style w:type="paragraph" w:styleId="192">
    <w:name w:val="List Paragraph"/>
    <w:basedOn w:val="1"/>
    <w:qFormat/>
    <w:uiPriority w:val="34"/>
    <w:pPr>
      <w:ind w:firstLine="420" w:firstLineChars="200"/>
    </w:pPr>
  </w:style>
  <w:style w:type="character" w:customStyle="1" w:styleId="193">
    <w:name w:val="标题 1 Char"/>
    <w:basedOn w:val="34"/>
    <w:link w:val="5"/>
    <w:qFormat/>
    <w:uiPriority w:val="9"/>
    <w:rPr>
      <w:rFonts w:ascii="Times New Roman" w:hAnsi="Times New Roman"/>
      <w:b/>
      <w:bCs/>
      <w:kern w:val="44"/>
      <w:sz w:val="44"/>
      <w:szCs w:val="44"/>
    </w:rPr>
  </w:style>
  <w:style w:type="character" w:customStyle="1" w:styleId="194">
    <w:name w:val="标题 2 Char"/>
    <w:basedOn w:val="34"/>
    <w:link w:val="6"/>
    <w:qFormat/>
    <w:uiPriority w:val="9"/>
    <w:rPr>
      <w:rFonts w:asciiTheme="majorHAnsi" w:hAnsiTheme="majorHAnsi" w:eastAsiaTheme="majorEastAsia" w:cstheme="majorBidi"/>
      <w:b/>
      <w:bCs/>
      <w:kern w:val="2"/>
      <w:sz w:val="32"/>
      <w:szCs w:val="32"/>
    </w:rPr>
  </w:style>
  <w:style w:type="paragraph" w:customStyle="1" w:styleId="195">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96">
    <w:name w:val="批注框文本 Char"/>
    <w:basedOn w:val="34"/>
    <w:link w:val="21"/>
    <w:semiHidden/>
    <w:qFormat/>
    <w:uiPriority w:val="99"/>
    <w:rPr>
      <w:rFonts w:ascii="Times New Roman" w:hAnsi="Times New Roman"/>
      <w:kern w:val="2"/>
      <w:sz w:val="18"/>
      <w:szCs w:val="18"/>
    </w:rPr>
  </w:style>
  <w:style w:type="character" w:customStyle="1" w:styleId="197">
    <w:name w:val="标题 3 Char"/>
    <w:basedOn w:val="34"/>
    <w:link w:val="7"/>
    <w:qFormat/>
    <w:uiPriority w:val="9"/>
    <w:rPr>
      <w:rFonts w:ascii="Times New Roman" w:hAnsi="Times New Roman"/>
      <w:b/>
      <w:bCs/>
      <w:kern w:val="2"/>
      <w:sz w:val="32"/>
      <w:szCs w:val="32"/>
    </w:rPr>
  </w:style>
  <w:style w:type="paragraph" w:customStyle="1" w:styleId="198">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199">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298864460014496"/>
          <c:y val="0.0214619634509137"/>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111.09</c:v>
                </c:pt>
                <c:pt idx="1">
                  <c:v>162.91</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111.09</c:v>
                </c:pt>
                <c:pt idx="1">
                  <c:v>162.91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1919801"/>
        <c:axId val="326067932"/>
      </c:barChart>
      <c:catAx>
        <c:axId val="219198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326067932"/>
        <c:crosses val="autoZero"/>
        <c:auto val="1"/>
        <c:lblAlgn val="ctr"/>
        <c:lblOffset val="100"/>
        <c:noMultiLvlLbl val="0"/>
      </c:catAx>
      <c:valAx>
        <c:axId val="32606793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19198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f4563a-b6c2-4818-874e-257e900ed5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pt idx="1">
                  <c:v>政府性基金预算财政拨款收入</c:v>
                </c:pt>
                <c:pt idx="2">
                  <c:v>国有资本经营预算财政拨款收入</c:v>
                </c:pt>
                <c:pt idx="3">
                  <c:v>上级补助收入</c:v>
                </c:pt>
              </c:strCache>
            </c:strRef>
          </c:cat>
          <c:val>
            <c:numRef>
              <c:f>Sheet1!$B$2:$B$5</c:f>
              <c:numCache>
                <c:formatCode>0%</c:formatCode>
                <c:ptCount val="4"/>
                <c:pt idx="0">
                  <c:v>1</c:v>
                </c:pt>
                <c:pt idx="1" c:formatCode="General">
                  <c:v>0</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742a13-2196-434f-a438-fdfaac015d1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项目支出</c:v>
                </c:pt>
                <c:pt idx="1">
                  <c:v>基本支出</c:v>
                </c:pt>
                <c:pt idx="2">
                  <c:v>上缴上级支出</c:v>
                </c:pt>
                <c:pt idx="3">
                  <c:v>经营支出</c:v>
                </c:pt>
              </c:strCache>
            </c:strRef>
          </c:cat>
          <c:val>
            <c:numRef>
              <c:f>Sheet1!$B$2:$B$5</c:f>
              <c:numCache>
                <c:formatCode>General</c:formatCode>
                <c:ptCount val="4"/>
                <c:pt idx="0">
                  <c:v>0</c:v>
                </c:pt>
                <c:pt idx="1">
                  <c:v>116.89</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round/>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36ddd5f-7ec3-4d82-9ceb-1421c25128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收入支出总计变动情况图</a:t>
            </a:r>
          </a:p>
        </c:rich>
      </c:tx>
      <c:layout>
        <c:manualLayout>
          <c:xMode val="edge"/>
          <c:yMode val="edge"/>
          <c:x val="0.363372795361198"/>
          <c:y val="0.021674458138546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111.09</c:v>
                </c:pt>
                <c:pt idx="1">
                  <c:v>162.91</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111.09</c:v>
                </c:pt>
                <c:pt idx="1">
                  <c:v>162.91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1919801"/>
        <c:axId val="326067932"/>
      </c:barChart>
      <c:catAx>
        <c:axId val="219198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326067932"/>
        <c:crosses val="autoZero"/>
        <c:auto val="1"/>
        <c:lblAlgn val="ctr"/>
        <c:lblOffset val="100"/>
        <c:noMultiLvlLbl val="0"/>
      </c:catAx>
      <c:valAx>
        <c:axId val="32606793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19198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224bee-4022-442a-9a02-880750391a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一般公共预算拨款支出变动情况图</a:t>
            </a:r>
          </a:p>
        </c:rich>
      </c:tx>
      <c:layout>
        <c:manualLayout>
          <c:xMode val="edge"/>
          <c:yMode val="edge"/>
          <c:x val="0.302971732302489"/>
          <c:y val="0.025286867828304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111.09</c:v>
                </c:pt>
                <c:pt idx="1">
                  <c:v>162.91</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111.09</c:v>
                </c:pt>
                <c:pt idx="1">
                  <c:v>162.91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1919801"/>
        <c:axId val="326067932"/>
      </c:barChart>
      <c:catAx>
        <c:axId val="219198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326067932"/>
        <c:crosses val="autoZero"/>
        <c:auto val="1"/>
        <c:lblAlgn val="ctr"/>
        <c:lblOffset val="100"/>
        <c:noMultiLvlLbl val="0"/>
      </c:catAx>
      <c:valAx>
        <c:axId val="32606793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19198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09bb2a-1b0a-4412-b0c3-44b2fcc868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一般公共预算财政拨款支出结构图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119.34</c:v>
                </c:pt>
                <c:pt idx="1">
                  <c:v>22.52</c:v>
                </c:pt>
                <c:pt idx="2">
                  <c:v>8.41</c:v>
                </c:pt>
                <c:pt idx="3">
                  <c:v>12.63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0c29145-2bc3-4415-9f3f-aa58f67caed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r>
              <a:t>三公经费支出结构图</a:t>
            </a:r>
          </a:p>
        </c:rich>
      </c:tx>
      <c:layout/>
      <c:overlay val="0"/>
      <c:spPr>
        <a:noFill/>
        <a:ln>
          <a:noFill/>
        </a:ln>
        <a:effectLst/>
      </c:spPr>
    </c:title>
    <c:autoTitleDeleted val="0"/>
    <c:plotArea>
      <c:layout/>
      <c:pieChart>
        <c:varyColors val="1"/>
        <c:ser>
          <c:idx val="1"/>
          <c:order val="0"/>
          <c:tx>
            <c:strRef>
              <c:f>Sheet1!$B$1</c:f>
              <c:strCache>
                <c:ptCount val="1"/>
                <c:pt idx="0">
                  <c:v>三公经费支出结构图</c:v>
                </c:pt>
              </c:strCache>
            </c:strRef>
          </c:tx>
          <c:explosion val="0"/>
          <c:dPt>
            <c:idx val="0"/>
            <c:bubble3D val="0"/>
            <c:spPr>
              <a:solidFill>
                <a:schemeClr val="accent1"/>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公务用车购置及运行维护费支出</c:v>
                </c:pt>
              </c:strCache>
            </c:strRef>
          </c:cat>
          <c:val>
            <c:numRef>
              <c:f>Sheet1!$B$2</c:f>
              <c:numCache>
                <c:formatCode>General</c:formatCode>
                <c:ptCount val="1"/>
                <c:pt idx="0">
                  <c:v>4.38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legend>
    <c:plotVisOnly val="1"/>
    <c:dispBlanksAs val="gap"/>
    <c:showDLblsOverMax val="0"/>
    <c:extLst>
      <c:ext uri="{0b15fc19-7d7d-44ad-8c2d-2c3a37ce22c3}">
        <chartProps xmlns="https://web.wps.cn/et/2018/main" chartId="{6eba5cfa-ccb9-46e3-9601-db9404b3b788}"/>
      </c:ext>
    </c:extLst>
  </c:chart>
  <c:spPr>
    <a:solidFill>
      <a:schemeClr val="bg1"/>
    </a:solidFill>
    <a:ln w="9525" cap="flat" cmpd="sng" algn="ctr">
      <a:solidFill>
        <a:schemeClr val="tx1">
          <a:lumMod val="50000"/>
          <a:lumOff val="50000"/>
          <a:alpha val="25000"/>
        </a:schemeClr>
      </a:solidFill>
      <a:prstDash val="solid"/>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TotalTime>19</TotalTime>
  <ScaleCrop>false</ScaleCrop>
  <LinksUpToDate>false</LinksUpToDate>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2026-08-29T05:14:00Z</dcterms:created>
  <dc:creator>曹颖</dc:creator>
  <cp:lastModifiedBy>user</cp:lastModifiedBy>
  <dcterms:modified xsi:type="dcterms:W3CDTF">2026-09-18T15:42:22Z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7FC1142AA687392A75B0AC6AA199CEAE</vt:lpwstr>
  </property>
  <property fmtid="{D5CDD505-2E9C-101B-9397-08002B2CF9AE}" pid="4" name="KSOTemplateDocerSaveRecord">
    <vt:lpwstr>eyJoZGlkIjoiYjJmNjkyOTJlZmQ2NzEyNGIwYmY4ZDc0OGJkNmNlOWEiLCJ1c2VySWQiOiIzODE1NzM1NTYifQ==</vt:lpwstr>
  </property>
</Properties>
</file>