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18E385">
      <w:pPr>
        <w:spacing w:line="600" w:lineRule="exact"/>
        <w:jc w:val="left"/>
        <w:outlineLvl w:val="0"/>
        <w:rPr>
          <w:rFonts w:ascii="方正小标宋简体" w:hAnsi="宋体" w:eastAsia="方正小标宋简体"/>
          <w:szCs w:val="21"/>
        </w:rPr>
      </w:pPr>
      <w:bookmarkStart w:id="0" w:name="_Toc15306267"/>
    </w:p>
    <w:p w14:paraId="6BFB71BB">
      <w:pPr>
        <w:pStyle w:val="9"/>
        <w:spacing w:before="93"/>
      </w:pPr>
    </w:p>
    <w:p w14:paraId="23C45E13">
      <w:pPr>
        <w:spacing w:line="600" w:lineRule="exact"/>
        <w:jc w:val="center"/>
        <w:outlineLvl w:val="0"/>
        <w:rPr>
          <w:rFonts w:ascii="方正小标宋简体" w:hAnsi="宋体" w:eastAsia="方正小标宋简体"/>
          <w:sz w:val="72"/>
          <w:szCs w:val="72"/>
        </w:rPr>
      </w:pPr>
    </w:p>
    <w:p w14:paraId="1E5A2683">
      <w:pPr>
        <w:spacing w:line="600" w:lineRule="exact"/>
        <w:jc w:val="center"/>
        <w:outlineLvl w:val="0"/>
        <w:rPr>
          <w:rFonts w:ascii="方正小标宋简体" w:hAnsi="宋体" w:eastAsia="方正小标宋简体"/>
          <w:sz w:val="72"/>
          <w:szCs w:val="72"/>
        </w:rPr>
      </w:pPr>
    </w:p>
    <w:p w14:paraId="19A43520">
      <w:pPr>
        <w:adjustRightInd w:val="0"/>
        <w:snapToGrid w:val="0"/>
        <w:spacing w:line="360" w:lineRule="auto"/>
        <w:jc w:val="center"/>
        <w:outlineLvl w:val="0"/>
        <w:rPr>
          <w:rFonts w:hint="eastAsia" w:ascii="Times New Roman" w:hAnsi="Times New Roman" w:eastAsia="方正小标宋简体" w:cs="Times New Roman"/>
          <w:kern w:val="2"/>
          <w:sz w:val="44"/>
          <w:szCs w:val="44"/>
          <w:lang w:val="en-US" w:eastAsia="zh-CN" w:bidi="ar-SA"/>
        </w:rPr>
      </w:pPr>
      <w:bookmarkStart w:id="1" w:name="_Toc15396597"/>
      <w:bookmarkStart w:id="2" w:name="_Toc15377425"/>
      <w:bookmarkStart w:id="3" w:name="_Toc15396475"/>
      <w:bookmarkStart w:id="4" w:name="_Toc15378441"/>
      <w:bookmarkStart w:id="5" w:name="_Toc15377193"/>
      <w:r>
        <w:rPr>
          <w:rFonts w:hint="eastAsia" w:ascii="Times New Roman" w:hAnsi="Times New Roman" w:eastAsia="方正小标宋简体" w:cs="Times New Roman"/>
          <w:kern w:val="2"/>
          <w:sz w:val="44"/>
          <w:szCs w:val="44"/>
          <w:lang w:val="en-US" w:eastAsia="zh-CN" w:bidi="ar-SA"/>
        </w:rPr>
        <w:t>2024年度</w:t>
      </w:r>
      <w:bookmarkEnd w:id="1"/>
      <w:bookmarkEnd w:id="2"/>
      <w:bookmarkEnd w:id="3"/>
      <w:bookmarkEnd w:id="4"/>
      <w:bookmarkEnd w:id="5"/>
    </w:p>
    <w:bookmarkEnd w:id="0"/>
    <w:p w14:paraId="4E3D8D1C">
      <w:pPr>
        <w:adjustRightInd w:val="0"/>
        <w:snapToGrid w:val="0"/>
        <w:spacing w:line="360" w:lineRule="auto"/>
        <w:jc w:val="center"/>
        <w:outlineLvl w:val="0"/>
        <w:rPr>
          <w:rFonts w:hint="eastAsia" w:ascii="Times New Roman" w:hAnsi="Times New Roman" w:eastAsia="方正小标宋简体" w:cs="Times New Roman"/>
          <w:kern w:val="2"/>
          <w:sz w:val="44"/>
          <w:szCs w:val="44"/>
          <w:lang w:val="en-US" w:eastAsia="zh-CN" w:bidi="ar-SA"/>
        </w:rPr>
      </w:pPr>
      <w:bookmarkStart w:id="6" w:name="_Toc15396476"/>
      <w:bookmarkStart w:id="7" w:name="_Toc15306268"/>
      <w:bookmarkStart w:id="8" w:name="_Toc15378442"/>
      <w:bookmarkStart w:id="9" w:name="_Toc15377194"/>
      <w:bookmarkStart w:id="10" w:name="_Toc15396598"/>
      <w:bookmarkStart w:id="11" w:name="_Toc15377426"/>
      <w:r>
        <w:rPr>
          <w:rFonts w:hint="eastAsia" w:ascii="Times New Roman" w:hAnsi="Times New Roman" w:eastAsia="方正小标宋简体" w:cs="Times New Roman"/>
          <w:kern w:val="2"/>
          <w:sz w:val="44"/>
          <w:szCs w:val="44"/>
          <w:lang w:val="en-US" w:eastAsia="zh-CN" w:bidi="ar-SA"/>
        </w:rPr>
        <w:t>阿坝州机关事务管理局单位决算</w:t>
      </w:r>
      <w:bookmarkEnd w:id="6"/>
      <w:bookmarkEnd w:id="7"/>
      <w:bookmarkEnd w:id="8"/>
      <w:bookmarkEnd w:id="9"/>
      <w:bookmarkEnd w:id="10"/>
      <w:bookmarkEnd w:id="11"/>
      <w:r>
        <w:rPr>
          <w:rFonts w:hint="eastAsia" w:ascii="Times New Roman" w:hAnsi="Times New Roman" w:eastAsia="方正小标宋简体" w:cs="Times New Roman"/>
          <w:kern w:val="2"/>
          <w:sz w:val="44"/>
          <w:szCs w:val="44"/>
          <w:lang w:val="en-US" w:eastAsia="zh-CN" w:bidi="ar-SA"/>
        </w:rPr>
        <w:t>公开</w:t>
      </w:r>
    </w:p>
    <w:p w14:paraId="7165CE45">
      <w:pPr>
        <w:pStyle w:val="21"/>
        <w:rPr>
          <w:rFonts w:hint="eastAsia" w:ascii="方正小标宋简体" w:hAnsi="宋体" w:eastAsia="方正小标宋简体"/>
          <w:sz w:val="52"/>
          <w:szCs w:val="52"/>
        </w:rPr>
      </w:pPr>
    </w:p>
    <w:p w14:paraId="277198A7">
      <w:pPr>
        <w:rPr>
          <w:rFonts w:hint="eastAsia" w:ascii="方正小标宋简体" w:hAnsi="宋体" w:eastAsia="方正小标宋简体"/>
          <w:sz w:val="52"/>
          <w:szCs w:val="52"/>
        </w:rPr>
      </w:pPr>
    </w:p>
    <w:p w14:paraId="5F0F15B4">
      <w:pPr>
        <w:pStyle w:val="21"/>
        <w:rPr>
          <w:rFonts w:hint="eastAsia" w:ascii="方正小标宋简体" w:hAnsi="宋体" w:eastAsia="方正小标宋简体"/>
          <w:sz w:val="52"/>
          <w:szCs w:val="52"/>
        </w:rPr>
      </w:pPr>
    </w:p>
    <w:p w14:paraId="230B0BC0">
      <w:pPr>
        <w:autoSpaceDE w:val="0"/>
        <w:autoSpaceDN w:val="0"/>
        <w:adjustRightInd w:val="0"/>
        <w:ind w:left="420" w:left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保密审查情况：已审查，内容审定</w:t>
      </w:r>
    </w:p>
    <w:p w14:paraId="598DAA04">
      <w:pPr>
        <w:autoSpaceDE w:val="0"/>
        <w:autoSpaceDN w:val="0"/>
        <w:adjustRightInd w:val="0"/>
        <w:ind w:left="420" w:leftChars="200"/>
        <w:jc w:val="left"/>
        <w:rPr>
          <w:rFonts w:ascii="宋体"/>
          <w:sz w:val="32"/>
          <w:szCs w:val="32"/>
        </w:rPr>
      </w:pPr>
      <w:r>
        <w:rPr>
          <w:rFonts w:hint="eastAsia" w:ascii="仿宋_GB2312" w:hAnsi="仿宋_GB2312" w:eastAsia="仿宋_GB2312" w:cs="仿宋_GB2312"/>
          <w:sz w:val="32"/>
          <w:szCs w:val="32"/>
        </w:rPr>
        <w:t>部门主要负责人审签情况：已审签，同意对外公开</w:t>
      </w:r>
    </w:p>
    <w:p w14:paraId="6C23E9AA">
      <w:pPr>
        <w:widowControl/>
        <w:jc w:val="center"/>
        <w:rPr>
          <w:rFonts w:hint="eastAsia" w:ascii="方正仿宋_GBK" w:hAnsi="方正仿宋_GBK" w:eastAsia="方正仿宋_GBK" w:cs="方正仿宋_GBK"/>
          <w:sz w:val="48"/>
          <w:szCs w:val="48"/>
        </w:rPr>
        <w:sectPr>
          <w:headerReference r:id="rId4" w:type="first"/>
          <w:headerReference r:id="rId3" w:type="default"/>
          <w:footerReference r:id="rId5" w:type="default"/>
          <w:pgSz w:w="11906" w:h="16838"/>
          <w:pgMar w:top="1440" w:right="1800" w:bottom="1440" w:left="1800" w:header="851" w:footer="992" w:gutter="0"/>
          <w:pgNumType w:fmt="decimal" w:start="1"/>
          <w:cols w:space="425" w:num="1"/>
          <w:titlePg/>
          <w:docGrid w:type="lines" w:linePitch="312" w:charSpace="0"/>
        </w:sectPr>
      </w:pPr>
    </w:p>
    <w:p w14:paraId="5864DB4B">
      <w:pPr>
        <w:widowControl/>
        <w:jc w:val="center"/>
        <w:rPr>
          <w:rFonts w:hint="eastAsia" w:ascii="Times New Roman" w:hAnsi="Times New Roman" w:eastAsia="黑体" w:cs="Times New Roman"/>
          <w:sz w:val="48"/>
          <w:szCs w:val="48"/>
        </w:rPr>
      </w:pPr>
      <w:r>
        <w:rPr>
          <w:rFonts w:hint="eastAsia" w:ascii="Times New Roman" w:hAnsi="Times New Roman" w:eastAsia="黑体" w:cs="Times New Roman"/>
          <w:sz w:val="48"/>
          <w:szCs w:val="48"/>
        </w:rPr>
        <w:t>目录</w:t>
      </w:r>
    </w:p>
    <w:p w14:paraId="7D8B1C20">
      <w:pPr>
        <w:pStyle w:val="14"/>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公开时间：202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年9月</w:t>
      </w:r>
      <w:r>
        <w:rPr>
          <w:rFonts w:hint="eastAsia" w:ascii="Times New Roman" w:hAnsi="Times New Roman" w:eastAsia="仿宋_GB2312" w:cs="仿宋_GB2312"/>
          <w:sz w:val="32"/>
          <w:szCs w:val="32"/>
          <w:lang w:val="en-US" w:eastAsia="zh-CN"/>
        </w:rPr>
        <w:t>15</w:t>
      </w:r>
      <w:r>
        <w:rPr>
          <w:rFonts w:hint="eastAsia" w:ascii="Times New Roman" w:hAnsi="Times New Roman" w:eastAsia="仿宋_GB2312" w:cs="仿宋_GB2312"/>
          <w:sz w:val="32"/>
          <w:szCs w:val="32"/>
        </w:rPr>
        <w:t>日</w:t>
      </w:r>
    </w:p>
    <w:p w14:paraId="4A7DCC8A">
      <w:pPr>
        <w:rPr>
          <w:rFonts w:hint="eastAsia"/>
        </w:rPr>
      </w:pPr>
    </w:p>
    <w:p w14:paraId="524700FD">
      <w:pPr>
        <w:keepNext w:val="0"/>
        <w:keepLines w:val="0"/>
        <w:pageBreakBefore w:val="0"/>
        <w:widowControl w:val="0"/>
        <w:kinsoku/>
        <w:wordWrap/>
        <w:overflowPunct/>
        <w:topLinePunct w:val="0"/>
        <w:autoSpaceDE/>
        <w:autoSpaceDN/>
        <w:bidi w:val="0"/>
        <w:spacing w:line="360" w:lineRule="exact"/>
        <w:textAlignment w:val="auto"/>
        <w:rPr>
          <w:rFonts w:hint="eastAsia" w:ascii="方正仿宋_GBK" w:hAnsi="方正仿宋_GBK" w:eastAsia="方正仿宋_GBK" w:cs="方正仿宋_GBK"/>
        </w:rPr>
      </w:pPr>
    </w:p>
    <w:p w14:paraId="23B6F021">
      <w:pPr>
        <w:pStyle w:val="14"/>
        <w:adjustRightInd w:val="0"/>
        <w:snapToGrid w:val="0"/>
        <w:spacing w:before="0" w:line="560" w:lineRule="exact"/>
        <w:jc w:val="left"/>
        <w:rPr>
          <w:rFonts w:ascii="Times New Roman" w:hAnsi="Times New Roman" w:eastAsia="黑体" w:cs="黑体"/>
          <w:sz w:val="32"/>
          <w:szCs w:val="32"/>
        </w:rPr>
      </w:pPr>
      <w:bookmarkStart w:id="12" w:name="_Toc15377196"/>
      <w:bookmarkStart w:id="13" w:name="_Toc15396599"/>
      <w:r>
        <w:rPr>
          <w:rFonts w:hint="eastAsia" w:ascii="Times New Roman" w:hAnsi="Times New Roman" w:eastAsia="黑体" w:cs="黑体"/>
          <w:sz w:val="32"/>
          <w:szCs w:val="32"/>
        </w:rPr>
        <w:t>第一部分 部门概况</w:t>
      </w:r>
    </w:p>
    <w:p w14:paraId="68E858CD">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一、部门职责</w:t>
      </w:r>
    </w:p>
    <w:p w14:paraId="63543049">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二、机构设置</w:t>
      </w:r>
    </w:p>
    <w:p w14:paraId="7BA19381">
      <w:pPr>
        <w:pStyle w:val="14"/>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 2024年度部门决算情况说明</w:t>
      </w:r>
    </w:p>
    <w:p w14:paraId="26A33F2A">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一、收入支出决算总体情况说明</w:t>
      </w:r>
    </w:p>
    <w:p w14:paraId="47FC45B5">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二、收入决算情况说明</w:t>
      </w:r>
    </w:p>
    <w:p w14:paraId="5D25ABC5">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三、支出决算情况说明</w:t>
      </w:r>
    </w:p>
    <w:p w14:paraId="160397F9">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四、财政拨款收入支出决算总体情况说明</w:t>
      </w:r>
    </w:p>
    <w:p w14:paraId="0F0F23C8">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五、一般公共预算财政拨款支出决算情况说明</w:t>
      </w:r>
    </w:p>
    <w:p w14:paraId="067035BB">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六、一般公共预算财政拨款基本支出决算情况说明</w:t>
      </w:r>
    </w:p>
    <w:p w14:paraId="68E7F751">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七、财政拨款“三公”经费支出决算情况说明</w:t>
      </w:r>
    </w:p>
    <w:p w14:paraId="4C1DB887">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八、政府性基金预算支出决算情况说明</w:t>
      </w:r>
    </w:p>
    <w:p w14:paraId="7054DA33">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九、国有资本经营预算支出决算情况说明</w:t>
      </w:r>
    </w:p>
    <w:p w14:paraId="6223E665">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十、其他重要事项的情况说明</w:t>
      </w:r>
    </w:p>
    <w:p w14:paraId="31A81E48">
      <w:pPr>
        <w:pStyle w:val="14"/>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第三部分 名词解释</w:t>
      </w:r>
    </w:p>
    <w:p w14:paraId="1FEC0691">
      <w:pPr>
        <w:pStyle w:val="14"/>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第四部分 附件</w:t>
      </w:r>
    </w:p>
    <w:p w14:paraId="368318D8">
      <w:pPr>
        <w:pStyle w:val="14"/>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第五部分 附表</w:t>
      </w:r>
    </w:p>
    <w:p w14:paraId="5479FF14">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p>
    <w:p w14:paraId="22D7035F">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p>
    <w:p w14:paraId="44422A8F">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p>
    <w:p w14:paraId="1C29B6B0">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p>
    <w:p w14:paraId="4107068C">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p>
    <w:p w14:paraId="5A4E5D08">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p>
    <w:p w14:paraId="18843CB6">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p>
    <w:p w14:paraId="3BFBBA00">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p>
    <w:p w14:paraId="4AC35F3F">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p>
    <w:p w14:paraId="70DCE5D2">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p>
    <w:p w14:paraId="15B1CBED">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p>
    <w:p w14:paraId="349D4CDB">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p>
    <w:p w14:paraId="528DBB5D">
      <w:pPr>
        <w:pStyle w:val="15"/>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p>
    <w:p w14:paraId="15F1B476">
      <w:pPr>
        <w:pStyle w:val="15"/>
        <w:adjustRightInd w:val="0"/>
        <w:snapToGrid w:val="0"/>
        <w:spacing w:line="560" w:lineRule="exact"/>
        <w:ind w:left="0" w:leftChars="0" w:firstLine="643" w:firstLineChars="200"/>
        <w:jc w:val="left"/>
        <w:rPr>
          <w:rFonts w:eastAsia="仿宋_GB2312" w:cs="仿宋_GB2312"/>
          <w:b/>
          <w:bCs/>
          <w:sz w:val="32"/>
          <w:szCs w:val="32"/>
        </w:rPr>
      </w:pPr>
      <w:r>
        <w:rPr>
          <w:rFonts w:hint="eastAsia" w:eastAsia="仿宋_GB2312" w:cs="仿宋_GB2312"/>
          <w:b/>
          <w:bCs/>
          <w:sz w:val="32"/>
          <w:szCs w:val="32"/>
        </w:rPr>
        <w:t>（注：请部门根据实际注明页码）</w:t>
      </w:r>
    </w:p>
    <w:p w14:paraId="23E7FFCE">
      <w:pPr>
        <w:widowControl/>
        <w:spacing w:line="560" w:lineRule="exact"/>
        <w:jc w:val="left"/>
        <w:rPr>
          <w:rFonts w:eastAsia="仿宋_GB2312" w:cs="仿宋_GB2312"/>
          <w:bCs/>
          <w:kern w:val="44"/>
          <w:sz w:val="32"/>
          <w:szCs w:val="32"/>
        </w:rPr>
      </w:pPr>
      <w:r>
        <w:rPr>
          <w:rFonts w:hint="eastAsia" w:eastAsia="仿宋_GB2312" w:cs="仿宋_GB2312"/>
          <w:b/>
          <w:sz w:val="32"/>
          <w:szCs w:val="32"/>
        </w:rPr>
        <w:br w:type="page"/>
      </w:r>
    </w:p>
    <w:p w14:paraId="08BDDFA3">
      <w:pPr>
        <w:pStyle w:val="5"/>
        <w:ind w:firstLine="2200" w:firstLineChars="500"/>
        <w:jc w:val="both"/>
        <w:rPr>
          <w:rFonts w:ascii="黑体" w:eastAsia="黑体"/>
          <w:sz w:val="44"/>
          <w:szCs w:val="44"/>
        </w:rPr>
      </w:pPr>
      <w:r>
        <w:rPr>
          <w:rFonts w:hint="eastAsia" w:ascii="黑体" w:hAnsi="黑体" w:eastAsia="黑体"/>
          <w:b w:val="0"/>
          <w:sz w:val="44"/>
          <w:szCs w:val="44"/>
        </w:rPr>
        <w:t>第一部分 单位</w:t>
      </w:r>
      <w:r>
        <w:rPr>
          <w:rStyle w:val="30"/>
          <w:rFonts w:hint="eastAsia" w:ascii="黑体" w:hAnsi="黑体" w:eastAsia="黑体"/>
          <w:b w:val="0"/>
          <w:bCs w:val="0"/>
          <w:sz w:val="44"/>
          <w:szCs w:val="44"/>
        </w:rPr>
        <w:t>概况</w:t>
      </w:r>
      <w:bookmarkEnd w:id="12"/>
      <w:bookmarkEnd w:id="13"/>
    </w:p>
    <w:p w14:paraId="4B0EA3FA">
      <w:pPr>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Style w:val="31"/>
          <w:rFonts w:ascii="黑体" w:hAnsi="黑体" w:eastAsia="黑体"/>
          <w:b w:val="0"/>
          <w:bCs w:val="0"/>
          <w:sz w:val="32"/>
          <w:szCs w:val="32"/>
        </w:rPr>
      </w:pPr>
      <w:bookmarkStart w:id="14" w:name="_Toc15377197"/>
      <w:bookmarkStart w:id="15" w:name="_Toc15396600"/>
      <w:r>
        <w:rPr>
          <w:rStyle w:val="31"/>
          <w:rFonts w:hint="eastAsia" w:ascii="黑体" w:hAnsi="黑体" w:eastAsia="黑体"/>
          <w:b w:val="0"/>
          <w:bCs w:val="0"/>
          <w:sz w:val="32"/>
          <w:szCs w:val="32"/>
          <w:lang w:val="en-US" w:eastAsia="zh-CN"/>
        </w:rPr>
        <w:t>一、</w:t>
      </w:r>
      <w:r>
        <w:rPr>
          <w:rStyle w:val="31"/>
          <w:rFonts w:hint="eastAsia" w:ascii="黑体" w:hAnsi="黑体" w:eastAsia="黑体"/>
          <w:b w:val="0"/>
          <w:bCs w:val="0"/>
          <w:sz w:val="32"/>
          <w:szCs w:val="32"/>
        </w:rPr>
        <w:t>主要职责</w:t>
      </w:r>
    </w:p>
    <w:p w14:paraId="68BFA3CB">
      <w:pPr>
        <w:pageBreakBefore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eastAsia="仿宋_GB2312"/>
          <w:color w:val="auto"/>
          <w:kern w:val="0"/>
          <w:sz w:val="32"/>
          <w:szCs w:val="32"/>
        </w:rPr>
      </w:pPr>
      <w:r>
        <w:rPr>
          <w:rFonts w:hint="eastAsia" w:ascii="仿宋_GB2312" w:eastAsia="仿宋_GB2312"/>
          <w:b/>
          <w:bCs/>
          <w:color w:val="auto"/>
          <w:kern w:val="0"/>
          <w:sz w:val="32"/>
          <w:szCs w:val="32"/>
        </w:rPr>
        <w:t>第一条</w:t>
      </w:r>
      <w:r>
        <w:rPr>
          <w:rFonts w:hint="eastAsia" w:ascii="仿宋_GB2312" w:eastAsia="仿宋_GB2312"/>
          <w:color w:val="auto"/>
          <w:kern w:val="0"/>
          <w:sz w:val="32"/>
          <w:szCs w:val="32"/>
        </w:rPr>
        <w:t xml:space="preserve">  根据《阿坝州机构改革方案》(阿委发〔2019〕3 号)和《关于&lt;阿坝州机构改革方案&gt;的实施意见》(阿机改办〔2019〕2号),制定本规定。</w:t>
      </w:r>
    </w:p>
    <w:p w14:paraId="781E379B">
      <w:pPr>
        <w:pageBreakBefore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eastAsia="仿宋_GB2312"/>
          <w:color w:val="auto"/>
          <w:kern w:val="0"/>
          <w:sz w:val="32"/>
          <w:szCs w:val="32"/>
        </w:rPr>
      </w:pPr>
      <w:r>
        <w:rPr>
          <w:rFonts w:hint="eastAsia" w:ascii="仿宋_GB2312" w:eastAsia="仿宋_GB2312"/>
          <w:b/>
          <w:bCs/>
          <w:color w:val="auto"/>
          <w:kern w:val="0"/>
          <w:sz w:val="32"/>
          <w:szCs w:val="32"/>
        </w:rPr>
        <w:t>第二条</w:t>
      </w:r>
      <w:r>
        <w:rPr>
          <w:rFonts w:hint="eastAsia" w:ascii="仿宋_GB2312" w:eastAsia="仿宋_GB2312"/>
          <w:color w:val="auto"/>
          <w:kern w:val="0"/>
          <w:sz w:val="32"/>
          <w:szCs w:val="32"/>
        </w:rPr>
        <w:t xml:space="preserve">  阿坝州机关事务管理局(简称州机关事务管理局)是阿坝州人民政府工作部门，为正县级。</w:t>
      </w:r>
    </w:p>
    <w:p w14:paraId="07495D8E">
      <w:pPr>
        <w:pageBreakBefore w:val="0"/>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eastAsia="仿宋_GB2312"/>
          <w:color w:val="auto"/>
          <w:kern w:val="0"/>
          <w:sz w:val="32"/>
          <w:szCs w:val="32"/>
        </w:rPr>
      </w:pPr>
      <w:r>
        <w:rPr>
          <w:rFonts w:hint="eastAsia" w:ascii="仿宋_GB2312" w:eastAsia="仿宋_GB2312"/>
          <w:b/>
          <w:bCs/>
          <w:color w:val="auto"/>
          <w:kern w:val="0"/>
          <w:sz w:val="32"/>
          <w:szCs w:val="32"/>
        </w:rPr>
        <w:t>第三条</w:t>
      </w:r>
      <w:r>
        <w:rPr>
          <w:rFonts w:hint="eastAsia" w:ascii="仿宋_GB2312" w:eastAsia="仿宋_GB2312"/>
          <w:color w:val="auto"/>
          <w:kern w:val="0"/>
          <w:sz w:val="32"/>
          <w:szCs w:val="32"/>
        </w:rPr>
        <w:t xml:space="preserve">  坚持和加强党的全面领导，根据《中国共产党党组工作条例(试行)》,州机关事务管理局党组行使有关职责。</w:t>
      </w:r>
    </w:p>
    <w:p w14:paraId="1253AFA6">
      <w:pPr>
        <w:pageBreakBefore w:val="0"/>
        <w:kinsoku/>
        <w:wordWrap/>
        <w:overflowPunct/>
        <w:topLinePunct w:val="0"/>
        <w:autoSpaceDE/>
        <w:autoSpaceDN/>
        <w:bidi w:val="0"/>
        <w:adjustRightInd/>
        <w:snapToGrid/>
        <w:spacing w:line="560" w:lineRule="exact"/>
        <w:ind w:firstLine="643" w:firstLineChars="200"/>
        <w:jc w:val="both"/>
        <w:textAlignment w:val="auto"/>
        <w:outlineLvl w:val="9"/>
      </w:pPr>
      <w:r>
        <w:rPr>
          <w:rFonts w:hint="eastAsia" w:ascii="仿宋_GB2312" w:eastAsia="仿宋_GB2312"/>
          <w:b/>
          <w:bCs/>
          <w:color w:val="auto"/>
          <w:kern w:val="0"/>
          <w:sz w:val="32"/>
          <w:szCs w:val="32"/>
        </w:rPr>
        <w:t>第四条</w:t>
      </w:r>
      <w:r>
        <w:rPr>
          <w:rFonts w:hint="eastAsia" w:ascii="仿宋_GB2312" w:eastAsia="仿宋_GB2312"/>
          <w:color w:val="auto"/>
          <w:kern w:val="0"/>
          <w:sz w:val="32"/>
          <w:szCs w:val="32"/>
        </w:rPr>
        <w:t xml:space="preserve">  州机关事务管理局贯彻落实党中央关于机关事务工作的方针政策和省委、州委的决策部署，在履行职责过程中坚持和加强党对机关事务工作的集中统一领导。主要职责是：贯彻执行国家、省、州有关机关事务工作的方针政策依法拟订全州机关事务工作的相关规划和制度并组织实施，负责州直机关事务的管理、保障、服务工作，指导各县(市)机关事务管理工作。按规定负责州直行政事业单位国有资产管理工作、公务用车管理工作、公共机构节能工作、州直机关后勤工作等，并拟订相关管理办法并监督实施。完成州委、州政府交办的其他任务。</w:t>
      </w:r>
    </w:p>
    <w:p w14:paraId="555A9011">
      <w:pPr>
        <w:pageBreakBefore w:val="0"/>
        <w:numPr>
          <w:ilvl w:val="0"/>
          <w:numId w:val="0"/>
        </w:numPr>
        <w:kinsoku/>
        <w:wordWrap/>
        <w:overflowPunct/>
        <w:topLinePunct w:val="0"/>
        <w:autoSpaceDE/>
        <w:autoSpaceDN/>
        <w:bidi w:val="0"/>
        <w:adjustRightInd/>
        <w:snapToGrid/>
        <w:spacing w:line="560" w:lineRule="exact"/>
        <w:ind w:firstLine="960" w:firstLineChars="300"/>
        <w:jc w:val="both"/>
        <w:textAlignment w:val="auto"/>
        <w:outlineLvl w:val="9"/>
        <w:rPr>
          <w:rStyle w:val="31"/>
          <w:rFonts w:hint="eastAsia" w:ascii="黑体" w:hAnsi="黑体" w:eastAsia="黑体"/>
          <w:b w:val="0"/>
          <w:bCs w:val="0"/>
          <w:sz w:val="32"/>
          <w:szCs w:val="32"/>
        </w:rPr>
      </w:pPr>
      <w:r>
        <w:rPr>
          <w:rStyle w:val="31"/>
          <w:rFonts w:hint="eastAsia" w:ascii="黑体" w:hAnsi="黑体" w:eastAsia="黑体"/>
          <w:b w:val="0"/>
          <w:bCs w:val="0"/>
          <w:sz w:val="32"/>
          <w:szCs w:val="32"/>
        </w:rPr>
        <w:t>二、机构设置</w:t>
      </w:r>
    </w:p>
    <w:p w14:paraId="694FF78C">
      <w:pPr>
        <w:pageBreakBefore w:val="0"/>
        <w:widowControl/>
        <w:shd w:val="clear" w:color="auto" w:fill="FFFEFB"/>
        <w:suppressAutoHyphens w:val="0"/>
        <w:kinsoku/>
        <w:wordWrap/>
        <w:overflowPunct/>
        <w:topLinePunct w:val="0"/>
        <w:autoSpaceDE/>
        <w:autoSpaceDN/>
        <w:bidi w:val="0"/>
        <w:adjustRightInd/>
        <w:snapToGrid/>
        <w:spacing w:before="0" w:line="560" w:lineRule="exact"/>
        <w:ind w:firstLine="643" w:firstLineChars="200"/>
        <w:jc w:val="both"/>
        <w:textAlignment w:val="auto"/>
        <w:outlineLvl w:val="9"/>
        <w:rPr>
          <w:rFonts w:hint="eastAsia" w:ascii="仿宋_GB2312" w:eastAsia="仿宋_GB2312" w:cs="仿宋_GB2312"/>
          <w:color w:val="auto"/>
          <w:kern w:val="2"/>
          <w:sz w:val="32"/>
          <w:szCs w:val="32"/>
          <w:lang w:bidi="ar-SA"/>
        </w:rPr>
      </w:pPr>
      <w:r>
        <w:rPr>
          <w:rFonts w:hint="eastAsia" w:ascii="仿宋_GB2312" w:eastAsia="仿宋_GB2312" w:cs="仿宋_GB2312"/>
          <w:b/>
          <w:bCs/>
          <w:spacing w:val="0"/>
          <w:kern w:val="2"/>
          <w:sz w:val="32"/>
          <w:szCs w:val="32"/>
          <w:lang w:eastAsia="zh-CN" w:bidi="ar-SA"/>
        </w:rPr>
        <w:t>（一）</w:t>
      </w:r>
      <w:r>
        <w:rPr>
          <w:rFonts w:hint="eastAsia" w:ascii="仿宋_GB2312" w:eastAsia="仿宋_GB2312" w:cs="仿宋_GB2312"/>
          <w:b/>
          <w:bCs/>
          <w:color w:val="auto"/>
          <w:spacing w:val="0"/>
          <w:kern w:val="2"/>
          <w:sz w:val="32"/>
          <w:szCs w:val="32"/>
          <w:lang w:bidi="ar-SA"/>
        </w:rPr>
        <w:t>办公室。</w:t>
      </w:r>
      <w:r>
        <w:rPr>
          <w:rFonts w:hint="eastAsia" w:ascii="仿宋_GB2312" w:eastAsia="仿宋_GB2312" w:cs="仿宋_GB2312"/>
          <w:color w:val="auto"/>
          <w:spacing w:val="0"/>
          <w:kern w:val="2"/>
          <w:sz w:val="32"/>
          <w:szCs w:val="32"/>
          <w:lang w:bidi="ar-SA"/>
        </w:rPr>
        <w:t>承担本单位党的建设、党风廉政建设、意识</w:t>
      </w:r>
      <w:r>
        <w:rPr>
          <w:rFonts w:hint="eastAsia" w:ascii="仿宋_GB2312" w:eastAsia="仿宋_GB2312" w:cs="仿宋_GB2312"/>
          <w:color w:val="auto"/>
          <w:kern w:val="2"/>
          <w:sz w:val="32"/>
          <w:szCs w:val="32"/>
          <w:lang w:bidi="ar-SA"/>
        </w:rPr>
        <w:t xml:space="preserve"> </w:t>
      </w:r>
      <w:r>
        <w:rPr>
          <w:rFonts w:hint="eastAsia" w:ascii="仿宋_GB2312" w:eastAsia="仿宋_GB2312" w:cs="仿宋_GB2312"/>
          <w:color w:val="auto"/>
          <w:spacing w:val="0"/>
          <w:kern w:val="2"/>
          <w:sz w:val="32"/>
          <w:szCs w:val="32"/>
          <w:lang w:bidi="ar-SA"/>
        </w:rPr>
        <w:t>形态等工作，负责制定工作制度。负责本单位依法行政、文电、 会务、机要保密、文印、妇女儿童、人事、信息、财务、信访、督查、绩效管理、政务公开、档案、固定资产管理、办公用品采购等工作。负责本单位的安全生产、消防、社会治安综合治理及 后勤保障等工作。负责本单位内部审计工作。负责组织有关部门 拟订州直机关公务接待等相关标准。负责组织开展州直部门机关 运行成本统计、分析、评价等工作。负责本单位离退休人员管理和服务工作。</w:t>
      </w:r>
    </w:p>
    <w:p w14:paraId="13676955">
      <w:pPr>
        <w:pageBreakBefore w:val="0"/>
        <w:widowControl/>
        <w:shd w:val="clear" w:color="auto" w:fill="FFFEFB"/>
        <w:suppressAutoHyphens w:val="0"/>
        <w:kinsoku/>
        <w:wordWrap/>
        <w:overflowPunct/>
        <w:topLinePunct w:val="0"/>
        <w:autoSpaceDE/>
        <w:autoSpaceDN/>
        <w:bidi w:val="0"/>
        <w:adjustRightInd/>
        <w:snapToGrid/>
        <w:spacing w:before="0" w:line="560" w:lineRule="exact"/>
        <w:ind w:firstLine="643" w:firstLineChars="200"/>
        <w:jc w:val="both"/>
        <w:textAlignment w:val="auto"/>
        <w:outlineLvl w:val="9"/>
        <w:rPr>
          <w:rFonts w:hint="eastAsia" w:ascii="仿宋_GB2312" w:eastAsia="仿宋_GB2312" w:cs="仿宋_GB2312"/>
          <w:color w:val="auto"/>
          <w:kern w:val="2"/>
          <w:sz w:val="32"/>
          <w:szCs w:val="32"/>
          <w:lang w:bidi="ar-SA"/>
        </w:rPr>
      </w:pPr>
      <w:r>
        <w:rPr>
          <w:rFonts w:hint="eastAsia" w:ascii="仿宋_GB2312" w:eastAsia="仿宋_GB2312" w:cs="仿宋_GB2312"/>
          <w:b/>
          <w:bCs/>
          <w:color w:val="auto"/>
          <w:spacing w:val="0"/>
          <w:kern w:val="2"/>
          <w:sz w:val="32"/>
          <w:szCs w:val="32"/>
          <w:lang w:eastAsia="zh-CN" w:bidi="ar-SA"/>
        </w:rPr>
        <w:t>（二）</w:t>
      </w:r>
      <w:r>
        <w:rPr>
          <w:rFonts w:hint="eastAsia" w:ascii="仿宋_GB2312" w:eastAsia="仿宋_GB2312" w:cs="仿宋_GB2312"/>
          <w:b/>
          <w:bCs/>
          <w:color w:val="auto"/>
          <w:spacing w:val="0"/>
          <w:kern w:val="2"/>
          <w:sz w:val="32"/>
          <w:szCs w:val="32"/>
          <w:lang w:bidi="ar-SA"/>
        </w:rPr>
        <w:t>资产与后勤管理科</w:t>
      </w:r>
      <w:r>
        <w:rPr>
          <w:rFonts w:hint="eastAsia" w:ascii="仿宋_GB2312" w:eastAsia="仿宋_GB2312" w:cs="仿宋_GB2312"/>
          <w:b/>
          <w:bCs/>
          <w:color w:val="auto"/>
          <w:spacing w:val="0"/>
          <w:kern w:val="2"/>
          <w:sz w:val="32"/>
          <w:szCs w:val="32"/>
          <w:lang w:eastAsia="zh-CN" w:bidi="ar-SA"/>
        </w:rPr>
        <w:t>。</w:t>
      </w:r>
      <w:r>
        <w:rPr>
          <w:rFonts w:hint="eastAsia" w:ascii="仿宋_GB2312" w:eastAsia="仿宋_GB2312" w:cs="仿宋_GB2312"/>
          <w:color w:val="auto"/>
          <w:spacing w:val="0"/>
          <w:kern w:val="2"/>
          <w:sz w:val="32"/>
          <w:szCs w:val="32"/>
          <w:lang w:bidi="ar-SA"/>
        </w:rPr>
        <w:t>按规定负责拟订州直行政事业单位国有资产管理工作规范、配置标准并监督实施，承担相应的资产产权界定、清查登记、资产处置工作。会同财政部门对州直机 关固定资产处置、出租等进行审核。负责拟订州直机关办公用房 管理规章制度。承担州直机关办公用房统一规划、统一权属、统 一配置、统一处置工作。负责建立办公用房信息化管理系统。负责州直机关办公用房项目审核、建设使用监管、维修、租赁等工作。负责指导县(市)党政机关办公用房的管理工作。负责修订完善《州直机关周转房管理办法》并组织实施。负责会同相关部门提出州直机关周转房的需求及建设计划。负责拟订州直机关后勤服务管理制度并监督实施。负责拟订州直机关后勤服务项目和标准。负责拟订州直机关周转房分配方案，做好周转房分配、管 理、维修、维护、物业管理等后勤保障工作。负责州直机关周转 房安全(制定防火、防盗等安全预案)、环境卫生、绿化、美化、水电气保障等工作。</w:t>
      </w:r>
    </w:p>
    <w:p w14:paraId="24CB518A">
      <w:pPr>
        <w:pageBreakBefore w:val="0"/>
        <w:widowControl/>
        <w:shd w:val="clear" w:color="auto" w:fill="FFFEFB"/>
        <w:suppressAutoHyphens w:val="0"/>
        <w:kinsoku/>
        <w:wordWrap/>
        <w:overflowPunct/>
        <w:topLinePunct w:val="0"/>
        <w:autoSpaceDE/>
        <w:autoSpaceDN/>
        <w:bidi w:val="0"/>
        <w:adjustRightInd/>
        <w:snapToGrid/>
        <w:spacing w:before="0" w:line="560" w:lineRule="exact"/>
        <w:ind w:left="0" w:firstLine="643" w:firstLineChars="200"/>
        <w:jc w:val="both"/>
        <w:textAlignment w:val="auto"/>
        <w:outlineLvl w:val="9"/>
        <w:rPr>
          <w:rFonts w:hint="eastAsia" w:ascii="仿宋_GB2312" w:eastAsia="仿宋_GB2312" w:cs="仿宋_GB2312"/>
          <w:color w:val="auto"/>
          <w:kern w:val="2"/>
          <w:sz w:val="32"/>
          <w:szCs w:val="32"/>
          <w:lang w:bidi="ar-SA"/>
        </w:rPr>
      </w:pPr>
      <w:r>
        <w:rPr>
          <w:rFonts w:hint="eastAsia" w:ascii="仿宋_GB2312" w:eastAsia="仿宋_GB2312" w:cs="仿宋_GB2312"/>
          <w:b/>
          <w:bCs/>
          <w:color w:val="auto"/>
          <w:spacing w:val="0"/>
          <w:kern w:val="2"/>
          <w:sz w:val="32"/>
          <w:szCs w:val="32"/>
          <w:lang w:eastAsia="zh-CN" w:bidi="ar-SA"/>
        </w:rPr>
        <w:t>（三）</w:t>
      </w:r>
      <w:r>
        <w:rPr>
          <w:rFonts w:hint="eastAsia" w:ascii="仿宋_GB2312" w:eastAsia="仿宋_GB2312" w:cs="仿宋_GB2312"/>
          <w:b/>
          <w:bCs/>
          <w:color w:val="auto"/>
          <w:spacing w:val="0"/>
          <w:kern w:val="2"/>
          <w:sz w:val="32"/>
          <w:szCs w:val="32"/>
          <w:lang w:bidi="ar-SA"/>
        </w:rPr>
        <w:t>公车管理科。</w:t>
      </w:r>
      <w:r>
        <w:rPr>
          <w:rFonts w:hint="eastAsia" w:ascii="仿宋_GB2312" w:eastAsia="仿宋_GB2312" w:cs="仿宋_GB2312"/>
          <w:color w:val="auto"/>
          <w:spacing w:val="0"/>
          <w:kern w:val="2"/>
          <w:sz w:val="32"/>
          <w:szCs w:val="32"/>
          <w:lang w:bidi="ar-SA"/>
        </w:rPr>
        <w:t>负责拟订州直各单位公务用车使用管理</w:t>
      </w:r>
      <w:r>
        <w:rPr>
          <w:rFonts w:hint="eastAsia" w:ascii="仿宋_GB2312" w:eastAsia="仿宋_GB2312" w:cs="仿宋_GB2312"/>
          <w:color w:val="auto"/>
          <w:kern w:val="2"/>
          <w:sz w:val="32"/>
          <w:szCs w:val="32"/>
          <w:lang w:bidi="ar-SA"/>
        </w:rPr>
        <w:t xml:space="preserve"> </w:t>
      </w:r>
      <w:r>
        <w:rPr>
          <w:rFonts w:hint="eastAsia" w:ascii="仿宋_GB2312" w:eastAsia="仿宋_GB2312" w:cs="仿宋_GB2312"/>
          <w:color w:val="auto"/>
          <w:spacing w:val="0"/>
          <w:kern w:val="2"/>
          <w:sz w:val="32"/>
          <w:szCs w:val="32"/>
          <w:lang w:bidi="ar-SA"/>
        </w:rPr>
        <w:t>办法并指导实施。负责全州党政机关、事业单位公务用车、执法执勤用车的编制、配备、更新、处置的审批及监督管理工作。指导州直机关、事业单位公务用车的保险和维修等工作。负责全州 公务用车平台建设管理工作。具体承办全州公务用车改革相关工作。指导各县(市)公务用车管理及公务用车改革等工作。</w:t>
      </w:r>
    </w:p>
    <w:p w14:paraId="54FE8E65">
      <w:pPr>
        <w:pageBreakBefore w:val="0"/>
        <w:widowControl/>
        <w:shd w:val="clear" w:color="auto" w:fill="FFFEFB"/>
        <w:suppressAutoHyphens w:val="0"/>
        <w:kinsoku/>
        <w:wordWrap/>
        <w:overflowPunct/>
        <w:topLinePunct w:val="0"/>
        <w:autoSpaceDE/>
        <w:autoSpaceDN/>
        <w:bidi w:val="0"/>
        <w:adjustRightInd/>
        <w:snapToGrid/>
        <w:spacing w:before="0" w:line="560" w:lineRule="exact"/>
        <w:ind w:left="0" w:firstLine="643" w:firstLineChars="200"/>
        <w:jc w:val="both"/>
        <w:textAlignment w:val="auto"/>
        <w:outlineLvl w:val="9"/>
        <w:rPr>
          <w:rFonts w:hint="eastAsia" w:ascii="仿宋_GB2312" w:eastAsia="仿宋_GB2312" w:cs="仿宋_GB2312"/>
          <w:color w:val="auto"/>
          <w:kern w:val="2"/>
          <w:sz w:val="32"/>
          <w:szCs w:val="32"/>
          <w:lang w:bidi="ar-SA"/>
        </w:rPr>
      </w:pPr>
      <w:r>
        <w:rPr>
          <w:rFonts w:hint="eastAsia" w:ascii="仿宋_GB2312" w:eastAsia="仿宋_GB2312" w:cs="仿宋_GB2312"/>
          <w:b/>
          <w:bCs/>
          <w:color w:val="auto"/>
          <w:spacing w:val="0"/>
          <w:kern w:val="2"/>
          <w:sz w:val="32"/>
          <w:szCs w:val="32"/>
          <w:lang w:eastAsia="zh-CN" w:bidi="ar-SA"/>
        </w:rPr>
        <w:t>（四）</w:t>
      </w:r>
      <w:r>
        <w:rPr>
          <w:rFonts w:hint="eastAsia" w:ascii="仿宋_GB2312" w:eastAsia="仿宋_GB2312" w:cs="仿宋_GB2312"/>
          <w:b/>
          <w:bCs/>
          <w:color w:val="auto"/>
          <w:spacing w:val="0"/>
          <w:kern w:val="2"/>
          <w:sz w:val="32"/>
          <w:szCs w:val="32"/>
          <w:lang w:bidi="ar-SA"/>
        </w:rPr>
        <w:t>公共机构节能管理科。</w:t>
      </w:r>
      <w:r>
        <w:rPr>
          <w:rFonts w:hint="eastAsia" w:ascii="仿宋_GB2312" w:eastAsia="仿宋_GB2312" w:cs="仿宋_GB2312"/>
          <w:color w:val="auto"/>
          <w:spacing w:val="0"/>
          <w:kern w:val="2"/>
          <w:sz w:val="32"/>
          <w:szCs w:val="32"/>
          <w:lang w:bidi="ar-SA"/>
        </w:rPr>
        <w:t>负责推进、指导、协调、监督</w:t>
      </w:r>
      <w:r>
        <w:rPr>
          <w:rFonts w:hint="eastAsia" w:ascii="仿宋_GB2312" w:eastAsia="仿宋_GB2312" w:cs="仿宋_GB2312"/>
          <w:color w:val="auto"/>
          <w:kern w:val="2"/>
          <w:sz w:val="32"/>
          <w:szCs w:val="32"/>
          <w:lang w:bidi="ar-SA"/>
        </w:rPr>
        <w:t xml:space="preserve"> </w:t>
      </w:r>
      <w:r>
        <w:rPr>
          <w:rFonts w:hint="eastAsia" w:ascii="仿宋_GB2312" w:eastAsia="仿宋_GB2312" w:cs="仿宋_GB2312"/>
          <w:color w:val="auto"/>
          <w:spacing w:val="0"/>
          <w:kern w:val="2"/>
          <w:sz w:val="32"/>
          <w:szCs w:val="32"/>
          <w:lang w:bidi="ar-SA"/>
        </w:rPr>
        <w:t>全州公共机构节能工作。会同有关部门拟订州直机关公共机构节</w:t>
      </w:r>
      <w:r>
        <w:rPr>
          <w:rFonts w:hint="eastAsia" w:ascii="仿宋_GB2312" w:eastAsia="仿宋_GB2312" w:cs="仿宋_GB2312"/>
          <w:color w:val="auto"/>
          <w:kern w:val="2"/>
          <w:sz w:val="32"/>
          <w:szCs w:val="32"/>
          <w:lang w:bidi="ar-SA"/>
        </w:rPr>
        <w:t xml:space="preserve"> </w:t>
      </w:r>
      <w:r>
        <w:rPr>
          <w:rFonts w:hint="eastAsia" w:ascii="仿宋_GB2312" w:eastAsia="仿宋_GB2312" w:cs="仿宋_GB2312"/>
          <w:color w:val="auto"/>
          <w:spacing w:val="0"/>
          <w:kern w:val="2"/>
          <w:sz w:val="32"/>
          <w:szCs w:val="32"/>
          <w:lang w:bidi="ar-SA"/>
        </w:rPr>
        <w:t>能规划、年度改造计划、规章制度并组织实施。会同相关部门拟 订公共机构能源消耗支出标准，确定州直机关公共机构能源消耗 定额，组织全州公共机构开展能源统计和能耗审计、监测和评价 考核工作。负责全州公共机构节能目标考核。指导各县(市)公共机构节能管理工作。</w:t>
      </w:r>
    </w:p>
    <w:p w14:paraId="64B18025">
      <w:pPr>
        <w:pageBreakBefore w:val="0"/>
        <w:widowControl/>
        <w:shd w:val="clear" w:color="auto" w:fill="FFFEFB"/>
        <w:suppressAutoHyphens w:val="0"/>
        <w:kinsoku/>
        <w:wordWrap/>
        <w:overflowPunct/>
        <w:topLinePunct w:val="0"/>
        <w:autoSpaceDE/>
        <w:autoSpaceDN/>
        <w:bidi w:val="0"/>
        <w:adjustRightInd/>
        <w:snapToGrid/>
        <w:spacing w:before="0" w:line="560" w:lineRule="exact"/>
        <w:ind w:left="0" w:firstLine="640" w:firstLineChars="200"/>
        <w:jc w:val="both"/>
        <w:textAlignment w:val="auto"/>
        <w:outlineLvl w:val="9"/>
      </w:pPr>
      <w:r>
        <w:rPr>
          <w:rFonts w:hint="eastAsia" w:ascii="仿宋_GB2312" w:eastAsia="仿宋_GB2312" w:cs="仿宋_GB2312"/>
          <w:spacing w:val="0"/>
          <w:kern w:val="2"/>
          <w:sz w:val="32"/>
          <w:szCs w:val="32"/>
          <w:lang w:bidi="ar-SA"/>
        </w:rPr>
        <w:t>州机关事务管理局属</w:t>
      </w:r>
      <w:r>
        <w:rPr>
          <w:rFonts w:hint="eastAsia" w:ascii="仿宋_GB2312" w:eastAsia="仿宋_GB2312" w:cs="仿宋_GB2312"/>
          <w:spacing w:val="0"/>
          <w:kern w:val="2"/>
          <w:sz w:val="32"/>
          <w:szCs w:val="32"/>
          <w:lang w:val="en-US" w:eastAsia="zh-CN" w:bidi="ar-SA"/>
        </w:rPr>
        <w:t>一</w:t>
      </w:r>
      <w:r>
        <w:rPr>
          <w:rFonts w:hint="eastAsia" w:ascii="仿宋_GB2312" w:eastAsia="仿宋_GB2312" w:cs="仿宋_GB2312"/>
          <w:spacing w:val="0"/>
          <w:kern w:val="2"/>
          <w:sz w:val="32"/>
          <w:szCs w:val="32"/>
          <w:lang w:bidi="ar-SA"/>
        </w:rPr>
        <w:t>级预算单位，属于</w:t>
      </w:r>
      <w:r>
        <w:rPr>
          <w:rFonts w:hint="eastAsia" w:ascii="仿宋_GB2312" w:eastAsia="仿宋_GB2312" w:cs="仿宋_GB2312"/>
          <w:spacing w:val="0"/>
          <w:kern w:val="2"/>
          <w:sz w:val="32"/>
          <w:szCs w:val="32"/>
          <w:lang w:val="en-US" w:eastAsia="zh-CN" w:bidi="ar-SA"/>
        </w:rPr>
        <w:t>行政</w:t>
      </w:r>
      <w:r>
        <w:rPr>
          <w:rFonts w:hint="eastAsia" w:ascii="仿宋_GB2312" w:eastAsia="仿宋_GB2312" w:cs="仿宋_GB2312"/>
          <w:spacing w:val="0"/>
          <w:kern w:val="2"/>
          <w:sz w:val="32"/>
          <w:szCs w:val="32"/>
          <w:lang w:bidi="ar-SA"/>
        </w:rPr>
        <w:t>单位。</w:t>
      </w:r>
      <w:r>
        <w:rPr>
          <w:rFonts w:hint="eastAsia" w:ascii="仿宋_GB2312" w:eastAsia="仿宋_GB2312" w:cs="仿宋_GB2312"/>
          <w:sz w:val="32"/>
          <w:szCs w:val="32"/>
          <w:lang w:bidi="ar-SA"/>
        </w:rPr>
        <w:t>本单位本年度纳入本套决算编制范围的独立编制机构数共</w:t>
      </w:r>
      <w:r>
        <w:rPr>
          <w:rFonts w:hint="eastAsia" w:ascii="仿宋_GB2312" w:eastAsia="仿宋_GB2312" w:cs="仿宋_GB2312"/>
          <w:sz w:val="32"/>
          <w:szCs w:val="32"/>
          <w:lang w:val="en-US" w:eastAsia="zh-CN" w:bidi="ar-SA"/>
        </w:rPr>
        <w:t>1</w:t>
      </w:r>
      <w:r>
        <w:rPr>
          <w:rFonts w:hint="eastAsia" w:ascii="仿宋_GB2312" w:eastAsia="仿宋_GB2312" w:cs="仿宋_GB2312"/>
          <w:sz w:val="32"/>
          <w:szCs w:val="32"/>
          <w:lang w:bidi="ar-SA"/>
        </w:rPr>
        <w:t>个，比上年增加0个；独立核算机构数共1个，比上年增加0个</w:t>
      </w:r>
      <w:r>
        <w:rPr>
          <w:rStyle w:val="19"/>
          <w:rFonts w:hint="eastAsia" w:ascii="仿宋_GB2312" w:eastAsia="仿宋_GB2312" w:cs="仿宋_GB2312"/>
          <w:sz w:val="32"/>
          <w:szCs w:val="32"/>
          <w:lang w:bidi="ar-SA"/>
        </w:rPr>
        <w:t>。</w:t>
      </w:r>
    </w:p>
    <w:bookmarkEnd w:id="14"/>
    <w:bookmarkEnd w:id="15"/>
    <w:p w14:paraId="07B083AF">
      <w:pPr>
        <w:pageBreakBefore w:val="0"/>
        <w:widowControl/>
        <w:shd w:val="clear" w:color="auto" w:fill="FFFEFB"/>
        <w:suppressAutoHyphens w:val="0"/>
        <w:kinsoku/>
        <w:wordWrap/>
        <w:overflowPunct/>
        <w:topLinePunct w:val="0"/>
        <w:autoSpaceDE/>
        <w:autoSpaceDN/>
        <w:bidi w:val="0"/>
        <w:adjustRightInd/>
        <w:snapToGrid/>
        <w:spacing w:before="0" w:line="560" w:lineRule="exact"/>
        <w:jc w:val="both"/>
        <w:textAlignment w:val="auto"/>
        <w:outlineLvl w:val="9"/>
        <w:rPr>
          <w:rFonts w:hint="eastAsia" w:ascii="仿宋_GB2312" w:eastAsia="仿宋_GB2312" w:cs="仿宋_GB2312"/>
          <w:kern w:val="2"/>
          <w:sz w:val="32"/>
          <w:szCs w:val="32"/>
          <w:lang w:bidi="ar-SA"/>
        </w:rPr>
      </w:pPr>
      <w:r>
        <w:rPr>
          <w:rFonts w:hint="eastAsia" w:ascii="仿宋_GB2312" w:eastAsia="仿宋_GB2312" w:cs="仿宋_GB2312"/>
          <w:spacing w:val="0"/>
          <w:kern w:val="2"/>
          <w:sz w:val="32"/>
          <w:szCs w:val="32"/>
          <w:lang w:bidi="ar-SA"/>
        </w:rPr>
        <w:t>州机关事务管理局行政编制10名。其中，局长1名，副局长2名；正科级领导职数4名，副科级领导职数2名。机关工勤人员编制2名。</w:t>
      </w:r>
      <w:r>
        <w:rPr>
          <w:rFonts w:hint="eastAsia" w:ascii="仿宋_GB2312" w:eastAsia="仿宋_GB2312" w:cs="仿宋_GB2312"/>
          <w:sz w:val="32"/>
          <w:szCs w:val="32"/>
          <w:lang w:bidi="ar-SA"/>
        </w:rPr>
        <w:t>比上年增加0人；年末实有离退休人数为0人，比上年增加0人</w:t>
      </w:r>
      <w:r>
        <w:rPr>
          <w:rStyle w:val="19"/>
          <w:rFonts w:hint="eastAsia" w:ascii="仿宋_GB2312" w:eastAsia="仿宋_GB2312" w:cs="仿宋_GB2312"/>
          <w:sz w:val="32"/>
          <w:szCs w:val="32"/>
          <w:lang w:bidi="ar-SA"/>
        </w:rPr>
        <w:t>。</w:t>
      </w:r>
      <w:r>
        <w:rPr>
          <w:rFonts w:hint="eastAsia" w:ascii="仿宋_GB2312" w:eastAsia="仿宋_GB2312" w:cs="仿宋_GB2312"/>
          <w:sz w:val="32"/>
          <w:szCs w:val="32"/>
          <w:lang w:bidi="ar-SA"/>
        </w:rPr>
        <w:t> </w:t>
      </w:r>
    </w:p>
    <w:p w14:paraId="3D87D2CF">
      <w:pPr>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eastAsia="仿宋_GB2312" w:cs="Times New Roman"/>
          <w:kern w:val="0"/>
          <w:sz w:val="32"/>
          <w:szCs w:val="32"/>
          <w:lang w:bidi="ar-SA"/>
        </w:rPr>
      </w:pPr>
    </w:p>
    <w:p w14:paraId="224D15E0">
      <w:pPr>
        <w:pageBreakBefore w:val="0"/>
        <w:widowControl/>
        <w:kinsoku/>
        <w:wordWrap/>
        <w:overflowPunct/>
        <w:topLinePunct w:val="0"/>
        <w:autoSpaceDE/>
        <w:autoSpaceDN/>
        <w:bidi w:val="0"/>
        <w:adjustRightInd/>
        <w:snapToGrid/>
        <w:spacing w:line="560" w:lineRule="exact"/>
        <w:jc w:val="both"/>
        <w:textAlignment w:val="auto"/>
        <w:outlineLvl w:val="9"/>
        <w:rPr>
          <w:rFonts w:ascii="仿宋" w:hAnsi="仿宋" w:eastAsia="仿宋"/>
          <w:kern w:val="0"/>
          <w:sz w:val="32"/>
          <w:szCs w:val="32"/>
        </w:rPr>
      </w:pPr>
      <w:r>
        <w:rPr>
          <w:rFonts w:ascii="仿宋" w:hAnsi="仿宋" w:eastAsia="仿宋"/>
          <w:sz w:val="32"/>
          <w:szCs w:val="32"/>
        </w:rPr>
        <w:br w:type="page"/>
      </w:r>
    </w:p>
    <w:p w14:paraId="616115A4">
      <w:pPr>
        <w:pStyle w:val="5"/>
        <w:ind w:right="440"/>
        <w:jc w:val="center"/>
      </w:pPr>
      <w:bookmarkStart w:id="16" w:name="_Toc15396602"/>
      <w:bookmarkStart w:id="17" w:name="_Toc15377204"/>
      <w:r>
        <w:rPr>
          <w:rFonts w:hint="eastAsia" w:ascii="黑体" w:hAnsi="黑体" w:eastAsia="黑体"/>
          <w:b w:val="0"/>
        </w:rPr>
        <w:t>第二部分 202</w:t>
      </w:r>
      <w:r>
        <w:rPr>
          <w:rFonts w:hint="eastAsia" w:ascii="黑体" w:hAnsi="黑体" w:eastAsia="黑体"/>
          <w:b w:val="0"/>
          <w:lang w:val="en-US" w:eastAsia="zh-CN"/>
        </w:rPr>
        <w:t>4</w:t>
      </w:r>
      <w:r>
        <w:rPr>
          <w:rFonts w:hint="eastAsia" w:ascii="黑体" w:hAnsi="黑体" w:eastAsia="黑体"/>
          <w:b w:val="0"/>
        </w:rPr>
        <w:t>年度</w:t>
      </w:r>
      <w:r>
        <w:rPr>
          <w:rStyle w:val="30"/>
          <w:rFonts w:hint="eastAsia" w:ascii="黑体" w:hAnsi="黑体" w:eastAsia="黑体"/>
          <w:b w:val="0"/>
          <w:bCs/>
        </w:rPr>
        <w:t>单位决算情况说明</w:t>
      </w:r>
      <w:bookmarkEnd w:id="16"/>
      <w:bookmarkEnd w:id="17"/>
    </w:p>
    <w:p w14:paraId="13B749F1">
      <w:pPr>
        <w:pStyle w:val="29"/>
        <w:numPr>
          <w:ilvl w:val="0"/>
          <w:numId w:val="1"/>
        </w:numPr>
        <w:spacing w:line="600" w:lineRule="exact"/>
        <w:ind w:firstLineChars="0"/>
        <w:outlineLvl w:val="1"/>
        <w:rPr>
          <w:rStyle w:val="31"/>
          <w:rFonts w:ascii="黑体" w:hAnsi="黑体" w:eastAsia="黑体"/>
          <w:b w:val="0"/>
        </w:rPr>
      </w:pPr>
      <w:bookmarkStart w:id="18" w:name="_Toc15396603"/>
      <w:bookmarkStart w:id="19" w:name="_Toc15377205"/>
      <w:r>
        <w:rPr>
          <w:rFonts w:hint="eastAsia" w:ascii="黑体" w:hAnsi="黑体" w:eastAsia="黑体"/>
          <w:sz w:val="32"/>
          <w:szCs w:val="32"/>
        </w:rPr>
        <w:t>收</w:t>
      </w:r>
      <w:r>
        <w:rPr>
          <w:rStyle w:val="31"/>
          <w:rFonts w:hint="eastAsia" w:ascii="黑体" w:hAnsi="黑体" w:eastAsia="黑体"/>
          <w:b w:val="0"/>
        </w:rPr>
        <w:t>入支出决算总体情况说明</w:t>
      </w:r>
      <w:bookmarkEnd w:id="18"/>
      <w:bookmarkEnd w:id="19"/>
    </w:p>
    <w:p w14:paraId="466DC86F">
      <w:pPr>
        <w:spacing w:line="600" w:lineRule="exact"/>
        <w:ind w:firstLine="640" w:firstLineChars="2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年度收、支总计均为</w:t>
      </w:r>
      <w:r>
        <w:rPr>
          <w:rFonts w:hint="eastAsia" w:ascii="仿宋" w:hAnsi="仿宋" w:eastAsia="仿宋"/>
          <w:b/>
          <w:sz w:val="32"/>
          <w:szCs w:val="32"/>
          <w:lang w:val="en-US" w:eastAsia="zh-CN"/>
        </w:rPr>
        <w:t>720.66</w:t>
      </w:r>
      <w:r>
        <w:rPr>
          <w:rFonts w:hint="eastAsia" w:ascii="仿宋" w:hAnsi="仿宋" w:eastAsia="仿宋"/>
          <w:sz w:val="32"/>
          <w:szCs w:val="32"/>
        </w:rPr>
        <w:t>万元。与202</w:t>
      </w:r>
      <w:r>
        <w:rPr>
          <w:rFonts w:hint="eastAsia" w:ascii="仿宋" w:hAnsi="仿宋" w:eastAsia="仿宋"/>
          <w:sz w:val="32"/>
          <w:szCs w:val="32"/>
          <w:lang w:val="en-US" w:eastAsia="zh-CN"/>
        </w:rPr>
        <w:t>3</w:t>
      </w:r>
      <w:r>
        <w:rPr>
          <w:rFonts w:hint="eastAsia" w:ascii="仿宋" w:hAnsi="仿宋" w:eastAsia="仿宋"/>
          <w:sz w:val="32"/>
          <w:szCs w:val="32"/>
        </w:rPr>
        <w:t>年度相比，收、支总计</w:t>
      </w:r>
      <w:r>
        <w:rPr>
          <w:rFonts w:hint="eastAsia" w:ascii="仿宋" w:hAnsi="仿宋" w:eastAsia="仿宋"/>
          <w:sz w:val="32"/>
          <w:szCs w:val="32"/>
          <w:lang w:val="en-US" w:eastAsia="zh-CN"/>
        </w:rPr>
        <w:t>各增加89.1</w:t>
      </w:r>
      <w:r>
        <w:rPr>
          <w:rFonts w:hint="eastAsia" w:ascii="仿宋" w:hAnsi="仿宋" w:eastAsia="仿宋"/>
          <w:sz w:val="32"/>
          <w:szCs w:val="32"/>
        </w:rPr>
        <w:t>万元，</w:t>
      </w:r>
      <w:r>
        <w:rPr>
          <w:rFonts w:hint="eastAsia" w:eastAsia="仿宋_GB2312" w:cs="仿宋_GB2312"/>
          <w:sz w:val="32"/>
          <w:szCs w:val="32"/>
        </w:rPr>
        <w:t>增长</w:t>
      </w:r>
      <w:r>
        <w:rPr>
          <w:rFonts w:hint="eastAsia" w:ascii="仿宋" w:hAnsi="仿宋" w:eastAsia="仿宋"/>
          <w:sz w:val="32"/>
          <w:szCs w:val="32"/>
          <w:lang w:val="en-US" w:eastAsia="zh-CN"/>
        </w:rPr>
        <w:t>14.1</w:t>
      </w:r>
      <w:r>
        <w:rPr>
          <w:rFonts w:ascii="仿宋" w:hAnsi="仿宋" w:eastAsia="仿宋"/>
          <w:sz w:val="32"/>
          <w:szCs w:val="32"/>
        </w:rPr>
        <w:t>%</w:t>
      </w:r>
      <w:r>
        <w:rPr>
          <w:rFonts w:hint="eastAsia" w:ascii="仿宋" w:hAnsi="仿宋" w:eastAsia="仿宋"/>
          <w:sz w:val="32"/>
          <w:szCs w:val="32"/>
        </w:rPr>
        <w:t>。</w:t>
      </w:r>
      <w:r>
        <w:rPr>
          <w:rFonts w:hint="default" w:ascii="Times New Roman" w:hAnsi="Times New Roman" w:eastAsia="仿宋_GB2312" w:cs="Times New Roman"/>
          <w:sz w:val="32"/>
          <w:szCs w:val="32"/>
          <w:lang w:bidi="ar-SA"/>
        </w:rPr>
        <w:t>变动主要原因是</w:t>
      </w:r>
      <w:r>
        <w:rPr>
          <w:rFonts w:hint="eastAsia" w:ascii="仿宋_GB2312" w:eastAsia="仿宋_GB2312" w:cs="仿宋"/>
          <w:color w:val="000000"/>
          <w:sz w:val="32"/>
          <w:szCs w:val="32"/>
          <w:lang w:bidi="ar-SA"/>
        </w:rPr>
        <w:t>202</w:t>
      </w:r>
      <w:r>
        <w:rPr>
          <w:rFonts w:hint="eastAsia" w:ascii="仿宋_GB2312" w:eastAsia="仿宋_GB2312" w:cs="仿宋"/>
          <w:color w:val="000000"/>
          <w:sz w:val="32"/>
          <w:szCs w:val="32"/>
          <w:lang w:val="en-US" w:eastAsia="zh-CN" w:bidi="ar-SA"/>
        </w:rPr>
        <w:t>4年新增州级机关人才公寓(第五期周转房)设施设备采购58.95万元及本单位办公设备购置25.95万元</w:t>
      </w:r>
      <w:r>
        <w:rPr>
          <w:rFonts w:hint="eastAsia" w:ascii="仿宋" w:hAnsi="仿宋" w:eastAsia="仿宋"/>
          <w:sz w:val="32"/>
          <w:szCs w:val="32"/>
        </w:rPr>
        <w:t>。</w:t>
      </w:r>
    </w:p>
    <w:p w14:paraId="12234B12">
      <w:pPr>
        <w:spacing w:line="600" w:lineRule="exact"/>
        <w:ind w:firstLine="640" w:firstLineChars="200"/>
        <w:jc w:val="left"/>
        <w:rPr>
          <w:rStyle w:val="31"/>
          <w:rFonts w:ascii="黑体" w:hAnsi="黑体" w:eastAsia="黑体"/>
          <w:b w:val="0"/>
        </w:rPr>
      </w:pPr>
      <w:r>
        <w:rPr>
          <w:rFonts w:hint="eastAsia" w:ascii="黑体" w:hAnsi="黑体" w:eastAsia="黑体" w:cs="黑体"/>
          <w:kern w:val="2"/>
          <w:sz w:val="32"/>
          <w:szCs w:val="32"/>
          <w:lang w:val="en-US" w:eastAsia="zh-CN" w:bidi="ar-SA"/>
        </w:rPr>
        <w:drawing>
          <wp:anchor distT="0" distB="0" distL="114300" distR="114300" simplePos="0" relativeHeight="251659264" behindDoc="0" locked="0" layoutInCell="1" allowOverlap="1">
            <wp:simplePos x="0" y="0"/>
            <wp:positionH relativeFrom="column">
              <wp:posOffset>-33655</wp:posOffset>
            </wp:positionH>
            <wp:positionV relativeFrom="paragraph">
              <wp:posOffset>192405</wp:posOffset>
            </wp:positionV>
            <wp:extent cx="5179695" cy="2371090"/>
            <wp:effectExtent l="4445" t="4445" r="16510" b="571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bookmarkStart w:id="20" w:name="_Toc15377206"/>
      <w:bookmarkStart w:id="21" w:name="_Toc15396604"/>
      <w:r>
        <w:rPr>
          <w:rFonts w:hint="eastAsia" w:ascii="黑体" w:hAnsi="黑体" w:eastAsia="黑体" w:cs="黑体"/>
          <w:kern w:val="2"/>
          <w:sz w:val="32"/>
          <w:szCs w:val="32"/>
          <w:lang w:val="en-US" w:eastAsia="zh-CN" w:bidi="ar-SA"/>
        </w:rPr>
        <w:t>二、</w:t>
      </w:r>
      <w:r>
        <w:rPr>
          <w:rFonts w:hint="eastAsia" w:ascii="黑体" w:hAnsi="黑体" w:eastAsia="黑体"/>
          <w:sz w:val="32"/>
          <w:szCs w:val="32"/>
        </w:rPr>
        <w:t>收</w:t>
      </w:r>
      <w:r>
        <w:rPr>
          <w:rStyle w:val="31"/>
          <w:rFonts w:hint="eastAsia" w:ascii="黑体" w:hAnsi="黑体" w:eastAsia="黑体"/>
          <w:b w:val="0"/>
        </w:rPr>
        <w:t>入决算情况说明</w:t>
      </w:r>
      <w:bookmarkEnd w:id="20"/>
      <w:bookmarkEnd w:id="21"/>
    </w:p>
    <w:p w14:paraId="4392DD58">
      <w:pPr>
        <w:spacing w:line="600" w:lineRule="exact"/>
        <w:ind w:firstLine="640" w:firstLineChars="200"/>
        <w:outlineLvl w:val="1"/>
        <w:rPr>
          <w:rFonts w:ascii="仿宋" w:hAnsi="仿宋" w:eastAsia="仿宋"/>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年度本年收入合计</w:t>
      </w:r>
      <w:r>
        <w:rPr>
          <w:rFonts w:hint="eastAsia" w:ascii="仿宋_GB2312" w:hAnsi="仿宋_GB2312" w:eastAsia="仿宋_GB2312" w:cs="仿宋_GB2312"/>
          <w:b/>
          <w:sz w:val="32"/>
          <w:szCs w:val="32"/>
          <w:lang w:val="en-US" w:eastAsia="zh-CN"/>
        </w:rPr>
        <w:t>720.66</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b/>
          <w:sz w:val="32"/>
          <w:szCs w:val="32"/>
          <w:lang w:val="en-US" w:eastAsia="zh-CN"/>
        </w:rPr>
        <w:t>720.66</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rPr>
        <w:t>100%</w:t>
      </w:r>
      <w:r>
        <w:rPr>
          <w:rFonts w:hint="eastAsia" w:ascii="仿宋_GB2312" w:hAnsi="仿宋_GB2312" w:eastAsia="仿宋_GB2312" w:cs="仿宋_GB2312"/>
          <w:sz w:val="32"/>
          <w:szCs w:val="32"/>
        </w:rPr>
        <w:t>；政府性基金预算财政拨款收入</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%；国有资本经营预算财政拨款收入</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%；上级补助收入</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万元，占0%；事业收入</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%；经营收入</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%；附属单位上缴收入</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%；其他收入</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b/>
          <w:sz w:val="32"/>
          <w:szCs w:val="32"/>
        </w:rPr>
        <w:t>0</w:t>
      </w:r>
      <w:r>
        <w:rPr>
          <w:rFonts w:hint="eastAsia" w:ascii="仿宋_GB2312" w:hAnsi="仿宋_GB2312" w:eastAsia="仿宋_GB2312" w:cs="仿宋_GB2312"/>
          <w:sz w:val="32"/>
          <w:szCs w:val="32"/>
        </w:rPr>
        <w:t>%</w:t>
      </w:r>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，仅罗列本单位涉及的收入。</w:t>
      </w:r>
      <w:r>
        <w:rPr>
          <w:rFonts w:ascii="仿宋" w:hAnsi="仿宋" w:eastAsia="仿宋"/>
          <w:b/>
          <w:sz w:val="32"/>
          <w:szCs w:val="32"/>
        </w:rPr>
        <w:t>）</w:t>
      </w:r>
    </w:p>
    <w:p w14:paraId="3176E010">
      <w:pPr>
        <w:spacing w:line="600" w:lineRule="exact"/>
        <w:ind w:firstLine="640" w:firstLineChars="200"/>
        <w:rPr>
          <w:rStyle w:val="31"/>
          <w:rFonts w:ascii="黑体" w:hAnsi="黑体" w:eastAsia="黑体"/>
          <w:b w:val="0"/>
        </w:rPr>
      </w:pPr>
      <w:r>
        <w:rPr>
          <w:rStyle w:val="31"/>
          <w:rFonts w:hint="eastAsia" w:ascii="黑体" w:hAnsi="黑体" w:eastAsia="黑体"/>
          <w:b w:val="0"/>
        </w:rPr>
        <w:drawing>
          <wp:anchor distT="0" distB="0" distL="114300" distR="114300" simplePos="0" relativeHeight="251660288" behindDoc="1" locked="0" layoutInCell="1" allowOverlap="1">
            <wp:simplePos x="0" y="0"/>
            <wp:positionH relativeFrom="column">
              <wp:posOffset>-24130</wp:posOffset>
            </wp:positionH>
            <wp:positionV relativeFrom="paragraph">
              <wp:posOffset>118745</wp:posOffset>
            </wp:positionV>
            <wp:extent cx="5274310" cy="2580640"/>
            <wp:effectExtent l="4445" t="4445" r="17145" b="5715"/>
            <wp:wrapTight wrapText="bothSides">
              <wp:wrapPolygon>
                <wp:start x="-18" y="-37"/>
                <wp:lineTo x="-18" y="21488"/>
                <wp:lineTo x="21514" y="21488"/>
                <wp:lineTo x="21514" y="-37"/>
                <wp:lineTo x="-18" y="-37"/>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bookmarkStart w:id="22" w:name="_Toc15377207"/>
      <w:bookmarkStart w:id="23" w:name="_Toc15396605"/>
      <w:r>
        <w:rPr>
          <w:rStyle w:val="31"/>
          <w:rFonts w:hint="eastAsia" w:ascii="黑体" w:hAnsi="黑体" w:eastAsia="黑体"/>
          <w:b w:val="0"/>
          <w:lang w:val="en-US" w:eastAsia="zh-CN"/>
        </w:rPr>
        <w:t>三、</w:t>
      </w:r>
      <w:r>
        <w:rPr>
          <w:rStyle w:val="31"/>
          <w:rFonts w:hint="eastAsia" w:ascii="黑体" w:hAnsi="黑体" w:eastAsia="黑体"/>
          <w:b w:val="0"/>
        </w:rPr>
        <w:t>支出决算情况说明</w:t>
      </w:r>
      <w:bookmarkEnd w:id="22"/>
      <w:bookmarkEnd w:id="23"/>
    </w:p>
    <w:p w14:paraId="5430E371">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年度本年支出合计</w:t>
      </w:r>
      <w:r>
        <w:rPr>
          <w:rFonts w:hint="eastAsia" w:ascii="仿宋" w:hAnsi="仿宋" w:eastAsia="仿宋"/>
          <w:b/>
          <w:sz w:val="32"/>
          <w:szCs w:val="32"/>
          <w:lang w:val="en-US" w:eastAsia="zh-CN"/>
        </w:rPr>
        <w:t>720.66</w:t>
      </w:r>
      <w:r>
        <w:rPr>
          <w:rFonts w:hint="eastAsia" w:ascii="仿宋" w:hAnsi="仿宋" w:eastAsia="仿宋"/>
          <w:sz w:val="32"/>
          <w:szCs w:val="32"/>
        </w:rPr>
        <w:t>万元，其中：基本支出</w:t>
      </w:r>
      <w:r>
        <w:rPr>
          <w:rFonts w:hint="eastAsia" w:ascii="仿宋" w:hAnsi="仿宋" w:eastAsia="仿宋"/>
          <w:b/>
          <w:sz w:val="32"/>
          <w:szCs w:val="32"/>
          <w:lang w:val="en-US" w:eastAsia="zh-CN"/>
        </w:rPr>
        <w:t>523.34</w:t>
      </w:r>
      <w:r>
        <w:rPr>
          <w:rFonts w:hint="eastAsia" w:ascii="仿宋" w:hAnsi="仿宋" w:eastAsia="仿宋"/>
          <w:sz w:val="32"/>
          <w:szCs w:val="32"/>
        </w:rPr>
        <w:t>万元，占</w:t>
      </w:r>
      <w:r>
        <w:rPr>
          <w:rFonts w:hint="eastAsia" w:ascii="仿宋" w:hAnsi="仿宋" w:eastAsia="仿宋"/>
          <w:b/>
          <w:sz w:val="32"/>
          <w:szCs w:val="32"/>
          <w:lang w:val="en-US" w:eastAsia="zh-CN"/>
        </w:rPr>
        <w:t>72.6</w:t>
      </w:r>
      <w:r>
        <w:rPr>
          <w:rFonts w:ascii="仿宋" w:hAnsi="仿宋" w:eastAsia="仿宋"/>
          <w:sz w:val="32"/>
          <w:szCs w:val="32"/>
        </w:rPr>
        <w:t>%</w:t>
      </w:r>
      <w:r>
        <w:rPr>
          <w:rFonts w:hint="eastAsia" w:ascii="仿宋" w:hAnsi="仿宋" w:eastAsia="仿宋"/>
          <w:sz w:val="32"/>
          <w:szCs w:val="32"/>
        </w:rPr>
        <w:t>；项目支出</w:t>
      </w:r>
      <w:r>
        <w:rPr>
          <w:rFonts w:hint="eastAsia" w:ascii="仿宋" w:hAnsi="仿宋" w:eastAsia="仿宋"/>
          <w:b/>
          <w:sz w:val="32"/>
          <w:szCs w:val="32"/>
          <w:lang w:val="en-US" w:eastAsia="zh-CN"/>
        </w:rPr>
        <w:t>197.32</w:t>
      </w:r>
      <w:r>
        <w:rPr>
          <w:rFonts w:hint="eastAsia" w:ascii="仿宋" w:hAnsi="仿宋" w:eastAsia="仿宋"/>
          <w:sz w:val="32"/>
          <w:szCs w:val="32"/>
        </w:rPr>
        <w:t>万元，占</w:t>
      </w:r>
      <w:r>
        <w:rPr>
          <w:rFonts w:hint="eastAsia" w:ascii="仿宋" w:hAnsi="仿宋" w:eastAsia="仿宋"/>
          <w:sz w:val="32"/>
          <w:szCs w:val="32"/>
          <w:lang w:val="en-US" w:eastAsia="zh-CN"/>
        </w:rPr>
        <w:t>27.4</w:t>
      </w:r>
      <w:r>
        <w:rPr>
          <w:rFonts w:ascii="仿宋" w:hAnsi="仿宋" w:eastAsia="仿宋"/>
          <w:sz w:val="32"/>
          <w:szCs w:val="32"/>
        </w:rPr>
        <w:t>%</w:t>
      </w:r>
      <w:r>
        <w:rPr>
          <w:rFonts w:hint="eastAsia" w:ascii="仿宋" w:hAnsi="仿宋" w:eastAsia="仿宋"/>
          <w:sz w:val="32"/>
          <w:szCs w:val="32"/>
        </w:rPr>
        <w:t>。</w:t>
      </w:r>
    </w:p>
    <w:p w14:paraId="3515DDBA">
      <w:pPr>
        <w:spacing w:line="600" w:lineRule="exact"/>
        <w:outlineLvl w:val="1"/>
        <w:rPr>
          <w:rFonts w:ascii="仿宋" w:hAnsi="仿宋" w:eastAsia="仿宋"/>
          <w:b/>
          <w:sz w:val="32"/>
          <w:szCs w:val="32"/>
        </w:rPr>
      </w:pPr>
      <w:r>
        <w:rPr>
          <w:rFonts w:hint="eastAsia" w:ascii="仿宋" w:hAnsi="仿宋" w:eastAsia="仿宋"/>
          <w:b/>
          <w:sz w:val="32"/>
          <w:szCs w:val="32"/>
        </w:rPr>
        <w:t>（注：仅罗列本单位涉及的支出。）</w:t>
      </w:r>
    </w:p>
    <w:p w14:paraId="5E86A518">
      <w:pPr>
        <w:spacing w:line="600" w:lineRule="exact"/>
        <w:ind w:firstLine="640"/>
        <w:rPr>
          <w:rFonts w:ascii="仿宋_GB2312" w:eastAsia="仿宋_GB2312"/>
          <w:sz w:val="32"/>
          <w:szCs w:val="32"/>
        </w:rPr>
      </w:pPr>
      <w:r>
        <w:rPr>
          <w:rFonts w:hint="eastAsia" w:ascii="仿宋_GB2312" w:eastAsia="仿宋_GB2312"/>
          <w:sz w:val="32"/>
          <w:szCs w:val="32"/>
        </w:rPr>
        <w:drawing>
          <wp:anchor distT="0" distB="0" distL="114300" distR="114300" simplePos="0" relativeHeight="251661312" behindDoc="1" locked="0" layoutInCell="1" allowOverlap="1">
            <wp:simplePos x="0" y="0"/>
            <wp:positionH relativeFrom="column">
              <wp:posOffset>23495</wp:posOffset>
            </wp:positionH>
            <wp:positionV relativeFrom="paragraph">
              <wp:posOffset>377190</wp:posOffset>
            </wp:positionV>
            <wp:extent cx="5266690" cy="2371090"/>
            <wp:effectExtent l="4445" t="4445" r="43815" b="62865"/>
            <wp:wrapTight wrapText="bothSides">
              <wp:wrapPolygon>
                <wp:start x="-18" y="-40"/>
                <wp:lineTo x="-18" y="21479"/>
                <wp:lineTo x="21545" y="21479"/>
                <wp:lineTo x="21545" y="-40"/>
                <wp:lineTo x="-18" y="-40"/>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1EE22012">
      <w:pPr>
        <w:spacing w:line="600" w:lineRule="exact"/>
        <w:ind w:firstLine="640" w:firstLineChars="200"/>
        <w:outlineLvl w:val="1"/>
        <w:rPr>
          <w:rStyle w:val="31"/>
          <w:rFonts w:ascii="黑体" w:hAnsi="黑体" w:eastAsia="黑体"/>
          <w:b w:val="0"/>
        </w:rPr>
      </w:pPr>
      <w:bookmarkStart w:id="24" w:name="_Toc15396606"/>
      <w:bookmarkStart w:id="25" w:name="_Toc15377208"/>
      <w:r>
        <w:rPr>
          <w:rFonts w:hint="eastAsia" w:ascii="黑体" w:hAnsi="黑体" w:eastAsia="黑体"/>
          <w:sz w:val="32"/>
          <w:szCs w:val="32"/>
        </w:rPr>
        <w:t>四、财</w:t>
      </w:r>
      <w:r>
        <w:rPr>
          <w:rStyle w:val="31"/>
          <w:rFonts w:hint="eastAsia" w:ascii="黑体" w:hAnsi="黑体" w:eastAsia="黑体"/>
          <w:b w:val="0"/>
        </w:rPr>
        <w:t>政拨款收入支出决算总体情况说明</w:t>
      </w:r>
      <w:bookmarkEnd w:id="24"/>
      <w:bookmarkEnd w:id="25"/>
    </w:p>
    <w:p w14:paraId="35A9E95E">
      <w:pPr>
        <w:spacing w:line="600" w:lineRule="exact"/>
        <w:ind w:firstLine="640" w:firstLineChars="200"/>
        <w:rPr>
          <w:rFonts w:ascii="仿宋" w:hAnsi="仿宋" w:eastAsia="仿宋"/>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年度财政拨款收、支总计均为</w:t>
      </w:r>
      <w:r>
        <w:rPr>
          <w:rFonts w:hint="eastAsia" w:ascii="仿宋" w:hAnsi="仿宋" w:eastAsia="仿宋"/>
          <w:b/>
          <w:sz w:val="32"/>
          <w:szCs w:val="32"/>
          <w:lang w:val="en-US" w:eastAsia="zh-CN"/>
        </w:rPr>
        <w:t>720.66</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年度相比，财政拨款收、支总计</w:t>
      </w:r>
      <w:r>
        <w:rPr>
          <w:rFonts w:hint="eastAsia" w:ascii="仿宋" w:hAnsi="仿宋" w:eastAsia="仿宋"/>
          <w:sz w:val="32"/>
          <w:szCs w:val="32"/>
          <w:lang w:val="en-US" w:eastAsia="zh-CN"/>
        </w:rPr>
        <w:t>增加89.1</w:t>
      </w:r>
      <w:r>
        <w:rPr>
          <w:rFonts w:hint="eastAsia" w:ascii="仿宋" w:hAnsi="仿宋" w:eastAsia="仿宋"/>
          <w:sz w:val="32"/>
          <w:szCs w:val="32"/>
        </w:rPr>
        <w:t>万元，</w:t>
      </w:r>
      <w:r>
        <w:rPr>
          <w:rFonts w:hint="eastAsia" w:eastAsia="仿宋_GB2312" w:cs="仿宋_GB2312"/>
          <w:sz w:val="32"/>
          <w:szCs w:val="32"/>
        </w:rPr>
        <w:t>增长</w:t>
      </w:r>
      <w:r>
        <w:rPr>
          <w:rFonts w:hint="eastAsia" w:ascii="仿宋" w:hAnsi="仿宋" w:eastAsia="仿宋"/>
          <w:sz w:val="32"/>
          <w:szCs w:val="32"/>
          <w:lang w:val="en-US" w:eastAsia="zh-CN"/>
        </w:rPr>
        <w:t>14.1</w:t>
      </w:r>
      <w:r>
        <w:rPr>
          <w:rFonts w:ascii="仿宋" w:hAnsi="仿宋" w:eastAsia="仿宋"/>
          <w:sz w:val="32"/>
          <w:szCs w:val="32"/>
        </w:rPr>
        <w:t>%</w:t>
      </w:r>
      <w:r>
        <w:rPr>
          <w:rFonts w:hint="eastAsia" w:ascii="仿宋_GB2312" w:hAnsi="仿宋_GB2312" w:eastAsia="仿宋_GB2312" w:cs="仿宋_GB2312"/>
          <w:sz w:val="32"/>
          <w:szCs w:val="32"/>
        </w:rPr>
        <w:t>。主要变动原因是</w:t>
      </w:r>
      <w:r>
        <w:rPr>
          <w:rFonts w:hint="eastAsia" w:ascii="仿宋_GB2312" w:eastAsia="仿宋_GB2312" w:cs="仿宋"/>
          <w:color w:val="000000"/>
          <w:sz w:val="32"/>
          <w:szCs w:val="32"/>
          <w:lang w:bidi="ar-SA"/>
        </w:rPr>
        <w:t>202</w:t>
      </w:r>
      <w:r>
        <w:rPr>
          <w:rFonts w:hint="eastAsia" w:ascii="仿宋_GB2312" w:eastAsia="仿宋_GB2312" w:cs="仿宋"/>
          <w:color w:val="000000"/>
          <w:sz w:val="32"/>
          <w:szCs w:val="32"/>
          <w:lang w:val="en-US" w:eastAsia="zh-CN" w:bidi="ar-SA"/>
        </w:rPr>
        <w:t>4年新增州级机关人才公寓(第五期周转房)设施设备采购58.95万元及本单位办公设备购置25.95万元</w:t>
      </w:r>
      <w:r>
        <w:rPr>
          <w:rFonts w:hint="eastAsia" w:ascii="仿宋_GB2312" w:hAnsi="仿宋_GB2312" w:eastAsia="仿宋_GB2312" w:cs="仿宋_GB2312"/>
          <w:sz w:val="32"/>
          <w:szCs w:val="32"/>
        </w:rPr>
        <w:t>。</w:t>
      </w:r>
    </w:p>
    <w:p w14:paraId="15F354AC">
      <w:pPr>
        <w:spacing w:line="600" w:lineRule="exact"/>
        <w:rPr>
          <w:rStyle w:val="31"/>
          <w:rFonts w:ascii="黑体" w:hAnsi="黑体" w:eastAsia="黑体"/>
          <w:b w:val="0"/>
        </w:rPr>
      </w:pPr>
      <w:r>
        <w:rPr>
          <w:rFonts w:hint="eastAsia" w:ascii="仿宋" w:eastAsia="仿宋"/>
          <w:b/>
          <w:sz w:val="32"/>
          <w:szCs w:val="32"/>
        </w:rPr>
        <w:drawing>
          <wp:anchor distT="0" distB="0" distL="114300" distR="114300" simplePos="0" relativeHeight="251662336" behindDoc="1" locked="0" layoutInCell="1" allowOverlap="1">
            <wp:simplePos x="0" y="0"/>
            <wp:positionH relativeFrom="column">
              <wp:posOffset>109220</wp:posOffset>
            </wp:positionH>
            <wp:positionV relativeFrom="paragraph">
              <wp:posOffset>242570</wp:posOffset>
            </wp:positionV>
            <wp:extent cx="5285105" cy="2854960"/>
            <wp:effectExtent l="4445" t="4445" r="6350" b="17145"/>
            <wp:wrapTight wrapText="bothSides">
              <wp:wrapPolygon>
                <wp:start x="-18" y="-34"/>
                <wp:lineTo x="-18" y="21441"/>
                <wp:lineTo x="21548" y="21441"/>
                <wp:lineTo x="21548" y="-34"/>
                <wp:lineTo x="-18" y="-34"/>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bookmarkStart w:id="26" w:name="_Toc15396607"/>
      <w:bookmarkStart w:id="27" w:name="_Toc15377209"/>
      <w:r>
        <w:rPr>
          <w:rFonts w:hint="eastAsia" w:ascii="仿宋" w:eastAsia="仿宋"/>
          <w:b/>
          <w:sz w:val="32"/>
          <w:szCs w:val="32"/>
          <w:lang w:val="en-US" w:eastAsia="zh-CN"/>
        </w:rPr>
        <w:t xml:space="preserve">     </w:t>
      </w:r>
      <w:r>
        <w:rPr>
          <w:rFonts w:hint="eastAsia" w:ascii="黑体" w:hAnsi="黑体" w:eastAsia="黑体"/>
          <w:sz w:val="32"/>
          <w:szCs w:val="32"/>
        </w:rPr>
        <w:t>五、</w:t>
      </w:r>
      <w:r>
        <w:rPr>
          <w:rFonts w:hint="eastAsia" w:ascii="黑体" w:hAnsi="黑体" w:eastAsia="黑体"/>
          <w:b/>
          <w:sz w:val="32"/>
          <w:szCs w:val="32"/>
        </w:rPr>
        <w:t>一</w:t>
      </w:r>
      <w:r>
        <w:rPr>
          <w:rStyle w:val="31"/>
          <w:rFonts w:hint="eastAsia" w:ascii="黑体" w:hAnsi="黑体" w:eastAsia="黑体"/>
          <w:b w:val="0"/>
        </w:rPr>
        <w:t>般公共预算财政拨款支出决算情况说明</w:t>
      </w:r>
      <w:bookmarkEnd w:id="26"/>
      <w:bookmarkEnd w:id="27"/>
    </w:p>
    <w:p w14:paraId="581DD9E4">
      <w:pPr>
        <w:spacing w:line="600" w:lineRule="exact"/>
        <w:ind w:firstLine="643" w:firstLineChars="200"/>
        <w:outlineLvl w:val="2"/>
        <w:rPr>
          <w:rFonts w:ascii="仿宋" w:hAnsi="仿宋" w:eastAsia="仿宋"/>
          <w:b/>
          <w:sz w:val="32"/>
          <w:szCs w:val="32"/>
        </w:rPr>
      </w:pPr>
      <w:bookmarkStart w:id="28" w:name="_Toc15377210"/>
      <w:r>
        <w:rPr>
          <w:rFonts w:hint="eastAsia" w:ascii="仿宋" w:hAnsi="仿宋" w:eastAsia="仿宋"/>
          <w:b/>
          <w:sz w:val="32"/>
          <w:szCs w:val="32"/>
        </w:rPr>
        <w:t>（一）一般公共预算财政拨款支出决算总体情况</w:t>
      </w:r>
      <w:bookmarkEnd w:id="28"/>
    </w:p>
    <w:p w14:paraId="183A1B31">
      <w:pPr>
        <w:spacing w:line="600" w:lineRule="exact"/>
        <w:ind w:firstLine="640" w:firstLineChars="200"/>
        <w:rPr>
          <w:rFonts w:ascii="仿宋" w:hAnsi="仿宋" w:eastAsia="仿宋"/>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年度一般公共预算财政拨款支出</w:t>
      </w:r>
      <w:r>
        <w:rPr>
          <w:rFonts w:hint="eastAsia" w:ascii="仿宋_GB2312" w:hAnsi="仿宋_GB2312" w:eastAsia="仿宋_GB2312" w:cs="仿宋_GB2312"/>
          <w:b/>
          <w:sz w:val="32"/>
          <w:szCs w:val="32"/>
          <w:lang w:val="en-US" w:eastAsia="zh-CN"/>
        </w:rPr>
        <w:t>720.66</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b/>
          <w:sz w:val="32"/>
          <w:szCs w:val="32"/>
        </w:rPr>
        <w:t>100</w:t>
      </w:r>
      <w:r>
        <w:rPr>
          <w:rFonts w:hint="eastAsia" w:ascii="仿宋_GB2312" w:hAnsi="仿宋_GB2312" w:eastAsia="仿宋_GB2312" w:cs="仿宋_GB2312"/>
          <w:sz w:val="32"/>
          <w:szCs w:val="32"/>
        </w:rPr>
        <w:t>%。与202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年度相比，一般公共预算财政拨款支出</w:t>
      </w:r>
      <w:r>
        <w:rPr>
          <w:rFonts w:hint="eastAsia" w:ascii="仿宋" w:hAnsi="仿宋" w:eastAsia="仿宋"/>
          <w:sz w:val="32"/>
          <w:szCs w:val="32"/>
          <w:lang w:val="en-US" w:eastAsia="zh-CN"/>
        </w:rPr>
        <w:t>增加89.1</w:t>
      </w:r>
      <w:r>
        <w:rPr>
          <w:rFonts w:hint="eastAsia" w:ascii="仿宋" w:hAnsi="仿宋" w:eastAsia="仿宋"/>
          <w:sz w:val="32"/>
          <w:szCs w:val="32"/>
        </w:rPr>
        <w:t>万元，</w:t>
      </w:r>
      <w:r>
        <w:rPr>
          <w:rFonts w:hint="eastAsia" w:eastAsia="仿宋_GB2312" w:cs="仿宋_GB2312"/>
          <w:sz w:val="32"/>
          <w:szCs w:val="32"/>
        </w:rPr>
        <w:t>增长</w:t>
      </w:r>
      <w:r>
        <w:rPr>
          <w:rFonts w:hint="eastAsia" w:ascii="仿宋" w:hAnsi="仿宋" w:eastAsia="仿宋"/>
          <w:sz w:val="32"/>
          <w:szCs w:val="32"/>
          <w:lang w:val="en-US" w:eastAsia="zh-CN"/>
        </w:rPr>
        <w:t>14.1</w:t>
      </w:r>
      <w:r>
        <w:rPr>
          <w:rFonts w:ascii="仿宋" w:hAnsi="仿宋" w:eastAsia="仿宋"/>
          <w:sz w:val="32"/>
          <w:szCs w:val="32"/>
        </w:rPr>
        <w:t>%</w:t>
      </w:r>
      <w:r>
        <w:rPr>
          <w:rFonts w:hint="eastAsia" w:ascii="仿宋_GB2312" w:hAnsi="仿宋_GB2312" w:eastAsia="仿宋_GB2312" w:cs="仿宋_GB2312"/>
          <w:sz w:val="32"/>
          <w:szCs w:val="32"/>
        </w:rPr>
        <w:t>。主要变动原因是</w:t>
      </w:r>
      <w:r>
        <w:rPr>
          <w:rFonts w:hint="eastAsia" w:ascii="仿宋_GB2312" w:eastAsia="仿宋_GB2312" w:cs="仿宋"/>
          <w:color w:val="000000"/>
          <w:sz w:val="32"/>
          <w:szCs w:val="32"/>
          <w:lang w:bidi="ar-SA"/>
        </w:rPr>
        <w:t>202</w:t>
      </w:r>
      <w:r>
        <w:rPr>
          <w:rFonts w:hint="eastAsia" w:ascii="仿宋_GB2312" w:eastAsia="仿宋_GB2312" w:cs="仿宋"/>
          <w:color w:val="000000"/>
          <w:sz w:val="32"/>
          <w:szCs w:val="32"/>
          <w:lang w:val="en-US" w:eastAsia="zh-CN" w:bidi="ar-SA"/>
        </w:rPr>
        <w:t>4年新增州级机关人才公寓(第五期周转房)设施设备采购58.95万元及本单位办公设备购置25.95万元</w:t>
      </w:r>
      <w:r>
        <w:rPr>
          <w:rFonts w:hint="eastAsia" w:ascii="仿宋_GB2312" w:hAnsi="仿宋_GB2312" w:eastAsia="仿宋_GB2312" w:cs="仿宋_GB2312"/>
          <w:sz w:val="32"/>
          <w:szCs w:val="32"/>
        </w:rPr>
        <w:t>。</w:t>
      </w:r>
    </w:p>
    <w:p w14:paraId="6028CBFA">
      <w:pPr>
        <w:spacing w:line="600" w:lineRule="exact"/>
        <w:ind w:firstLine="640" w:firstLineChars="200"/>
        <w:rPr>
          <w:rFonts w:hint="eastAsia" w:ascii="仿宋_GB2312" w:hAnsi="仿宋_GB2312" w:eastAsia="仿宋_GB2312" w:cs="仿宋_GB2312"/>
          <w:sz w:val="32"/>
          <w:szCs w:val="32"/>
        </w:rPr>
      </w:pPr>
    </w:p>
    <w:p w14:paraId="03DF38F4">
      <w:pPr>
        <w:spacing w:line="600" w:lineRule="exact"/>
        <w:ind w:firstLine="640" w:firstLineChars="200"/>
        <w:rPr>
          <w:rFonts w:ascii="仿宋" w:hAnsi="仿宋" w:eastAsia="仿宋"/>
          <w:b/>
          <w:sz w:val="32"/>
          <w:szCs w:val="32"/>
        </w:rPr>
      </w:pPr>
      <w:r>
        <w:rPr>
          <w:rFonts w:hint="eastAsia" w:ascii="仿宋" w:eastAsia="仿宋"/>
          <w:sz w:val="32"/>
          <w:szCs w:val="32"/>
        </w:rPr>
        <w:drawing>
          <wp:anchor distT="0" distB="0" distL="114300" distR="114300" simplePos="0" relativeHeight="251663360" behindDoc="1" locked="0" layoutInCell="1" allowOverlap="1">
            <wp:simplePos x="0" y="0"/>
            <wp:positionH relativeFrom="column">
              <wp:posOffset>-23495</wp:posOffset>
            </wp:positionH>
            <wp:positionV relativeFrom="paragraph">
              <wp:posOffset>80645</wp:posOffset>
            </wp:positionV>
            <wp:extent cx="5256530" cy="2988310"/>
            <wp:effectExtent l="5080" t="4445" r="15240" b="17145"/>
            <wp:wrapTight wrapText="bothSides">
              <wp:wrapPolygon>
                <wp:start x="-21" y="-32"/>
                <wp:lineTo x="-21" y="21449"/>
                <wp:lineTo x="21506" y="21449"/>
                <wp:lineTo x="21506" y="-32"/>
                <wp:lineTo x="-21" y="-32"/>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bookmarkStart w:id="29" w:name="_Toc15377211"/>
      <w:r>
        <w:rPr>
          <w:rFonts w:hint="eastAsia" w:ascii="仿宋" w:hAnsi="仿宋" w:eastAsia="仿宋"/>
          <w:b/>
          <w:sz w:val="32"/>
          <w:szCs w:val="32"/>
        </w:rPr>
        <w:t>（二）一般公共预算财政拨款支出决算结构情况</w:t>
      </w:r>
      <w:bookmarkEnd w:id="29"/>
    </w:p>
    <w:p w14:paraId="1A6E7A60">
      <w:pPr>
        <w:spacing w:line="600" w:lineRule="exact"/>
        <w:ind w:firstLine="64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年度一般公共预算财政拨款支出</w:t>
      </w:r>
      <w:r>
        <w:rPr>
          <w:rFonts w:hint="eastAsia" w:ascii="仿宋_GB2312" w:hAnsi="仿宋_GB2312" w:eastAsia="仿宋_GB2312" w:cs="仿宋_GB2312"/>
          <w:b/>
          <w:sz w:val="32"/>
          <w:szCs w:val="32"/>
          <w:lang w:val="en-US" w:eastAsia="zh-CN"/>
        </w:rPr>
        <w:t>720.66</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
          <w:sz w:val="32"/>
          <w:szCs w:val="32"/>
        </w:rPr>
        <w:t>一般公共服务</w:t>
      </w:r>
      <w:r>
        <w:rPr>
          <w:rFonts w:hint="eastAsia" w:ascii="仿宋_GB2312" w:hAnsi="仿宋_GB2312" w:eastAsia="仿宋_GB2312" w:cs="仿宋_GB2312"/>
          <w:b/>
          <w:bCs/>
          <w:sz w:val="32"/>
          <w:szCs w:val="32"/>
        </w:rPr>
        <w:t>支出</w:t>
      </w:r>
      <w:r>
        <w:rPr>
          <w:rFonts w:hint="eastAsia" w:ascii="仿宋_GB2312" w:hAnsi="仿宋_GB2312" w:eastAsia="仿宋_GB2312" w:cs="仿宋_GB2312"/>
          <w:color w:val="auto"/>
          <w:kern w:val="2"/>
          <w:sz w:val="32"/>
          <w:szCs w:val="32"/>
          <w:lang w:val="en-US" w:eastAsia="zh-CN" w:bidi="ar-SA"/>
        </w:rPr>
        <w:t>646.39</w:t>
      </w:r>
      <w:r>
        <w:rPr>
          <w:rFonts w:hint="eastAsia" w:ascii="仿宋_GB2312" w:hAnsi="仿宋_GB2312" w:eastAsia="仿宋_GB2312" w:cs="仿宋_GB2312"/>
          <w:sz w:val="32"/>
          <w:szCs w:val="32"/>
        </w:rPr>
        <w:t>万元，占</w:t>
      </w:r>
      <w:r>
        <w:rPr>
          <w:rFonts w:hint="eastAsia" w:ascii="仿宋_GB2312" w:hAnsi="仿宋_GB2312" w:eastAsia="仿宋_GB2312" w:cs="仿宋_GB2312"/>
          <w:color w:val="auto"/>
          <w:kern w:val="2"/>
          <w:sz w:val="32"/>
          <w:szCs w:val="32"/>
          <w:lang w:val="en-US" w:eastAsia="zh-CN" w:bidi="ar-SA"/>
        </w:rPr>
        <w:t>89.7</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社会保障和就业</w:t>
      </w:r>
      <w:r>
        <w:rPr>
          <w:rFonts w:hint="eastAsia" w:ascii="仿宋_GB2312" w:hAnsi="仿宋_GB2312" w:eastAsia="仿宋_GB2312" w:cs="仿宋_GB2312"/>
          <w:b/>
          <w:bCs/>
          <w:sz w:val="32"/>
          <w:szCs w:val="32"/>
        </w:rPr>
        <w:t>支出</w:t>
      </w:r>
      <w:r>
        <w:rPr>
          <w:rFonts w:hint="eastAsia" w:ascii="仿宋_GB2312" w:hAnsi="仿宋_GB2312" w:eastAsia="仿宋_GB2312" w:cs="仿宋_GB2312"/>
          <w:color w:val="auto"/>
          <w:kern w:val="2"/>
          <w:sz w:val="32"/>
          <w:szCs w:val="32"/>
          <w:lang w:val="en-US" w:eastAsia="zh-CN" w:bidi="ar-SA"/>
        </w:rPr>
        <w:t>38.43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5.3</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卫生健康支出</w:t>
      </w:r>
      <w:r>
        <w:rPr>
          <w:rFonts w:hint="eastAsia" w:ascii="仿宋_GB2312" w:hAnsi="仿宋_GB2312" w:eastAsia="仿宋_GB2312" w:cs="仿宋_GB2312"/>
          <w:color w:val="auto"/>
          <w:kern w:val="2"/>
          <w:sz w:val="32"/>
          <w:szCs w:val="32"/>
          <w:lang w:val="en-US" w:eastAsia="zh-CN" w:bidi="ar-SA"/>
        </w:rPr>
        <w:t>15.09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color w:val="auto"/>
          <w:kern w:val="2"/>
          <w:sz w:val="32"/>
          <w:szCs w:val="32"/>
          <w:lang w:val="en-US" w:eastAsia="zh-CN" w:bidi="ar-SA"/>
        </w:rPr>
        <w:t>20.75</w:t>
      </w:r>
      <w:r>
        <w:rPr>
          <w:rFonts w:hint="eastAsia" w:ascii="仿宋_GB2312" w:hAnsi="仿宋_GB2312" w:eastAsia="仿宋_GB2312" w:cs="仿宋_GB2312"/>
          <w:sz w:val="32"/>
          <w:szCs w:val="32"/>
        </w:rPr>
        <w:t>万元，占</w:t>
      </w:r>
      <w:r>
        <w:rPr>
          <w:rFonts w:hint="eastAsia" w:ascii="仿宋_GB2312" w:hAnsi="仿宋_GB2312" w:eastAsia="仿宋_GB2312" w:cs="仿宋_GB2312"/>
          <w:color w:val="auto"/>
          <w:kern w:val="2"/>
          <w:sz w:val="32"/>
          <w:szCs w:val="32"/>
          <w:lang w:val="en-US" w:eastAsia="zh-CN" w:bidi="ar-SA"/>
        </w:rPr>
        <w:t>2.9</w:t>
      </w:r>
      <w:r>
        <w:rPr>
          <w:rFonts w:hint="eastAsia" w:ascii="仿宋_GB2312" w:hAnsi="仿宋_GB2312" w:eastAsia="仿宋_GB2312" w:cs="仿宋_GB2312"/>
          <w:sz w:val="32"/>
          <w:szCs w:val="32"/>
        </w:rPr>
        <w:t>%。</w:t>
      </w:r>
    </w:p>
    <w:p w14:paraId="5A03DB08">
      <w:pPr>
        <w:bidi w:val="0"/>
      </w:pPr>
      <w:r>
        <w:rPr>
          <w:rFonts w:hint="eastAsia" w:ascii="方正楷体_GBK" w:hAnsi="方正楷体_GBK" w:eastAsia="方正楷体_GBK" w:cs="方正楷体_GBK"/>
          <w:b/>
          <w:bCs/>
          <w:spacing w:val="0"/>
          <w:kern w:val="2"/>
          <w:sz w:val="32"/>
          <w:szCs w:val="32"/>
          <w:lang w:bidi="ar-SA"/>
        </w:rPr>
        <w:drawing>
          <wp:anchor distT="0" distB="0" distL="114300" distR="114300" simplePos="0" relativeHeight="251664384" behindDoc="1" locked="0" layoutInCell="1" allowOverlap="1">
            <wp:simplePos x="0" y="0"/>
            <wp:positionH relativeFrom="column">
              <wp:posOffset>13970</wp:posOffset>
            </wp:positionH>
            <wp:positionV relativeFrom="paragraph">
              <wp:posOffset>838835</wp:posOffset>
            </wp:positionV>
            <wp:extent cx="5256530" cy="2854960"/>
            <wp:effectExtent l="4445" t="4445" r="15875" b="17145"/>
            <wp:wrapTight wrapText="bothSides">
              <wp:wrapPolygon>
                <wp:start x="-18" y="-34"/>
                <wp:lineTo x="-18" y="21441"/>
                <wp:lineTo x="21509" y="21441"/>
                <wp:lineTo x="21509" y="-34"/>
                <wp:lineTo x="-18" y="-34"/>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Pr>
          <w:rFonts w:hint="eastAsia" w:ascii="仿宋" w:hAnsi="仿宋" w:eastAsia="仿宋"/>
          <w:b/>
          <w:sz w:val="32"/>
          <w:szCs w:val="32"/>
        </w:rPr>
        <w:t>（注：数据来源于财决01-1表，仅罗列本单位涉及的全部功能分类科目，至类级。）</w:t>
      </w:r>
    </w:p>
    <w:p w14:paraId="36B512BB">
      <w:pPr>
        <w:spacing w:line="600" w:lineRule="exact"/>
        <w:ind w:firstLine="643" w:firstLineChars="200"/>
        <w:outlineLvl w:val="2"/>
        <w:rPr>
          <w:rFonts w:ascii="仿宋" w:hAnsi="仿宋" w:eastAsia="仿宋"/>
          <w:b/>
          <w:sz w:val="32"/>
          <w:szCs w:val="32"/>
        </w:rPr>
      </w:pPr>
      <w:bookmarkStart w:id="30" w:name="_Toc15377212"/>
      <w:r>
        <w:rPr>
          <w:rFonts w:hint="eastAsia" w:ascii="仿宋" w:hAnsi="仿宋" w:eastAsia="仿宋"/>
          <w:b/>
          <w:sz w:val="32"/>
          <w:szCs w:val="32"/>
        </w:rPr>
        <w:t>（三）一般公共预算财政拨款支出决算具体情况</w:t>
      </w:r>
      <w:bookmarkEnd w:id="30"/>
    </w:p>
    <w:p w14:paraId="69D667ED">
      <w:pPr>
        <w:spacing w:line="600" w:lineRule="exact"/>
        <w:ind w:firstLine="643" w:firstLineChars="200"/>
        <w:outlineLvl w:val="2"/>
        <w:rPr>
          <w:rFonts w:ascii="仿宋" w:hAnsi="仿宋" w:eastAsia="仿宋"/>
          <w:sz w:val="32"/>
          <w:szCs w:val="32"/>
        </w:rPr>
      </w:pPr>
      <w:bookmarkStart w:id="31" w:name="_Toc15377213"/>
      <w:bookmarkStart w:id="32" w:name="_Toc15377444"/>
      <w:bookmarkStart w:id="33" w:name="_Toc15378460"/>
      <w:r>
        <w:rPr>
          <w:rFonts w:hint="eastAsia" w:ascii="仿宋" w:hAnsi="仿宋" w:eastAsia="仿宋"/>
          <w:b/>
          <w:sz w:val="32"/>
          <w:szCs w:val="32"/>
        </w:rPr>
        <w:t>202</w:t>
      </w:r>
      <w:r>
        <w:rPr>
          <w:rFonts w:hint="eastAsia" w:ascii="仿宋" w:hAnsi="仿宋" w:eastAsia="仿宋"/>
          <w:b/>
          <w:sz w:val="32"/>
          <w:szCs w:val="32"/>
          <w:lang w:val="en-US" w:eastAsia="zh-CN"/>
        </w:rPr>
        <w:t>4</w:t>
      </w:r>
      <w:r>
        <w:rPr>
          <w:rFonts w:hint="eastAsia" w:ascii="仿宋" w:hAnsi="仿宋" w:eastAsia="仿宋"/>
          <w:b/>
          <w:sz w:val="32"/>
          <w:szCs w:val="32"/>
        </w:rPr>
        <w:t>年度一般公共预算支出决算数为</w:t>
      </w:r>
      <w:r>
        <w:rPr>
          <w:rFonts w:hint="eastAsia" w:ascii="仿宋" w:hAnsi="仿宋" w:eastAsia="仿宋"/>
          <w:b/>
          <w:sz w:val="32"/>
          <w:szCs w:val="32"/>
          <w:lang w:val="en-US" w:eastAsia="zh-CN"/>
        </w:rPr>
        <w:t>720.66</w:t>
      </w:r>
      <w:r>
        <w:rPr>
          <w:rFonts w:hint="eastAsia" w:ascii="仿宋" w:hAnsi="仿宋" w:eastAsia="仿宋"/>
          <w:sz w:val="32"/>
          <w:szCs w:val="32"/>
        </w:rPr>
        <w:t>，</w:t>
      </w:r>
      <w:r>
        <w:rPr>
          <w:rStyle w:val="19"/>
          <w:rFonts w:hint="eastAsia" w:ascii="仿宋" w:hAnsi="仿宋" w:eastAsia="仿宋"/>
          <w:bCs/>
          <w:sz w:val="32"/>
          <w:szCs w:val="32"/>
        </w:rPr>
        <w:t>完成预算</w:t>
      </w:r>
      <w:r>
        <w:rPr>
          <w:rStyle w:val="19"/>
          <w:rFonts w:hint="eastAsia" w:ascii="仿宋" w:hAnsi="仿宋" w:eastAsia="仿宋"/>
          <w:bCs/>
          <w:sz w:val="32"/>
          <w:szCs w:val="32"/>
          <w:lang w:val="en-US" w:eastAsia="zh-CN"/>
        </w:rPr>
        <w:t>100</w:t>
      </w:r>
      <w:r>
        <w:rPr>
          <w:rStyle w:val="19"/>
          <w:rFonts w:ascii="仿宋" w:hAnsi="仿宋" w:eastAsia="仿宋"/>
          <w:bCs/>
          <w:sz w:val="32"/>
          <w:szCs w:val="32"/>
        </w:rPr>
        <w:t>%</w:t>
      </w:r>
      <w:r>
        <w:rPr>
          <w:rStyle w:val="19"/>
          <w:rFonts w:hint="eastAsia" w:ascii="仿宋" w:hAnsi="仿宋" w:eastAsia="仿宋"/>
          <w:bCs/>
          <w:sz w:val="32"/>
          <w:szCs w:val="32"/>
        </w:rPr>
        <w:t>。其中：</w:t>
      </w:r>
      <w:bookmarkEnd w:id="31"/>
      <w:bookmarkEnd w:id="32"/>
      <w:bookmarkEnd w:id="33"/>
    </w:p>
    <w:p w14:paraId="7C8EE62F">
      <w:pPr>
        <w:pStyle w:val="36"/>
        <w:numPr>
          <w:ilvl w:val="0"/>
          <w:numId w:val="0"/>
        </w:numPr>
        <w:spacing w:before="0" w:beforeAutospacing="0" w:after="0" w:afterAutospacing="0" w:line="560" w:lineRule="exact"/>
        <w:ind w:right="0" w:rightChars="0" w:firstLine="640" w:firstLineChars="200"/>
        <w:rPr>
          <w:rStyle w:val="37"/>
          <w:rFonts w:hint="eastAsia" w:ascii="仿宋_GB2312" w:hAnsi="仿宋_GB2312" w:eastAsia="仿宋_GB2312" w:cs="仿宋_GB2312"/>
          <w:b w:val="0"/>
          <w:color w:val="auto"/>
          <w:sz w:val="32"/>
          <w:szCs w:val="32"/>
        </w:rPr>
      </w:pPr>
      <w:r>
        <w:rPr>
          <w:rStyle w:val="37"/>
          <w:rFonts w:hint="eastAsia" w:hAnsi="仿宋_GB2312" w:cs="仿宋_GB2312"/>
          <w:b w:val="0"/>
          <w:bCs/>
          <w:kern w:val="2"/>
          <w:sz w:val="32"/>
          <w:szCs w:val="32"/>
          <w:lang w:val="en-US" w:eastAsia="zh-CN" w:bidi="ar-SA"/>
        </w:rPr>
        <w:t>1、</w:t>
      </w:r>
      <w:r>
        <w:rPr>
          <w:rStyle w:val="37"/>
          <w:rFonts w:hint="eastAsia" w:ascii="仿宋_GB2312" w:hAnsi="仿宋_GB2312" w:eastAsia="仿宋_GB2312" w:cs="仿宋_GB2312"/>
          <w:b w:val="0"/>
          <w:bCs/>
          <w:kern w:val="2"/>
          <w:sz w:val="32"/>
          <w:szCs w:val="32"/>
          <w:lang w:bidi="ar-SA"/>
        </w:rPr>
        <w:t>一般公共服务支出（类）201政府办公厅（室）及相关机构事务（款）03行政运行（项）01：</w:t>
      </w:r>
      <w:r>
        <w:rPr>
          <w:rFonts w:hint="eastAsia" w:ascii="仿宋_GB2312" w:hAnsi="仿宋_GB2312" w:eastAsia="仿宋_GB2312" w:cs="仿宋_GB2312"/>
          <w:kern w:val="2"/>
          <w:sz w:val="32"/>
          <w:szCs w:val="32"/>
        </w:rPr>
        <w:t>202</w:t>
      </w:r>
      <w:r>
        <w:rPr>
          <w:rFonts w:hint="eastAsia" w:hAnsi="仿宋_GB2312" w:cs="仿宋_GB2312"/>
          <w:kern w:val="2"/>
          <w:sz w:val="32"/>
          <w:szCs w:val="32"/>
          <w:lang w:val="en-US" w:eastAsia="zh-CN"/>
        </w:rPr>
        <w:t>4</w:t>
      </w:r>
      <w:r>
        <w:rPr>
          <w:rFonts w:hint="eastAsia" w:ascii="仿宋_GB2312" w:hAnsi="仿宋_GB2312" w:eastAsia="仿宋_GB2312" w:cs="仿宋_GB2312"/>
          <w:kern w:val="2"/>
          <w:sz w:val="32"/>
          <w:szCs w:val="32"/>
        </w:rPr>
        <w:t>年支出决算为</w:t>
      </w:r>
      <w:r>
        <w:rPr>
          <w:rFonts w:hint="eastAsia" w:hAnsi="仿宋_GB2312" w:cs="仿宋_GB2312"/>
          <w:kern w:val="2"/>
          <w:sz w:val="32"/>
          <w:szCs w:val="32"/>
          <w:lang w:val="en-US" w:eastAsia="zh-CN"/>
        </w:rPr>
        <w:t>449.07</w:t>
      </w:r>
      <w:r>
        <w:rPr>
          <w:rFonts w:hint="eastAsia" w:ascii="仿宋_GB2312" w:hAnsi="仿宋_GB2312" w:eastAsia="仿宋_GB2312" w:cs="仿宋_GB2312"/>
          <w:kern w:val="2"/>
          <w:sz w:val="32"/>
          <w:szCs w:val="32"/>
        </w:rPr>
        <w:t>万元。</w:t>
      </w:r>
      <w:r>
        <w:rPr>
          <w:rStyle w:val="37"/>
          <w:rFonts w:hint="eastAsia" w:ascii="仿宋_GB2312" w:hAnsi="仿宋_GB2312" w:eastAsia="仿宋_GB2312" w:cs="仿宋_GB2312"/>
          <w:b w:val="0"/>
          <w:color w:val="auto"/>
          <w:sz w:val="32"/>
          <w:szCs w:val="32"/>
          <w:lang w:bidi="ar-SA"/>
        </w:rPr>
        <w:t>完成预算</w:t>
      </w:r>
      <w:r>
        <w:rPr>
          <w:rFonts w:hint="eastAsia" w:ascii="仿宋_GB2312" w:hAnsi="仿宋_GB2312" w:eastAsia="仿宋_GB2312" w:cs="仿宋_GB2312"/>
          <w:kern w:val="2"/>
          <w:sz w:val="32"/>
          <w:szCs w:val="32"/>
        </w:rPr>
        <w:t>100%</w:t>
      </w:r>
      <w:r>
        <w:rPr>
          <w:rStyle w:val="37"/>
          <w:rFonts w:hint="eastAsia" w:ascii="仿宋_GB2312" w:hAnsi="仿宋_GB2312" w:eastAsia="仿宋_GB2312" w:cs="仿宋_GB2312"/>
          <w:b w:val="0"/>
          <w:color w:val="auto"/>
          <w:sz w:val="32"/>
          <w:szCs w:val="32"/>
          <w:lang w:bidi="ar-SA"/>
        </w:rPr>
        <w:t>。</w:t>
      </w:r>
    </w:p>
    <w:p w14:paraId="510D33B9">
      <w:pPr>
        <w:pStyle w:val="36"/>
        <w:numPr>
          <w:ilvl w:val="0"/>
          <w:numId w:val="2"/>
        </w:numPr>
        <w:spacing w:before="0" w:beforeAutospacing="0" w:after="0" w:afterAutospacing="0" w:line="560" w:lineRule="exact"/>
        <w:ind w:left="0" w:firstLine="640" w:firstLineChars="200"/>
        <w:rPr>
          <w:rStyle w:val="37"/>
          <w:rFonts w:hint="eastAsia" w:ascii="仿宋_GB2312" w:hAnsi="仿宋_GB2312" w:eastAsia="仿宋_GB2312" w:cs="仿宋_GB2312"/>
          <w:b w:val="0"/>
          <w:color w:val="auto"/>
          <w:sz w:val="32"/>
          <w:szCs w:val="32"/>
          <w:lang w:bidi="ar-SA"/>
        </w:rPr>
      </w:pPr>
      <w:r>
        <w:rPr>
          <w:rStyle w:val="37"/>
          <w:rFonts w:hint="eastAsia" w:ascii="仿宋_GB2312" w:hAnsi="仿宋_GB2312" w:eastAsia="仿宋_GB2312" w:cs="仿宋_GB2312"/>
          <w:b w:val="0"/>
          <w:bCs/>
          <w:kern w:val="2"/>
          <w:sz w:val="32"/>
          <w:szCs w:val="32"/>
          <w:lang w:bidi="ar-SA"/>
        </w:rPr>
        <w:t>一般公共服务支出（类）201政府办公厅（室）及相关机构事务（款）03一般行政管理事务（项）02：</w:t>
      </w:r>
      <w:r>
        <w:rPr>
          <w:rFonts w:hint="eastAsia" w:ascii="仿宋_GB2312" w:hAnsi="仿宋_GB2312" w:eastAsia="仿宋_GB2312" w:cs="仿宋_GB2312"/>
          <w:kern w:val="2"/>
          <w:sz w:val="32"/>
          <w:szCs w:val="32"/>
        </w:rPr>
        <w:t>202</w:t>
      </w:r>
      <w:r>
        <w:rPr>
          <w:rFonts w:hint="eastAsia" w:hAnsi="仿宋_GB2312" w:cs="仿宋_GB2312"/>
          <w:kern w:val="2"/>
          <w:sz w:val="32"/>
          <w:szCs w:val="32"/>
          <w:lang w:val="en-US" w:eastAsia="zh-CN"/>
        </w:rPr>
        <w:t>4</w:t>
      </w:r>
      <w:r>
        <w:rPr>
          <w:rFonts w:hint="eastAsia" w:ascii="仿宋_GB2312" w:hAnsi="仿宋_GB2312" w:eastAsia="仿宋_GB2312" w:cs="仿宋_GB2312"/>
          <w:kern w:val="2"/>
          <w:sz w:val="32"/>
          <w:szCs w:val="32"/>
        </w:rPr>
        <w:t>年支出决算为</w:t>
      </w:r>
      <w:r>
        <w:rPr>
          <w:rFonts w:hint="eastAsia" w:hAnsi="仿宋_GB2312" w:cs="仿宋_GB2312"/>
          <w:kern w:val="2"/>
          <w:sz w:val="32"/>
          <w:szCs w:val="32"/>
          <w:lang w:val="en-US" w:eastAsia="zh-CN"/>
        </w:rPr>
        <w:t>192.64</w:t>
      </w:r>
      <w:r>
        <w:rPr>
          <w:rFonts w:hint="eastAsia" w:ascii="仿宋_GB2312" w:hAnsi="仿宋_GB2312" w:eastAsia="仿宋_GB2312" w:cs="仿宋_GB2312"/>
          <w:kern w:val="2"/>
          <w:sz w:val="32"/>
          <w:szCs w:val="32"/>
        </w:rPr>
        <w:t>万元。</w:t>
      </w:r>
      <w:r>
        <w:rPr>
          <w:rStyle w:val="37"/>
          <w:rFonts w:hint="eastAsia" w:ascii="仿宋_GB2312" w:hAnsi="仿宋_GB2312" w:eastAsia="仿宋_GB2312" w:cs="仿宋_GB2312"/>
          <w:b w:val="0"/>
          <w:color w:val="auto"/>
          <w:sz w:val="32"/>
          <w:szCs w:val="32"/>
          <w:lang w:bidi="ar-SA"/>
        </w:rPr>
        <w:t>完成预算</w:t>
      </w:r>
      <w:r>
        <w:rPr>
          <w:rFonts w:hint="eastAsia" w:ascii="仿宋_GB2312" w:hAnsi="仿宋_GB2312" w:eastAsia="仿宋_GB2312" w:cs="仿宋_GB2312"/>
          <w:kern w:val="2"/>
          <w:sz w:val="32"/>
          <w:szCs w:val="32"/>
        </w:rPr>
        <w:t>100%</w:t>
      </w:r>
      <w:r>
        <w:rPr>
          <w:rStyle w:val="37"/>
          <w:rFonts w:hint="eastAsia" w:ascii="仿宋_GB2312" w:hAnsi="仿宋_GB2312" w:eastAsia="仿宋_GB2312" w:cs="仿宋_GB2312"/>
          <w:b w:val="0"/>
          <w:color w:val="auto"/>
          <w:sz w:val="32"/>
          <w:szCs w:val="32"/>
          <w:lang w:bidi="ar-SA"/>
        </w:rPr>
        <w:t>。</w:t>
      </w:r>
    </w:p>
    <w:p w14:paraId="1CF0E753">
      <w:pPr>
        <w:pStyle w:val="36"/>
        <w:numPr>
          <w:ilvl w:val="0"/>
          <w:numId w:val="2"/>
        </w:numPr>
        <w:spacing w:before="0" w:beforeAutospacing="0" w:after="0" w:afterAutospacing="0" w:line="560" w:lineRule="exact"/>
        <w:ind w:left="0" w:firstLine="640" w:firstLineChars="200"/>
        <w:rPr>
          <w:rStyle w:val="37"/>
          <w:rFonts w:hint="eastAsia" w:ascii="仿宋_GB2312" w:hAnsi="仿宋_GB2312" w:eastAsia="仿宋_GB2312" w:cs="仿宋_GB2312"/>
          <w:b w:val="0"/>
          <w:bCs/>
          <w:kern w:val="2"/>
          <w:sz w:val="32"/>
          <w:szCs w:val="32"/>
          <w:lang w:bidi="ar-SA"/>
        </w:rPr>
      </w:pPr>
      <w:r>
        <w:rPr>
          <w:rStyle w:val="37"/>
          <w:rFonts w:hint="eastAsia" w:ascii="仿宋_GB2312" w:hAnsi="仿宋_GB2312" w:eastAsia="仿宋_GB2312" w:cs="仿宋_GB2312"/>
          <w:b w:val="0"/>
          <w:bCs/>
          <w:kern w:val="2"/>
          <w:sz w:val="32"/>
          <w:szCs w:val="32"/>
          <w:lang w:bidi="ar-SA"/>
        </w:rPr>
        <w:t>一般公共服务支出（类）201政府办公厅（室）及相关机构事务（款）</w:t>
      </w:r>
      <w:r>
        <w:rPr>
          <w:rStyle w:val="37"/>
          <w:rFonts w:hint="eastAsia" w:hAnsi="仿宋_GB2312" w:cs="仿宋_GB2312"/>
          <w:b w:val="0"/>
          <w:bCs/>
          <w:kern w:val="2"/>
          <w:sz w:val="32"/>
          <w:szCs w:val="32"/>
          <w:lang w:val="en-US" w:eastAsia="zh-CN" w:bidi="ar-SA"/>
        </w:rPr>
        <w:t>03</w:t>
      </w:r>
      <w:r>
        <w:rPr>
          <w:rStyle w:val="37"/>
          <w:rFonts w:hint="eastAsia" w:ascii="仿宋_GB2312" w:hAnsi="仿宋_GB2312" w:eastAsia="仿宋_GB2312" w:cs="仿宋_GB2312"/>
          <w:b w:val="0"/>
          <w:bCs/>
          <w:kern w:val="2"/>
          <w:sz w:val="32"/>
          <w:szCs w:val="32"/>
          <w:lang w:bidi="ar-SA"/>
        </w:rPr>
        <w:t>其他政府办公厅（室）及相关机构事务支出（项）</w:t>
      </w:r>
      <w:r>
        <w:rPr>
          <w:rStyle w:val="37"/>
          <w:rFonts w:hint="eastAsia" w:hAnsi="仿宋_GB2312" w:cs="仿宋_GB2312"/>
          <w:b w:val="0"/>
          <w:bCs/>
          <w:kern w:val="2"/>
          <w:sz w:val="32"/>
          <w:szCs w:val="32"/>
          <w:lang w:val="en-US" w:eastAsia="zh-CN" w:bidi="ar-SA"/>
        </w:rPr>
        <w:t>99</w:t>
      </w:r>
      <w:r>
        <w:rPr>
          <w:rStyle w:val="37"/>
          <w:rFonts w:hint="eastAsia" w:ascii="仿宋_GB2312" w:hAnsi="仿宋_GB2312" w:eastAsia="仿宋_GB2312" w:cs="仿宋_GB2312"/>
          <w:b w:val="0"/>
          <w:bCs/>
          <w:kern w:val="2"/>
          <w:sz w:val="32"/>
          <w:szCs w:val="32"/>
          <w:lang w:bidi="ar-SA"/>
        </w:rPr>
        <w:t>：202</w:t>
      </w:r>
      <w:r>
        <w:rPr>
          <w:rStyle w:val="37"/>
          <w:rFonts w:hint="eastAsia" w:hAnsi="仿宋_GB2312" w:cs="仿宋_GB2312"/>
          <w:b w:val="0"/>
          <w:bCs/>
          <w:kern w:val="2"/>
          <w:sz w:val="32"/>
          <w:szCs w:val="32"/>
          <w:lang w:val="en-US" w:eastAsia="zh-CN" w:bidi="ar-SA"/>
        </w:rPr>
        <w:t>4</w:t>
      </w:r>
      <w:r>
        <w:rPr>
          <w:rStyle w:val="37"/>
          <w:rFonts w:hint="eastAsia" w:ascii="仿宋_GB2312" w:hAnsi="仿宋_GB2312" w:eastAsia="仿宋_GB2312" w:cs="仿宋_GB2312"/>
          <w:b w:val="0"/>
          <w:bCs/>
          <w:kern w:val="2"/>
          <w:sz w:val="32"/>
          <w:szCs w:val="32"/>
          <w:lang w:bidi="ar-SA"/>
        </w:rPr>
        <w:t>年支出决算为</w:t>
      </w:r>
      <w:r>
        <w:rPr>
          <w:rStyle w:val="37"/>
          <w:rFonts w:hint="eastAsia" w:hAnsi="仿宋_GB2312" w:cs="仿宋_GB2312"/>
          <w:b w:val="0"/>
          <w:bCs/>
          <w:kern w:val="2"/>
          <w:sz w:val="32"/>
          <w:szCs w:val="32"/>
          <w:lang w:val="en-US" w:eastAsia="zh-CN" w:bidi="ar-SA"/>
        </w:rPr>
        <w:t>4.68</w:t>
      </w:r>
      <w:r>
        <w:rPr>
          <w:rStyle w:val="37"/>
          <w:rFonts w:hint="eastAsia" w:ascii="仿宋_GB2312" w:hAnsi="仿宋_GB2312" w:eastAsia="仿宋_GB2312" w:cs="仿宋_GB2312"/>
          <w:b w:val="0"/>
          <w:bCs/>
          <w:kern w:val="2"/>
          <w:sz w:val="32"/>
          <w:szCs w:val="32"/>
          <w:lang w:bidi="ar-SA"/>
        </w:rPr>
        <w:t>万元。完成预算100%。</w:t>
      </w:r>
    </w:p>
    <w:p w14:paraId="7279D33D">
      <w:pPr>
        <w:pStyle w:val="36"/>
        <w:spacing w:before="0" w:beforeAutospacing="0" w:after="0" w:afterAutospacing="0" w:line="560" w:lineRule="exact"/>
        <w:ind w:firstLine="640" w:firstLineChars="200"/>
        <w:rPr>
          <w:rFonts w:hint="eastAsia" w:ascii="仿宋_GB2312" w:hAnsi="仿宋_GB2312" w:eastAsia="仿宋_GB2312" w:cs="仿宋_GB2312"/>
          <w:kern w:val="2"/>
          <w:sz w:val="32"/>
          <w:szCs w:val="32"/>
        </w:rPr>
      </w:pPr>
      <w:r>
        <w:rPr>
          <w:rStyle w:val="37"/>
          <w:rFonts w:hint="eastAsia" w:hAnsi="仿宋_GB2312" w:cs="仿宋_GB2312"/>
          <w:b w:val="0"/>
          <w:bCs/>
          <w:kern w:val="2"/>
          <w:sz w:val="32"/>
          <w:szCs w:val="32"/>
          <w:lang w:val="en-US" w:eastAsia="zh-CN" w:bidi="ar-SA"/>
        </w:rPr>
        <w:t>4、</w:t>
      </w:r>
      <w:r>
        <w:rPr>
          <w:rStyle w:val="37"/>
          <w:rFonts w:hint="eastAsia" w:ascii="仿宋_GB2312" w:hAnsi="仿宋_GB2312" w:eastAsia="仿宋_GB2312" w:cs="仿宋_GB2312"/>
          <w:b w:val="0"/>
          <w:bCs/>
          <w:kern w:val="2"/>
          <w:sz w:val="32"/>
          <w:szCs w:val="32"/>
          <w:lang w:bidi="ar-SA"/>
        </w:rPr>
        <w:t>社会保障和就业支出（类）208行政事业单位养老支出（款）05机关事业单位基本养老保险缴费支出（项）05：</w:t>
      </w:r>
      <w:r>
        <w:rPr>
          <w:rFonts w:hint="eastAsia" w:ascii="仿宋_GB2312" w:hAnsi="仿宋_GB2312" w:eastAsia="仿宋_GB2312" w:cs="仿宋_GB2312"/>
          <w:kern w:val="2"/>
          <w:sz w:val="32"/>
          <w:szCs w:val="32"/>
        </w:rPr>
        <w:t>202</w:t>
      </w:r>
      <w:r>
        <w:rPr>
          <w:rFonts w:hint="eastAsia" w:hAnsi="仿宋_GB2312" w:cs="仿宋_GB2312"/>
          <w:kern w:val="2"/>
          <w:sz w:val="32"/>
          <w:szCs w:val="32"/>
          <w:lang w:val="en-US" w:eastAsia="zh-CN"/>
        </w:rPr>
        <w:t>4</w:t>
      </w:r>
      <w:r>
        <w:rPr>
          <w:rFonts w:hint="eastAsia" w:ascii="仿宋_GB2312" w:hAnsi="仿宋_GB2312" w:eastAsia="仿宋_GB2312" w:cs="仿宋_GB2312"/>
          <w:kern w:val="2"/>
          <w:sz w:val="32"/>
          <w:szCs w:val="32"/>
        </w:rPr>
        <w:t>年支出决算为</w:t>
      </w:r>
      <w:r>
        <w:rPr>
          <w:rFonts w:hint="eastAsia" w:hAnsi="仿宋_GB2312" w:cs="仿宋_GB2312"/>
          <w:kern w:val="2"/>
          <w:sz w:val="32"/>
          <w:szCs w:val="32"/>
          <w:lang w:val="en-US" w:eastAsia="zh-CN" w:bidi="ar-SA"/>
        </w:rPr>
        <w:t>25.62</w:t>
      </w:r>
      <w:r>
        <w:rPr>
          <w:rFonts w:hint="eastAsia" w:ascii="仿宋_GB2312" w:hAnsi="仿宋_GB2312" w:eastAsia="仿宋_GB2312" w:cs="仿宋_GB2312"/>
          <w:kern w:val="2"/>
          <w:sz w:val="32"/>
          <w:szCs w:val="32"/>
        </w:rPr>
        <w:t>万元。</w:t>
      </w:r>
      <w:r>
        <w:rPr>
          <w:rStyle w:val="37"/>
          <w:rFonts w:hint="eastAsia" w:ascii="仿宋_GB2312" w:hAnsi="仿宋_GB2312" w:eastAsia="仿宋_GB2312" w:cs="仿宋_GB2312"/>
          <w:b w:val="0"/>
          <w:color w:val="auto"/>
          <w:sz w:val="32"/>
          <w:szCs w:val="32"/>
          <w:lang w:bidi="ar-SA"/>
        </w:rPr>
        <w:t>完成预算</w:t>
      </w:r>
      <w:r>
        <w:rPr>
          <w:rFonts w:hint="eastAsia" w:ascii="仿宋_GB2312" w:hAnsi="仿宋_GB2312" w:eastAsia="仿宋_GB2312" w:cs="仿宋_GB2312"/>
          <w:kern w:val="2"/>
          <w:sz w:val="32"/>
          <w:szCs w:val="32"/>
        </w:rPr>
        <w:t>100%。</w:t>
      </w:r>
    </w:p>
    <w:p w14:paraId="02D9BC98">
      <w:pPr>
        <w:pStyle w:val="36"/>
        <w:spacing w:before="0" w:beforeAutospacing="0" w:after="0" w:afterAutospacing="0" w:line="560" w:lineRule="exact"/>
        <w:ind w:left="0" w:firstLine="640" w:firstLineChars="200"/>
        <w:rPr>
          <w:rFonts w:hint="eastAsia" w:ascii="仿宋_GB2312" w:hAnsi="仿宋_GB2312" w:eastAsia="仿宋_GB2312" w:cs="仿宋_GB2312"/>
          <w:kern w:val="2"/>
          <w:sz w:val="32"/>
          <w:szCs w:val="32"/>
        </w:rPr>
      </w:pPr>
      <w:r>
        <w:rPr>
          <w:rStyle w:val="37"/>
          <w:rFonts w:hint="eastAsia" w:hAnsi="仿宋_GB2312" w:cs="仿宋_GB2312"/>
          <w:b w:val="0"/>
          <w:bCs/>
          <w:kern w:val="2"/>
          <w:sz w:val="32"/>
          <w:szCs w:val="32"/>
          <w:lang w:val="en-US" w:eastAsia="zh-CN" w:bidi="ar-SA"/>
        </w:rPr>
        <w:t>5、</w:t>
      </w:r>
      <w:r>
        <w:rPr>
          <w:rStyle w:val="37"/>
          <w:rFonts w:hint="eastAsia" w:ascii="仿宋_GB2312" w:hAnsi="仿宋_GB2312" w:eastAsia="仿宋_GB2312" w:cs="仿宋_GB2312"/>
          <w:b w:val="0"/>
          <w:bCs/>
          <w:kern w:val="2"/>
          <w:sz w:val="32"/>
          <w:szCs w:val="32"/>
          <w:lang w:bidi="ar-SA"/>
        </w:rPr>
        <w:t>社会保障和就业支出（类:208行政事业单位养老支出（款）05机关事业单位职业年金缴费支出（项）06：</w:t>
      </w:r>
      <w:r>
        <w:rPr>
          <w:rFonts w:hint="eastAsia" w:ascii="仿宋_GB2312" w:hAnsi="仿宋_GB2312" w:eastAsia="仿宋_GB2312" w:cs="仿宋_GB2312"/>
          <w:kern w:val="2"/>
          <w:sz w:val="32"/>
          <w:szCs w:val="32"/>
        </w:rPr>
        <w:t>202</w:t>
      </w:r>
      <w:r>
        <w:rPr>
          <w:rFonts w:hint="eastAsia" w:hAnsi="仿宋_GB2312" w:cs="仿宋_GB2312"/>
          <w:kern w:val="2"/>
          <w:sz w:val="32"/>
          <w:szCs w:val="32"/>
          <w:lang w:val="en-US" w:eastAsia="zh-CN"/>
        </w:rPr>
        <w:t>4</w:t>
      </w:r>
      <w:r>
        <w:rPr>
          <w:rFonts w:hint="eastAsia" w:ascii="仿宋_GB2312" w:hAnsi="仿宋_GB2312" w:eastAsia="仿宋_GB2312" w:cs="仿宋_GB2312"/>
          <w:kern w:val="2"/>
          <w:sz w:val="32"/>
          <w:szCs w:val="32"/>
        </w:rPr>
        <w:t>年支出决算为</w:t>
      </w:r>
      <w:r>
        <w:rPr>
          <w:rFonts w:hint="eastAsia" w:hAnsi="仿宋_GB2312" w:cs="仿宋_GB2312"/>
          <w:kern w:val="2"/>
          <w:sz w:val="32"/>
          <w:szCs w:val="32"/>
          <w:lang w:val="en-US" w:eastAsia="zh-CN" w:bidi="ar-SA"/>
        </w:rPr>
        <w:t>12.81</w:t>
      </w:r>
      <w:r>
        <w:rPr>
          <w:rFonts w:hint="eastAsia" w:ascii="仿宋_GB2312" w:hAnsi="仿宋_GB2312" w:eastAsia="仿宋_GB2312" w:cs="仿宋_GB2312"/>
          <w:kern w:val="2"/>
          <w:sz w:val="32"/>
          <w:szCs w:val="32"/>
        </w:rPr>
        <w:t>万元。</w:t>
      </w:r>
      <w:r>
        <w:rPr>
          <w:rStyle w:val="37"/>
          <w:rFonts w:hint="eastAsia" w:ascii="仿宋_GB2312" w:hAnsi="仿宋_GB2312" w:eastAsia="仿宋_GB2312" w:cs="仿宋_GB2312"/>
          <w:b w:val="0"/>
          <w:color w:val="auto"/>
          <w:sz w:val="32"/>
          <w:szCs w:val="32"/>
          <w:lang w:bidi="ar-SA"/>
        </w:rPr>
        <w:t>完成预算</w:t>
      </w:r>
      <w:r>
        <w:rPr>
          <w:rFonts w:hint="eastAsia" w:ascii="仿宋_GB2312" w:hAnsi="仿宋_GB2312" w:eastAsia="仿宋_GB2312" w:cs="仿宋_GB2312"/>
          <w:kern w:val="2"/>
          <w:sz w:val="32"/>
          <w:szCs w:val="32"/>
        </w:rPr>
        <w:t>100%。</w:t>
      </w:r>
    </w:p>
    <w:p w14:paraId="0223528B">
      <w:pPr>
        <w:pStyle w:val="36"/>
        <w:spacing w:before="0" w:beforeAutospacing="0" w:after="0" w:afterAutospacing="0" w:line="560" w:lineRule="exact"/>
        <w:ind w:left="0" w:firstLine="640" w:firstLineChars="200"/>
        <w:rPr>
          <w:rStyle w:val="37"/>
          <w:rFonts w:hint="eastAsia" w:ascii="仿宋_GB2312" w:hAnsi="仿宋_GB2312" w:eastAsia="仿宋_GB2312" w:cs="仿宋_GB2312"/>
          <w:b w:val="0"/>
          <w:bCs/>
          <w:color w:val="auto"/>
          <w:sz w:val="32"/>
          <w:szCs w:val="32"/>
          <w:lang w:bidi="ar-SA"/>
        </w:rPr>
      </w:pPr>
      <w:r>
        <w:rPr>
          <w:rStyle w:val="37"/>
          <w:rFonts w:hint="eastAsia" w:hAnsi="仿宋_GB2312" w:cs="仿宋_GB2312"/>
          <w:b w:val="0"/>
          <w:bCs/>
          <w:kern w:val="2"/>
          <w:sz w:val="32"/>
          <w:szCs w:val="32"/>
          <w:lang w:val="en-US" w:eastAsia="zh-CN" w:bidi="ar-SA"/>
        </w:rPr>
        <w:t>6、</w:t>
      </w:r>
      <w:r>
        <w:rPr>
          <w:rStyle w:val="37"/>
          <w:rFonts w:hint="eastAsia" w:ascii="仿宋_GB2312" w:hAnsi="仿宋_GB2312" w:eastAsia="仿宋_GB2312" w:cs="仿宋_GB2312"/>
          <w:b w:val="0"/>
          <w:bCs/>
          <w:kern w:val="2"/>
          <w:sz w:val="32"/>
          <w:szCs w:val="32"/>
          <w:lang w:bidi="ar-SA"/>
        </w:rPr>
        <w:t>卫生健康支出（类）210行政事业单位医疗（款）11行政单位医疗（项）01：</w:t>
      </w:r>
      <w:r>
        <w:rPr>
          <w:rFonts w:hint="eastAsia" w:ascii="仿宋_GB2312" w:hAnsi="仿宋_GB2312" w:eastAsia="仿宋_GB2312" w:cs="仿宋_GB2312"/>
          <w:kern w:val="2"/>
          <w:sz w:val="32"/>
          <w:szCs w:val="32"/>
        </w:rPr>
        <w:t>202</w:t>
      </w:r>
      <w:r>
        <w:rPr>
          <w:rFonts w:hint="eastAsia" w:hAnsi="仿宋_GB2312" w:cs="仿宋_GB2312"/>
          <w:kern w:val="2"/>
          <w:sz w:val="32"/>
          <w:szCs w:val="32"/>
          <w:lang w:val="en-US" w:eastAsia="zh-CN"/>
        </w:rPr>
        <w:t>4</w:t>
      </w:r>
      <w:r>
        <w:rPr>
          <w:rFonts w:hint="eastAsia" w:ascii="仿宋_GB2312" w:hAnsi="仿宋_GB2312" w:eastAsia="仿宋_GB2312" w:cs="仿宋_GB2312"/>
          <w:kern w:val="2"/>
          <w:sz w:val="32"/>
          <w:szCs w:val="32"/>
        </w:rPr>
        <w:t>年支出决算为</w:t>
      </w:r>
      <w:r>
        <w:rPr>
          <w:rFonts w:hint="eastAsia" w:hAnsi="仿宋_GB2312" w:cs="仿宋_GB2312"/>
          <w:kern w:val="2"/>
          <w:sz w:val="32"/>
          <w:szCs w:val="32"/>
          <w:lang w:val="en-US" w:eastAsia="zh-CN"/>
        </w:rPr>
        <w:t>12.56</w:t>
      </w:r>
      <w:r>
        <w:rPr>
          <w:rFonts w:hint="eastAsia" w:ascii="仿宋_GB2312" w:hAnsi="仿宋_GB2312" w:eastAsia="仿宋_GB2312" w:cs="仿宋_GB2312"/>
          <w:kern w:val="2"/>
          <w:sz w:val="32"/>
          <w:szCs w:val="32"/>
        </w:rPr>
        <w:t>万元</w:t>
      </w:r>
      <w:r>
        <w:rPr>
          <w:rFonts w:hint="eastAsia" w:ascii="仿宋_GB2312" w:hAnsi="仿宋_GB2312" w:eastAsia="仿宋_GB2312" w:cs="仿宋_GB2312"/>
          <w:b w:val="0"/>
          <w:bCs/>
          <w:kern w:val="2"/>
          <w:sz w:val="32"/>
          <w:szCs w:val="32"/>
        </w:rPr>
        <w:t>。</w:t>
      </w:r>
      <w:r>
        <w:rPr>
          <w:rStyle w:val="37"/>
          <w:rFonts w:hint="eastAsia" w:ascii="仿宋_GB2312" w:hAnsi="仿宋_GB2312" w:eastAsia="仿宋_GB2312" w:cs="仿宋_GB2312"/>
          <w:b w:val="0"/>
          <w:bCs/>
          <w:color w:val="auto"/>
          <w:sz w:val="32"/>
          <w:szCs w:val="32"/>
          <w:lang w:bidi="ar-SA"/>
        </w:rPr>
        <w:t>完成预算100%。</w:t>
      </w:r>
    </w:p>
    <w:p w14:paraId="3120A5FF">
      <w:pPr>
        <w:pStyle w:val="36"/>
        <w:spacing w:before="0" w:beforeAutospacing="0" w:after="0" w:afterAutospacing="0" w:line="560" w:lineRule="exact"/>
        <w:ind w:left="0" w:firstLine="640" w:firstLineChars="200"/>
        <w:rPr>
          <w:rStyle w:val="37"/>
          <w:rFonts w:hint="eastAsia" w:ascii="仿宋_GB2312" w:hAnsi="仿宋_GB2312" w:eastAsia="仿宋_GB2312" w:cs="仿宋_GB2312"/>
          <w:b w:val="0"/>
          <w:color w:val="auto"/>
          <w:sz w:val="32"/>
          <w:szCs w:val="32"/>
          <w:lang w:bidi="ar-SA"/>
        </w:rPr>
      </w:pPr>
      <w:r>
        <w:rPr>
          <w:rStyle w:val="37"/>
          <w:rFonts w:hint="eastAsia" w:hAnsi="仿宋_GB2312" w:cs="仿宋_GB2312"/>
          <w:b w:val="0"/>
          <w:bCs/>
          <w:kern w:val="2"/>
          <w:sz w:val="32"/>
          <w:szCs w:val="32"/>
          <w:lang w:val="en-US" w:eastAsia="zh-CN" w:bidi="ar-SA"/>
        </w:rPr>
        <w:t>7、</w:t>
      </w:r>
      <w:r>
        <w:rPr>
          <w:rStyle w:val="37"/>
          <w:rFonts w:hint="eastAsia" w:ascii="仿宋_GB2312" w:hAnsi="仿宋_GB2312" w:eastAsia="仿宋_GB2312" w:cs="仿宋_GB2312"/>
          <w:b w:val="0"/>
          <w:bCs/>
          <w:kern w:val="2"/>
          <w:sz w:val="32"/>
          <w:szCs w:val="32"/>
          <w:lang w:bidi="ar-SA"/>
        </w:rPr>
        <w:t>卫生健康支出（类）210行政事业单位医疗（款）11公务员医疗补助（项）03：</w:t>
      </w:r>
      <w:r>
        <w:rPr>
          <w:rFonts w:hint="eastAsia" w:ascii="仿宋_GB2312" w:hAnsi="仿宋_GB2312" w:eastAsia="仿宋_GB2312" w:cs="仿宋_GB2312"/>
          <w:kern w:val="2"/>
          <w:sz w:val="32"/>
          <w:szCs w:val="32"/>
        </w:rPr>
        <w:t>202</w:t>
      </w:r>
      <w:r>
        <w:rPr>
          <w:rFonts w:hint="eastAsia" w:hAnsi="仿宋_GB2312" w:cs="仿宋_GB2312"/>
          <w:kern w:val="2"/>
          <w:sz w:val="32"/>
          <w:szCs w:val="32"/>
          <w:lang w:val="en-US" w:eastAsia="zh-CN"/>
        </w:rPr>
        <w:t>4</w:t>
      </w:r>
      <w:r>
        <w:rPr>
          <w:rFonts w:hint="eastAsia" w:ascii="仿宋_GB2312" w:hAnsi="仿宋_GB2312" w:eastAsia="仿宋_GB2312" w:cs="仿宋_GB2312"/>
          <w:kern w:val="2"/>
          <w:sz w:val="32"/>
          <w:szCs w:val="32"/>
        </w:rPr>
        <w:t>年年支出决算为</w:t>
      </w:r>
      <w:r>
        <w:rPr>
          <w:rFonts w:hint="eastAsia" w:hAnsi="仿宋_GB2312" w:cs="仿宋_GB2312"/>
          <w:kern w:val="2"/>
          <w:sz w:val="32"/>
          <w:szCs w:val="32"/>
          <w:lang w:val="en-US" w:eastAsia="zh-CN" w:bidi="ar-SA"/>
        </w:rPr>
        <w:t>2.52</w:t>
      </w:r>
      <w:r>
        <w:rPr>
          <w:rFonts w:hint="eastAsia" w:ascii="仿宋_GB2312" w:hAnsi="仿宋_GB2312" w:eastAsia="仿宋_GB2312" w:cs="仿宋_GB2312"/>
          <w:kern w:val="2"/>
          <w:sz w:val="32"/>
          <w:szCs w:val="32"/>
        </w:rPr>
        <w:t>万元。</w:t>
      </w:r>
      <w:r>
        <w:rPr>
          <w:rStyle w:val="37"/>
          <w:rFonts w:hint="eastAsia" w:ascii="仿宋_GB2312" w:hAnsi="仿宋_GB2312" w:eastAsia="仿宋_GB2312" w:cs="仿宋_GB2312"/>
          <w:b w:val="0"/>
          <w:color w:val="auto"/>
          <w:sz w:val="32"/>
          <w:szCs w:val="32"/>
          <w:lang w:bidi="ar-SA"/>
        </w:rPr>
        <w:t>完成预算</w:t>
      </w:r>
      <w:r>
        <w:rPr>
          <w:rFonts w:hint="eastAsia" w:ascii="仿宋_GB2312" w:hAnsi="仿宋_GB2312" w:eastAsia="仿宋_GB2312" w:cs="仿宋_GB2312"/>
          <w:kern w:val="2"/>
          <w:sz w:val="32"/>
          <w:szCs w:val="32"/>
        </w:rPr>
        <w:t>100%</w:t>
      </w:r>
      <w:r>
        <w:rPr>
          <w:rStyle w:val="37"/>
          <w:rFonts w:hint="eastAsia" w:ascii="仿宋_GB2312" w:hAnsi="仿宋_GB2312" w:eastAsia="仿宋_GB2312" w:cs="仿宋_GB2312"/>
          <w:b w:val="0"/>
          <w:color w:val="auto"/>
          <w:sz w:val="32"/>
          <w:szCs w:val="32"/>
          <w:lang w:bidi="ar-SA"/>
        </w:rPr>
        <w:t>。</w:t>
      </w:r>
    </w:p>
    <w:p w14:paraId="375ED916">
      <w:pPr>
        <w:pStyle w:val="36"/>
        <w:spacing w:before="0" w:beforeAutospacing="0" w:after="0" w:afterAutospacing="0" w:line="560" w:lineRule="exact"/>
        <w:ind w:left="0" w:firstLine="640" w:firstLineChars="200"/>
        <w:rPr>
          <w:rStyle w:val="37"/>
          <w:rFonts w:hint="eastAsia" w:ascii="仿宋_GB2312" w:hAnsi="仿宋_GB2312" w:eastAsia="仿宋_GB2312" w:cs="仿宋_GB2312"/>
          <w:b w:val="0"/>
          <w:color w:val="auto"/>
          <w:sz w:val="32"/>
          <w:szCs w:val="32"/>
        </w:rPr>
      </w:pPr>
      <w:r>
        <w:rPr>
          <w:rStyle w:val="37"/>
          <w:rFonts w:hint="eastAsia" w:hAnsi="仿宋_GB2312" w:cs="仿宋_GB2312"/>
          <w:b w:val="0"/>
          <w:bCs/>
          <w:kern w:val="2"/>
          <w:sz w:val="32"/>
          <w:szCs w:val="32"/>
          <w:lang w:val="en-US" w:eastAsia="zh-CN" w:bidi="ar-SA"/>
        </w:rPr>
        <w:t>8、</w:t>
      </w:r>
      <w:r>
        <w:rPr>
          <w:rStyle w:val="37"/>
          <w:rFonts w:hint="eastAsia" w:ascii="仿宋_GB2312" w:hAnsi="仿宋_GB2312" w:eastAsia="仿宋_GB2312" w:cs="仿宋_GB2312"/>
          <w:b w:val="0"/>
          <w:bCs/>
          <w:kern w:val="2"/>
          <w:sz w:val="32"/>
          <w:szCs w:val="32"/>
          <w:lang w:bidi="ar-SA"/>
        </w:rPr>
        <w:t>住房保障支出（类）221</w:t>
      </w:r>
      <w:r>
        <w:rPr>
          <w:rStyle w:val="37"/>
          <w:rFonts w:hint="eastAsia" w:hAnsi="仿宋_GB2312" w:cs="仿宋_GB2312"/>
          <w:b w:val="0"/>
          <w:bCs/>
          <w:kern w:val="2"/>
          <w:sz w:val="32"/>
          <w:szCs w:val="32"/>
          <w:lang w:val="en-US" w:eastAsia="zh-CN" w:bidi="ar-SA"/>
        </w:rPr>
        <w:t>保障性安居工程</w:t>
      </w:r>
      <w:r>
        <w:rPr>
          <w:rStyle w:val="37"/>
          <w:rFonts w:hint="eastAsia" w:ascii="仿宋_GB2312" w:hAnsi="仿宋_GB2312" w:eastAsia="仿宋_GB2312" w:cs="仿宋_GB2312"/>
          <w:b w:val="0"/>
          <w:bCs/>
          <w:kern w:val="2"/>
          <w:sz w:val="32"/>
          <w:szCs w:val="32"/>
          <w:lang w:bidi="ar-SA"/>
        </w:rPr>
        <w:t>支出（款）0</w:t>
      </w:r>
      <w:r>
        <w:rPr>
          <w:rStyle w:val="37"/>
          <w:rFonts w:hint="eastAsia" w:hAnsi="仿宋_GB2312" w:cs="仿宋_GB2312"/>
          <w:b w:val="0"/>
          <w:bCs/>
          <w:kern w:val="2"/>
          <w:sz w:val="32"/>
          <w:szCs w:val="32"/>
          <w:lang w:val="en-US" w:eastAsia="zh-CN" w:bidi="ar-SA"/>
        </w:rPr>
        <w:t>1公共租赁住房</w:t>
      </w:r>
      <w:r>
        <w:rPr>
          <w:rStyle w:val="37"/>
          <w:rFonts w:hint="eastAsia" w:ascii="仿宋_GB2312" w:hAnsi="仿宋_GB2312" w:eastAsia="仿宋_GB2312" w:cs="仿宋_GB2312"/>
          <w:b w:val="0"/>
          <w:bCs/>
          <w:kern w:val="2"/>
          <w:sz w:val="32"/>
          <w:szCs w:val="32"/>
          <w:lang w:bidi="ar-SA"/>
        </w:rPr>
        <w:t>（项）0</w:t>
      </w:r>
      <w:r>
        <w:rPr>
          <w:rStyle w:val="37"/>
          <w:rFonts w:hint="eastAsia" w:hAnsi="仿宋_GB2312" w:cs="仿宋_GB2312"/>
          <w:b w:val="0"/>
          <w:bCs/>
          <w:kern w:val="2"/>
          <w:sz w:val="32"/>
          <w:szCs w:val="32"/>
          <w:lang w:val="en-US" w:eastAsia="zh-CN" w:bidi="ar-SA"/>
        </w:rPr>
        <w:t>6</w:t>
      </w:r>
      <w:r>
        <w:rPr>
          <w:rStyle w:val="37"/>
          <w:rFonts w:hint="eastAsia" w:ascii="仿宋_GB2312" w:hAnsi="仿宋_GB2312" w:eastAsia="仿宋_GB2312" w:cs="仿宋_GB2312"/>
          <w:b w:val="0"/>
          <w:bCs/>
          <w:kern w:val="2"/>
          <w:sz w:val="32"/>
          <w:szCs w:val="32"/>
          <w:lang w:bidi="ar-SA"/>
        </w:rPr>
        <w:t>：</w:t>
      </w:r>
      <w:r>
        <w:rPr>
          <w:rFonts w:hint="eastAsia" w:ascii="仿宋_GB2312" w:hAnsi="仿宋_GB2312" w:eastAsia="仿宋_GB2312" w:cs="仿宋_GB2312"/>
          <w:kern w:val="2"/>
          <w:sz w:val="32"/>
          <w:szCs w:val="32"/>
        </w:rPr>
        <w:t>202</w:t>
      </w:r>
      <w:r>
        <w:rPr>
          <w:rFonts w:hint="eastAsia" w:hAnsi="仿宋_GB2312" w:cs="仿宋_GB2312"/>
          <w:kern w:val="2"/>
          <w:sz w:val="32"/>
          <w:szCs w:val="32"/>
          <w:lang w:val="en-US" w:eastAsia="zh-CN"/>
        </w:rPr>
        <w:t>3</w:t>
      </w:r>
      <w:r>
        <w:rPr>
          <w:rFonts w:hint="eastAsia" w:ascii="仿宋_GB2312" w:hAnsi="仿宋_GB2312" w:eastAsia="仿宋_GB2312" w:cs="仿宋_GB2312"/>
          <w:kern w:val="2"/>
          <w:sz w:val="32"/>
          <w:szCs w:val="32"/>
        </w:rPr>
        <w:t>年支出决算为</w:t>
      </w:r>
      <w:r>
        <w:rPr>
          <w:rFonts w:hint="eastAsia" w:hAnsi="仿宋_GB2312" w:cs="仿宋_GB2312"/>
          <w:kern w:val="2"/>
          <w:sz w:val="32"/>
          <w:szCs w:val="32"/>
          <w:lang w:val="en-US" w:eastAsia="zh-CN" w:bidi="ar-SA"/>
        </w:rPr>
        <w:t>198.74</w:t>
      </w:r>
      <w:r>
        <w:rPr>
          <w:rFonts w:hint="eastAsia" w:ascii="仿宋_GB2312" w:hAnsi="仿宋_GB2312" w:eastAsia="仿宋_GB2312" w:cs="仿宋_GB2312"/>
          <w:kern w:val="2"/>
          <w:sz w:val="32"/>
          <w:szCs w:val="32"/>
        </w:rPr>
        <w:t>万元。</w:t>
      </w:r>
      <w:r>
        <w:rPr>
          <w:rStyle w:val="37"/>
          <w:rFonts w:hint="eastAsia" w:ascii="仿宋_GB2312" w:hAnsi="仿宋_GB2312" w:eastAsia="仿宋_GB2312" w:cs="仿宋_GB2312"/>
          <w:b w:val="0"/>
          <w:color w:val="auto"/>
          <w:sz w:val="32"/>
          <w:szCs w:val="32"/>
          <w:lang w:bidi="ar-SA"/>
        </w:rPr>
        <w:t>完成预算</w:t>
      </w:r>
      <w:r>
        <w:rPr>
          <w:rFonts w:hint="eastAsia" w:ascii="仿宋_GB2312" w:hAnsi="仿宋_GB2312" w:eastAsia="仿宋_GB2312" w:cs="仿宋_GB2312"/>
          <w:kern w:val="2"/>
          <w:sz w:val="32"/>
          <w:szCs w:val="32"/>
        </w:rPr>
        <w:t>100%</w:t>
      </w:r>
      <w:r>
        <w:rPr>
          <w:rStyle w:val="37"/>
          <w:rFonts w:hint="eastAsia" w:ascii="仿宋_GB2312" w:hAnsi="仿宋_GB2312" w:eastAsia="仿宋_GB2312" w:cs="仿宋_GB2312"/>
          <w:b w:val="0"/>
          <w:color w:val="auto"/>
          <w:sz w:val="32"/>
          <w:szCs w:val="32"/>
          <w:lang w:bidi="ar-SA"/>
        </w:rPr>
        <w:t>。</w:t>
      </w:r>
    </w:p>
    <w:p w14:paraId="246F58B3">
      <w:pPr>
        <w:pStyle w:val="36"/>
        <w:spacing w:before="0" w:beforeAutospacing="0" w:after="0" w:afterAutospacing="0" w:line="560" w:lineRule="exact"/>
        <w:ind w:left="0" w:firstLine="640" w:firstLineChars="200"/>
        <w:rPr>
          <w:rStyle w:val="37"/>
          <w:rFonts w:hint="eastAsia" w:ascii="仿宋_GB2312" w:hAnsi="仿宋_GB2312" w:eastAsia="仿宋_GB2312" w:cs="仿宋_GB2312"/>
          <w:b w:val="0"/>
          <w:color w:val="auto"/>
          <w:sz w:val="32"/>
          <w:szCs w:val="32"/>
        </w:rPr>
      </w:pPr>
      <w:r>
        <w:rPr>
          <w:rStyle w:val="37"/>
          <w:rFonts w:hint="eastAsia" w:hAnsi="仿宋_GB2312" w:cs="仿宋_GB2312"/>
          <w:b w:val="0"/>
          <w:bCs/>
          <w:kern w:val="2"/>
          <w:sz w:val="32"/>
          <w:szCs w:val="32"/>
          <w:lang w:val="en-US" w:eastAsia="zh-CN" w:bidi="ar-SA"/>
        </w:rPr>
        <w:t>9、</w:t>
      </w:r>
      <w:r>
        <w:rPr>
          <w:rStyle w:val="37"/>
          <w:rFonts w:hint="eastAsia" w:ascii="仿宋_GB2312" w:hAnsi="仿宋_GB2312" w:eastAsia="仿宋_GB2312" w:cs="仿宋_GB2312"/>
          <w:b w:val="0"/>
          <w:bCs/>
          <w:kern w:val="2"/>
          <w:sz w:val="32"/>
          <w:szCs w:val="32"/>
          <w:lang w:bidi="ar-SA"/>
        </w:rPr>
        <w:t>住房保障支出（类）221住房改革支出（款）02住房公积金（项）01：</w:t>
      </w:r>
      <w:r>
        <w:rPr>
          <w:rFonts w:hint="eastAsia" w:ascii="仿宋_GB2312" w:hAnsi="仿宋_GB2312" w:eastAsia="仿宋_GB2312" w:cs="仿宋_GB2312"/>
          <w:kern w:val="2"/>
          <w:sz w:val="32"/>
          <w:szCs w:val="32"/>
        </w:rPr>
        <w:t>202</w:t>
      </w:r>
      <w:r>
        <w:rPr>
          <w:rFonts w:hint="eastAsia" w:hAnsi="仿宋_GB2312" w:cs="仿宋_GB2312"/>
          <w:kern w:val="2"/>
          <w:sz w:val="32"/>
          <w:szCs w:val="32"/>
          <w:lang w:val="en-US" w:eastAsia="zh-CN"/>
        </w:rPr>
        <w:t>3</w:t>
      </w:r>
      <w:r>
        <w:rPr>
          <w:rFonts w:hint="eastAsia" w:ascii="仿宋_GB2312" w:hAnsi="仿宋_GB2312" w:eastAsia="仿宋_GB2312" w:cs="仿宋_GB2312"/>
          <w:kern w:val="2"/>
          <w:sz w:val="32"/>
          <w:szCs w:val="32"/>
        </w:rPr>
        <w:t>年支出决算为</w:t>
      </w:r>
      <w:r>
        <w:rPr>
          <w:rFonts w:hint="eastAsia" w:hAnsi="仿宋_GB2312" w:cs="仿宋_GB2312"/>
          <w:kern w:val="2"/>
          <w:sz w:val="32"/>
          <w:szCs w:val="32"/>
          <w:lang w:val="en-US" w:eastAsia="zh-CN" w:bidi="ar-SA"/>
        </w:rPr>
        <w:t>20.75</w:t>
      </w:r>
      <w:r>
        <w:rPr>
          <w:rFonts w:hint="eastAsia" w:ascii="仿宋_GB2312" w:hAnsi="仿宋_GB2312" w:eastAsia="仿宋_GB2312" w:cs="仿宋_GB2312"/>
          <w:kern w:val="2"/>
          <w:sz w:val="32"/>
          <w:szCs w:val="32"/>
        </w:rPr>
        <w:t>万元。</w:t>
      </w:r>
      <w:r>
        <w:rPr>
          <w:rStyle w:val="37"/>
          <w:rFonts w:hint="eastAsia" w:ascii="仿宋_GB2312" w:hAnsi="仿宋_GB2312" w:eastAsia="仿宋_GB2312" w:cs="仿宋_GB2312"/>
          <w:b w:val="0"/>
          <w:color w:val="auto"/>
          <w:sz w:val="32"/>
          <w:szCs w:val="32"/>
          <w:lang w:bidi="ar-SA"/>
        </w:rPr>
        <w:t>完成预算</w:t>
      </w:r>
      <w:r>
        <w:rPr>
          <w:rFonts w:hint="eastAsia" w:ascii="仿宋_GB2312" w:hAnsi="仿宋_GB2312" w:eastAsia="仿宋_GB2312" w:cs="仿宋_GB2312"/>
          <w:kern w:val="2"/>
          <w:sz w:val="32"/>
          <w:szCs w:val="32"/>
        </w:rPr>
        <w:t>100%</w:t>
      </w:r>
      <w:r>
        <w:rPr>
          <w:rStyle w:val="37"/>
          <w:rFonts w:hint="eastAsia" w:ascii="仿宋_GB2312" w:hAnsi="仿宋_GB2312" w:eastAsia="仿宋_GB2312" w:cs="仿宋_GB2312"/>
          <w:b w:val="0"/>
          <w:color w:val="auto"/>
          <w:sz w:val="32"/>
          <w:szCs w:val="32"/>
          <w:lang w:bidi="ar-SA"/>
        </w:rPr>
        <w:t>。</w:t>
      </w:r>
    </w:p>
    <w:p w14:paraId="05AEC839">
      <w:pPr>
        <w:spacing w:line="600" w:lineRule="exact"/>
        <w:ind w:firstLine="640"/>
        <w:rPr>
          <w:rFonts w:eastAsia="仿宋_GB2312" w:cs="仿宋_GB2312"/>
          <w:b/>
          <w:bCs/>
          <w:sz w:val="32"/>
          <w:szCs w:val="32"/>
        </w:rPr>
      </w:pPr>
      <w:bookmarkStart w:id="34" w:name="_Toc15396608"/>
      <w:bookmarkStart w:id="35" w:name="_Toc15377214"/>
      <w:r>
        <w:rPr>
          <w:rFonts w:hint="eastAsia" w:eastAsia="仿宋_GB2312" w:cs="仿宋_GB2312"/>
          <w:b/>
          <w:bCs/>
          <w:sz w:val="32"/>
          <w:szCs w:val="32"/>
        </w:rPr>
        <w:t>（注：仅罗列本部门涉及的全部功能分类科目，至项级。上述“预算”口径为全年预算数。增减变动原因为决算数&lt;项级&gt;和全年预算数&lt;项级&gt;比较，与预算数持平可以不写原因）</w:t>
      </w:r>
    </w:p>
    <w:p w14:paraId="7279555F">
      <w:pPr>
        <w:tabs>
          <w:tab w:val="right" w:pos="8306"/>
        </w:tabs>
        <w:spacing w:line="600" w:lineRule="exact"/>
        <w:ind w:firstLine="640"/>
        <w:outlineLvl w:val="1"/>
        <w:rPr>
          <w:rStyle w:val="31"/>
        </w:rPr>
      </w:pPr>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1"/>
          <w:rFonts w:hint="eastAsia" w:ascii="黑体" w:hAnsi="黑体" w:eastAsia="黑体"/>
          <w:b w:val="0"/>
        </w:rPr>
        <w:t>般公共预算财政拨款基本支出决算情况说明</w:t>
      </w:r>
      <w:bookmarkEnd w:id="34"/>
      <w:bookmarkEnd w:id="35"/>
      <w:r>
        <w:rPr>
          <w:rStyle w:val="31"/>
          <w:rFonts w:ascii="黑体" w:hAnsi="黑体" w:eastAsia="黑体"/>
          <w:b w:val="0"/>
        </w:rPr>
        <w:tab/>
      </w:r>
    </w:p>
    <w:p w14:paraId="2AF34564">
      <w:pPr>
        <w:spacing w:line="600" w:lineRule="exact"/>
        <w:ind w:firstLine="645"/>
        <w:rPr>
          <w:rFonts w:hint="eastAsia" w:ascii="仿宋_GB2312" w:hAnsi="仿宋_GB2312"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rPr>
        <w:t>523.34万</w:t>
      </w:r>
      <w:r>
        <w:rPr>
          <w:rFonts w:hint="eastAsia" w:eastAsia="仿宋_GB2312" w:cs="仿宋_GB2312"/>
          <w:sz w:val="32"/>
          <w:szCs w:val="32"/>
        </w:rPr>
        <w:t>元，</w:t>
      </w:r>
      <w:r>
        <w:rPr>
          <w:rFonts w:hint="eastAsia" w:ascii="仿宋_GB2312" w:hAnsi="仿宋_GB2312" w:eastAsia="仿宋_GB2312" w:cs="仿宋_GB2312"/>
          <w:sz w:val="32"/>
          <w:szCs w:val="32"/>
        </w:rPr>
        <w:t>其中：</w:t>
      </w:r>
    </w:p>
    <w:p w14:paraId="78EB2535">
      <w:pPr>
        <w:spacing w:line="600" w:lineRule="exact"/>
        <w:ind w:firstLine="64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b/>
          <w:sz w:val="32"/>
          <w:szCs w:val="32"/>
          <w:lang w:val="en-US" w:eastAsia="zh-CN"/>
        </w:rPr>
        <w:t>284.55</w:t>
      </w:r>
      <w:r>
        <w:rPr>
          <w:rFonts w:hint="eastAsia" w:ascii="仿宋_GB2312" w:hAnsi="仿宋_GB2312" w:eastAsia="仿宋_GB2312" w:cs="仿宋_GB2312"/>
          <w:sz w:val="32"/>
          <w:szCs w:val="32"/>
        </w:rPr>
        <w:t>万元，主要包括：基本工资、津贴补贴、奖金、伙食补助费、机关事业单位基本养老保险缴费、职业年金缴费、</w:t>
      </w:r>
      <w:r>
        <w:rPr>
          <w:rFonts w:hint="eastAsia" w:ascii="仿宋_GB2312" w:hAnsi="仿宋_GB2312" w:eastAsia="仿宋_GB2312" w:cs="仿宋_GB2312"/>
          <w:sz w:val="32"/>
          <w:szCs w:val="32"/>
          <w:lang w:val="en-US" w:eastAsia="zh-CN"/>
        </w:rPr>
        <w:t>职工基本医疗保险</w:t>
      </w:r>
      <w:r>
        <w:rPr>
          <w:rFonts w:hint="eastAsia" w:ascii="仿宋_GB2312" w:hAnsi="仿宋_GB2312" w:eastAsia="仿宋_GB2312" w:cs="仿宋_GB2312"/>
          <w:sz w:val="32"/>
          <w:szCs w:val="32"/>
        </w:rPr>
        <w:t>缴费、</w:t>
      </w:r>
      <w:r>
        <w:rPr>
          <w:rFonts w:hint="eastAsia" w:ascii="仿宋_GB2312" w:hAnsi="仿宋_GB2312" w:eastAsia="仿宋_GB2312" w:cs="仿宋_GB2312"/>
          <w:sz w:val="32"/>
          <w:szCs w:val="32"/>
          <w:lang w:val="en-US" w:eastAsia="zh-CN"/>
        </w:rPr>
        <w:t>公务员医疗补助缴费、其他社会保障缴费、</w:t>
      </w:r>
      <w:r>
        <w:rPr>
          <w:rFonts w:hint="eastAsia" w:ascii="仿宋_GB2312" w:hAnsi="仿宋_GB2312" w:eastAsia="仿宋_GB2312" w:cs="仿宋_GB2312"/>
          <w:sz w:val="32"/>
          <w:szCs w:val="32"/>
        </w:rPr>
        <w:t>住房公积金等。</w:t>
      </w:r>
    </w:p>
    <w:p w14:paraId="413C1F39">
      <w:pPr>
        <w:spacing w:line="600" w:lineRule="exact"/>
        <w:ind w:firstLine="645"/>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b/>
          <w:sz w:val="32"/>
          <w:szCs w:val="32"/>
          <w:lang w:val="en-US" w:eastAsia="zh-CN"/>
        </w:rPr>
        <w:t>238.79</w:t>
      </w:r>
      <w:r>
        <w:rPr>
          <w:rFonts w:hint="eastAsia" w:ascii="仿宋_GB2312" w:hAnsi="仿宋_GB2312" w:eastAsia="仿宋_GB2312" w:cs="仿宋_GB2312"/>
          <w:sz w:val="32"/>
          <w:szCs w:val="32"/>
        </w:rPr>
        <w:t>万元，主要包括：办公费、印刷费、水费、电费、邮电费、物业管理费、差旅费、维修（护）费、租赁费、会议费、公务接待费、劳务费、委托业务费、福利费、公务用车运行维护费、其他商品和服务支出等。</w:t>
      </w:r>
      <w:r>
        <w:rPr>
          <w:rFonts w:hint="eastAsia" w:ascii="仿宋_GB2312" w:hAnsi="仿宋_GB2312" w:eastAsia="仿宋_GB2312" w:cs="仿宋_GB2312"/>
          <w:sz w:val="32"/>
          <w:szCs w:val="32"/>
          <w:lang w:val="en-US" w:eastAsia="zh-CN"/>
        </w:rPr>
        <w:t>其中</w:t>
      </w:r>
      <w:r>
        <w:rPr>
          <w:rFonts w:hint="eastAsia" w:ascii="仿宋_GB2312" w:hAnsi="仿宋_GB2312" w:eastAsia="仿宋_GB2312" w:cs="仿宋_GB2312"/>
          <w:sz w:val="32"/>
          <w:szCs w:val="32"/>
        </w:rPr>
        <w:t>维修（护）费</w:t>
      </w:r>
      <w:r>
        <w:rPr>
          <w:rFonts w:hint="eastAsia" w:ascii="仿宋_GB2312" w:hAnsi="仿宋_GB2312" w:eastAsia="仿宋_GB2312" w:cs="仿宋_GB2312"/>
          <w:sz w:val="32"/>
          <w:szCs w:val="32"/>
          <w:lang w:val="en-US" w:eastAsia="zh-CN"/>
        </w:rPr>
        <w:t>124.66万元是周转房维修费。</w:t>
      </w:r>
    </w:p>
    <w:p w14:paraId="52B3DDEB">
      <w:pPr>
        <w:spacing w:line="600" w:lineRule="exact"/>
        <w:ind w:firstLine="640"/>
        <w:rPr>
          <w:rFonts w:eastAsia="仿宋_GB2312" w:cs="仿宋_GB2312"/>
          <w:b/>
          <w:bCs/>
          <w:sz w:val="32"/>
          <w:szCs w:val="32"/>
        </w:rPr>
      </w:pPr>
      <w:bookmarkStart w:id="36" w:name="_Toc15377215"/>
      <w:bookmarkStart w:id="37" w:name="_Toc15396609"/>
      <w:r>
        <w:rPr>
          <w:rFonts w:hint="eastAsia" w:eastAsia="仿宋_GB2312" w:cs="仿宋_GB2312"/>
          <w:b/>
          <w:bCs/>
          <w:sz w:val="32"/>
          <w:szCs w:val="32"/>
        </w:rPr>
        <w:t>（注：仅罗列本部门实际支出涉及的经济分类科目）</w:t>
      </w:r>
    </w:p>
    <w:p w14:paraId="3B8ABC23">
      <w:pPr>
        <w:spacing w:line="600" w:lineRule="exact"/>
        <w:ind w:firstLine="640"/>
        <w:outlineLvl w:val="1"/>
        <w:rPr>
          <w:rStyle w:val="31"/>
          <w:rFonts w:ascii="黑体" w:hAnsi="黑体" w:eastAsia="黑体"/>
          <w:b w:val="0"/>
        </w:rPr>
      </w:pPr>
      <w:r>
        <w:rPr>
          <w:rFonts w:hint="eastAsia" w:ascii="黑体" w:eastAsia="黑体"/>
          <w:sz w:val="32"/>
          <w:szCs w:val="32"/>
        </w:rPr>
        <w:t>七、</w:t>
      </w:r>
      <w:r>
        <w:rPr>
          <w:rStyle w:val="31"/>
          <w:rFonts w:hint="eastAsia" w:ascii="黑体" w:hAnsi="黑体" w:eastAsia="黑体"/>
          <w:b w:val="0"/>
        </w:rPr>
        <w:t>财政拨款</w:t>
      </w:r>
      <w:r>
        <w:rPr>
          <w:rStyle w:val="31"/>
          <w:rFonts w:hint="eastAsia" w:ascii="黑体" w:hAnsi="黑体" w:eastAsia="黑体"/>
        </w:rPr>
        <w:t>“</w:t>
      </w:r>
      <w:r>
        <w:rPr>
          <w:rStyle w:val="31"/>
          <w:rFonts w:hint="eastAsia" w:ascii="黑体" w:hAnsi="黑体" w:eastAsia="黑体"/>
          <w:b w:val="0"/>
        </w:rPr>
        <w:t>三公”经费支出决算情况说明</w:t>
      </w:r>
      <w:bookmarkEnd w:id="36"/>
      <w:bookmarkEnd w:id="37"/>
    </w:p>
    <w:p w14:paraId="79FFC7CE">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（一）“三公”经费财政拨款支出决算总体情况说明</w:t>
      </w:r>
    </w:p>
    <w:p w14:paraId="5D0533BC">
      <w:pPr>
        <w:keepNext w:val="0"/>
        <w:keepLines w:val="0"/>
        <w:pageBreakBefore w:val="0"/>
        <w:widowControl w:val="0"/>
        <w:kinsoku/>
        <w:wordWrap/>
        <w:overflowPunct/>
        <w:topLinePunct w:val="0"/>
        <w:autoSpaceDE/>
        <w:autoSpaceDN/>
        <w:bidi w:val="0"/>
        <w:adjustRightInd/>
        <w:snapToGrid w:val="0"/>
        <w:spacing w:before="0" w:line="560" w:lineRule="exact"/>
        <w:ind w:firstLine="640" w:firstLineChars="200"/>
        <w:textAlignment w:val="auto"/>
        <w:rPr>
          <w:rFonts w:hint="eastAsia" w:ascii="仿宋_GB2312" w:hAnsi="仿宋_GB2312" w:eastAsia="仿宋_GB2312" w:cs="仿宋_GB2312"/>
          <w:color w:val="000000"/>
          <w:kern w:val="2"/>
          <w:sz w:val="32"/>
          <w:szCs w:val="32"/>
          <w:lang w:val="en-US" w:eastAsia="zh-CN" w:bidi="ar-SA"/>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rPr>
        <w:t>9.01万元，完成预算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%，较上年度</w:t>
      </w:r>
      <w:r>
        <w:rPr>
          <w:rFonts w:hint="eastAsia" w:ascii="仿宋_GB2312" w:hAnsi="仿宋_GB2312" w:eastAsia="仿宋_GB2312" w:cs="仿宋_GB2312"/>
          <w:sz w:val="32"/>
          <w:szCs w:val="32"/>
          <w:lang w:val="en-US" w:eastAsia="zh-CN"/>
        </w:rPr>
        <w:t>减少2.37</w:t>
      </w:r>
      <w:r>
        <w:rPr>
          <w:rFonts w:hint="eastAsia" w:ascii="仿宋_GB2312" w:hAnsi="仿宋_GB2312" w:eastAsia="仿宋_GB2312" w:cs="仿宋_GB2312"/>
          <w:sz w:val="32"/>
          <w:szCs w:val="32"/>
        </w:rPr>
        <w:t>万元，</w:t>
      </w:r>
      <w:r>
        <w:rPr>
          <w:rFonts w:hint="eastAsia" w:eastAsia="仿宋_GB2312" w:cs="仿宋_GB2312"/>
          <w:sz w:val="32"/>
          <w:szCs w:val="32"/>
        </w:rPr>
        <w:t>下降</w:t>
      </w:r>
      <w:r>
        <w:rPr>
          <w:rFonts w:hint="eastAsia" w:ascii="仿宋_GB2312" w:hAnsi="仿宋_GB2312" w:eastAsia="仿宋_GB2312" w:cs="仿宋_GB2312"/>
          <w:sz w:val="32"/>
          <w:szCs w:val="32"/>
          <w:lang w:val="en-US" w:eastAsia="zh-CN"/>
        </w:rPr>
        <w:t>20.8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决算数</w:t>
      </w:r>
      <w:r>
        <w:rPr>
          <w:rFonts w:hint="eastAsia" w:eastAsia="仿宋_GB2312" w:cs="仿宋_GB2312"/>
          <w:sz w:val="32"/>
          <w:szCs w:val="32"/>
        </w:rPr>
        <w:t>与</w:t>
      </w:r>
      <w:r>
        <w:rPr>
          <w:rFonts w:hint="eastAsia" w:eastAsia="仿宋_GB2312" w:cs="仿宋_GB2312"/>
          <w:sz w:val="32"/>
          <w:szCs w:val="32"/>
          <w:lang w:val="en-US" w:eastAsia="zh-CN"/>
        </w:rPr>
        <w:t>全年</w:t>
      </w:r>
      <w:r>
        <w:rPr>
          <w:rFonts w:hint="eastAsia" w:eastAsia="仿宋_GB2312" w:cs="仿宋_GB2312"/>
          <w:sz w:val="32"/>
          <w:szCs w:val="32"/>
        </w:rPr>
        <w:t>预算数持平</w:t>
      </w:r>
      <w:r>
        <w:rPr>
          <w:rFonts w:hint="eastAsia" w:eastAsia="仿宋_GB2312" w:cs="仿宋_GB2312"/>
          <w:sz w:val="32"/>
          <w:szCs w:val="32"/>
          <w:lang w:eastAsia="zh-CN"/>
        </w:rPr>
        <w:t>，</w:t>
      </w:r>
      <w:r>
        <w:rPr>
          <w:rFonts w:hint="eastAsia" w:eastAsia="仿宋_GB2312" w:cs="仿宋_GB2312"/>
          <w:sz w:val="32"/>
          <w:szCs w:val="32"/>
          <w:lang w:val="en-US" w:eastAsia="zh-CN"/>
        </w:rPr>
        <w:t>与上年度对比</w:t>
      </w:r>
      <w:r>
        <w:rPr>
          <w:rFonts w:hint="eastAsia" w:ascii="仿宋_GB2312" w:hAnsi="仿宋_GB2312" w:eastAsia="仿宋_GB2312" w:cs="仿宋_GB2312"/>
          <w:sz w:val="32"/>
          <w:szCs w:val="32"/>
          <w:lang w:val="en-US" w:eastAsia="zh-CN"/>
        </w:rPr>
        <w:t>减少，原因是</w:t>
      </w:r>
      <w:r>
        <w:rPr>
          <w:rFonts w:hint="eastAsia" w:ascii="仿宋_GB2312" w:hAnsi="仿宋_GB2312" w:eastAsia="仿宋_GB2312" w:cs="仿宋_GB2312"/>
          <w:color w:val="000000"/>
          <w:sz w:val="32"/>
          <w:szCs w:val="32"/>
          <w:lang w:val="en-US" w:eastAsia="zh-CN"/>
        </w:rPr>
        <w:t>2023年州庆我单位业务较多，公务用车使用频繁</w:t>
      </w:r>
      <w:r>
        <w:rPr>
          <w:rFonts w:hint="eastAsia" w:ascii="仿宋_GB2312" w:hAnsi="仿宋_GB2312" w:eastAsia="仿宋_GB2312" w:cs="仿宋_GB2312"/>
          <w:color w:val="000000"/>
          <w:kern w:val="2"/>
          <w:sz w:val="32"/>
          <w:szCs w:val="32"/>
          <w:lang w:val="en-US" w:eastAsia="zh-CN" w:bidi="ar-SA"/>
        </w:rPr>
        <w:t xml:space="preserve">。 </w:t>
      </w:r>
    </w:p>
    <w:p w14:paraId="7BE62E82">
      <w:pPr>
        <w:spacing w:line="600" w:lineRule="exact"/>
        <w:ind w:firstLine="640"/>
        <w:outlineLvl w:val="2"/>
        <w:rPr>
          <w:rFonts w:ascii="仿宋" w:hAnsi="仿宋" w:eastAsia="仿宋"/>
          <w:b/>
          <w:sz w:val="32"/>
          <w:szCs w:val="32"/>
        </w:rPr>
      </w:pPr>
      <w:bookmarkStart w:id="38" w:name="_Toc15377217"/>
      <w:r>
        <w:rPr>
          <w:rFonts w:hint="eastAsia" w:ascii="仿宋" w:hAnsi="仿宋" w:eastAsia="仿宋"/>
          <w:b/>
          <w:sz w:val="32"/>
          <w:szCs w:val="32"/>
        </w:rPr>
        <w:t>（二）“三公”经费财政拨款支出决算具体情况说明</w:t>
      </w:r>
      <w:bookmarkEnd w:id="38"/>
    </w:p>
    <w:p w14:paraId="13612C6D">
      <w:pPr>
        <w:spacing w:line="600" w:lineRule="exact"/>
        <w:ind w:firstLine="640"/>
        <w:rPr>
          <w:rFonts w:hint="eastAsia" w:ascii="仿宋" w:hAnsi="仿宋" w:eastAsia="仿宋"/>
          <w:sz w:val="32"/>
          <w:szCs w:val="32"/>
        </w:rPr>
      </w:pPr>
      <w:r>
        <w:rPr>
          <w:rFonts w:hint="eastAsia" w:ascii="仿宋_GB2312" w:hAnsi="仿宋_GB2312" w:eastAsia="仿宋_GB2312" w:cs="仿宋_GB2312"/>
          <w:sz w:val="32"/>
          <w:szCs w:val="32"/>
        </w:rPr>
        <w:t>2024年度“三公”经费财政拨款支出决算中，因公出国（境）费支出决算0万元，占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%；公务用车购置及运行维护费支出决算8.89万元，占</w:t>
      </w:r>
      <w:r>
        <w:rPr>
          <w:rFonts w:hint="eastAsia" w:ascii="仿宋_GB2312" w:hAnsi="仿宋_GB2312" w:eastAsia="仿宋_GB2312" w:cs="仿宋_GB2312"/>
          <w:sz w:val="32"/>
          <w:szCs w:val="32"/>
          <w:lang w:val="en-US" w:eastAsia="zh-CN"/>
        </w:rPr>
        <w:t>98.7</w:t>
      </w:r>
      <w:r>
        <w:rPr>
          <w:rFonts w:hint="eastAsia" w:ascii="仿宋_GB2312" w:hAnsi="仿宋_GB2312" w:eastAsia="仿宋_GB2312" w:cs="仿宋_GB2312"/>
          <w:sz w:val="32"/>
          <w:szCs w:val="32"/>
        </w:rPr>
        <w:t>%；公务接待费支出决算0.11万元，占</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%。具体情况如下：</w:t>
      </w:r>
    </w:p>
    <w:p w14:paraId="526708FB">
      <w:pPr>
        <w:spacing w:line="600" w:lineRule="exact"/>
        <w:ind w:firstLine="640"/>
        <w:rPr>
          <w:rFonts w:ascii="仿宋_GB2312" w:eastAsia="仿宋_GB2312"/>
          <w:sz w:val="32"/>
          <w:szCs w:val="32"/>
        </w:rPr>
      </w:pPr>
      <w:bookmarkStart w:id="39" w:name="_Toc15377218"/>
      <w:bookmarkStart w:id="40" w:name="_Toc15396610"/>
      <w:r>
        <w:rPr>
          <w:rFonts w:hint="eastAsia" w:ascii="仿宋_GB2312" w:hAnsi="仿宋_GB2312" w:eastAsia="仿宋_GB2312" w:cs="仿宋_GB2312"/>
          <w:b w:val="0"/>
          <w:bCs w:val="0"/>
          <w:spacing w:val="0"/>
          <w:kern w:val="2"/>
          <w:sz w:val="32"/>
          <w:szCs w:val="32"/>
          <w:lang w:bidi="ar-SA"/>
        </w:rPr>
        <w:drawing>
          <wp:anchor distT="0" distB="0" distL="114300" distR="114300" simplePos="0" relativeHeight="251665408" behindDoc="1" locked="0" layoutInCell="1" allowOverlap="1">
            <wp:simplePos x="0" y="0"/>
            <wp:positionH relativeFrom="column">
              <wp:posOffset>52705</wp:posOffset>
            </wp:positionH>
            <wp:positionV relativeFrom="paragraph">
              <wp:posOffset>4445</wp:posOffset>
            </wp:positionV>
            <wp:extent cx="5256530" cy="2988310"/>
            <wp:effectExtent l="5080" t="4445" r="15240" b="17145"/>
            <wp:wrapTight wrapText="bothSides">
              <wp:wrapPolygon>
                <wp:start x="-21" y="-32"/>
                <wp:lineTo x="-21" y="21449"/>
                <wp:lineTo x="21506" y="21449"/>
                <wp:lineTo x="21506" y="-32"/>
                <wp:lineTo x="-21" y="-32"/>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Pr>
          <w:rFonts w:ascii="仿宋_GB2312" w:eastAsia="仿宋_GB2312"/>
          <w:b/>
          <w:sz w:val="32"/>
          <w:szCs w:val="32"/>
        </w:rPr>
        <w:t>1.</w:t>
      </w:r>
      <w:r>
        <w:rPr>
          <w:rFonts w:hint="eastAsia" w:ascii="仿宋_GB2312" w:eastAsia="仿宋_GB2312"/>
          <w:b/>
          <w:sz w:val="32"/>
          <w:szCs w:val="32"/>
        </w:rPr>
        <w:t>因公出国（境）经费支出</w:t>
      </w:r>
      <w:r>
        <w:rPr>
          <w:rFonts w:ascii="仿宋" w:hAnsi="仿宋" w:eastAsia="仿宋"/>
          <w:b/>
          <w:sz w:val="32"/>
          <w:szCs w:val="32"/>
        </w:rPr>
        <w:t>0</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rStyle w:val="19"/>
          <w:rFonts w:ascii="仿宋" w:hAnsi="仿宋" w:eastAsia="仿宋"/>
          <w:bCs/>
          <w:sz w:val="32"/>
          <w:szCs w:val="32"/>
        </w:rPr>
        <w:t>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全年安排因公出国（境）团组</w:t>
      </w:r>
      <w:r>
        <w:rPr>
          <w:rFonts w:ascii="仿宋_GB2312" w:eastAsia="仿宋_GB2312"/>
          <w:b/>
          <w:sz w:val="32"/>
          <w:szCs w:val="32"/>
        </w:rPr>
        <w:t>0</w:t>
      </w:r>
      <w:r>
        <w:rPr>
          <w:rFonts w:hint="eastAsia" w:ascii="仿宋_GB2312" w:eastAsia="仿宋_GB2312"/>
          <w:sz w:val="32"/>
          <w:szCs w:val="32"/>
        </w:rPr>
        <w:t>次，出国（境）</w:t>
      </w:r>
      <w:r>
        <w:rPr>
          <w:rFonts w:ascii="仿宋_GB2312" w:eastAsia="仿宋_GB2312"/>
          <w:b/>
          <w:sz w:val="32"/>
          <w:szCs w:val="32"/>
        </w:rPr>
        <w:t>0</w:t>
      </w:r>
      <w:r>
        <w:rPr>
          <w:rFonts w:hint="eastAsia" w:ascii="仿宋_GB2312" w:eastAsia="仿宋_GB2312"/>
          <w:sz w:val="32"/>
          <w:szCs w:val="32"/>
        </w:rPr>
        <w:t>人。因公出国（境）支出决算</w:t>
      </w:r>
      <w:r>
        <w:rPr>
          <w:rFonts w:hint="eastAsia" w:ascii="仿宋_GB2312" w:eastAsia="仿宋_GB2312"/>
          <w:sz w:val="32"/>
          <w:szCs w:val="32"/>
          <w:lang w:val="en-US" w:eastAsia="zh-CN"/>
        </w:rPr>
        <w:t>与</w:t>
      </w: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val="en-US" w:eastAsia="zh-CN"/>
        </w:rPr>
        <w:t>持平</w:t>
      </w:r>
      <w:r>
        <w:rPr>
          <w:rFonts w:hint="eastAsia" w:ascii="仿宋_GB2312" w:eastAsia="仿宋_GB2312"/>
          <w:sz w:val="32"/>
          <w:szCs w:val="32"/>
        </w:rPr>
        <w:t>。</w:t>
      </w:r>
    </w:p>
    <w:p w14:paraId="29084721">
      <w:pPr>
        <w:keepNext w:val="0"/>
        <w:keepLines w:val="0"/>
        <w:pageBreakBefore w:val="0"/>
        <w:widowControl w:val="0"/>
        <w:kinsoku/>
        <w:wordWrap/>
        <w:overflowPunct/>
        <w:topLinePunct w:val="0"/>
        <w:autoSpaceDE/>
        <w:autoSpaceDN/>
        <w:bidi w:val="0"/>
        <w:adjustRightInd/>
        <w:snapToGrid w:val="0"/>
        <w:spacing w:before="0" w:line="560" w:lineRule="exact"/>
        <w:ind w:firstLine="643" w:firstLineChars="200"/>
        <w:textAlignment w:val="auto"/>
        <w:rPr>
          <w:rFonts w:hint="eastAsia" w:ascii="仿宋_GB2312" w:eastAsia="仿宋_GB2312" w:cs="仿宋_GB2312"/>
          <w:color w:val="000000"/>
          <w:kern w:val="2"/>
          <w:sz w:val="32"/>
          <w:szCs w:val="32"/>
          <w:lang w:val="en-US" w:eastAsia="zh-CN" w:bidi="ar-SA"/>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hAnsi="仿宋_GB2312" w:eastAsia="仿宋_GB2312" w:cs="仿宋_GB2312"/>
          <w:b/>
          <w:bCs/>
          <w:sz w:val="32"/>
          <w:szCs w:val="32"/>
        </w:rPr>
        <w:t>8.89</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rStyle w:val="19"/>
          <w:rFonts w:hint="eastAsia" w:ascii="仿宋" w:hAnsi="仿宋" w:eastAsia="仿宋"/>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公务用车购置及运行维护费支出决算比202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ascii="仿宋_GB2312" w:eastAsia="仿宋_GB2312"/>
          <w:sz w:val="32"/>
          <w:szCs w:val="32"/>
          <w:lang w:val="en-US" w:eastAsia="zh-CN"/>
        </w:rPr>
        <w:t>减少1.13</w:t>
      </w:r>
      <w:r>
        <w:rPr>
          <w:rFonts w:hint="eastAsia" w:ascii="仿宋_GB2312" w:eastAsia="仿宋_GB2312"/>
          <w:sz w:val="32"/>
          <w:szCs w:val="32"/>
        </w:rPr>
        <w:t>万元，</w:t>
      </w:r>
      <w:r>
        <w:rPr>
          <w:rFonts w:hint="eastAsia" w:eastAsia="仿宋_GB2312" w:cs="仿宋_GB2312"/>
          <w:sz w:val="32"/>
          <w:szCs w:val="32"/>
        </w:rPr>
        <w:t>下降</w:t>
      </w:r>
      <w:r>
        <w:rPr>
          <w:rFonts w:hint="eastAsia" w:ascii="仿宋_GB2312" w:eastAsia="仿宋_GB2312"/>
          <w:sz w:val="32"/>
          <w:szCs w:val="32"/>
          <w:lang w:val="en-US" w:eastAsia="zh-CN"/>
        </w:rPr>
        <w:t>11.3</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sz w:val="32"/>
          <w:szCs w:val="32"/>
          <w:lang w:val="en-US" w:eastAsia="zh-CN"/>
        </w:rPr>
        <w:t>减少</w:t>
      </w:r>
      <w:r>
        <w:rPr>
          <w:rFonts w:hint="eastAsia" w:ascii="仿宋_GB2312" w:hAnsi="仿宋" w:eastAsia="仿宋_GB2312" w:cs="仿宋"/>
          <w:color w:val="000000"/>
          <w:sz w:val="32"/>
          <w:szCs w:val="32"/>
          <w:lang w:val="en-US" w:eastAsia="zh-CN"/>
        </w:rPr>
        <w:t>的主要原因2023年州庆我单位承接的工作任务重，出差频繁，公务车运行维护费支出较2024年多。</w:t>
      </w:r>
    </w:p>
    <w:p w14:paraId="4B4CD110">
      <w:pPr>
        <w:spacing w:line="560" w:lineRule="exact"/>
        <w:ind w:left="0"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 w:hAnsi="仿宋" w:eastAsia="仿宋"/>
          <w:b/>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1</w:t>
      </w:r>
      <w:r>
        <w:rPr>
          <w:rFonts w:hint="eastAsia" w:ascii="仿宋_GB2312" w:eastAsia="仿宋_GB2312"/>
          <w:sz w:val="32"/>
          <w:szCs w:val="32"/>
        </w:rPr>
        <w:t>辆，</w:t>
      </w:r>
      <w:r>
        <w:rPr>
          <w:rFonts w:hint="eastAsia" w:ascii="仿宋_GB2312" w:eastAsia="仿宋_GB2312" w:cs="Times New Roman"/>
          <w:kern w:val="2"/>
          <w:sz w:val="32"/>
          <w:szCs w:val="32"/>
          <w:lang w:bidi="ar-SA"/>
        </w:rPr>
        <w:t>其中：轿车0辆、越野车1辆、载客汽车0辆。</w:t>
      </w:r>
    </w:p>
    <w:p w14:paraId="51A5811C">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 w:hAnsi="仿宋" w:eastAsia="仿宋"/>
          <w:b/>
          <w:sz w:val="32"/>
          <w:szCs w:val="32"/>
          <w:lang w:val="en-US" w:eastAsia="zh-CN"/>
        </w:rPr>
        <w:t>8.89</w:t>
      </w:r>
      <w:r>
        <w:rPr>
          <w:rFonts w:hint="eastAsia" w:ascii="仿宋_GB2312" w:eastAsia="仿宋_GB2312"/>
          <w:sz w:val="32"/>
          <w:szCs w:val="32"/>
        </w:rPr>
        <w:t>万元。主要用于</w:t>
      </w:r>
      <w:r>
        <w:rPr>
          <w:rFonts w:hint="eastAsia" w:ascii="仿宋_GB2312" w:eastAsia="仿宋_GB2312"/>
          <w:sz w:val="32"/>
          <w:szCs w:val="32"/>
          <w:lang w:val="en-US" w:eastAsia="zh-CN"/>
        </w:rPr>
        <w:t>州机关事务管理局出差、培训、会议、石榴籽对接帮扶</w:t>
      </w:r>
      <w:r>
        <w:rPr>
          <w:rFonts w:hint="eastAsia" w:ascii="仿宋_GB2312" w:eastAsia="仿宋_GB2312"/>
          <w:sz w:val="32"/>
          <w:szCs w:val="32"/>
        </w:rPr>
        <w:t>等所需的公务用车燃料费、维修费、过路过桥费、保险费等支出。</w:t>
      </w:r>
    </w:p>
    <w:p w14:paraId="63043391">
      <w:pPr>
        <w:keepNext w:val="0"/>
        <w:keepLines w:val="0"/>
        <w:pageBreakBefore w:val="0"/>
        <w:widowControl w:val="0"/>
        <w:kinsoku/>
        <w:wordWrap/>
        <w:overflowPunct/>
        <w:topLinePunct w:val="0"/>
        <w:autoSpaceDE/>
        <w:autoSpaceDN/>
        <w:bidi w:val="0"/>
        <w:adjustRightInd/>
        <w:snapToGrid w:val="0"/>
        <w:spacing w:before="0" w:line="560" w:lineRule="exact"/>
        <w:ind w:firstLine="643" w:firstLineChars="200"/>
        <w:textAlignment w:val="auto"/>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 w:hAnsi="仿宋" w:eastAsia="仿宋"/>
          <w:b/>
          <w:sz w:val="32"/>
          <w:szCs w:val="32"/>
          <w:lang w:val="en-US" w:eastAsia="zh-CN"/>
        </w:rPr>
        <w:t>0.11</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公务接待费支出决算比202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ascii="仿宋_GB2312" w:eastAsia="仿宋_GB2312"/>
          <w:sz w:val="32"/>
          <w:szCs w:val="32"/>
          <w:lang w:val="en-US" w:eastAsia="zh-CN"/>
        </w:rPr>
        <w:t>减少</w:t>
      </w:r>
      <w:r>
        <w:rPr>
          <w:rFonts w:hint="eastAsia" w:ascii="仿宋_GB2312" w:eastAsia="仿宋_GB2312" w:cs="仿宋_GB2312"/>
          <w:color w:val="000000"/>
          <w:kern w:val="2"/>
          <w:sz w:val="32"/>
          <w:szCs w:val="32"/>
          <w:lang w:val="en-US" w:eastAsia="zh-CN" w:bidi="ar-SA"/>
        </w:rPr>
        <w:t>1.25万元，</w:t>
      </w:r>
      <w:r>
        <w:rPr>
          <w:rFonts w:hint="eastAsia" w:ascii="仿宋_GB2312" w:hAnsi="仿宋" w:eastAsia="仿宋_GB2312" w:cs="仿宋"/>
          <w:color w:val="000000"/>
          <w:sz w:val="32"/>
          <w:szCs w:val="32"/>
          <w:lang w:val="en-US" w:eastAsia="zh-CN"/>
        </w:rPr>
        <w:t>下降92%，减少的主要原因2023年增加了湖州等地对口帮扶部门到我州实地考察学习的接待费用支出</w:t>
      </w:r>
      <w:r>
        <w:rPr>
          <w:rFonts w:hint="eastAsia" w:ascii="仿宋_GB2312" w:eastAsia="仿宋_GB2312" w:cs="仿宋_GB2312"/>
          <w:color w:val="000000"/>
          <w:kern w:val="2"/>
          <w:sz w:val="32"/>
          <w:szCs w:val="32"/>
          <w:lang w:val="en-US" w:eastAsia="zh-CN" w:bidi="ar-SA"/>
        </w:rPr>
        <w:t xml:space="preserve">。 </w:t>
      </w:r>
      <w:r>
        <w:rPr>
          <w:rFonts w:hint="eastAsia" w:ascii="仿宋_GB2312" w:eastAsia="仿宋_GB2312"/>
          <w:sz w:val="32"/>
          <w:szCs w:val="32"/>
        </w:rPr>
        <w:t>其中：</w:t>
      </w:r>
    </w:p>
    <w:p w14:paraId="675E03B7">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b/>
          <w:sz w:val="32"/>
          <w:szCs w:val="32"/>
          <w:lang w:val="en-US" w:eastAsia="zh-CN"/>
        </w:rPr>
        <w:t>0.11</w:t>
      </w:r>
      <w:r>
        <w:rPr>
          <w:rFonts w:hint="eastAsia" w:ascii="仿宋_GB2312" w:eastAsia="仿宋_GB2312"/>
          <w:sz w:val="32"/>
          <w:szCs w:val="32"/>
        </w:rPr>
        <w:t>万元，主要用于</w:t>
      </w:r>
      <w:r>
        <w:rPr>
          <w:rFonts w:hint="eastAsia" w:ascii="仿宋_GB2312" w:eastAsia="仿宋_GB2312"/>
          <w:sz w:val="32"/>
          <w:szCs w:val="32"/>
          <w:lang w:val="en-US" w:eastAsia="zh-CN"/>
        </w:rPr>
        <w:t>上级部门</w:t>
      </w:r>
      <w:r>
        <w:rPr>
          <w:rFonts w:hint="eastAsia" w:ascii="仿宋_GB2312" w:hAnsi="仿宋" w:eastAsia="仿宋_GB2312" w:cs="仿宋"/>
          <w:color w:val="000000"/>
          <w:sz w:val="32"/>
          <w:szCs w:val="32"/>
          <w:lang w:val="en-US" w:eastAsia="zh-CN"/>
        </w:rPr>
        <w:t>等</w:t>
      </w:r>
      <w:r>
        <w:rPr>
          <w:rFonts w:hint="eastAsia" w:ascii="仿宋_GB2312" w:eastAsia="仿宋_GB2312"/>
          <w:sz w:val="32"/>
          <w:szCs w:val="32"/>
        </w:rPr>
        <w:t>开展业务活动开支的用餐费</w:t>
      </w:r>
      <w:r>
        <w:rPr>
          <w:rFonts w:hint="eastAsia" w:ascii="仿宋_GB2312" w:eastAsia="仿宋_GB2312"/>
          <w:sz w:val="32"/>
          <w:szCs w:val="32"/>
          <w:lang w:val="en-US" w:eastAsia="zh-CN"/>
        </w:rPr>
        <w:t>等</w:t>
      </w:r>
      <w:r>
        <w:rPr>
          <w:rFonts w:hint="eastAsia" w:ascii="仿宋_GB2312" w:eastAsia="仿宋_GB2312"/>
          <w:sz w:val="32"/>
          <w:szCs w:val="32"/>
        </w:rPr>
        <w:t>。国内公务接待</w:t>
      </w:r>
      <w:r>
        <w:rPr>
          <w:rFonts w:hint="eastAsia" w:ascii="仿宋_GB2312" w:eastAsia="仿宋_GB2312"/>
          <w:sz w:val="32"/>
          <w:szCs w:val="32"/>
          <w:lang w:val="en-US" w:eastAsia="zh-CN"/>
        </w:rPr>
        <w:t>1</w:t>
      </w:r>
      <w:r>
        <w:rPr>
          <w:rFonts w:hint="eastAsia" w:ascii="仿宋_GB2312" w:eastAsia="仿宋_GB2312"/>
          <w:sz w:val="32"/>
          <w:szCs w:val="32"/>
        </w:rPr>
        <w:t>批次，</w:t>
      </w:r>
      <w:r>
        <w:rPr>
          <w:rFonts w:hint="eastAsia" w:ascii="仿宋_GB2312" w:eastAsia="仿宋_GB2312"/>
          <w:sz w:val="32"/>
          <w:szCs w:val="32"/>
          <w:lang w:val="en-US" w:eastAsia="zh-CN"/>
        </w:rPr>
        <w:t>8</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0.11</w:t>
      </w:r>
      <w:r>
        <w:rPr>
          <w:rFonts w:hint="eastAsia" w:ascii="仿宋_GB2312" w:eastAsia="仿宋_GB2312"/>
          <w:sz w:val="32"/>
          <w:szCs w:val="32"/>
        </w:rPr>
        <w:t>万元。</w:t>
      </w:r>
    </w:p>
    <w:p w14:paraId="500E633C">
      <w:pPr>
        <w:spacing w:line="600" w:lineRule="exact"/>
        <w:ind w:firstLine="643" w:firstLineChars="200"/>
        <w:rPr>
          <w:rFonts w:ascii="黑体" w:eastAsia="黑体"/>
          <w:sz w:val="32"/>
          <w:szCs w:val="32"/>
        </w:rPr>
      </w:pPr>
      <w:r>
        <w:rPr>
          <w:rFonts w:hint="eastAsia" w:ascii="仿宋" w:hAnsi="仿宋" w:eastAsia="仿宋"/>
          <w:b/>
          <w:sz w:val="32"/>
          <w:szCs w:val="32"/>
        </w:rPr>
        <w:t>外事接待支出</w:t>
      </w:r>
      <w:r>
        <w:rPr>
          <w:rFonts w:ascii="仿宋" w:hAnsi="仿宋" w:eastAsia="仿宋"/>
          <w:b/>
          <w:sz w:val="32"/>
          <w:szCs w:val="32"/>
        </w:rPr>
        <w:t>0</w:t>
      </w:r>
      <w:r>
        <w:rPr>
          <w:rFonts w:hint="eastAsia" w:ascii="仿宋_GB2312" w:eastAsia="仿宋_GB2312"/>
          <w:sz w:val="32"/>
          <w:szCs w:val="32"/>
        </w:rPr>
        <w:t>万元。外事接待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39FE3EDD">
      <w:pPr>
        <w:spacing w:line="600" w:lineRule="exact"/>
        <w:ind w:firstLine="640"/>
        <w:outlineLvl w:val="1"/>
        <w:rPr>
          <w:rStyle w:val="31"/>
          <w:rFonts w:ascii="黑体" w:hAnsi="黑体" w:eastAsia="黑体"/>
        </w:rPr>
      </w:pPr>
      <w:r>
        <w:rPr>
          <w:rFonts w:hint="eastAsia" w:ascii="黑体" w:eastAsia="黑体"/>
          <w:sz w:val="32"/>
          <w:szCs w:val="32"/>
        </w:rPr>
        <w:t>八、</w:t>
      </w:r>
      <w:r>
        <w:rPr>
          <w:rStyle w:val="31"/>
          <w:rFonts w:hint="eastAsia" w:ascii="黑体" w:hAnsi="黑体" w:eastAsia="黑体"/>
          <w:b w:val="0"/>
        </w:rPr>
        <w:t>政府性基金预算支出决算情况说明</w:t>
      </w:r>
      <w:bookmarkEnd w:id="39"/>
      <w:bookmarkEnd w:id="40"/>
    </w:p>
    <w:p w14:paraId="3C5DB362">
      <w:pPr>
        <w:spacing w:line="600" w:lineRule="exact"/>
        <w:ind w:firstLine="64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年度政府性基金预算财政拨款支出</w:t>
      </w:r>
      <w:r>
        <w:rPr>
          <w:rFonts w:ascii="仿宋" w:hAnsi="仿宋" w:eastAsia="仿宋"/>
          <w:b/>
          <w:sz w:val="32"/>
          <w:szCs w:val="32"/>
        </w:rPr>
        <w:t>0</w:t>
      </w:r>
      <w:r>
        <w:rPr>
          <w:rFonts w:hint="eastAsia" w:ascii="仿宋_GB2312" w:eastAsia="仿宋_GB2312"/>
          <w:sz w:val="32"/>
          <w:szCs w:val="32"/>
        </w:rPr>
        <w:t>万元。</w:t>
      </w:r>
    </w:p>
    <w:p w14:paraId="3262DB34">
      <w:pPr>
        <w:numPr>
          <w:ilvl w:val="0"/>
          <w:numId w:val="3"/>
        </w:numPr>
        <w:spacing w:line="600" w:lineRule="exact"/>
        <w:ind w:firstLine="640"/>
        <w:outlineLvl w:val="1"/>
        <w:rPr>
          <w:rStyle w:val="31"/>
          <w:rFonts w:ascii="黑体" w:hAnsi="黑体" w:eastAsia="黑体"/>
          <w:b w:val="0"/>
        </w:rPr>
      </w:pPr>
      <w:bookmarkStart w:id="41" w:name="_Toc15377219"/>
      <w:bookmarkStart w:id="42" w:name="_Toc15396611"/>
      <w:r>
        <w:rPr>
          <w:rStyle w:val="31"/>
          <w:rFonts w:hint="eastAsia" w:ascii="黑体" w:hAnsi="黑体" w:eastAsia="黑体"/>
          <w:b w:val="0"/>
        </w:rPr>
        <w:t>国有资本经营预算支出决算情况说明</w:t>
      </w:r>
      <w:bookmarkEnd w:id="41"/>
      <w:bookmarkEnd w:id="42"/>
    </w:p>
    <w:p w14:paraId="1D0D4069">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年度国有资本经营预算财政拨款支出</w:t>
      </w:r>
      <w:r>
        <w:rPr>
          <w:rFonts w:ascii="仿宋" w:hAnsi="仿宋" w:eastAsia="仿宋"/>
          <w:b/>
          <w:sz w:val="32"/>
          <w:szCs w:val="32"/>
        </w:rPr>
        <w:t>0</w:t>
      </w:r>
      <w:r>
        <w:rPr>
          <w:rFonts w:hint="eastAsia" w:ascii="仿宋_GB2312" w:eastAsia="仿宋_GB2312"/>
          <w:sz w:val="32"/>
          <w:szCs w:val="32"/>
        </w:rPr>
        <w:t>万元。</w:t>
      </w:r>
    </w:p>
    <w:p w14:paraId="6B2F609D">
      <w:pPr>
        <w:numPr>
          <w:ilvl w:val="0"/>
          <w:numId w:val="3"/>
        </w:numPr>
        <w:spacing w:line="600" w:lineRule="exact"/>
        <w:ind w:firstLine="640"/>
        <w:outlineLvl w:val="1"/>
        <w:rPr>
          <w:rStyle w:val="31"/>
          <w:rFonts w:ascii="黑体" w:hAnsi="黑体" w:eastAsia="黑体"/>
          <w:b w:val="0"/>
        </w:rPr>
      </w:pPr>
      <w:bookmarkStart w:id="43" w:name="_Toc15396612"/>
      <w:bookmarkStart w:id="44" w:name="_Toc15377221"/>
      <w:r>
        <w:rPr>
          <w:rStyle w:val="31"/>
          <w:rFonts w:hint="eastAsia" w:ascii="黑体" w:hAnsi="黑体" w:eastAsia="黑体"/>
          <w:b w:val="0"/>
        </w:rPr>
        <w:t>其他重要事项的情况说明</w:t>
      </w:r>
      <w:bookmarkEnd w:id="43"/>
      <w:bookmarkEnd w:id="44"/>
    </w:p>
    <w:p w14:paraId="12702965">
      <w:pPr>
        <w:spacing w:line="600" w:lineRule="exact"/>
        <w:ind w:firstLine="643" w:firstLineChars="200"/>
        <w:outlineLvl w:val="2"/>
        <w:rPr>
          <w:rFonts w:ascii="仿宋" w:hAnsi="仿宋" w:eastAsia="仿宋"/>
          <w:sz w:val="32"/>
          <w:szCs w:val="32"/>
        </w:rPr>
      </w:pPr>
      <w:bookmarkStart w:id="45" w:name="_Toc15377222"/>
      <w:r>
        <w:rPr>
          <w:rFonts w:hint="eastAsia" w:ascii="仿宋" w:hAnsi="仿宋" w:eastAsia="仿宋"/>
          <w:b/>
          <w:sz w:val="32"/>
          <w:szCs w:val="32"/>
        </w:rPr>
        <w:t>（一）机关运行经费支出情况</w:t>
      </w:r>
      <w:bookmarkEnd w:id="45"/>
    </w:p>
    <w:p w14:paraId="5676858C">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ascii="仿宋_GB2312" w:eastAsia="仿宋_GB2312"/>
          <w:b/>
          <w:sz w:val="32"/>
          <w:szCs w:val="32"/>
        </w:rPr>
        <w:t>州机关事务管理局</w:t>
      </w:r>
      <w:r>
        <w:rPr>
          <w:rFonts w:hint="eastAsia" w:ascii="仿宋_GB2312" w:eastAsia="仿宋_GB2312"/>
          <w:sz w:val="32"/>
          <w:szCs w:val="32"/>
        </w:rPr>
        <w:t>机关运行经费支出</w:t>
      </w:r>
      <w:r>
        <w:rPr>
          <w:rFonts w:hint="eastAsia" w:ascii="仿宋_GB2312" w:hAnsi="仿宋_GB2312" w:eastAsia="仿宋_GB2312" w:cs="仿宋_GB2312"/>
          <w:sz w:val="32"/>
          <w:szCs w:val="32"/>
        </w:rPr>
        <w:t>238.79</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eastAsia="仿宋_GB2312" w:cs="仿宋_GB2312"/>
          <w:sz w:val="32"/>
          <w:szCs w:val="32"/>
        </w:rPr>
        <w:t>增加</w:t>
      </w:r>
      <w:r>
        <w:rPr>
          <w:rFonts w:hint="eastAsia" w:ascii="仿宋_GB2312" w:eastAsia="仿宋_GB2312"/>
          <w:sz w:val="32"/>
          <w:szCs w:val="32"/>
          <w:lang w:val="en-US" w:eastAsia="zh-CN"/>
        </w:rPr>
        <w:t>185.15</w:t>
      </w:r>
      <w:r>
        <w:rPr>
          <w:rFonts w:hint="eastAsia" w:ascii="仿宋_GB2312" w:eastAsia="仿宋_GB2312"/>
          <w:sz w:val="32"/>
          <w:szCs w:val="32"/>
        </w:rPr>
        <w:t>万元，</w:t>
      </w:r>
      <w:r>
        <w:rPr>
          <w:rFonts w:hint="eastAsia" w:eastAsia="仿宋_GB2312" w:cs="仿宋_GB2312"/>
          <w:sz w:val="32"/>
          <w:szCs w:val="32"/>
        </w:rPr>
        <w:t>增长</w:t>
      </w:r>
      <w:r>
        <w:rPr>
          <w:rFonts w:hint="eastAsia" w:ascii="仿宋_GB2312" w:eastAsia="仿宋_GB2312"/>
          <w:sz w:val="32"/>
          <w:szCs w:val="32"/>
          <w:lang w:val="en-US" w:eastAsia="zh-CN"/>
        </w:rPr>
        <w:t>345</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主要原因是</w:t>
      </w:r>
      <w:r>
        <w:rPr>
          <w:rFonts w:hint="eastAsia" w:ascii="仿宋_GB2312" w:eastAsia="仿宋_GB2312"/>
          <w:sz w:val="32"/>
          <w:szCs w:val="32"/>
          <w:lang w:val="en-US" w:eastAsia="zh-CN"/>
        </w:rPr>
        <w:t>包含</w:t>
      </w:r>
      <w:r>
        <w:rPr>
          <w:rFonts w:hint="eastAsia" w:ascii="仿宋_GB2312" w:hAnsi="仿宋_GB2312" w:eastAsia="仿宋_GB2312" w:cs="仿宋_GB2312"/>
          <w:sz w:val="32"/>
          <w:szCs w:val="32"/>
        </w:rPr>
        <w:t>维修（护）费</w:t>
      </w:r>
      <w:r>
        <w:rPr>
          <w:rFonts w:hint="eastAsia" w:ascii="仿宋_GB2312" w:hAnsi="仿宋_GB2312" w:eastAsia="仿宋_GB2312" w:cs="仿宋_GB2312"/>
          <w:sz w:val="32"/>
          <w:szCs w:val="32"/>
          <w:lang w:val="en-US" w:eastAsia="zh-CN"/>
        </w:rPr>
        <w:t>124.66万元是州级周转房维修费</w:t>
      </w:r>
      <w:r>
        <w:rPr>
          <w:rFonts w:hint="eastAsia" w:ascii="仿宋_GB2312" w:eastAsia="仿宋_GB2312"/>
          <w:sz w:val="32"/>
          <w:szCs w:val="32"/>
        </w:rPr>
        <w:t>。</w:t>
      </w:r>
    </w:p>
    <w:p w14:paraId="27B1907E">
      <w:pPr>
        <w:autoSpaceDE w:val="0"/>
        <w:autoSpaceDN w:val="0"/>
        <w:adjustRightInd w:val="0"/>
        <w:spacing w:line="600" w:lineRule="exact"/>
        <w:ind w:firstLine="643" w:firstLineChars="200"/>
        <w:jc w:val="left"/>
        <w:outlineLvl w:val="2"/>
        <w:rPr>
          <w:rFonts w:ascii="仿宋" w:hAnsi="仿宋" w:eastAsia="仿宋"/>
          <w:b/>
          <w:sz w:val="32"/>
          <w:szCs w:val="32"/>
        </w:rPr>
      </w:pPr>
      <w:bookmarkStart w:id="46" w:name="_Toc15377223"/>
      <w:r>
        <w:rPr>
          <w:rFonts w:hint="eastAsia" w:ascii="仿宋" w:hAnsi="仿宋" w:eastAsia="仿宋"/>
          <w:b/>
          <w:sz w:val="32"/>
          <w:szCs w:val="32"/>
        </w:rPr>
        <w:t>（二）政府采购支出情况</w:t>
      </w:r>
      <w:bookmarkEnd w:id="46"/>
    </w:p>
    <w:p w14:paraId="266460D1">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ascii="仿宋_GB2312" w:eastAsia="仿宋_GB2312"/>
          <w:b/>
          <w:sz w:val="32"/>
          <w:szCs w:val="32"/>
        </w:rPr>
        <w:t>州机关事务管理局</w:t>
      </w:r>
      <w:r>
        <w:rPr>
          <w:rFonts w:hint="eastAsia" w:ascii="仿宋_GB2312" w:eastAsia="仿宋_GB2312"/>
          <w:sz w:val="32"/>
          <w:szCs w:val="32"/>
        </w:rPr>
        <w:t>政府采购支出总额</w:t>
      </w:r>
      <w:r>
        <w:rPr>
          <w:rFonts w:ascii="仿宋" w:hAnsi="仿宋" w:eastAsia="仿宋"/>
          <w:b/>
          <w:sz w:val="32"/>
          <w:szCs w:val="32"/>
        </w:rPr>
        <w:t>0</w:t>
      </w:r>
      <w:r>
        <w:rPr>
          <w:rFonts w:hint="eastAsia" w:ascii="仿宋_GB2312" w:eastAsia="仿宋_GB2312"/>
          <w:sz w:val="32"/>
          <w:szCs w:val="32"/>
        </w:rPr>
        <w:t>万元，其中：政府采购货物支出</w:t>
      </w:r>
      <w:r>
        <w:rPr>
          <w:rFonts w:ascii="仿宋" w:hAnsi="仿宋" w:eastAsia="仿宋"/>
          <w:b/>
          <w:sz w:val="32"/>
          <w:szCs w:val="32"/>
        </w:rPr>
        <w:t>0</w:t>
      </w:r>
      <w:r>
        <w:rPr>
          <w:rFonts w:hint="eastAsia" w:ascii="仿宋_GB2312" w:eastAsia="仿宋_GB2312"/>
          <w:sz w:val="32"/>
          <w:szCs w:val="32"/>
        </w:rPr>
        <w:t>万元、政府采购工程支出</w:t>
      </w:r>
      <w:r>
        <w:rPr>
          <w:rFonts w:ascii="仿宋" w:hAnsi="仿宋" w:eastAsia="仿宋"/>
          <w:b/>
          <w:sz w:val="32"/>
          <w:szCs w:val="32"/>
        </w:rPr>
        <w:t>0</w:t>
      </w:r>
      <w:r>
        <w:rPr>
          <w:rFonts w:hint="eastAsia" w:ascii="仿宋_GB2312" w:eastAsia="仿宋_GB2312"/>
          <w:sz w:val="32"/>
          <w:szCs w:val="32"/>
        </w:rPr>
        <w:t>万元、政府采购服务支出</w:t>
      </w:r>
      <w:r>
        <w:rPr>
          <w:rFonts w:ascii="仿宋" w:hAnsi="仿宋" w:eastAsia="仿宋"/>
          <w:b/>
          <w:sz w:val="32"/>
          <w:szCs w:val="32"/>
        </w:rPr>
        <w:t>0</w:t>
      </w:r>
      <w:r>
        <w:rPr>
          <w:rFonts w:hint="eastAsia" w:ascii="仿宋_GB2312" w:eastAsia="仿宋_GB2312"/>
          <w:sz w:val="32"/>
          <w:szCs w:val="32"/>
        </w:rPr>
        <w:t>万元。</w:t>
      </w:r>
      <w:r>
        <w:rPr>
          <w:rFonts w:hint="eastAsia" w:ascii="仿宋_GB2312" w:eastAsia="仿宋_GB2312"/>
          <w:sz w:val="32"/>
          <w:szCs w:val="32"/>
          <w:lang w:val="en-US" w:eastAsia="zh-CN"/>
        </w:rPr>
        <w:t>不涉及政府采购相关业务</w:t>
      </w:r>
      <w:r>
        <w:rPr>
          <w:rFonts w:hint="eastAsia" w:ascii="仿宋_GB2312" w:eastAsia="仿宋_GB2312"/>
          <w:sz w:val="32"/>
          <w:szCs w:val="32"/>
        </w:rPr>
        <w:t>。授予中小企业合同金额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sz w:val="32"/>
          <w:szCs w:val="32"/>
        </w:rPr>
        <w:t>0%</w:t>
      </w:r>
      <w:r>
        <w:rPr>
          <w:rFonts w:hint="eastAsia" w:ascii="仿宋_GB2312" w:eastAsia="仿宋_GB2312"/>
          <w:sz w:val="32"/>
          <w:szCs w:val="32"/>
        </w:rPr>
        <w:t>，其中：授予小微企业合同金额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b/>
          <w:sz w:val="32"/>
          <w:szCs w:val="32"/>
        </w:rPr>
        <w:t>0</w:t>
      </w:r>
      <w:r>
        <w:rPr>
          <w:rFonts w:ascii="仿宋_GB2312" w:eastAsia="仿宋_GB2312"/>
          <w:sz w:val="32"/>
          <w:szCs w:val="32"/>
        </w:rPr>
        <w:t>%</w:t>
      </w:r>
      <w:r>
        <w:rPr>
          <w:rFonts w:hint="eastAsia" w:ascii="仿宋_GB2312" w:eastAsia="仿宋_GB2312"/>
          <w:sz w:val="32"/>
          <w:szCs w:val="32"/>
        </w:rPr>
        <w:t>。</w:t>
      </w:r>
    </w:p>
    <w:p w14:paraId="1D2C8A09">
      <w:pPr>
        <w:autoSpaceDE w:val="0"/>
        <w:autoSpaceDN w:val="0"/>
        <w:adjustRightInd w:val="0"/>
        <w:spacing w:line="600" w:lineRule="exact"/>
        <w:ind w:firstLine="643" w:firstLineChars="200"/>
        <w:jc w:val="left"/>
        <w:outlineLvl w:val="2"/>
        <w:rPr>
          <w:rFonts w:ascii="仿宋" w:hAnsi="仿宋" w:eastAsia="仿宋"/>
          <w:b/>
          <w:sz w:val="32"/>
          <w:szCs w:val="32"/>
        </w:rPr>
      </w:pPr>
      <w:bookmarkStart w:id="47" w:name="_Toc15377224"/>
      <w:r>
        <w:rPr>
          <w:rFonts w:hint="eastAsia" w:ascii="仿宋" w:hAnsi="仿宋" w:eastAsia="仿宋"/>
          <w:b/>
          <w:sz w:val="32"/>
          <w:szCs w:val="32"/>
        </w:rPr>
        <w:t>（三）国有资产占有使用情况</w:t>
      </w:r>
      <w:bookmarkEnd w:id="47"/>
    </w:p>
    <w:p w14:paraId="46742827">
      <w:pPr>
        <w:autoSpaceDE w:val="0"/>
        <w:autoSpaceDN w:val="0"/>
        <w:adjustRightInd w:val="0"/>
        <w:spacing w:line="600" w:lineRule="exact"/>
        <w:ind w:firstLine="640" w:firstLineChars="200"/>
        <w:jc w:val="left"/>
        <w:rPr>
          <w:rFonts w:ascii="仿宋" w:hAnsi="仿宋" w:eastAsia="仿宋"/>
          <w:b/>
          <w:sz w:val="32"/>
          <w:szCs w:val="32"/>
        </w:rPr>
      </w:pPr>
      <w:r>
        <w:rPr>
          <w:rFonts w:hint="eastAsia" w:ascii="仿宋_GB2312" w:hAnsi="仿宋_GB2312" w:eastAsia="仿宋_GB2312" w:cs="仿宋_GB2312"/>
          <w:sz w:val="32"/>
          <w:szCs w:val="32"/>
        </w:rPr>
        <w:t>截至2024年12月31日，阿坝藏族羌族自治州机关事务管理局（本级）共有车辆1辆，其中：主要负责人用车0辆、机要通信用车0辆、应急保障用车0辆、其他用车1辆</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万元以上设备（不含车辆）</w:t>
      </w:r>
      <w:r>
        <w:rPr>
          <w:rFonts w:ascii="仿宋_GB2312" w:eastAsia="仿宋_GB2312"/>
          <w:b w:val="0"/>
          <w:bCs/>
          <w:sz w:val="32"/>
          <w:szCs w:val="32"/>
        </w:rPr>
        <w:t>0</w:t>
      </w:r>
      <w:r>
        <w:rPr>
          <w:rFonts w:hint="eastAsia" w:ascii="仿宋_GB2312" w:eastAsia="仿宋_GB2312"/>
          <w:sz w:val="32"/>
          <w:szCs w:val="32"/>
        </w:rPr>
        <w:t>台（套）。</w:t>
      </w:r>
    </w:p>
    <w:p w14:paraId="5F3361AD">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lang w:eastAsia="zh-CN"/>
        </w:rPr>
        <w:t>（四）</w:t>
      </w:r>
      <w:r>
        <w:rPr>
          <w:rFonts w:hint="eastAsia" w:ascii="仿宋" w:hAnsi="仿宋" w:eastAsia="仿宋"/>
          <w:b/>
          <w:sz w:val="32"/>
          <w:szCs w:val="32"/>
        </w:rPr>
        <w:t>预算绩效管理情况</w:t>
      </w:r>
    </w:p>
    <w:p w14:paraId="125E1173">
      <w:pPr>
        <w:pStyle w:val="9"/>
        <w:spacing w:before="0" w:beforeLines="0" w:beforeAutospacing="0" w:after="0" w:afterAutospacing="0" w:line="560" w:lineRule="exact"/>
        <w:ind w:firstLine="640" w:firstLineChars="200"/>
        <w:rPr>
          <w:rFonts w:hint="eastAsia" w:eastAsia="仿宋_GB2312" w:cs="仿宋_GB2312"/>
          <w:sz w:val="32"/>
          <w:szCs w:val="32"/>
        </w:rPr>
      </w:pPr>
      <w:r>
        <w:rPr>
          <w:rFonts w:hint="eastAsia" w:ascii="仿宋_GB2312" w:eastAsia="仿宋_GB2312"/>
          <w:kern w:val="0"/>
          <w:sz w:val="32"/>
          <w:szCs w:val="32"/>
        </w:rPr>
        <w:t>根据预算绩效管理要求，本单位在202</w:t>
      </w:r>
      <w:r>
        <w:rPr>
          <w:rFonts w:hint="eastAsia"/>
          <w:kern w:val="0"/>
          <w:sz w:val="32"/>
          <w:szCs w:val="32"/>
          <w:lang w:val="en-US" w:eastAsia="zh-CN"/>
        </w:rPr>
        <w:t>4</w:t>
      </w:r>
      <w:r>
        <w:rPr>
          <w:rFonts w:hint="eastAsia" w:ascii="仿宋_GB2312" w:eastAsia="仿宋_GB2312"/>
          <w:kern w:val="0"/>
          <w:sz w:val="32"/>
          <w:szCs w:val="32"/>
        </w:rPr>
        <w:t>年度预算编制阶段，组织对阿坝州机关事务管理局阿坝州公务用车管理平台建设项目</w:t>
      </w:r>
      <w:r>
        <w:rPr>
          <w:rFonts w:hint="eastAsia"/>
          <w:kern w:val="0"/>
          <w:sz w:val="32"/>
          <w:szCs w:val="32"/>
          <w:lang w:eastAsia="zh-CN"/>
        </w:rPr>
        <w:t>；</w:t>
      </w:r>
      <w:r>
        <w:rPr>
          <w:rFonts w:hint="eastAsia" w:ascii="仿宋_GB2312" w:eastAsia="仿宋_GB2312"/>
          <w:kern w:val="0"/>
          <w:sz w:val="32"/>
          <w:szCs w:val="32"/>
        </w:rPr>
        <w:t>人才发展专项资金</w:t>
      </w:r>
      <w:r>
        <w:rPr>
          <w:rFonts w:hint="eastAsia"/>
          <w:kern w:val="0"/>
          <w:sz w:val="32"/>
          <w:szCs w:val="32"/>
          <w:lang w:eastAsia="zh-CN"/>
        </w:rPr>
        <w:t>；</w:t>
      </w:r>
      <w:r>
        <w:rPr>
          <w:rFonts w:hint="eastAsia"/>
          <w:kern w:val="0"/>
          <w:sz w:val="32"/>
          <w:szCs w:val="32"/>
          <w:lang w:val="en-US" w:eastAsia="zh-CN"/>
        </w:rPr>
        <w:t>州级机关周转房日常维修维护、改造等专项资金；项目、文书档案整理经费；</w:t>
      </w:r>
      <w:r>
        <w:rPr>
          <w:rFonts w:hint="eastAsia" w:ascii="仿宋_GB2312" w:eastAsia="仿宋_GB2312"/>
          <w:kern w:val="0"/>
          <w:sz w:val="32"/>
          <w:szCs w:val="32"/>
        </w:rPr>
        <w:t>临聘人员劳务费</w:t>
      </w:r>
      <w:r>
        <w:rPr>
          <w:rFonts w:hint="eastAsia"/>
          <w:kern w:val="0"/>
          <w:sz w:val="32"/>
          <w:szCs w:val="32"/>
          <w:lang w:eastAsia="zh-CN"/>
        </w:rPr>
        <w:t>；</w:t>
      </w:r>
      <w:r>
        <w:rPr>
          <w:rFonts w:hint="eastAsia" w:ascii="仿宋_GB2312" w:eastAsia="仿宋_GB2312"/>
          <w:kern w:val="0"/>
          <w:sz w:val="32"/>
          <w:szCs w:val="32"/>
        </w:rPr>
        <w:t>阿坝州党政机关办公用房系统、公务用车系统、能耗监测系统、单位官方网站、公众号等运行维护费等</w:t>
      </w:r>
      <w:r>
        <w:rPr>
          <w:rFonts w:hint="eastAsia"/>
          <w:kern w:val="0"/>
          <w:sz w:val="32"/>
          <w:szCs w:val="32"/>
          <w:lang w:val="en-US" w:eastAsia="zh-CN"/>
        </w:rPr>
        <w:t>13</w:t>
      </w:r>
      <w:r>
        <w:rPr>
          <w:rFonts w:hint="eastAsia" w:ascii="仿宋_GB2312" w:eastAsia="仿宋_GB2312"/>
          <w:kern w:val="0"/>
          <w:sz w:val="32"/>
          <w:szCs w:val="32"/>
        </w:rPr>
        <w:t>个项目</w:t>
      </w:r>
      <w:r>
        <w:rPr>
          <w:rFonts w:hint="eastAsia" w:eastAsia="仿宋_GB2312" w:cs="仿宋_GB2312"/>
          <w:sz w:val="32"/>
          <w:szCs w:val="32"/>
        </w:rPr>
        <w:t>编制了绩效目标，预算执行过程中，选取</w:t>
      </w:r>
      <w:r>
        <w:rPr>
          <w:rFonts w:hint="eastAsia" w:eastAsia="仿宋_GB2312" w:cs="仿宋_GB2312"/>
          <w:sz w:val="32"/>
          <w:szCs w:val="32"/>
          <w:lang w:val="en-US" w:eastAsia="zh-CN"/>
        </w:rPr>
        <w:t>13</w:t>
      </w:r>
      <w:r>
        <w:rPr>
          <w:rFonts w:hint="eastAsia" w:eastAsia="仿宋_GB2312" w:cs="仿宋_GB2312"/>
          <w:sz w:val="32"/>
          <w:szCs w:val="32"/>
        </w:rPr>
        <w:t>个项目开展绩效监控。</w:t>
      </w:r>
    </w:p>
    <w:p w14:paraId="720B7025">
      <w:pPr>
        <w:keepNext w:val="0"/>
        <w:keepLines w:val="0"/>
        <w:pageBreakBefore w:val="0"/>
        <w:widowControl w:val="0"/>
        <w:kinsoku/>
        <w:wordWrap/>
        <w:overflowPunct w:val="0"/>
        <w:topLinePunct w:val="0"/>
        <w:autoSpaceDE/>
        <w:autoSpaceDN/>
        <w:bidi w:val="0"/>
        <w:spacing w:line="564" w:lineRule="exact"/>
        <w:ind w:firstLine="640" w:firstLineChars="200"/>
        <w:contextualSpacing/>
        <w:jc w:val="both"/>
        <w:textAlignment w:val="auto"/>
        <w:outlineLvl w:val="9"/>
        <w:rPr>
          <w:rFonts w:hint="eastAsia" w:eastAsia="仿宋_GB2312" w:cs="仿宋_GB2312"/>
          <w:sz w:val="32"/>
          <w:szCs w:val="32"/>
        </w:rPr>
      </w:pPr>
      <w:r>
        <w:rPr>
          <w:rFonts w:hint="eastAsia" w:ascii="仿宋_GB2312" w:eastAsia="仿宋_GB2312"/>
          <w:kern w:val="0"/>
          <w:sz w:val="32"/>
          <w:szCs w:val="32"/>
        </w:rPr>
        <w:t>组织</w:t>
      </w:r>
      <w:r>
        <w:rPr>
          <w:rFonts w:hint="eastAsia" w:eastAsia="仿宋_GB2312" w:cs="仿宋_GB2312"/>
          <w:sz w:val="32"/>
          <w:szCs w:val="32"/>
        </w:rPr>
        <w:t>对2024年度一般公共预算全面开展绩效自评，形成</w:t>
      </w:r>
      <w:r>
        <w:rPr>
          <w:rFonts w:hint="eastAsia" w:ascii="Times New Roman" w:hAnsi="Times New Roman" w:eastAsia="仿宋_GB2312" w:cs="仿宋_GB2312"/>
          <w:sz w:val="32"/>
          <w:szCs w:val="32"/>
          <w:lang w:val="en-US" w:eastAsia="zh-CN"/>
        </w:rPr>
        <w:t>阿坝州机关事务管理局关于2024年</w:t>
      </w:r>
      <w:r>
        <w:rPr>
          <w:rFonts w:hint="eastAsia" w:ascii="Times New Roman" w:hAnsi="Times New Roman" w:eastAsia="仿宋_GB2312" w:cs="仿宋_GB2312"/>
          <w:sz w:val="32"/>
          <w:szCs w:val="32"/>
        </w:rPr>
        <w:t>部门</w:t>
      </w:r>
      <w:r>
        <w:rPr>
          <w:rFonts w:hint="eastAsia" w:ascii="Times New Roman" w:hAnsi="Times New Roman" w:eastAsia="仿宋_GB2312" w:cs="仿宋_GB2312"/>
          <w:sz w:val="32"/>
          <w:szCs w:val="32"/>
          <w:lang w:eastAsia="zh-CN"/>
        </w:rPr>
        <w:t>预算</w:t>
      </w:r>
      <w:r>
        <w:rPr>
          <w:rFonts w:hint="eastAsia" w:ascii="Times New Roman" w:hAnsi="Times New Roman" w:eastAsia="仿宋_GB2312" w:cs="仿宋_GB2312"/>
          <w:sz w:val="32"/>
          <w:szCs w:val="32"/>
        </w:rPr>
        <w:t>绩效</w:t>
      </w:r>
      <w:r>
        <w:rPr>
          <w:rFonts w:hint="eastAsia" w:ascii="Times New Roman" w:hAnsi="Times New Roman" w:eastAsia="仿宋_GB2312" w:cs="仿宋_GB2312"/>
          <w:sz w:val="32"/>
          <w:szCs w:val="32"/>
          <w:lang w:eastAsia="zh-CN"/>
        </w:rPr>
        <w:t>评价</w:t>
      </w:r>
      <w:r>
        <w:rPr>
          <w:rFonts w:hint="eastAsia" w:ascii="Times New Roman" w:hAnsi="Times New Roman" w:eastAsia="仿宋_GB2312" w:cs="仿宋_GB2312"/>
          <w:sz w:val="32"/>
          <w:szCs w:val="32"/>
          <w:lang w:val="en-US" w:eastAsia="zh-CN"/>
        </w:rPr>
        <w:t>的</w:t>
      </w:r>
      <w:r>
        <w:rPr>
          <w:rFonts w:hint="eastAsia" w:ascii="Times New Roman" w:hAnsi="Times New Roman" w:eastAsia="仿宋_GB2312" w:cs="仿宋_GB2312"/>
          <w:sz w:val="32"/>
          <w:szCs w:val="32"/>
        </w:rPr>
        <w:t>报告</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其中，部门整体（含部门预算项目）绩效自评得分为</w:t>
      </w:r>
      <w:r>
        <w:rPr>
          <w:rFonts w:hint="eastAsia" w:eastAsia="仿宋_GB2312" w:cs="仿宋_GB2312"/>
          <w:sz w:val="32"/>
          <w:szCs w:val="32"/>
          <w:lang w:val="en-US" w:eastAsia="zh-CN"/>
        </w:rPr>
        <w:t>92.13</w:t>
      </w:r>
      <w:r>
        <w:rPr>
          <w:rFonts w:hint="eastAsia" w:eastAsia="仿宋_GB2312" w:cs="仿宋_GB2312"/>
          <w:sz w:val="32"/>
          <w:szCs w:val="32"/>
        </w:rPr>
        <w:t>分，</w:t>
      </w:r>
      <w:r>
        <w:rPr>
          <w:rFonts w:hint="eastAsia" w:eastAsia="仿宋_GB2312" w:cs="仿宋_GB2312"/>
          <w:sz w:val="32"/>
          <w:szCs w:val="32"/>
          <w:lang w:eastAsia="zh-CN"/>
        </w:rPr>
        <w:t>部门绩效综述</w:t>
      </w:r>
      <w:r>
        <w:rPr>
          <w:rFonts w:hint="eastAsia" w:eastAsia="仿宋_GB2312" w:cs="仿宋_GB2312"/>
          <w:sz w:val="32"/>
          <w:szCs w:val="32"/>
        </w:rPr>
        <w:t>总体而言，预算项目基本达到了预期目标，我单位预算绩效评价总分为92.</w:t>
      </w:r>
      <w:r>
        <w:rPr>
          <w:rFonts w:hint="eastAsia" w:eastAsia="仿宋_GB2312" w:cs="仿宋_GB2312"/>
          <w:sz w:val="32"/>
          <w:szCs w:val="32"/>
          <w:lang w:val="en-US" w:eastAsia="zh-CN"/>
        </w:rPr>
        <w:t>13</w:t>
      </w:r>
      <w:r>
        <w:rPr>
          <w:rFonts w:hint="eastAsia" w:eastAsia="仿宋_GB2312" w:cs="仿宋_GB2312"/>
          <w:sz w:val="32"/>
          <w:szCs w:val="32"/>
        </w:rPr>
        <w:t>分，其中总体绩效方面5</w:t>
      </w:r>
      <w:r>
        <w:rPr>
          <w:rFonts w:hint="eastAsia" w:eastAsia="仿宋_GB2312" w:cs="仿宋_GB2312"/>
          <w:sz w:val="32"/>
          <w:szCs w:val="32"/>
          <w:lang w:val="en-US" w:eastAsia="zh-CN"/>
        </w:rPr>
        <w:t>7.13</w:t>
      </w:r>
      <w:r>
        <w:rPr>
          <w:rFonts w:hint="eastAsia" w:eastAsia="仿宋_GB2312" w:cs="仿宋_GB2312"/>
          <w:sz w:val="32"/>
          <w:szCs w:val="32"/>
        </w:rPr>
        <w:t>分，项目绩效方面</w:t>
      </w:r>
      <w:r>
        <w:rPr>
          <w:rFonts w:hint="eastAsia" w:eastAsia="仿宋_GB2312" w:cs="仿宋_GB2312"/>
          <w:sz w:val="32"/>
          <w:szCs w:val="32"/>
          <w:lang w:val="en-US" w:eastAsia="zh-CN"/>
        </w:rPr>
        <w:t>35</w:t>
      </w:r>
      <w:r>
        <w:rPr>
          <w:rFonts w:hint="eastAsia" w:eastAsia="仿宋_GB2312" w:cs="仿宋_GB2312"/>
          <w:sz w:val="32"/>
          <w:szCs w:val="32"/>
        </w:rPr>
        <w:t>分。</w:t>
      </w:r>
      <w:r>
        <w:rPr>
          <w:rFonts w:hint="eastAsia" w:eastAsia="仿宋_GB2312" w:cs="仿宋_GB2312"/>
          <w:sz w:val="32"/>
          <w:szCs w:val="32"/>
          <w:lang w:eastAsia="zh-CN"/>
        </w:rPr>
        <w:t>但</w:t>
      </w:r>
      <w:r>
        <w:rPr>
          <w:rFonts w:hint="eastAsia" w:eastAsia="仿宋_GB2312" w:cs="仿宋_GB2312"/>
          <w:sz w:val="32"/>
          <w:szCs w:val="32"/>
        </w:rPr>
        <w:t>通过此次绩效自评，发现我单位在预算编制方面，大体规划较为合理，但个别项目存在实施过程中存在执行进度较慢的问题。</w:t>
      </w:r>
      <w:r>
        <w:rPr>
          <w:rFonts w:hint="eastAsia" w:eastAsia="仿宋_GB2312" w:cs="仿宋_GB2312"/>
          <w:sz w:val="32"/>
          <w:szCs w:val="32"/>
          <w:lang w:eastAsia="zh-CN"/>
        </w:rPr>
        <w:t>下一部将继续改进</w:t>
      </w:r>
      <w:r>
        <w:rPr>
          <w:rFonts w:hint="eastAsia" w:eastAsia="仿宋_GB2312" w:cs="仿宋_GB2312"/>
          <w:b/>
          <w:bCs/>
          <w:sz w:val="32"/>
          <w:szCs w:val="32"/>
        </w:rPr>
        <w:t>一是</w:t>
      </w:r>
      <w:r>
        <w:rPr>
          <w:rFonts w:hint="eastAsia" w:eastAsia="仿宋_GB2312" w:cs="仿宋_GB2312"/>
          <w:sz w:val="32"/>
          <w:szCs w:val="32"/>
        </w:rPr>
        <w:t>加强预算编制的细化管理，充分考虑各种可能因素，提高预算的准确性和科学性。</w:t>
      </w:r>
      <w:r>
        <w:rPr>
          <w:rFonts w:hint="eastAsia" w:eastAsia="仿宋_GB2312" w:cs="仿宋_GB2312"/>
          <w:b/>
          <w:bCs/>
          <w:sz w:val="32"/>
          <w:szCs w:val="32"/>
        </w:rPr>
        <w:t>二是</w:t>
      </w:r>
      <w:r>
        <w:rPr>
          <w:rFonts w:hint="eastAsia" w:eastAsia="仿宋_GB2312" w:cs="仿宋_GB2312"/>
          <w:sz w:val="32"/>
          <w:szCs w:val="32"/>
        </w:rPr>
        <w:t>建立健全预算执行监控机制，实时跟踪资金使用情况，及时发现并解决支出较慢的问题，及时采取措施应对。</w:t>
      </w:r>
      <w:r>
        <w:rPr>
          <w:rFonts w:hint="eastAsia" w:eastAsia="仿宋_GB2312" w:cs="仿宋_GB2312"/>
          <w:b/>
          <w:bCs/>
          <w:sz w:val="32"/>
          <w:szCs w:val="32"/>
        </w:rPr>
        <w:t>三是</w:t>
      </w:r>
      <w:r>
        <w:rPr>
          <w:rFonts w:hint="eastAsia" w:eastAsia="仿宋_GB2312" w:cs="仿宋_GB2312"/>
          <w:sz w:val="32"/>
          <w:szCs w:val="32"/>
        </w:rPr>
        <w:t>加强培训和宣传，提高相关人员的预算绩效管理意识和能力，确保预算绩效管理工作有效推进。绩效自评报告详见附件。</w:t>
      </w:r>
    </w:p>
    <w:p w14:paraId="5BC54047">
      <w:pPr>
        <w:pStyle w:val="9"/>
        <w:spacing w:before="0" w:beforeLines="0" w:beforeAutospacing="0" w:after="0" w:afterAutospacing="0" w:line="56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w:t>
      </w:r>
    </w:p>
    <w:p w14:paraId="4262DE14">
      <w:pPr>
        <w:spacing w:line="600" w:lineRule="exact"/>
        <w:ind w:firstLine="643" w:firstLineChars="200"/>
        <w:rPr>
          <w:rFonts w:ascii="仿宋_GB2312" w:eastAsia="仿宋_GB2312"/>
          <w:sz w:val="32"/>
          <w:szCs w:val="32"/>
        </w:rPr>
      </w:pPr>
      <w:r>
        <w:rPr>
          <w:rFonts w:hint="eastAsia" w:ascii="仿宋_GB2312" w:eastAsia="仿宋_GB2312" w:cs="Times New Roman"/>
          <w:b/>
          <w:kern w:val="2"/>
          <w:sz w:val="32"/>
          <w:szCs w:val="32"/>
          <w:lang w:bidi="ar-SA"/>
        </w:rPr>
        <w:br w:type="page"/>
      </w:r>
    </w:p>
    <w:p w14:paraId="3CFCDE2E">
      <w:pPr>
        <w:numPr>
          <w:ilvl w:val="0"/>
          <w:numId w:val="4"/>
        </w:numPr>
        <w:spacing w:line="600" w:lineRule="exact"/>
        <w:ind w:firstLine="660" w:firstLineChars="150"/>
        <w:jc w:val="center"/>
        <w:outlineLvl w:val="0"/>
        <w:rPr>
          <w:rStyle w:val="30"/>
          <w:rFonts w:ascii="黑体" w:hAnsi="黑体" w:eastAsia="黑体"/>
          <w:b w:val="0"/>
        </w:rPr>
      </w:pPr>
      <w:bookmarkStart w:id="48" w:name="_Toc15377225"/>
      <w:bookmarkStart w:id="49" w:name="_Toc15396613"/>
      <w:r>
        <w:rPr>
          <w:rFonts w:hint="eastAsia" w:ascii="黑体" w:hAnsi="黑体" w:eastAsia="黑体"/>
          <w:sz w:val="44"/>
          <w:szCs w:val="44"/>
        </w:rPr>
        <w:t>名</w:t>
      </w:r>
      <w:r>
        <w:rPr>
          <w:rStyle w:val="30"/>
          <w:rFonts w:hint="eastAsia" w:ascii="黑体" w:hAnsi="黑体" w:eastAsia="黑体"/>
          <w:b w:val="0"/>
        </w:rPr>
        <w:t>词解释</w:t>
      </w:r>
      <w:bookmarkEnd w:id="48"/>
      <w:bookmarkEnd w:id="49"/>
    </w:p>
    <w:p w14:paraId="675836E9">
      <w:pPr>
        <w:spacing w:line="600" w:lineRule="exact"/>
        <w:jc w:val="left"/>
        <w:rPr>
          <w:rFonts w:ascii="宋体"/>
          <w:b/>
          <w:sz w:val="44"/>
          <w:szCs w:val="44"/>
        </w:rPr>
      </w:pPr>
    </w:p>
    <w:p w14:paraId="58630797">
      <w:pPr>
        <w:pStyle w:val="28"/>
        <w:spacing w:line="560" w:lineRule="exact"/>
        <w:ind w:firstLine="640" w:firstLineChars="200"/>
        <w:rPr>
          <w:rFonts w:ascii="仿宋_GB2312" w:eastAsia="仿宋_GB2312"/>
          <w:color w:val="auto"/>
          <w:sz w:val="32"/>
          <w:szCs w:val="32"/>
        </w:rPr>
      </w:pPr>
      <w:bookmarkStart w:id="50" w:name="_Toc15377226"/>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6D7C5CA9">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14:paraId="52253426">
      <w:pPr>
        <w:pStyle w:val="28"/>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14:paraId="591941BC">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r>
        <w:rPr>
          <w:rFonts w:ascii="仿宋_GB2312" w:eastAsia="仿宋_GB2312"/>
          <w:color w:val="auto"/>
          <w:sz w:val="32"/>
          <w:szCs w:val="32"/>
        </w:rPr>
        <w:t xml:space="preserve"> </w:t>
      </w:r>
    </w:p>
    <w:p w14:paraId="29853E93">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hAnsi="华文中宋" w:eastAsia="仿宋_GB2312"/>
          <w:sz w:val="32"/>
          <w:szCs w:val="32"/>
        </w:rPr>
        <w:t>使用非财政拨款结余（含专用结余）</w:t>
      </w:r>
      <w:r>
        <w:rPr>
          <w:rFonts w:hint="eastAsia" w:ascii="仿宋_GB2312" w:eastAsia="仿宋_GB2312"/>
          <w:color w:val="auto"/>
          <w:sz w:val="32"/>
          <w:szCs w:val="32"/>
        </w:rPr>
        <w:t>：指事业单位使用以前年度积累的非财政拨款结余弥补当年收支差额的金额。</w:t>
      </w:r>
      <w:r>
        <w:rPr>
          <w:rFonts w:ascii="仿宋_GB2312" w:eastAsia="仿宋_GB2312"/>
          <w:color w:val="auto"/>
          <w:sz w:val="32"/>
          <w:szCs w:val="32"/>
        </w:rPr>
        <w:t xml:space="preserve"> </w:t>
      </w:r>
    </w:p>
    <w:p w14:paraId="08A58CD0">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14:paraId="3EDCB729">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14:paraId="06398C02">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14:paraId="77128087">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9</w:t>
      </w:r>
      <w:r>
        <w:rPr>
          <w:rFonts w:hint="eastAsia" w:ascii="仿宋_GB2312" w:eastAsia="仿宋_GB2312" w:cs="仿宋_GB2312"/>
          <w:color w:val="000000"/>
          <w:sz w:val="32"/>
          <w:szCs w:val="32"/>
          <w:lang w:val="en-US" w:eastAsia="zh-CN"/>
        </w:rPr>
        <w:t>.</w:t>
      </w:r>
      <w:r>
        <w:rPr>
          <w:rFonts w:hint="eastAsia" w:ascii="仿宋_GB2312" w:eastAsia="仿宋_GB2312" w:cs="仿宋_GB2312"/>
          <w:color w:val="000000"/>
          <w:sz w:val="32"/>
          <w:szCs w:val="32"/>
        </w:rPr>
        <w:t>一般公共服务</w:t>
      </w:r>
      <w:r>
        <w:rPr>
          <w:rFonts w:ascii="仿宋_GB2312" w:eastAsia="仿宋_GB2312" w:cs="仿宋_GB2312"/>
          <w:color w:val="000000"/>
          <w:sz w:val="32"/>
          <w:szCs w:val="32"/>
        </w:rPr>
        <w:t>201</w:t>
      </w:r>
      <w:r>
        <w:rPr>
          <w:rFonts w:hint="eastAsia" w:ascii="仿宋_GB2312" w:eastAsia="仿宋_GB2312" w:cs="仿宋_GB2312"/>
          <w:color w:val="000000"/>
          <w:sz w:val="32"/>
          <w:szCs w:val="32"/>
        </w:rPr>
        <w:t>（类）</w:t>
      </w:r>
      <w:r>
        <w:rPr>
          <w:rFonts w:ascii="仿宋_GB2312" w:eastAsia="仿宋_GB2312" w:cs="仿宋_GB2312"/>
          <w:color w:val="000000"/>
          <w:sz w:val="32"/>
          <w:szCs w:val="32"/>
        </w:rPr>
        <w:t>31</w:t>
      </w:r>
      <w:r>
        <w:rPr>
          <w:rFonts w:hint="eastAsia" w:ascii="仿宋_GB2312" w:eastAsia="仿宋_GB2312" w:cs="仿宋_GB2312"/>
          <w:color w:val="000000"/>
          <w:sz w:val="32"/>
          <w:szCs w:val="32"/>
        </w:rPr>
        <w:t>（款）</w:t>
      </w:r>
      <w:r>
        <w:rPr>
          <w:rFonts w:ascii="仿宋_GB2312" w:eastAsia="仿宋_GB2312" w:cs="仿宋_GB2312"/>
          <w:color w:val="000000"/>
          <w:sz w:val="32"/>
          <w:szCs w:val="32"/>
        </w:rPr>
        <w:t>01</w:t>
      </w:r>
      <w:r>
        <w:rPr>
          <w:rFonts w:hint="eastAsia" w:ascii="仿宋_GB2312" w:eastAsia="仿宋_GB2312" w:cs="仿宋_GB2312"/>
          <w:color w:val="000000"/>
          <w:sz w:val="32"/>
          <w:szCs w:val="32"/>
        </w:rPr>
        <w:t>（项）：指反映行政单位的基本支出。</w:t>
      </w:r>
    </w:p>
    <w:p w14:paraId="3CFF23F9">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10</w:t>
      </w:r>
      <w:r>
        <w:rPr>
          <w:rFonts w:hint="eastAsia" w:ascii="仿宋_GB2312" w:eastAsia="仿宋_GB2312" w:cs="仿宋_GB2312"/>
          <w:color w:val="000000"/>
          <w:sz w:val="32"/>
          <w:szCs w:val="32"/>
          <w:lang w:val="en-US" w:eastAsia="zh-CN"/>
        </w:rPr>
        <w:t>.</w:t>
      </w:r>
      <w:r>
        <w:rPr>
          <w:rFonts w:hint="eastAsia" w:ascii="仿宋_GB2312" w:eastAsia="仿宋_GB2312" w:cs="仿宋_GB2312"/>
          <w:color w:val="000000"/>
          <w:sz w:val="32"/>
          <w:szCs w:val="32"/>
        </w:rPr>
        <w:t>一般公共服务</w:t>
      </w:r>
      <w:r>
        <w:rPr>
          <w:rFonts w:ascii="仿宋_GB2312" w:eastAsia="仿宋_GB2312" w:cs="仿宋_GB2312"/>
          <w:color w:val="000000"/>
          <w:sz w:val="32"/>
          <w:szCs w:val="32"/>
        </w:rPr>
        <w:t>201</w:t>
      </w:r>
      <w:r>
        <w:rPr>
          <w:rFonts w:hint="eastAsia" w:ascii="仿宋_GB2312" w:eastAsia="仿宋_GB2312" w:cs="仿宋_GB2312"/>
          <w:color w:val="000000"/>
          <w:sz w:val="32"/>
          <w:szCs w:val="32"/>
        </w:rPr>
        <w:t>（类）</w:t>
      </w:r>
      <w:r>
        <w:rPr>
          <w:rFonts w:ascii="仿宋_GB2312" w:eastAsia="仿宋_GB2312" w:cs="仿宋_GB2312"/>
          <w:color w:val="000000"/>
          <w:sz w:val="32"/>
          <w:szCs w:val="32"/>
        </w:rPr>
        <w:t>31</w:t>
      </w:r>
      <w:r>
        <w:rPr>
          <w:rFonts w:hint="eastAsia" w:ascii="仿宋_GB2312" w:eastAsia="仿宋_GB2312" w:cs="仿宋_GB2312"/>
          <w:color w:val="000000"/>
          <w:sz w:val="32"/>
          <w:szCs w:val="32"/>
        </w:rPr>
        <w:t>（款）</w:t>
      </w:r>
      <w:r>
        <w:rPr>
          <w:rFonts w:ascii="仿宋_GB2312" w:eastAsia="仿宋_GB2312" w:cs="仿宋_GB2312"/>
          <w:color w:val="000000"/>
          <w:sz w:val="32"/>
          <w:szCs w:val="32"/>
        </w:rPr>
        <w:t>02</w:t>
      </w:r>
      <w:r>
        <w:rPr>
          <w:rFonts w:hint="eastAsia" w:ascii="仿宋_GB2312" w:eastAsia="仿宋_GB2312" w:cs="仿宋_GB2312"/>
          <w:color w:val="000000"/>
          <w:sz w:val="32"/>
          <w:szCs w:val="32"/>
        </w:rPr>
        <w:t>（项）：反映行政单位未单独设置项级科目的其他项目支出。</w:t>
      </w:r>
    </w:p>
    <w:p w14:paraId="64F5FCF4">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11</w:t>
      </w:r>
      <w:r>
        <w:rPr>
          <w:rFonts w:hint="eastAsia" w:ascii="仿宋_GB2312" w:eastAsia="仿宋_GB2312" w:cs="仿宋_GB2312"/>
          <w:color w:val="000000"/>
          <w:sz w:val="32"/>
          <w:szCs w:val="32"/>
          <w:lang w:val="en-US" w:eastAsia="zh-CN"/>
        </w:rPr>
        <w:t>.</w:t>
      </w:r>
      <w:r>
        <w:rPr>
          <w:rFonts w:hint="eastAsia" w:ascii="仿宋_GB2312" w:eastAsia="仿宋_GB2312" w:cs="仿宋_GB2312"/>
          <w:color w:val="000000"/>
          <w:sz w:val="32"/>
          <w:szCs w:val="32"/>
        </w:rPr>
        <w:t>一般公共服务</w:t>
      </w:r>
      <w:r>
        <w:rPr>
          <w:rFonts w:ascii="仿宋_GB2312" w:eastAsia="仿宋_GB2312" w:cs="仿宋_GB2312"/>
          <w:color w:val="000000"/>
          <w:sz w:val="32"/>
          <w:szCs w:val="32"/>
        </w:rPr>
        <w:t>201</w:t>
      </w:r>
      <w:r>
        <w:rPr>
          <w:rFonts w:hint="eastAsia" w:ascii="仿宋_GB2312" w:eastAsia="仿宋_GB2312" w:cs="仿宋_GB2312"/>
          <w:color w:val="000000"/>
          <w:sz w:val="32"/>
          <w:szCs w:val="32"/>
        </w:rPr>
        <w:t>（类）</w:t>
      </w:r>
      <w:r>
        <w:rPr>
          <w:rFonts w:ascii="仿宋_GB2312" w:eastAsia="仿宋_GB2312" w:cs="仿宋_GB2312"/>
          <w:color w:val="000000"/>
          <w:sz w:val="32"/>
          <w:szCs w:val="32"/>
        </w:rPr>
        <w:t>31</w:t>
      </w:r>
      <w:r>
        <w:rPr>
          <w:rFonts w:hint="eastAsia" w:ascii="仿宋_GB2312" w:eastAsia="仿宋_GB2312" w:cs="仿宋_GB2312"/>
          <w:color w:val="000000"/>
          <w:sz w:val="32"/>
          <w:szCs w:val="32"/>
        </w:rPr>
        <w:t>（款）</w:t>
      </w:r>
      <w:r>
        <w:rPr>
          <w:rFonts w:ascii="仿宋_GB2312" w:eastAsia="仿宋_GB2312" w:cs="仿宋_GB2312"/>
          <w:color w:val="000000"/>
          <w:sz w:val="32"/>
          <w:szCs w:val="32"/>
        </w:rPr>
        <w:t>03</w:t>
      </w:r>
      <w:r>
        <w:rPr>
          <w:rFonts w:hint="eastAsia" w:ascii="仿宋_GB2312" w:eastAsia="仿宋_GB2312" w:cs="仿宋_GB2312"/>
          <w:color w:val="000000"/>
          <w:sz w:val="32"/>
          <w:szCs w:val="32"/>
        </w:rPr>
        <w:t>（项）</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反映行政单位提供后勤服务的各类后勤服务方面的支出。</w:t>
      </w:r>
    </w:p>
    <w:p w14:paraId="1707F902">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12</w:t>
      </w:r>
      <w:r>
        <w:rPr>
          <w:rFonts w:hint="eastAsia" w:ascii="仿宋_GB2312" w:eastAsia="仿宋_GB2312" w:cs="仿宋_GB2312"/>
          <w:color w:val="000000"/>
          <w:sz w:val="32"/>
          <w:szCs w:val="32"/>
          <w:lang w:val="en-US" w:eastAsia="zh-CN"/>
        </w:rPr>
        <w:t>.</w:t>
      </w:r>
      <w:r>
        <w:rPr>
          <w:rFonts w:hint="eastAsia" w:ascii="仿宋_GB2312" w:eastAsia="仿宋_GB2312" w:cs="仿宋_GB2312"/>
          <w:color w:val="000000"/>
          <w:sz w:val="32"/>
          <w:szCs w:val="32"/>
        </w:rPr>
        <w:t>一般公共服务</w:t>
      </w:r>
      <w:r>
        <w:rPr>
          <w:rFonts w:ascii="仿宋_GB2312" w:eastAsia="仿宋_GB2312" w:cs="仿宋_GB2312"/>
          <w:color w:val="000000"/>
          <w:sz w:val="32"/>
          <w:szCs w:val="32"/>
        </w:rPr>
        <w:t>201</w:t>
      </w:r>
      <w:r>
        <w:rPr>
          <w:rFonts w:hint="eastAsia" w:ascii="仿宋_GB2312" w:eastAsia="仿宋_GB2312" w:cs="仿宋_GB2312"/>
          <w:color w:val="000000"/>
          <w:sz w:val="32"/>
          <w:szCs w:val="32"/>
        </w:rPr>
        <w:t>（类）</w:t>
      </w:r>
      <w:r>
        <w:rPr>
          <w:rFonts w:ascii="仿宋_GB2312" w:eastAsia="仿宋_GB2312" w:cs="仿宋_GB2312"/>
          <w:color w:val="000000"/>
          <w:sz w:val="32"/>
          <w:szCs w:val="32"/>
        </w:rPr>
        <w:t>31</w:t>
      </w:r>
      <w:r>
        <w:rPr>
          <w:rFonts w:hint="eastAsia" w:ascii="仿宋_GB2312" w:eastAsia="仿宋_GB2312" w:cs="仿宋_GB2312"/>
          <w:color w:val="000000"/>
          <w:sz w:val="32"/>
          <w:szCs w:val="32"/>
        </w:rPr>
        <w:t>（款）</w:t>
      </w:r>
      <w:r>
        <w:rPr>
          <w:rFonts w:ascii="仿宋_GB2312" w:eastAsia="仿宋_GB2312" w:cs="仿宋_GB2312"/>
          <w:color w:val="000000"/>
          <w:sz w:val="32"/>
          <w:szCs w:val="32"/>
        </w:rPr>
        <w:t>05</w:t>
      </w:r>
      <w:r>
        <w:rPr>
          <w:rFonts w:hint="eastAsia" w:ascii="仿宋_GB2312" w:eastAsia="仿宋_GB2312" w:cs="仿宋_GB2312"/>
          <w:color w:val="000000"/>
          <w:sz w:val="32"/>
          <w:szCs w:val="32"/>
        </w:rPr>
        <w:t>（项）</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反映党委办公室及相关机构开展专项业务活动所发生的支出。</w:t>
      </w:r>
    </w:p>
    <w:p w14:paraId="0D1ADDA0">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13</w:t>
      </w:r>
      <w:r>
        <w:rPr>
          <w:rFonts w:hint="eastAsia" w:ascii="仿宋_GB2312" w:eastAsia="仿宋_GB2312" w:cs="仿宋_GB2312"/>
          <w:color w:val="000000"/>
          <w:sz w:val="32"/>
          <w:szCs w:val="32"/>
          <w:lang w:val="en-US" w:eastAsia="zh-CN"/>
        </w:rPr>
        <w:t>.</w:t>
      </w:r>
      <w:r>
        <w:rPr>
          <w:rFonts w:hint="eastAsia" w:ascii="仿宋_GB2312" w:eastAsia="仿宋_GB2312" w:cs="仿宋_GB2312"/>
          <w:color w:val="000000"/>
          <w:sz w:val="32"/>
          <w:szCs w:val="32"/>
        </w:rPr>
        <w:t>一般公共服务</w:t>
      </w:r>
      <w:r>
        <w:rPr>
          <w:rFonts w:ascii="仿宋_GB2312" w:eastAsia="仿宋_GB2312" w:cs="仿宋_GB2312"/>
          <w:color w:val="000000"/>
          <w:sz w:val="32"/>
          <w:szCs w:val="32"/>
        </w:rPr>
        <w:t>201</w:t>
      </w:r>
      <w:r>
        <w:rPr>
          <w:rFonts w:hint="eastAsia" w:ascii="仿宋_GB2312" w:eastAsia="仿宋_GB2312" w:cs="仿宋_GB2312"/>
          <w:color w:val="000000"/>
          <w:sz w:val="32"/>
          <w:szCs w:val="32"/>
        </w:rPr>
        <w:t>（类）</w:t>
      </w:r>
      <w:r>
        <w:rPr>
          <w:rFonts w:ascii="仿宋_GB2312" w:eastAsia="仿宋_GB2312" w:cs="仿宋_GB2312"/>
          <w:color w:val="000000"/>
          <w:sz w:val="32"/>
          <w:szCs w:val="32"/>
        </w:rPr>
        <w:t>31</w:t>
      </w:r>
      <w:r>
        <w:rPr>
          <w:rFonts w:hint="eastAsia" w:ascii="仿宋_GB2312" w:eastAsia="仿宋_GB2312" w:cs="仿宋_GB2312"/>
          <w:color w:val="000000"/>
          <w:sz w:val="32"/>
          <w:szCs w:val="32"/>
        </w:rPr>
        <w:t>（款）99（项）</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反映其他用于党委办公室及相关机构事务支出。</w:t>
      </w:r>
    </w:p>
    <w:p w14:paraId="0DE70734">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14</w:t>
      </w:r>
      <w:r>
        <w:rPr>
          <w:rFonts w:hint="eastAsia" w:ascii="仿宋_GB2312" w:eastAsia="仿宋_GB2312" w:cs="仿宋_GB2312"/>
          <w:color w:val="000000"/>
          <w:sz w:val="32"/>
          <w:szCs w:val="32"/>
          <w:lang w:val="en-US" w:eastAsia="zh-CN"/>
        </w:rPr>
        <w:t>.</w:t>
      </w:r>
      <w:r>
        <w:rPr>
          <w:rFonts w:hint="eastAsia" w:ascii="仿宋_GB2312" w:eastAsia="仿宋_GB2312" w:cs="仿宋_GB2312"/>
          <w:color w:val="000000"/>
          <w:sz w:val="32"/>
          <w:szCs w:val="32"/>
        </w:rPr>
        <w:t>社会保障和就业</w:t>
      </w:r>
      <w:r>
        <w:rPr>
          <w:rFonts w:ascii="仿宋_GB2312" w:eastAsia="仿宋_GB2312" w:cs="仿宋_GB2312"/>
          <w:color w:val="000000"/>
          <w:sz w:val="32"/>
          <w:szCs w:val="32"/>
        </w:rPr>
        <w:t>208</w:t>
      </w:r>
      <w:r>
        <w:rPr>
          <w:rFonts w:hint="eastAsia" w:ascii="仿宋_GB2312" w:eastAsia="仿宋_GB2312" w:cs="仿宋_GB2312"/>
          <w:color w:val="000000"/>
          <w:sz w:val="32"/>
          <w:szCs w:val="32"/>
        </w:rPr>
        <w:t>（类）</w:t>
      </w:r>
      <w:r>
        <w:rPr>
          <w:rFonts w:ascii="仿宋_GB2312" w:eastAsia="仿宋_GB2312" w:cs="仿宋_GB2312"/>
          <w:color w:val="000000"/>
          <w:sz w:val="32"/>
          <w:szCs w:val="32"/>
        </w:rPr>
        <w:t>05</w:t>
      </w:r>
      <w:r>
        <w:rPr>
          <w:rFonts w:hint="eastAsia" w:ascii="仿宋_GB2312" w:eastAsia="仿宋_GB2312" w:cs="仿宋_GB2312"/>
          <w:color w:val="000000"/>
          <w:sz w:val="32"/>
          <w:szCs w:val="32"/>
        </w:rPr>
        <w:t>（款）</w:t>
      </w:r>
      <w:r>
        <w:rPr>
          <w:rFonts w:ascii="仿宋_GB2312" w:eastAsia="仿宋_GB2312" w:cs="仿宋_GB2312"/>
          <w:color w:val="000000"/>
          <w:sz w:val="32"/>
          <w:szCs w:val="32"/>
        </w:rPr>
        <w:t>05</w:t>
      </w:r>
      <w:r>
        <w:rPr>
          <w:rFonts w:hint="eastAsia" w:ascii="仿宋_GB2312" w:eastAsia="仿宋_GB2312" w:cs="仿宋_GB2312"/>
          <w:color w:val="000000"/>
          <w:sz w:val="32"/>
          <w:szCs w:val="32"/>
        </w:rPr>
        <w:t>（项）：反映机关事业单位实施养老保险制度由单位缴纳的基本养老保险费支出。</w:t>
      </w:r>
    </w:p>
    <w:p w14:paraId="373A6499">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15</w:t>
      </w:r>
      <w:r>
        <w:rPr>
          <w:rFonts w:hint="eastAsia" w:ascii="仿宋_GB2312" w:eastAsia="仿宋_GB2312" w:cs="仿宋_GB2312"/>
          <w:color w:val="000000"/>
          <w:sz w:val="32"/>
          <w:szCs w:val="32"/>
          <w:lang w:val="en-US" w:eastAsia="zh-CN"/>
        </w:rPr>
        <w:t>.</w:t>
      </w:r>
      <w:r>
        <w:rPr>
          <w:rFonts w:hint="eastAsia" w:ascii="仿宋_GB2312" w:eastAsia="仿宋_GB2312" w:cs="仿宋_GB2312"/>
          <w:color w:val="000000"/>
          <w:sz w:val="32"/>
          <w:szCs w:val="32"/>
        </w:rPr>
        <w:t>社会保障和就业</w:t>
      </w:r>
      <w:r>
        <w:rPr>
          <w:rFonts w:ascii="仿宋_GB2312" w:eastAsia="仿宋_GB2312" w:cs="仿宋_GB2312"/>
          <w:color w:val="000000"/>
          <w:sz w:val="32"/>
          <w:szCs w:val="32"/>
        </w:rPr>
        <w:t>208</w:t>
      </w:r>
      <w:r>
        <w:rPr>
          <w:rFonts w:hint="eastAsia" w:ascii="仿宋_GB2312" w:eastAsia="仿宋_GB2312" w:cs="仿宋_GB2312"/>
          <w:color w:val="000000"/>
          <w:sz w:val="32"/>
          <w:szCs w:val="32"/>
        </w:rPr>
        <w:t>（类）</w:t>
      </w:r>
      <w:r>
        <w:rPr>
          <w:rFonts w:ascii="仿宋_GB2312" w:eastAsia="仿宋_GB2312" w:cs="仿宋_GB2312"/>
          <w:color w:val="000000"/>
          <w:sz w:val="32"/>
          <w:szCs w:val="32"/>
        </w:rPr>
        <w:t>05</w:t>
      </w:r>
      <w:r>
        <w:rPr>
          <w:rFonts w:hint="eastAsia" w:ascii="仿宋_GB2312" w:eastAsia="仿宋_GB2312" w:cs="仿宋_GB2312"/>
          <w:color w:val="000000"/>
          <w:sz w:val="32"/>
          <w:szCs w:val="32"/>
        </w:rPr>
        <w:t>（款）</w:t>
      </w:r>
      <w:r>
        <w:rPr>
          <w:rFonts w:ascii="仿宋_GB2312" w:eastAsia="仿宋_GB2312" w:cs="仿宋_GB2312"/>
          <w:color w:val="000000"/>
          <w:sz w:val="32"/>
          <w:szCs w:val="32"/>
        </w:rPr>
        <w:t>06</w:t>
      </w:r>
      <w:r>
        <w:rPr>
          <w:rFonts w:hint="eastAsia" w:ascii="仿宋_GB2312" w:eastAsia="仿宋_GB2312" w:cs="仿宋_GB2312"/>
          <w:color w:val="000000"/>
          <w:sz w:val="32"/>
          <w:szCs w:val="32"/>
        </w:rPr>
        <w:t>（项）</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反映机关事业单位实施养老保险制度由单位实际缴纳的职业年金支出。</w:t>
      </w:r>
    </w:p>
    <w:p w14:paraId="53B5D5AD">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16</w:t>
      </w:r>
      <w:r>
        <w:rPr>
          <w:rFonts w:hint="eastAsia" w:ascii="仿宋_GB2312" w:eastAsia="仿宋_GB2312" w:cs="仿宋_GB2312"/>
          <w:color w:val="000000"/>
          <w:sz w:val="32"/>
          <w:szCs w:val="32"/>
          <w:lang w:val="en-US" w:eastAsia="zh-CN"/>
        </w:rPr>
        <w:t>.</w:t>
      </w:r>
      <w:r>
        <w:rPr>
          <w:rFonts w:hint="eastAsia" w:ascii="仿宋_GB2312" w:eastAsia="仿宋_GB2312" w:cs="仿宋_GB2312"/>
          <w:color w:val="000000"/>
          <w:sz w:val="32"/>
          <w:szCs w:val="32"/>
        </w:rPr>
        <w:t>医疗卫生与计划生育</w:t>
      </w:r>
      <w:r>
        <w:rPr>
          <w:rFonts w:ascii="仿宋_GB2312" w:eastAsia="仿宋_GB2312" w:cs="仿宋_GB2312"/>
          <w:color w:val="000000"/>
          <w:sz w:val="32"/>
          <w:szCs w:val="32"/>
        </w:rPr>
        <w:t>210</w:t>
      </w:r>
      <w:r>
        <w:rPr>
          <w:rFonts w:hint="eastAsia" w:ascii="仿宋_GB2312" w:eastAsia="仿宋_GB2312" w:cs="仿宋_GB2312"/>
          <w:color w:val="000000"/>
          <w:sz w:val="32"/>
          <w:szCs w:val="32"/>
        </w:rPr>
        <w:t>（类）</w:t>
      </w:r>
      <w:r>
        <w:rPr>
          <w:rFonts w:ascii="仿宋_GB2312" w:eastAsia="仿宋_GB2312" w:cs="仿宋_GB2312"/>
          <w:color w:val="000000"/>
          <w:sz w:val="32"/>
          <w:szCs w:val="32"/>
        </w:rPr>
        <w:t>11</w:t>
      </w:r>
      <w:r>
        <w:rPr>
          <w:rFonts w:hint="eastAsia" w:ascii="仿宋_GB2312" w:eastAsia="仿宋_GB2312" w:cs="仿宋_GB2312"/>
          <w:color w:val="000000"/>
          <w:sz w:val="32"/>
          <w:szCs w:val="32"/>
        </w:rPr>
        <w:t>（款）</w:t>
      </w:r>
      <w:r>
        <w:rPr>
          <w:rFonts w:ascii="仿宋_GB2312" w:eastAsia="仿宋_GB2312" w:cs="仿宋_GB2312"/>
          <w:color w:val="000000"/>
          <w:sz w:val="32"/>
          <w:szCs w:val="32"/>
        </w:rPr>
        <w:t>01</w:t>
      </w:r>
      <w:r>
        <w:rPr>
          <w:rFonts w:hint="eastAsia" w:ascii="仿宋_GB2312" w:eastAsia="仿宋_GB2312" w:cs="仿宋_GB2312"/>
          <w:color w:val="000000"/>
          <w:sz w:val="32"/>
          <w:szCs w:val="32"/>
        </w:rPr>
        <w:t>（项）</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反映财政部门集中安排的行政单位基本医疗保险缴费经费，未参加医疗保险的行政单位的公费医疗经费，按国家规定享受离休人员待遇的医疗经费。</w:t>
      </w:r>
    </w:p>
    <w:p w14:paraId="0B02E4D8">
      <w:pPr>
        <w:spacing w:line="576" w:lineRule="exact"/>
        <w:ind w:firstLine="640" w:firstLineChars="200"/>
        <w:rPr>
          <w:rFonts w:ascii="仿宋_GB2312" w:eastAsia="仿宋_GB2312"/>
          <w:b/>
          <w:bCs/>
          <w:color w:val="000000"/>
          <w:sz w:val="32"/>
          <w:szCs w:val="32"/>
        </w:rPr>
      </w:pPr>
      <w:r>
        <w:rPr>
          <w:rFonts w:hint="eastAsia" w:ascii="仿宋_GB2312" w:eastAsia="仿宋_GB2312" w:cs="仿宋_GB2312"/>
          <w:color w:val="000000"/>
          <w:sz w:val="32"/>
          <w:szCs w:val="32"/>
        </w:rPr>
        <w:t>17</w:t>
      </w:r>
      <w:r>
        <w:rPr>
          <w:rFonts w:hint="eastAsia" w:ascii="仿宋_GB2312" w:eastAsia="仿宋_GB2312" w:cs="仿宋_GB2312"/>
          <w:color w:val="000000"/>
          <w:sz w:val="32"/>
          <w:szCs w:val="32"/>
          <w:lang w:val="en-US" w:eastAsia="zh-CN"/>
        </w:rPr>
        <w:t>.</w:t>
      </w:r>
      <w:r>
        <w:rPr>
          <w:rFonts w:hint="eastAsia" w:ascii="仿宋_GB2312" w:eastAsia="仿宋_GB2312" w:cs="仿宋_GB2312"/>
          <w:color w:val="000000"/>
          <w:sz w:val="32"/>
          <w:szCs w:val="32"/>
        </w:rPr>
        <w:t>医疗卫生与计划生育</w:t>
      </w:r>
      <w:r>
        <w:rPr>
          <w:rFonts w:ascii="仿宋_GB2312" w:eastAsia="仿宋_GB2312" w:cs="仿宋_GB2312"/>
          <w:color w:val="000000"/>
          <w:sz w:val="32"/>
          <w:szCs w:val="32"/>
        </w:rPr>
        <w:t>210</w:t>
      </w:r>
      <w:r>
        <w:rPr>
          <w:rFonts w:hint="eastAsia" w:ascii="仿宋_GB2312" w:eastAsia="仿宋_GB2312" w:cs="仿宋_GB2312"/>
          <w:color w:val="000000"/>
          <w:sz w:val="32"/>
          <w:szCs w:val="32"/>
        </w:rPr>
        <w:t>（类）</w:t>
      </w:r>
      <w:r>
        <w:rPr>
          <w:rFonts w:ascii="仿宋_GB2312" w:eastAsia="仿宋_GB2312" w:cs="仿宋_GB2312"/>
          <w:color w:val="000000"/>
          <w:sz w:val="32"/>
          <w:szCs w:val="32"/>
        </w:rPr>
        <w:t>11</w:t>
      </w:r>
      <w:r>
        <w:rPr>
          <w:rFonts w:hint="eastAsia" w:ascii="仿宋_GB2312" w:eastAsia="仿宋_GB2312" w:cs="仿宋_GB2312"/>
          <w:color w:val="000000"/>
          <w:sz w:val="32"/>
          <w:szCs w:val="32"/>
        </w:rPr>
        <w:t>（款</w:t>
      </w:r>
      <w:r>
        <w:rPr>
          <w:rFonts w:ascii="仿宋_GB2312" w:eastAsia="仿宋_GB2312" w:cs="仿宋_GB2312"/>
          <w:color w:val="000000"/>
          <w:sz w:val="32"/>
          <w:szCs w:val="32"/>
        </w:rPr>
        <w:t>03</w:t>
      </w:r>
      <w:r>
        <w:rPr>
          <w:rFonts w:hint="eastAsia" w:ascii="仿宋_GB2312" w:eastAsia="仿宋_GB2312" w:cs="仿宋_GB2312"/>
          <w:color w:val="000000"/>
          <w:sz w:val="32"/>
          <w:szCs w:val="32"/>
        </w:rPr>
        <w:t>（项）</w:t>
      </w:r>
      <w:r>
        <w:rPr>
          <w:rFonts w:hint="eastAsia" w:ascii="仿宋_GB2312" w:eastAsia="仿宋_GB2312" w:cs="仿宋_GB2312"/>
          <w:b/>
          <w:bCs/>
          <w:color w:val="000000"/>
          <w:sz w:val="32"/>
          <w:szCs w:val="32"/>
        </w:rPr>
        <w:t>：</w:t>
      </w:r>
      <w:r>
        <w:rPr>
          <w:rFonts w:hint="eastAsia" w:ascii="仿宋_GB2312" w:eastAsia="仿宋_GB2312" w:cs="仿宋_GB2312"/>
          <w:color w:val="000000"/>
          <w:sz w:val="32"/>
          <w:szCs w:val="32"/>
        </w:rPr>
        <w:t>指财政部门集中安排的公务员医疗补助经费</w:t>
      </w:r>
      <w:r>
        <w:rPr>
          <w:rFonts w:hint="eastAsia" w:ascii="仿宋_GB2312" w:eastAsia="仿宋_GB2312" w:cs="仿宋_GB2312"/>
          <w:b/>
          <w:bCs/>
          <w:color w:val="000000"/>
          <w:sz w:val="32"/>
          <w:szCs w:val="32"/>
        </w:rPr>
        <w:t>。</w:t>
      </w:r>
    </w:p>
    <w:p w14:paraId="1FE6428B">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18</w:t>
      </w:r>
      <w:r>
        <w:rPr>
          <w:rFonts w:hint="eastAsia" w:ascii="仿宋_GB2312" w:eastAsia="仿宋_GB2312" w:cs="仿宋_GB2312"/>
          <w:color w:val="000000"/>
          <w:sz w:val="32"/>
          <w:szCs w:val="32"/>
          <w:lang w:val="en-US" w:eastAsia="zh-CN"/>
        </w:rPr>
        <w:t>.</w:t>
      </w:r>
      <w:r>
        <w:rPr>
          <w:rFonts w:hint="eastAsia" w:ascii="仿宋_GB2312" w:eastAsia="仿宋_GB2312" w:cs="仿宋_GB2312"/>
          <w:color w:val="000000"/>
          <w:sz w:val="32"/>
          <w:szCs w:val="32"/>
        </w:rPr>
        <w:t>住房保障支出</w:t>
      </w:r>
      <w:r>
        <w:rPr>
          <w:rFonts w:ascii="仿宋_GB2312" w:eastAsia="仿宋_GB2312" w:cs="仿宋_GB2312"/>
          <w:color w:val="000000"/>
          <w:sz w:val="32"/>
          <w:szCs w:val="32"/>
        </w:rPr>
        <w:t>221</w:t>
      </w:r>
      <w:r>
        <w:rPr>
          <w:rFonts w:hint="eastAsia" w:ascii="仿宋_GB2312" w:eastAsia="仿宋_GB2312" w:cs="仿宋_GB2312"/>
          <w:color w:val="000000"/>
          <w:sz w:val="32"/>
          <w:szCs w:val="32"/>
        </w:rPr>
        <w:t>（类）</w:t>
      </w:r>
      <w:r>
        <w:rPr>
          <w:rFonts w:ascii="仿宋_GB2312" w:eastAsia="仿宋_GB2312" w:cs="仿宋_GB2312"/>
          <w:color w:val="000000"/>
          <w:sz w:val="32"/>
          <w:szCs w:val="32"/>
        </w:rPr>
        <w:t>02</w:t>
      </w:r>
      <w:r>
        <w:rPr>
          <w:rFonts w:hint="eastAsia" w:ascii="仿宋_GB2312" w:eastAsia="仿宋_GB2312" w:cs="仿宋_GB2312"/>
          <w:color w:val="000000"/>
          <w:sz w:val="32"/>
          <w:szCs w:val="32"/>
        </w:rPr>
        <w:t>（款）</w:t>
      </w:r>
      <w:r>
        <w:rPr>
          <w:rFonts w:ascii="仿宋_GB2312" w:eastAsia="仿宋_GB2312" w:cs="仿宋_GB2312"/>
          <w:color w:val="000000"/>
          <w:sz w:val="32"/>
          <w:szCs w:val="32"/>
        </w:rPr>
        <w:t>01</w:t>
      </w:r>
      <w:r>
        <w:rPr>
          <w:rFonts w:hint="eastAsia" w:ascii="仿宋_GB2312" w:eastAsia="仿宋_GB2312" w:cs="仿宋_GB2312"/>
          <w:color w:val="000000"/>
          <w:sz w:val="32"/>
          <w:szCs w:val="32"/>
        </w:rPr>
        <w:t>（项）</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反映行政事业单位按人力资源和社会保障部、财政部规定的基本工资和津贴补贴以及规定比例为职工缴纳的住房公积金。</w:t>
      </w:r>
    </w:p>
    <w:p w14:paraId="52AF7926">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19</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基本支出：指为保障机构正常运转、完成日常工作任务而发生的人员支出和公用支出。</w:t>
      </w:r>
    </w:p>
    <w:p w14:paraId="40CA9B02">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49DAA2B6">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21</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经营支出：指事业单位在专业业务活动及其辅助活动之外开展非独立核算经营活动发生的支出。</w:t>
      </w:r>
    </w:p>
    <w:p w14:paraId="5F9A180C">
      <w:pPr>
        <w:pStyle w:val="28"/>
        <w:spacing w:line="576" w:lineRule="exact"/>
        <w:ind w:firstLine="640" w:firstLineChars="200"/>
        <w:rPr>
          <w:rFonts w:ascii="仿宋_GB2312" w:eastAsia="仿宋_GB2312"/>
          <w:sz w:val="32"/>
          <w:szCs w:val="32"/>
        </w:rPr>
      </w:pPr>
      <w:r>
        <w:rPr>
          <w:rFonts w:hint="eastAsia" w:ascii="仿宋_GB2312" w:eastAsia="仿宋_GB2312"/>
          <w:sz w:val="32"/>
          <w:szCs w:val="32"/>
        </w:rPr>
        <w:t>22</w:t>
      </w:r>
      <w:r>
        <w:rPr>
          <w:rFonts w:hint="eastAsia" w:ascii="仿宋_GB2312" w:eastAsia="仿宋_GB2312"/>
          <w:sz w:val="32"/>
          <w:szCs w:val="32"/>
          <w:lang w:val="en-US" w:eastAsia="zh-CN"/>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1BE915D">
      <w:pPr>
        <w:spacing w:line="600" w:lineRule="exact"/>
        <w:ind w:firstLine="640"/>
        <w:rPr>
          <w:rFonts w:ascii="仿宋" w:eastAsia="仿宋"/>
          <w:b/>
          <w:sz w:val="32"/>
          <w:szCs w:val="32"/>
        </w:rPr>
      </w:pPr>
      <w:r>
        <w:rPr>
          <w:rFonts w:hint="eastAsia" w:ascii="仿宋_GB2312" w:eastAsia="仿宋_GB2312"/>
          <w:sz w:val="32"/>
          <w:szCs w:val="32"/>
        </w:rPr>
        <w:t>23</w:t>
      </w:r>
      <w:r>
        <w:rPr>
          <w:rFonts w:hint="eastAsia" w:ascii="仿宋_GB2312" w:eastAsia="仿宋_GB2312"/>
          <w:sz w:val="32"/>
          <w:szCs w:val="32"/>
          <w:lang w:val="en-US" w:eastAsia="zh-CN"/>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7A2E5BB">
      <w:pPr>
        <w:ind w:firstLine="640" w:firstLineChars="200"/>
        <w:rPr>
          <w:rFonts w:ascii="仿宋_GB2312" w:eastAsia="仿宋_GB2312"/>
          <w:sz w:val="32"/>
          <w:szCs w:val="32"/>
        </w:rPr>
      </w:pPr>
      <w:r>
        <w:rPr>
          <w:rFonts w:ascii="仿宋_GB2312" w:eastAsia="仿宋_GB2312"/>
          <w:sz w:val="32"/>
          <w:szCs w:val="32"/>
        </w:rPr>
        <w:t>27</w:t>
      </w:r>
      <w:r>
        <w:rPr>
          <w:rFonts w:hint="eastAsia" w:ascii="仿宋_GB2312" w:eastAsia="仿宋_GB2312"/>
          <w:sz w:val="32"/>
          <w:szCs w:val="32"/>
          <w:lang w:val="en-US" w:eastAsia="zh-CN"/>
        </w:rPr>
        <w:t>.</w:t>
      </w:r>
      <w:r>
        <w:rPr>
          <w:rFonts w:hint="eastAsia" w:ascii="仿宋_GB2312" w:eastAsia="仿宋_GB2312"/>
          <w:sz w:val="32"/>
          <w:szCs w:val="32"/>
        </w:rPr>
        <w:t>基本支出：指为保障机构正常运转、完成日常工作任务而发生的人员支出和公用支出。</w:t>
      </w:r>
    </w:p>
    <w:p w14:paraId="57A3E4B6">
      <w:pPr>
        <w:ind w:firstLine="640" w:firstLineChars="200"/>
        <w:rPr>
          <w:rFonts w:ascii="仿宋_GB2312" w:eastAsia="仿宋_GB2312"/>
          <w:sz w:val="32"/>
          <w:szCs w:val="32"/>
        </w:rPr>
      </w:pPr>
      <w:r>
        <w:rPr>
          <w:rFonts w:ascii="仿宋_GB2312" w:eastAsia="仿宋_GB2312"/>
          <w:sz w:val="32"/>
          <w:szCs w:val="32"/>
        </w:rPr>
        <w:t>28.</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668A964E">
      <w:pPr>
        <w:ind w:firstLine="640" w:firstLineChars="200"/>
        <w:rPr>
          <w:rFonts w:ascii="仿宋_GB2312" w:eastAsia="仿宋_GB2312"/>
          <w:sz w:val="32"/>
          <w:szCs w:val="32"/>
        </w:rPr>
      </w:pPr>
      <w:r>
        <w:rPr>
          <w:rFonts w:ascii="仿宋_GB2312" w:eastAsia="仿宋_GB2312"/>
          <w:sz w:val="32"/>
          <w:szCs w:val="32"/>
        </w:rPr>
        <w:t>29.</w:t>
      </w:r>
      <w:r>
        <w:rPr>
          <w:rFonts w:hint="eastAsia" w:ascii="仿宋_GB2312" w:eastAsia="仿宋_GB2312"/>
          <w:sz w:val="32"/>
          <w:szCs w:val="32"/>
        </w:rPr>
        <w:t>经营支出：指事业单位在专业业务活动及其辅助活动之外开展非独立核算经营活动发生的支出。</w:t>
      </w:r>
    </w:p>
    <w:p w14:paraId="427D29FB">
      <w:pPr>
        <w:spacing w:line="600" w:lineRule="exact"/>
        <w:jc w:val="center"/>
        <w:outlineLvl w:val="0"/>
        <w:rPr>
          <w:rStyle w:val="30"/>
          <w:rFonts w:hint="eastAsia" w:ascii="黑体" w:hAnsi="黑体" w:eastAsia="黑体"/>
          <w:b w:val="0"/>
        </w:rPr>
      </w:pPr>
      <w:r>
        <w:rPr>
          <w:rFonts w:ascii="宋体"/>
          <w:b/>
          <w:sz w:val="44"/>
          <w:szCs w:val="44"/>
        </w:rPr>
        <w:br w:type="page"/>
      </w:r>
      <w:bookmarkStart w:id="51" w:name="_Toc15396614"/>
      <w:r>
        <w:rPr>
          <w:rFonts w:hint="eastAsia" w:ascii="黑体" w:hAnsi="黑体" w:eastAsia="黑体"/>
          <w:sz w:val="44"/>
          <w:szCs w:val="44"/>
        </w:rPr>
        <w:t>第</w:t>
      </w:r>
      <w:r>
        <w:rPr>
          <w:rStyle w:val="30"/>
          <w:rFonts w:hint="eastAsia" w:ascii="黑体" w:hAnsi="黑体" w:eastAsia="黑体"/>
          <w:b w:val="0"/>
        </w:rPr>
        <w:t>四部分 附件</w:t>
      </w:r>
      <w:bookmarkEnd w:id="51"/>
    </w:p>
    <w:p w14:paraId="1E68F111">
      <w:pPr>
        <w:keepNext w:val="0"/>
        <w:keepLines w:val="0"/>
        <w:pageBreakBefore w:val="0"/>
        <w:widowControl w:val="0"/>
        <w:kinsoku/>
        <w:wordWrap/>
        <w:overflowPunct w:val="0"/>
        <w:topLinePunct w:val="0"/>
        <w:autoSpaceDE/>
        <w:autoSpaceDN/>
        <w:bidi w:val="0"/>
        <w:spacing w:line="564" w:lineRule="exact"/>
        <w:ind w:firstLine="2200" w:firstLineChars="500"/>
        <w:contextualSpacing/>
        <w:jc w:val="both"/>
        <w:textAlignment w:val="auto"/>
        <w:outlineLvl w:val="9"/>
        <w:rPr>
          <w:rFonts w:hint="eastAsia" w:ascii="方正小标宋_GBK" w:hAnsi="方正小标宋_GBK" w:eastAsia="方正小标宋_GBK" w:cs="方正小标宋_GBK"/>
          <w:b w:val="0"/>
          <w:bCs/>
          <w:sz w:val="44"/>
          <w:szCs w:val="44"/>
          <w:highlight w:val="none"/>
          <w:shd w:val="clear" w:color="auto" w:fill="FFFFFF"/>
          <w:lang w:val="en-US" w:eastAsia="zh-CN"/>
        </w:rPr>
      </w:pPr>
      <w:bookmarkStart w:id="52" w:name="_Toc15396618"/>
    </w:p>
    <w:p w14:paraId="4DEC7180">
      <w:pPr>
        <w:keepNext w:val="0"/>
        <w:keepLines w:val="0"/>
        <w:pageBreakBefore w:val="0"/>
        <w:widowControl w:val="0"/>
        <w:kinsoku/>
        <w:wordWrap/>
        <w:overflowPunct w:val="0"/>
        <w:topLinePunct w:val="0"/>
        <w:autoSpaceDE/>
        <w:autoSpaceDN/>
        <w:bidi w:val="0"/>
        <w:spacing w:line="564" w:lineRule="exact"/>
        <w:ind w:firstLine="2200" w:firstLineChars="500"/>
        <w:contextualSpacing/>
        <w:jc w:val="both"/>
        <w:textAlignment w:val="auto"/>
        <w:outlineLvl w:val="9"/>
        <w:rPr>
          <w:rFonts w:hint="eastAsia" w:ascii="方正小标宋_GBK" w:hAnsi="方正小标宋_GBK" w:eastAsia="方正小标宋_GBK" w:cs="方正小标宋_GBK"/>
          <w:b w:val="0"/>
          <w:bCs/>
          <w:sz w:val="44"/>
          <w:szCs w:val="44"/>
          <w:highlight w:val="none"/>
          <w:shd w:val="clear" w:color="auto" w:fill="FFFFFF"/>
          <w:lang w:val="en-US" w:eastAsia="zh-CN"/>
        </w:rPr>
      </w:pPr>
      <w:r>
        <w:rPr>
          <w:rFonts w:hint="eastAsia" w:ascii="方正小标宋_GBK" w:hAnsi="方正小标宋_GBK" w:eastAsia="方正小标宋_GBK" w:cs="方正小标宋_GBK"/>
          <w:b w:val="0"/>
          <w:bCs/>
          <w:sz w:val="44"/>
          <w:szCs w:val="44"/>
          <w:highlight w:val="none"/>
          <w:shd w:val="clear" w:color="auto" w:fill="FFFFFF"/>
          <w:lang w:val="en-US" w:eastAsia="zh-CN"/>
        </w:rPr>
        <w:t>阿坝州机关事务管理局</w:t>
      </w:r>
    </w:p>
    <w:p w14:paraId="281A50A7">
      <w:pPr>
        <w:keepNext w:val="0"/>
        <w:keepLines w:val="0"/>
        <w:pageBreakBefore w:val="0"/>
        <w:widowControl w:val="0"/>
        <w:kinsoku/>
        <w:wordWrap/>
        <w:overflowPunct w:val="0"/>
        <w:topLinePunct w:val="0"/>
        <w:autoSpaceDE/>
        <w:autoSpaceDN/>
        <w:bidi w:val="0"/>
        <w:spacing w:line="564" w:lineRule="exact"/>
        <w:ind w:firstLine="880" w:firstLineChars="200"/>
        <w:contextualSpacing/>
        <w:jc w:val="both"/>
        <w:textAlignment w:val="auto"/>
        <w:outlineLvl w:val="9"/>
        <w:rPr>
          <w:rFonts w:hint="eastAsia" w:ascii="方正小标宋_GBK" w:hAnsi="方正小标宋_GBK" w:eastAsia="方正小标宋_GBK" w:cs="方正小标宋_GBK"/>
          <w:b w:val="0"/>
          <w:bCs/>
          <w:sz w:val="44"/>
          <w:szCs w:val="44"/>
          <w:highlight w:val="none"/>
          <w:shd w:val="clear" w:color="auto" w:fill="FFFFFF"/>
        </w:rPr>
      </w:pPr>
      <w:r>
        <w:rPr>
          <w:rFonts w:hint="eastAsia" w:ascii="方正小标宋_GBK" w:hAnsi="方正小标宋_GBK" w:eastAsia="方正小标宋_GBK" w:cs="方正小标宋_GBK"/>
          <w:b w:val="0"/>
          <w:bCs/>
          <w:sz w:val="44"/>
          <w:szCs w:val="44"/>
          <w:highlight w:val="none"/>
          <w:shd w:val="clear" w:color="auto" w:fill="FFFFFF"/>
          <w:lang w:val="en-US" w:eastAsia="zh-CN"/>
        </w:rPr>
        <w:t>关于2</w:t>
      </w:r>
      <w:r>
        <w:rPr>
          <w:rFonts w:hint="eastAsia" w:ascii="方正小标宋_GBK" w:hAnsi="方正小标宋_GBK" w:eastAsia="方正小标宋_GBK" w:cs="方正小标宋_GBK"/>
          <w:b w:val="0"/>
          <w:bCs/>
          <w:color w:val="000000" w:themeColor="text1"/>
          <w:sz w:val="44"/>
          <w:szCs w:val="44"/>
          <w:highlight w:val="none"/>
          <w:shd w:val="clear" w:color="auto" w:fill="FFFFFF"/>
          <w:lang w:val="en-US" w:eastAsia="zh-CN"/>
          <w14:textFill>
            <w14:solidFill>
              <w14:schemeClr w14:val="tx1"/>
            </w14:solidFill>
          </w14:textFill>
        </w:rPr>
        <w:t>024</w:t>
      </w:r>
      <w:r>
        <w:rPr>
          <w:rFonts w:hint="eastAsia" w:ascii="方正小标宋_GBK" w:hAnsi="方正小标宋_GBK" w:eastAsia="方正小标宋_GBK" w:cs="方正小标宋_GBK"/>
          <w:b w:val="0"/>
          <w:bCs/>
          <w:sz w:val="44"/>
          <w:szCs w:val="44"/>
          <w:highlight w:val="none"/>
          <w:shd w:val="clear" w:color="auto" w:fill="FFFFFF"/>
          <w:lang w:val="en-US" w:eastAsia="zh-CN"/>
        </w:rPr>
        <w:t>年</w:t>
      </w:r>
      <w:r>
        <w:rPr>
          <w:rFonts w:hint="eastAsia" w:ascii="方正小标宋_GBK" w:hAnsi="方正小标宋_GBK" w:eastAsia="方正小标宋_GBK" w:cs="方正小标宋_GBK"/>
          <w:b w:val="0"/>
          <w:bCs/>
          <w:sz w:val="44"/>
          <w:szCs w:val="44"/>
          <w:highlight w:val="none"/>
          <w:shd w:val="clear" w:color="auto" w:fill="FFFFFF"/>
        </w:rPr>
        <w:t>部门</w:t>
      </w:r>
      <w:r>
        <w:rPr>
          <w:rFonts w:hint="eastAsia" w:ascii="方正小标宋_GBK" w:hAnsi="方正小标宋_GBK" w:eastAsia="方正小标宋_GBK" w:cs="方正小标宋_GBK"/>
          <w:b w:val="0"/>
          <w:bCs/>
          <w:sz w:val="44"/>
          <w:szCs w:val="44"/>
          <w:highlight w:val="none"/>
          <w:shd w:val="clear" w:color="auto" w:fill="FFFFFF"/>
          <w:lang w:eastAsia="zh-CN"/>
        </w:rPr>
        <w:t>预算</w:t>
      </w:r>
      <w:r>
        <w:rPr>
          <w:rFonts w:hint="eastAsia" w:ascii="方正小标宋_GBK" w:hAnsi="方正小标宋_GBK" w:eastAsia="方正小标宋_GBK" w:cs="方正小标宋_GBK"/>
          <w:b w:val="0"/>
          <w:bCs/>
          <w:sz w:val="44"/>
          <w:szCs w:val="44"/>
          <w:highlight w:val="none"/>
          <w:shd w:val="clear" w:color="auto" w:fill="FFFFFF"/>
        </w:rPr>
        <w:t>绩效</w:t>
      </w:r>
      <w:r>
        <w:rPr>
          <w:rFonts w:hint="eastAsia" w:ascii="方正小标宋_GBK" w:hAnsi="方正小标宋_GBK" w:eastAsia="方正小标宋_GBK" w:cs="方正小标宋_GBK"/>
          <w:b w:val="0"/>
          <w:bCs/>
          <w:sz w:val="44"/>
          <w:szCs w:val="44"/>
          <w:highlight w:val="none"/>
          <w:shd w:val="clear" w:color="auto" w:fill="FFFFFF"/>
          <w:lang w:eastAsia="zh-CN"/>
        </w:rPr>
        <w:t>评价</w:t>
      </w:r>
      <w:r>
        <w:rPr>
          <w:rFonts w:hint="eastAsia" w:ascii="方正小标宋_GBK" w:hAnsi="方正小标宋_GBK" w:eastAsia="方正小标宋_GBK" w:cs="方正小标宋_GBK"/>
          <w:b w:val="0"/>
          <w:bCs/>
          <w:sz w:val="44"/>
          <w:szCs w:val="44"/>
          <w:highlight w:val="none"/>
          <w:shd w:val="clear" w:color="auto" w:fill="FFFFFF"/>
          <w:lang w:val="en-US" w:eastAsia="zh-CN"/>
        </w:rPr>
        <w:t>的</w:t>
      </w:r>
      <w:r>
        <w:rPr>
          <w:rFonts w:hint="eastAsia" w:ascii="方正小标宋_GBK" w:hAnsi="方正小标宋_GBK" w:eastAsia="方正小标宋_GBK" w:cs="方正小标宋_GBK"/>
          <w:b w:val="0"/>
          <w:bCs/>
          <w:sz w:val="44"/>
          <w:szCs w:val="44"/>
          <w:highlight w:val="none"/>
          <w:shd w:val="clear" w:color="auto" w:fill="FFFFFF"/>
        </w:rPr>
        <w:t>报告</w:t>
      </w:r>
    </w:p>
    <w:p w14:paraId="3F980D0A">
      <w:pPr>
        <w:keepNext w:val="0"/>
        <w:keepLines w:val="0"/>
        <w:pageBreakBefore w:val="0"/>
        <w:widowControl/>
        <w:kinsoku/>
        <w:wordWrap/>
        <w:overflowPunct/>
        <w:topLinePunct w:val="0"/>
        <w:autoSpaceDE/>
        <w:autoSpaceDN/>
        <w:bidi w:val="0"/>
        <w:adjustRightInd w:val="0"/>
        <w:snapToGrid w:val="0"/>
        <w:spacing w:line="564" w:lineRule="exact"/>
        <w:ind w:firstLine="640" w:firstLineChars="200"/>
        <w:contextualSpacing/>
        <w:jc w:val="center"/>
        <w:textAlignment w:val="auto"/>
        <w:outlineLvl w:val="9"/>
        <w:rPr>
          <w:rFonts w:hint="eastAsia" w:ascii="仿宋_GB2312" w:hAnsi="仿宋_GB2312" w:eastAsia="仿宋_GB2312" w:cs="仿宋_GB2312"/>
          <w:color w:val="000000"/>
          <w:kern w:val="0"/>
          <w:sz w:val="32"/>
          <w:szCs w:val="32"/>
          <w:highlight w:val="none"/>
          <w:shd w:val="clear" w:color="auto" w:fill="FFFFFF"/>
        </w:rPr>
      </w:pPr>
    </w:p>
    <w:p w14:paraId="4A2CB206">
      <w:pPr>
        <w:keepNext w:val="0"/>
        <w:keepLines w:val="0"/>
        <w:pageBreakBefore w:val="0"/>
        <w:widowControl w:val="0"/>
        <w:suppressLineNumbers w:val="0"/>
        <w:shd w:val="clear" w:color="auto" w:fill="FFFEFB"/>
        <w:suppressAutoHyphens w:val="0"/>
        <w:kinsoku/>
        <w:wordWrap/>
        <w:overflowPunct w:val="0"/>
        <w:topLinePunct w:val="0"/>
        <w:autoSpaceDE/>
        <w:bidi w:val="0"/>
        <w:spacing w:line="564" w:lineRule="exact"/>
        <w:jc w:val="both"/>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州财政局：</w:t>
      </w:r>
    </w:p>
    <w:p w14:paraId="170EBD1F">
      <w:pPr>
        <w:keepNext w:val="0"/>
        <w:keepLines w:val="0"/>
        <w:pageBreakBefore w:val="0"/>
        <w:widowControl w:val="0"/>
        <w:suppressLineNumbers w:val="0"/>
        <w:shd w:val="clear" w:color="auto" w:fill="FFFEFB"/>
        <w:suppressAutoHyphens w:val="0"/>
        <w:kinsoku/>
        <w:wordWrap/>
        <w:overflowPunct w:val="0"/>
        <w:topLinePunct w:val="0"/>
        <w:autoSpaceDE/>
        <w:bidi w:val="0"/>
        <w:spacing w:line="564" w:lineRule="exact"/>
        <w:ind w:leftChars="0" w:firstLine="640" w:firstLineChars="200"/>
        <w:jc w:val="both"/>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根据阿坝州财政局《关于开展2025年度州级部门预算绩效自评工作的通知》(阿州财监绩（2025）4号）文件要求，我单位对</w:t>
      </w:r>
      <w:r>
        <w:rPr>
          <w:rFonts w:hint="default" w:ascii="Times New Roman" w:hAnsi="Times New Roman" w:eastAsia="仿宋_GB2312" w:cs="Times New Roman"/>
          <w:kern w:val="0"/>
          <w:sz w:val="32"/>
          <w:szCs w:val="32"/>
        </w:rPr>
        <w:t>202</w:t>
      </w:r>
      <w:r>
        <w:rPr>
          <w:rFonts w:hint="default"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年度</w:t>
      </w:r>
      <w:r>
        <w:rPr>
          <w:rFonts w:hint="default" w:ascii="Times New Roman" w:hAnsi="Times New Roman" w:eastAsia="仿宋_GB2312" w:cs="Times New Roman"/>
          <w:kern w:val="0"/>
          <w:sz w:val="32"/>
          <w:szCs w:val="32"/>
          <w:lang w:val="en-US" w:eastAsia="zh-CN"/>
        </w:rPr>
        <w:t>部门预算</w:t>
      </w:r>
      <w:r>
        <w:rPr>
          <w:rFonts w:hint="default" w:ascii="Times New Roman" w:hAnsi="Times New Roman" w:eastAsia="仿宋_GB2312" w:cs="Times New Roman"/>
          <w:kern w:val="0"/>
          <w:sz w:val="32"/>
          <w:szCs w:val="32"/>
        </w:rPr>
        <w:t>整体绩效</w:t>
      </w:r>
      <w:r>
        <w:rPr>
          <w:rFonts w:hint="default" w:ascii="Times New Roman" w:hAnsi="Times New Roman" w:eastAsia="仿宋_GB2312" w:cs="Times New Roman"/>
          <w:kern w:val="0"/>
          <w:sz w:val="32"/>
          <w:szCs w:val="32"/>
          <w:lang w:val="en-US" w:eastAsia="zh-CN"/>
        </w:rPr>
        <w:t>、专项预算项目绩效评进行了自评工作，本次评价遵循了“科学规范、公正公开、分类管理、绩效相关”的原则，运用科学、合理的绩效评价方法，对本部门2024年度部门预算绩效情况进行客观、公正的评价，现就相关情况报告如下。</w:t>
      </w:r>
    </w:p>
    <w:p w14:paraId="389F9D21">
      <w:pPr>
        <w:keepNext w:val="0"/>
        <w:keepLines w:val="0"/>
        <w:pageBreakBefore w:val="0"/>
        <w:widowControl/>
        <w:numPr>
          <w:ilvl w:val="0"/>
          <w:numId w:val="0"/>
        </w:numPr>
        <w:kinsoku/>
        <w:wordWrap/>
        <w:overflowPunct/>
        <w:topLinePunct w:val="0"/>
        <w:autoSpaceDE/>
        <w:autoSpaceDN/>
        <w:bidi w:val="0"/>
        <w:adjustRightInd w:val="0"/>
        <w:snapToGrid w:val="0"/>
        <w:spacing w:line="564" w:lineRule="exact"/>
        <w:ind w:firstLine="640" w:firstLineChars="200"/>
        <w:contextualSpacing/>
        <w:jc w:val="left"/>
        <w:textAlignment w:val="auto"/>
        <w:outlineLvl w:val="9"/>
        <w:rPr>
          <w:rFonts w:hint="eastAsia" w:ascii="黑体" w:hAnsi="黑体" w:eastAsia="黑体" w:cs="黑体"/>
          <w:sz w:val="32"/>
          <w:szCs w:val="32"/>
        </w:rPr>
      </w:pPr>
      <w:r>
        <w:rPr>
          <w:rFonts w:hint="eastAsia" w:ascii="黑体" w:hAnsi="黑体" w:eastAsia="黑体" w:cs="黑体"/>
          <w:color w:val="000000"/>
          <w:kern w:val="0"/>
          <w:sz w:val="32"/>
          <w:szCs w:val="32"/>
          <w:highlight w:val="none"/>
          <w:shd w:val="clear" w:color="auto" w:fill="FFFFFF"/>
          <w:lang w:val="zh-CN"/>
        </w:rPr>
        <w:t>一、部门基本情况</w:t>
      </w:r>
    </w:p>
    <w:p w14:paraId="4C606688">
      <w:pPr>
        <w:keepNext w:val="0"/>
        <w:keepLines w:val="0"/>
        <w:pageBreakBefore w:val="0"/>
        <w:widowControl w:val="0"/>
        <w:suppressLineNumbers w:val="0"/>
        <w:shd w:val="clear" w:color="auto" w:fill="FFFEFB"/>
        <w:suppressAutoHyphens w:val="0"/>
        <w:kinsoku/>
        <w:wordWrap/>
        <w:overflowPunct w:val="0"/>
        <w:topLinePunct w:val="0"/>
        <w:autoSpaceDE/>
        <w:autoSpaceDN/>
        <w:bidi w:val="0"/>
        <w:spacing w:line="564" w:lineRule="exact"/>
        <w:ind w:firstLine="643" w:firstLineChars="200"/>
        <w:jc w:val="both"/>
        <w:textAlignment w:val="auto"/>
        <w:outlineLvl w:val="9"/>
        <w:rPr>
          <w:rFonts w:hint="default" w:ascii="Times New Roman" w:hAnsi="Times New Roman" w:eastAsia="仿宋_GB2312" w:cs="Times New Roman"/>
          <w:kern w:val="0"/>
          <w:sz w:val="32"/>
          <w:szCs w:val="32"/>
          <w:lang w:val="en-US" w:eastAsia="zh-CN"/>
        </w:rPr>
      </w:pPr>
      <w:r>
        <w:rPr>
          <w:rFonts w:hint="eastAsia" w:ascii="楷体" w:hAnsi="楷体" w:eastAsia="楷体" w:cs="楷体"/>
          <w:b/>
          <w:bCs/>
          <w:color w:val="000000"/>
          <w:kern w:val="0"/>
          <w:sz w:val="32"/>
          <w:szCs w:val="32"/>
          <w:highlight w:val="none"/>
          <w:shd w:val="clear" w:color="auto" w:fill="FFFFFF"/>
          <w:lang w:val="zh-CN"/>
        </w:rPr>
        <w:t>（一）机构组成。</w:t>
      </w:r>
      <w:r>
        <w:rPr>
          <w:rFonts w:hint="default" w:ascii="Times New Roman" w:hAnsi="Times New Roman" w:eastAsia="仿宋_GB2312" w:cs="Times New Roman"/>
          <w:kern w:val="0"/>
          <w:sz w:val="32"/>
          <w:szCs w:val="32"/>
        </w:rPr>
        <w:t>阿坝州机关事务管理局属一级预算行政</w:t>
      </w:r>
      <w:r>
        <w:rPr>
          <w:rFonts w:hint="default" w:ascii="Times New Roman" w:hAnsi="Times New Roman" w:eastAsia="仿宋_GB2312" w:cs="Times New Roman"/>
          <w:kern w:val="0"/>
          <w:sz w:val="32"/>
          <w:szCs w:val="32"/>
          <w:lang w:val="en-US" w:eastAsia="zh-CN"/>
        </w:rPr>
        <w:t>单位</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单位下设</w:t>
      </w:r>
      <w:r>
        <w:rPr>
          <w:rFonts w:hint="default" w:ascii="Times New Roman" w:hAnsi="Times New Roman" w:eastAsia="仿宋_GB2312" w:cs="Times New Roman"/>
          <w:kern w:val="0"/>
          <w:sz w:val="32"/>
          <w:szCs w:val="32"/>
        </w:rPr>
        <w:t>办公室</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资产与后勤管理科</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公车管理科</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公共机构节能管理科</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下属机关后勤服务中心，单位类型事业。</w:t>
      </w:r>
    </w:p>
    <w:p w14:paraId="24EDF162">
      <w:pPr>
        <w:keepNext w:val="0"/>
        <w:keepLines w:val="0"/>
        <w:pageBreakBefore w:val="0"/>
        <w:widowControl w:val="0"/>
        <w:kinsoku/>
        <w:wordWrap/>
        <w:overflowPunct w:val="0"/>
        <w:topLinePunct w:val="0"/>
        <w:autoSpaceDE/>
        <w:autoSpaceDN/>
        <w:bidi w:val="0"/>
        <w:spacing w:line="564" w:lineRule="exact"/>
        <w:ind w:firstLine="643" w:firstLineChars="200"/>
        <w:jc w:val="both"/>
        <w:textAlignment w:val="auto"/>
        <w:outlineLvl w:val="9"/>
        <w:rPr>
          <w:rFonts w:hint="default" w:ascii="Times New Roman" w:hAnsi="Times New Roman" w:eastAsia="仿宋_GB2312" w:cs="Times New Roman"/>
          <w:kern w:val="0"/>
          <w:sz w:val="32"/>
          <w:szCs w:val="32"/>
        </w:rPr>
      </w:pPr>
      <w:r>
        <w:rPr>
          <w:rFonts w:hint="default" w:ascii="楷体" w:hAnsi="楷体" w:eastAsia="楷体" w:cs="楷体"/>
          <w:b/>
          <w:bCs/>
          <w:color w:val="000000"/>
          <w:kern w:val="0"/>
          <w:sz w:val="32"/>
          <w:szCs w:val="32"/>
          <w:highlight w:val="none"/>
          <w:shd w:val="clear" w:color="auto" w:fill="FFFFFF"/>
          <w:lang w:val="zh-CN"/>
        </w:rPr>
        <w:t>（</w:t>
      </w:r>
      <w:r>
        <w:rPr>
          <w:rFonts w:hint="default" w:ascii="楷体" w:hAnsi="楷体" w:eastAsia="楷体" w:cs="楷体"/>
          <w:b/>
          <w:bCs/>
          <w:color w:val="000000"/>
          <w:kern w:val="0"/>
          <w:sz w:val="32"/>
          <w:szCs w:val="32"/>
          <w:highlight w:val="none"/>
          <w:shd w:val="clear" w:color="auto" w:fill="FFFFFF"/>
          <w:lang w:val="en-US" w:eastAsia="zh-CN"/>
        </w:rPr>
        <w:t>二</w:t>
      </w:r>
      <w:r>
        <w:rPr>
          <w:rFonts w:hint="default" w:ascii="楷体" w:hAnsi="楷体" w:eastAsia="楷体" w:cs="楷体"/>
          <w:b/>
          <w:bCs/>
          <w:color w:val="000000"/>
          <w:kern w:val="0"/>
          <w:sz w:val="32"/>
          <w:szCs w:val="32"/>
          <w:highlight w:val="none"/>
          <w:shd w:val="clear" w:color="auto" w:fill="FFFFFF"/>
          <w:lang w:val="zh-CN"/>
        </w:rPr>
        <w:t>）机构</w:t>
      </w:r>
      <w:r>
        <w:rPr>
          <w:rFonts w:hint="default" w:ascii="楷体" w:hAnsi="楷体" w:eastAsia="楷体" w:cs="楷体"/>
          <w:b/>
          <w:bCs/>
          <w:color w:val="000000"/>
          <w:kern w:val="0"/>
          <w:sz w:val="32"/>
          <w:szCs w:val="32"/>
          <w:highlight w:val="none"/>
          <w:shd w:val="clear" w:color="auto" w:fill="FFFFFF"/>
          <w:lang w:val="en-US" w:eastAsia="zh-CN"/>
        </w:rPr>
        <w:t>职能</w:t>
      </w:r>
      <w:r>
        <w:rPr>
          <w:rFonts w:hint="default" w:ascii="楷体" w:hAnsi="楷体" w:eastAsia="楷体" w:cs="楷体"/>
          <w:b/>
          <w:bCs/>
          <w:color w:val="000000"/>
          <w:kern w:val="0"/>
          <w:sz w:val="32"/>
          <w:szCs w:val="32"/>
          <w:highlight w:val="none"/>
          <w:shd w:val="clear" w:color="auto" w:fill="FFFFFF"/>
          <w:lang w:val="zh-CN"/>
        </w:rPr>
        <w:t>。</w:t>
      </w:r>
      <w:r>
        <w:rPr>
          <w:rFonts w:hint="default" w:ascii="Times New Roman" w:hAnsi="Times New Roman" w:eastAsia="仿宋_GB2312" w:cs="Times New Roman"/>
          <w:sz w:val="32"/>
          <w:szCs w:val="32"/>
        </w:rPr>
        <w:t>阿坝州机关事务管理局是</w:t>
      </w:r>
      <w:r>
        <w:rPr>
          <w:rFonts w:hint="default" w:ascii="Times New Roman" w:hAnsi="Times New Roman" w:eastAsia="仿宋_GB2312" w:cs="Times New Roman"/>
          <w:kern w:val="0"/>
          <w:sz w:val="32"/>
          <w:szCs w:val="32"/>
        </w:rPr>
        <w:t>贯彻执行国家、省、州有关机关事务工作的方针政策依法拟订全州机关事务工作的相关规划和制度并组织实施，负责州直机关事务的管理、保障、服务工作，指导各县(市)机关事务管理工作。按规定负责州直行政事业单位国有资产管理工作、公务用车管理工作、公共机构节能工作、州直机关后勤工作等，并拟订相关管理办法并监督实施。完成州委、州政府交办的其他任务。</w:t>
      </w:r>
    </w:p>
    <w:p w14:paraId="5B184091">
      <w:pPr>
        <w:keepNext w:val="0"/>
        <w:keepLines w:val="0"/>
        <w:pageBreakBefore w:val="0"/>
        <w:widowControl w:val="0"/>
        <w:kinsoku/>
        <w:wordWrap/>
        <w:overflowPunct w:val="0"/>
        <w:topLinePunct w:val="0"/>
        <w:autoSpaceDE/>
        <w:autoSpaceDN/>
        <w:bidi w:val="0"/>
        <w:spacing w:line="564" w:lineRule="exact"/>
        <w:ind w:firstLine="643" w:firstLineChars="200"/>
        <w:jc w:val="both"/>
        <w:textAlignment w:val="auto"/>
        <w:outlineLvl w:val="9"/>
        <w:rPr>
          <w:rFonts w:hint="default" w:ascii="Times New Roman" w:hAnsi="Times New Roman" w:eastAsia="仿宋_GB2312" w:cs="Times New Roman"/>
          <w:sz w:val="32"/>
          <w:szCs w:val="32"/>
        </w:rPr>
      </w:pPr>
      <w:r>
        <w:rPr>
          <w:rFonts w:hint="default" w:ascii="楷体" w:hAnsi="楷体" w:eastAsia="楷体" w:cs="楷体"/>
          <w:b/>
          <w:bCs/>
          <w:color w:val="000000"/>
          <w:kern w:val="0"/>
          <w:sz w:val="32"/>
          <w:szCs w:val="32"/>
          <w:highlight w:val="none"/>
          <w:shd w:val="clear" w:color="auto" w:fill="FFFFFF"/>
          <w:lang w:val="zh-CN" w:eastAsia="zh-CN"/>
        </w:rPr>
        <w:t>（</w:t>
      </w:r>
      <w:r>
        <w:rPr>
          <w:rFonts w:hint="default" w:ascii="楷体" w:hAnsi="楷体" w:eastAsia="楷体" w:cs="楷体"/>
          <w:b/>
          <w:bCs/>
          <w:color w:val="000000"/>
          <w:kern w:val="0"/>
          <w:sz w:val="32"/>
          <w:szCs w:val="32"/>
          <w:highlight w:val="none"/>
          <w:shd w:val="clear" w:color="auto" w:fill="FFFFFF"/>
          <w:lang w:val="en-US" w:eastAsia="zh-CN"/>
        </w:rPr>
        <w:t>三</w:t>
      </w:r>
      <w:r>
        <w:rPr>
          <w:rFonts w:hint="default" w:ascii="楷体" w:hAnsi="楷体" w:eastAsia="楷体" w:cs="楷体"/>
          <w:b/>
          <w:bCs/>
          <w:color w:val="000000"/>
          <w:kern w:val="0"/>
          <w:sz w:val="32"/>
          <w:szCs w:val="32"/>
          <w:highlight w:val="none"/>
          <w:shd w:val="clear" w:color="auto" w:fill="FFFFFF"/>
          <w:lang w:val="zh-CN" w:eastAsia="zh-CN"/>
        </w:rPr>
        <w:t>）</w:t>
      </w:r>
      <w:r>
        <w:rPr>
          <w:rFonts w:hint="default" w:ascii="楷体" w:hAnsi="楷体" w:eastAsia="楷体" w:cs="楷体"/>
          <w:b/>
          <w:bCs/>
          <w:color w:val="000000"/>
          <w:kern w:val="0"/>
          <w:sz w:val="32"/>
          <w:szCs w:val="32"/>
          <w:highlight w:val="none"/>
          <w:shd w:val="clear" w:color="auto" w:fill="FFFFFF"/>
          <w:lang w:val="en-US" w:eastAsia="zh-CN"/>
        </w:rPr>
        <w:t>人员概况。</w:t>
      </w:r>
      <w:r>
        <w:rPr>
          <w:rFonts w:hint="default" w:ascii="Times New Roman" w:hAnsi="Times New Roman" w:eastAsia="仿宋_GB2312" w:cs="Times New Roman"/>
          <w:kern w:val="0"/>
          <w:sz w:val="32"/>
          <w:szCs w:val="32"/>
        </w:rPr>
        <w:t>截至2024年12月31日，</w:t>
      </w:r>
      <w:r>
        <w:rPr>
          <w:rFonts w:hint="default" w:ascii="Times New Roman" w:hAnsi="Times New Roman" w:eastAsia="仿宋_GB2312" w:cs="Times New Roman"/>
          <w:kern w:val="0"/>
          <w:sz w:val="32"/>
          <w:szCs w:val="32"/>
          <w:lang w:val="en-US" w:eastAsia="zh-CN"/>
        </w:rPr>
        <w:t>阿坝州机关事务管理局行政编制10名。其中局长1名，副局长2名，正科级领导职数4名，副科级领导职数2名，科员1名。机关工勤人员编制2名。下属州机关后勤服务中心事业编制10名，其中主任1名，副主任2名，工作人员3名。年末实有人数16名，年末实有离退休人数为1名。 </w:t>
      </w:r>
    </w:p>
    <w:p w14:paraId="7CE6EF76">
      <w:pPr>
        <w:keepNext w:val="0"/>
        <w:keepLines w:val="0"/>
        <w:pageBreakBefore w:val="0"/>
        <w:widowControl/>
        <w:numPr>
          <w:ilvl w:val="0"/>
          <w:numId w:val="0"/>
        </w:numPr>
        <w:kinsoku/>
        <w:wordWrap/>
        <w:overflowPunct/>
        <w:topLinePunct w:val="0"/>
        <w:autoSpaceDE/>
        <w:autoSpaceDN/>
        <w:bidi w:val="0"/>
        <w:adjustRightInd w:val="0"/>
        <w:snapToGrid w:val="0"/>
        <w:spacing w:line="564" w:lineRule="exact"/>
        <w:ind w:firstLine="640" w:firstLineChars="200"/>
        <w:contextualSpacing/>
        <w:jc w:val="left"/>
        <w:textAlignment w:val="auto"/>
        <w:outlineLvl w:val="9"/>
        <w:rPr>
          <w:rFonts w:hint="default" w:ascii="黑体" w:hAnsi="黑体" w:eastAsia="黑体" w:cs="黑体"/>
          <w:color w:val="000000"/>
          <w:kern w:val="0"/>
          <w:sz w:val="32"/>
          <w:szCs w:val="32"/>
          <w:highlight w:val="none"/>
          <w:shd w:val="clear" w:color="auto" w:fill="FFFFFF"/>
          <w:lang w:val="zh-CN"/>
        </w:rPr>
      </w:pPr>
      <w:r>
        <w:rPr>
          <w:rFonts w:hint="default" w:ascii="黑体" w:hAnsi="黑体" w:eastAsia="黑体" w:cs="黑体"/>
          <w:color w:val="000000"/>
          <w:kern w:val="0"/>
          <w:sz w:val="32"/>
          <w:szCs w:val="32"/>
          <w:highlight w:val="none"/>
          <w:shd w:val="clear" w:color="auto" w:fill="FFFFFF"/>
          <w:lang w:val="zh-CN"/>
        </w:rPr>
        <w:t>二、</w:t>
      </w:r>
      <w:r>
        <w:rPr>
          <w:rFonts w:hint="default" w:ascii="黑体" w:hAnsi="黑体" w:eastAsia="黑体" w:cs="黑体"/>
          <w:color w:val="000000"/>
          <w:kern w:val="0"/>
          <w:sz w:val="32"/>
          <w:szCs w:val="32"/>
          <w:highlight w:val="none"/>
          <w:shd w:val="clear" w:color="auto" w:fill="FFFFFF"/>
          <w:lang w:val="zh-CN" w:eastAsia="zh-CN"/>
        </w:rPr>
        <w:t>部门</w:t>
      </w:r>
      <w:r>
        <w:rPr>
          <w:rFonts w:hint="default" w:ascii="黑体" w:hAnsi="黑体" w:eastAsia="黑体" w:cs="黑体"/>
          <w:color w:val="000000"/>
          <w:kern w:val="0"/>
          <w:sz w:val="32"/>
          <w:szCs w:val="32"/>
          <w:highlight w:val="none"/>
          <w:shd w:val="clear" w:color="auto" w:fill="FFFFFF"/>
          <w:lang w:val="zh-CN"/>
        </w:rPr>
        <w:t>资金收支情况</w:t>
      </w:r>
    </w:p>
    <w:p w14:paraId="32FD1ADB">
      <w:pPr>
        <w:keepNext w:val="0"/>
        <w:keepLines w:val="0"/>
        <w:pageBreakBefore w:val="0"/>
        <w:widowControl/>
        <w:kinsoku/>
        <w:wordWrap/>
        <w:overflowPunct/>
        <w:topLinePunct w:val="0"/>
        <w:autoSpaceDE/>
        <w:autoSpaceDN/>
        <w:bidi w:val="0"/>
        <w:adjustRightInd w:val="0"/>
        <w:snapToGrid w:val="0"/>
        <w:spacing w:line="564" w:lineRule="exact"/>
        <w:ind w:firstLine="643" w:firstLineChars="200"/>
        <w:contextualSpacing/>
        <w:jc w:val="left"/>
        <w:textAlignment w:val="auto"/>
        <w:outlineLvl w:val="9"/>
        <w:rPr>
          <w:rFonts w:hint="default" w:ascii="Times New Roman" w:hAnsi="Times New Roman" w:eastAsia="仿宋_GB2312" w:cs="Times New Roman"/>
          <w:b/>
          <w:bCs/>
          <w:color w:val="000000"/>
          <w:kern w:val="0"/>
          <w:sz w:val="32"/>
          <w:szCs w:val="32"/>
          <w:highlight w:val="none"/>
          <w:shd w:val="clear" w:color="auto" w:fill="FFFFFF"/>
          <w:lang w:val="en-US"/>
        </w:rPr>
      </w:pPr>
      <w:r>
        <w:rPr>
          <w:rFonts w:hint="default" w:ascii="楷体" w:hAnsi="楷体" w:eastAsia="楷体" w:cs="楷体"/>
          <w:b/>
          <w:bCs/>
          <w:color w:val="000000"/>
          <w:kern w:val="0"/>
          <w:sz w:val="32"/>
          <w:szCs w:val="32"/>
          <w:highlight w:val="none"/>
          <w:shd w:val="clear" w:color="auto" w:fill="FFFFFF"/>
          <w:lang w:val="zh-CN" w:eastAsia="zh-CN"/>
        </w:rPr>
        <w:t>（一）收入情况。</w:t>
      </w:r>
      <w:r>
        <w:rPr>
          <w:rFonts w:hint="default" w:ascii="Times New Roman" w:hAnsi="Times New Roman" w:eastAsia="仿宋_GB2312" w:cs="Times New Roman"/>
          <w:kern w:val="0"/>
          <w:sz w:val="32"/>
          <w:szCs w:val="32"/>
          <w:lang w:val="en-US" w:eastAsia="zh-CN"/>
        </w:rPr>
        <w:t xml:space="preserve">2024年年初预算收入为625.33万元。一般公共预算拨款收入为625.33万元，占比100.00%。（其中州机关事务管理局一般公共预算资金535.05万元，机关后勤服务中心一般公共预算资金90.28万元）。2024年决算收入为831.74万元，其中一般公共服务支出为730.19万元，占比87.79%；社会保障和就业支出为52.17万元，占比6.27%；卫生健康支出为20.72万元，占比2.50%；住房保障支出为28.65万元，占比3.44%。 </w:t>
      </w:r>
    </w:p>
    <w:p w14:paraId="06BEE389">
      <w:pPr>
        <w:keepNext w:val="0"/>
        <w:keepLines w:val="0"/>
        <w:pageBreakBefore w:val="0"/>
        <w:widowControl w:val="0"/>
        <w:numPr>
          <w:ilvl w:val="0"/>
          <w:numId w:val="0"/>
        </w:numPr>
        <w:kinsoku/>
        <w:wordWrap/>
        <w:overflowPunct w:val="0"/>
        <w:topLinePunct w:val="0"/>
        <w:autoSpaceDE/>
        <w:autoSpaceDN/>
        <w:bidi w:val="0"/>
        <w:spacing w:line="564" w:lineRule="exact"/>
        <w:ind w:firstLine="643" w:firstLineChars="200"/>
        <w:jc w:val="both"/>
        <w:textAlignment w:val="auto"/>
        <w:outlineLvl w:val="9"/>
        <w:rPr>
          <w:rFonts w:hint="default" w:ascii="Times New Roman" w:hAnsi="Times New Roman" w:eastAsia="仿宋_GB2312" w:cs="Times New Roman"/>
          <w:kern w:val="0"/>
          <w:sz w:val="32"/>
          <w:szCs w:val="32"/>
          <w:lang w:val="en-US" w:eastAsia="zh-CN"/>
        </w:rPr>
      </w:pPr>
      <w:r>
        <w:rPr>
          <w:rFonts w:hint="default" w:ascii="楷体" w:hAnsi="楷体" w:eastAsia="楷体" w:cs="楷体"/>
          <w:b/>
          <w:bCs/>
          <w:color w:val="000000"/>
          <w:kern w:val="0"/>
          <w:sz w:val="32"/>
          <w:szCs w:val="32"/>
          <w:highlight w:val="none"/>
          <w:shd w:val="clear" w:color="auto" w:fill="FFFFFF"/>
          <w:lang w:val="zh-CN" w:eastAsia="zh-CN"/>
        </w:rPr>
        <w:t>（二）支出情况</w:t>
      </w:r>
      <w:r>
        <w:rPr>
          <w:rFonts w:hint="default" w:ascii="Times New Roman" w:hAnsi="Times New Roman" w:eastAsia="仿宋_GB2312" w:cs="Times New Roman"/>
          <w:b/>
          <w:bCs/>
          <w:color w:val="000000"/>
          <w:kern w:val="0"/>
          <w:sz w:val="32"/>
          <w:szCs w:val="32"/>
          <w:highlight w:val="none"/>
          <w:shd w:val="clear" w:color="auto" w:fill="FFFFFF"/>
          <w:lang w:val="zh-CN"/>
        </w:rPr>
        <w:t>。</w:t>
      </w:r>
      <w:r>
        <w:rPr>
          <w:rFonts w:hint="default" w:ascii="Times New Roman" w:hAnsi="Times New Roman" w:eastAsia="仿宋_GB2312" w:cs="Times New Roman"/>
          <w:kern w:val="0"/>
          <w:sz w:val="32"/>
          <w:szCs w:val="32"/>
          <w:lang w:val="en-US" w:eastAsia="zh-CN"/>
        </w:rPr>
        <w:t>2024年年初预算支出为625.33万元，一般公共服务支出为625.33万元，占比100.00%。2024年决算支出为831.74万元，其中一般公共服务支出为730.19万元，占比87.79%；社会保障和就业支出为52.17万元，占比6.27%；卫生健康支出为20.72万元，占比2.50%；住房保障支出为28.65万元，占比3.44%。</w:t>
      </w:r>
    </w:p>
    <w:p w14:paraId="4B6A43B1">
      <w:pPr>
        <w:keepNext w:val="0"/>
        <w:keepLines w:val="0"/>
        <w:pageBreakBefore w:val="0"/>
        <w:widowControl/>
        <w:kinsoku/>
        <w:wordWrap/>
        <w:overflowPunct/>
        <w:topLinePunct w:val="0"/>
        <w:autoSpaceDE/>
        <w:autoSpaceDN/>
        <w:bidi w:val="0"/>
        <w:adjustRightInd w:val="0"/>
        <w:snapToGrid w:val="0"/>
        <w:spacing w:line="564" w:lineRule="exact"/>
        <w:ind w:firstLine="640" w:firstLineChars="200"/>
        <w:contextualSpacing/>
        <w:jc w:val="left"/>
        <w:textAlignment w:val="auto"/>
        <w:outlineLvl w:val="9"/>
        <w:rPr>
          <w:rFonts w:hint="default" w:ascii="Times New Roman" w:hAnsi="Times New Roman" w:eastAsia="仿宋_GB2312" w:cs="Times New Roman"/>
          <w:sz w:val="32"/>
          <w:szCs w:val="32"/>
          <w:lang w:val="zh-CN" w:eastAsia="zh-CN"/>
        </w:rPr>
      </w:pPr>
    </w:p>
    <w:p w14:paraId="39F766AF">
      <w:pPr>
        <w:keepNext w:val="0"/>
        <w:keepLines w:val="0"/>
        <w:pageBreakBefore w:val="0"/>
        <w:widowControl/>
        <w:kinsoku/>
        <w:wordWrap/>
        <w:overflowPunct/>
        <w:topLinePunct w:val="0"/>
        <w:autoSpaceDE/>
        <w:autoSpaceDN/>
        <w:bidi w:val="0"/>
        <w:adjustRightInd w:val="0"/>
        <w:snapToGrid w:val="0"/>
        <w:spacing w:line="564" w:lineRule="exact"/>
        <w:ind w:firstLine="643" w:firstLineChars="200"/>
        <w:contextualSpacing/>
        <w:jc w:val="left"/>
        <w:textAlignment w:val="auto"/>
        <w:outlineLvl w:val="9"/>
        <w:rPr>
          <w:rFonts w:hint="default" w:ascii="Times New Roman" w:hAnsi="Times New Roman" w:eastAsia="仿宋_GB2312" w:cs="Times New Roman"/>
          <w:kern w:val="0"/>
          <w:sz w:val="32"/>
          <w:szCs w:val="32"/>
          <w:lang w:val="en-US" w:eastAsia="zh-CN"/>
        </w:rPr>
      </w:pPr>
      <w:r>
        <w:rPr>
          <w:rFonts w:hint="default" w:ascii="楷体" w:hAnsi="楷体" w:eastAsia="楷体" w:cs="楷体"/>
          <w:b/>
          <w:bCs/>
          <w:color w:val="000000"/>
          <w:kern w:val="0"/>
          <w:sz w:val="32"/>
          <w:szCs w:val="32"/>
          <w:highlight w:val="none"/>
          <w:shd w:val="clear" w:color="auto" w:fill="FFFFFF"/>
          <w:lang w:val="zh-CN" w:eastAsia="zh-CN"/>
        </w:rPr>
        <w:t>（三）结余分配和结转结余情况。</w:t>
      </w:r>
      <w:r>
        <w:rPr>
          <w:rFonts w:hint="default" w:ascii="Times New Roman" w:hAnsi="Times New Roman" w:eastAsia="仿宋_GB2312" w:cs="Times New Roman"/>
          <w:kern w:val="0"/>
          <w:sz w:val="32"/>
          <w:szCs w:val="32"/>
          <w:lang w:val="en-US" w:eastAsia="zh-CN"/>
        </w:rPr>
        <w:t>阿坝州机关事务管理局2024年决算报表结转结余88.54万元。该笔资金为马店拆迁款项，属于年初结转结余资金。</w:t>
      </w:r>
    </w:p>
    <w:p w14:paraId="7EC7D7DA">
      <w:pPr>
        <w:keepNext w:val="0"/>
        <w:keepLines w:val="0"/>
        <w:pageBreakBefore w:val="0"/>
        <w:widowControl/>
        <w:kinsoku/>
        <w:wordWrap/>
        <w:overflowPunct/>
        <w:topLinePunct w:val="0"/>
        <w:autoSpaceDE/>
        <w:autoSpaceDN/>
        <w:bidi w:val="0"/>
        <w:adjustRightInd w:val="0"/>
        <w:snapToGrid w:val="0"/>
        <w:spacing w:line="564" w:lineRule="exact"/>
        <w:ind w:firstLine="640" w:firstLineChars="200"/>
        <w:contextualSpacing/>
        <w:jc w:val="left"/>
        <w:textAlignment w:val="auto"/>
        <w:outlineLvl w:val="9"/>
        <w:rPr>
          <w:rFonts w:hint="eastAsia" w:ascii="黑体" w:hAnsi="黑体" w:eastAsia="黑体" w:cs="黑体"/>
          <w:color w:val="000000" w:themeColor="text1"/>
          <w:kern w:val="0"/>
          <w:sz w:val="32"/>
          <w:szCs w:val="32"/>
          <w:highlight w:val="none"/>
          <w:shd w:val="clear" w:color="auto" w:fill="FFFFFF"/>
          <w14:textFill>
            <w14:solidFill>
              <w14:schemeClr w14:val="tx1"/>
            </w14:solidFill>
          </w14:textFill>
        </w:rPr>
      </w:pPr>
      <w:r>
        <w:rPr>
          <w:rFonts w:hint="eastAsia" w:ascii="黑体" w:hAnsi="黑体" w:eastAsia="黑体" w:cs="黑体"/>
          <w:color w:val="000000"/>
          <w:kern w:val="0"/>
          <w:sz w:val="32"/>
          <w:szCs w:val="32"/>
          <w:highlight w:val="none"/>
          <w:shd w:val="clear" w:color="auto" w:fill="FFFFFF"/>
        </w:rPr>
        <w:t>三、</w:t>
      </w:r>
      <w:r>
        <w:rPr>
          <w:rFonts w:hint="eastAsia" w:ascii="黑体" w:hAnsi="黑体" w:eastAsia="黑体" w:cs="黑体"/>
          <w:color w:val="000000"/>
          <w:kern w:val="0"/>
          <w:sz w:val="32"/>
          <w:szCs w:val="32"/>
          <w:highlight w:val="none"/>
          <w:u w:val="none"/>
          <w:shd w:val="clear" w:color="auto" w:fill="FFFFFF"/>
        </w:rPr>
        <w:t>部门</w:t>
      </w:r>
      <w:r>
        <w:rPr>
          <w:rFonts w:hint="eastAsia" w:ascii="黑体" w:hAnsi="黑体" w:eastAsia="黑体" w:cs="黑体"/>
          <w:color w:val="000000"/>
          <w:kern w:val="0"/>
          <w:sz w:val="32"/>
          <w:szCs w:val="32"/>
          <w:highlight w:val="none"/>
          <w:u w:val="none"/>
          <w:shd w:val="clear" w:color="auto" w:fill="FFFFFF"/>
          <w:lang w:eastAsia="zh-CN"/>
        </w:rPr>
        <w:t>预算</w:t>
      </w:r>
      <w:r>
        <w:rPr>
          <w:rFonts w:hint="eastAsia" w:ascii="黑体" w:hAnsi="黑体" w:eastAsia="黑体" w:cs="黑体"/>
          <w:color w:val="000000"/>
          <w:kern w:val="0"/>
          <w:sz w:val="32"/>
          <w:szCs w:val="32"/>
          <w:highlight w:val="none"/>
          <w:u w:val="none"/>
          <w:shd w:val="clear" w:color="auto" w:fill="FFFFFF"/>
        </w:rPr>
        <w:t>绩效</w:t>
      </w:r>
      <w:r>
        <w:rPr>
          <w:rFonts w:hint="eastAsia" w:ascii="黑体" w:hAnsi="黑体" w:eastAsia="黑体" w:cs="黑体"/>
          <w:color w:val="000000"/>
          <w:kern w:val="0"/>
          <w:sz w:val="32"/>
          <w:szCs w:val="32"/>
          <w:highlight w:val="none"/>
          <w:u w:val="none"/>
          <w:shd w:val="clear" w:color="auto" w:fill="FFFFFF"/>
          <w:lang w:eastAsia="zh-CN"/>
        </w:rPr>
        <w:t>分析</w:t>
      </w:r>
    </w:p>
    <w:p w14:paraId="0F0D2543">
      <w:pPr>
        <w:keepNext w:val="0"/>
        <w:keepLines w:val="0"/>
        <w:pageBreakBefore w:val="0"/>
        <w:widowControl w:val="0"/>
        <w:numPr>
          <w:ilvl w:val="0"/>
          <w:numId w:val="0"/>
        </w:numPr>
        <w:kinsoku/>
        <w:wordWrap/>
        <w:overflowPunct/>
        <w:topLinePunct w:val="0"/>
        <w:autoSpaceDE/>
        <w:autoSpaceDN/>
        <w:bidi w:val="0"/>
        <w:adjustRightInd w:val="0"/>
        <w:snapToGrid w:val="0"/>
        <w:spacing w:line="564" w:lineRule="exact"/>
        <w:ind w:firstLine="643"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楷体" w:hAnsi="楷体" w:eastAsia="楷体" w:cs="楷体"/>
          <w:b/>
          <w:bCs/>
          <w:color w:val="000000"/>
          <w:kern w:val="0"/>
          <w:sz w:val="32"/>
          <w:szCs w:val="32"/>
          <w:highlight w:val="none"/>
          <w:shd w:val="clear" w:color="auto" w:fill="FFFFFF"/>
          <w:lang w:val="zh-CN" w:eastAsia="zh-CN"/>
        </w:rPr>
        <w:t>（一）部门预算总体绩效分析。</w:t>
      </w:r>
      <w:r>
        <w:rPr>
          <w:rFonts w:hint="default" w:ascii="Times New Roman" w:hAnsi="Times New Roman" w:eastAsia="仿宋_GB2312" w:cs="Times New Roman"/>
          <w:color w:val="000000"/>
          <w:kern w:val="0"/>
          <w:sz w:val="32"/>
          <w:szCs w:val="32"/>
          <w:highlight w:val="none"/>
          <w:shd w:val="clear" w:color="auto" w:fill="FFFFFF"/>
          <w:lang w:val="zh-CN"/>
        </w:rPr>
        <w:t>根据部门预算绩效评价指标体系“总体绩效”涉及二、三级指标进行逐项绩效分析并评分，依次包括履职效能、预算管理、财务管理、资产管理、采购管理等情况。</w:t>
      </w:r>
    </w:p>
    <w:p w14:paraId="527B430E">
      <w:pPr>
        <w:keepNext w:val="0"/>
        <w:keepLines w:val="0"/>
        <w:pageBreakBefore w:val="0"/>
        <w:widowControl w:val="0"/>
        <w:numPr>
          <w:ilvl w:val="0"/>
          <w:numId w:val="0"/>
        </w:numPr>
        <w:kinsoku/>
        <w:wordWrap/>
        <w:overflowPunct w:val="0"/>
        <w:topLinePunct w:val="0"/>
        <w:autoSpaceDE/>
        <w:autoSpaceDN/>
        <w:bidi w:val="0"/>
        <w:adjustRightInd w:val="0"/>
        <w:snapToGrid w:val="0"/>
        <w:spacing w:line="564" w:lineRule="exact"/>
        <w:ind w:firstLine="643" w:firstLineChars="200"/>
        <w:contextualSpacing/>
        <w:jc w:val="both"/>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en-US" w:eastAsia="zh-CN"/>
        </w:rPr>
        <w:t>1.</w:t>
      </w:r>
      <w:r>
        <w:rPr>
          <w:rFonts w:hint="eastAsia" w:ascii="仿宋_GB2312" w:hAnsi="仿宋_GB2312" w:eastAsia="仿宋_GB2312" w:cs="仿宋_GB2312"/>
          <w:b/>
          <w:bCs/>
          <w:color w:val="000000"/>
          <w:kern w:val="0"/>
          <w:sz w:val="32"/>
          <w:szCs w:val="32"/>
          <w:highlight w:val="none"/>
          <w:shd w:val="clear" w:color="auto" w:fill="FFFFFF"/>
          <w:lang w:val="zh-CN"/>
        </w:rPr>
        <w:t>履职效能。</w:t>
      </w:r>
      <w:r>
        <w:rPr>
          <w:rFonts w:hint="default" w:ascii="Times New Roman" w:hAnsi="Times New Roman" w:eastAsia="仿宋_GB2312" w:cs="Times New Roman"/>
          <w:color w:val="000000"/>
          <w:kern w:val="0"/>
          <w:sz w:val="32"/>
          <w:szCs w:val="32"/>
          <w:highlight w:val="none"/>
          <w:shd w:val="clear" w:color="auto" w:fill="FFFFFF"/>
          <w:lang w:val="zh-CN"/>
        </w:rPr>
        <w:t>部门整体绩效目标中选定3—5个核心职能目标，对职能目标完成效果情况绩效分析。部门整体绩效指标：</w:t>
      </w:r>
      <w:r>
        <w:rPr>
          <w:rFonts w:hint="default" w:ascii="Times New Roman" w:hAnsi="Times New Roman" w:eastAsia="仿宋_GB2312" w:cs="Times New Roman"/>
          <w:b/>
          <w:bCs/>
          <w:color w:val="000000"/>
          <w:kern w:val="0"/>
          <w:sz w:val="32"/>
          <w:szCs w:val="32"/>
          <w:highlight w:val="none"/>
          <w:shd w:val="clear" w:color="auto" w:fill="FFFFFF"/>
          <w:lang w:val="en-US" w:eastAsia="zh-CN"/>
        </w:rPr>
        <w:t>一是</w:t>
      </w:r>
      <w:r>
        <w:rPr>
          <w:rFonts w:hint="default" w:ascii="Times New Roman" w:hAnsi="Times New Roman" w:eastAsia="仿宋_GB2312" w:cs="Times New Roman"/>
          <w:b/>
          <w:bCs/>
          <w:color w:val="000000" w:themeColor="text1"/>
          <w:kern w:val="0"/>
          <w:sz w:val="32"/>
          <w:szCs w:val="32"/>
          <w:highlight w:val="none"/>
          <w:shd w:val="clear" w:color="auto" w:fill="FFFFFF"/>
          <w:lang w:val="zh-CN"/>
          <w14:textFill>
            <w14:solidFill>
              <w14:schemeClr w14:val="tx1"/>
            </w14:solidFill>
          </w14:textFill>
        </w:rPr>
        <w:t>正常运转履职效果</w:t>
      </w:r>
      <w:r>
        <w:rPr>
          <w:rFonts w:hint="default" w:ascii="Times New Roman" w:hAnsi="Times New Roman" w:eastAsia="仿宋_GB2312" w:cs="Times New Roman"/>
          <w:color w:val="000000"/>
          <w:kern w:val="0"/>
          <w:sz w:val="32"/>
          <w:szCs w:val="32"/>
          <w:highlight w:val="none"/>
          <w:shd w:val="clear" w:color="auto" w:fill="FFFFFF"/>
          <w:lang w:val="en-US" w:eastAsia="zh-CN"/>
        </w:rPr>
        <w:t>。</w:t>
      </w:r>
      <w:r>
        <w:rPr>
          <w:rFonts w:hint="default" w:ascii="Times New Roman" w:hAnsi="Times New Roman" w:eastAsia="仿宋_GB2312" w:cs="Times New Roman"/>
          <w:color w:val="000000"/>
          <w:kern w:val="0"/>
          <w:sz w:val="32"/>
          <w:szCs w:val="32"/>
          <w:highlight w:val="none"/>
          <w:shd w:val="clear" w:color="auto" w:fill="FFFFFF"/>
          <w:lang w:val="zh-CN"/>
        </w:rPr>
        <w:t>完成机关事务各项工作目标任务≥</w:t>
      </w:r>
      <w:r>
        <w:rPr>
          <w:rFonts w:hint="default" w:ascii="Times New Roman" w:hAnsi="Times New Roman" w:eastAsia="仿宋_GB2312" w:cs="Times New Roman"/>
          <w:color w:val="000000"/>
          <w:kern w:val="0"/>
          <w:sz w:val="32"/>
          <w:szCs w:val="32"/>
          <w:highlight w:val="none"/>
          <w:shd w:val="clear" w:color="auto" w:fill="FFFFFF"/>
          <w:lang w:val="en-US" w:eastAsia="zh-CN"/>
        </w:rPr>
        <w:t>6</w:t>
      </w:r>
      <w:r>
        <w:rPr>
          <w:rFonts w:hint="default" w:ascii="Times New Roman" w:hAnsi="Times New Roman" w:eastAsia="仿宋_GB2312" w:cs="Times New Roman"/>
          <w:color w:val="000000"/>
          <w:kern w:val="0"/>
          <w:sz w:val="32"/>
          <w:szCs w:val="32"/>
          <w:highlight w:val="none"/>
          <w:shd w:val="clear" w:color="auto" w:fill="FFFFFF"/>
          <w:lang w:val="zh-CN"/>
        </w:rPr>
        <w:t>项，截至202</w:t>
      </w:r>
      <w:r>
        <w:rPr>
          <w:rFonts w:hint="default"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lang w:val="zh-CN"/>
        </w:rPr>
        <w:t>年年底共圆满完成202</w:t>
      </w:r>
      <w:r>
        <w:rPr>
          <w:rFonts w:hint="default"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lang w:val="zh-CN"/>
        </w:rPr>
        <w:t>年州机关事务管理局各项工作目标任务≥</w:t>
      </w:r>
      <w:r>
        <w:rPr>
          <w:rFonts w:hint="default" w:ascii="Times New Roman" w:hAnsi="Times New Roman" w:eastAsia="仿宋_GB2312" w:cs="Times New Roman"/>
          <w:color w:val="000000"/>
          <w:kern w:val="0"/>
          <w:sz w:val="32"/>
          <w:szCs w:val="32"/>
          <w:highlight w:val="none"/>
          <w:shd w:val="clear" w:color="auto" w:fill="FFFFFF"/>
          <w:lang w:val="en-US" w:eastAsia="zh-CN"/>
        </w:rPr>
        <w:t>14</w:t>
      </w:r>
      <w:r>
        <w:rPr>
          <w:rFonts w:hint="default" w:ascii="Times New Roman" w:hAnsi="Times New Roman" w:eastAsia="仿宋_GB2312" w:cs="Times New Roman"/>
          <w:color w:val="000000"/>
          <w:kern w:val="0"/>
          <w:sz w:val="32"/>
          <w:szCs w:val="32"/>
          <w:highlight w:val="none"/>
          <w:shd w:val="clear" w:color="auto" w:fill="FFFFFF"/>
          <w:lang w:val="zh-CN"/>
        </w:rPr>
        <w:t>项。</w:t>
      </w:r>
      <w:r>
        <w:rPr>
          <w:rFonts w:hint="default" w:ascii="Times New Roman" w:hAnsi="Times New Roman" w:eastAsia="仿宋_GB2312" w:cs="Times New Roman"/>
          <w:b/>
          <w:bCs/>
          <w:color w:val="000000"/>
          <w:kern w:val="0"/>
          <w:sz w:val="32"/>
          <w:szCs w:val="32"/>
          <w:highlight w:val="none"/>
          <w:shd w:val="clear" w:color="auto" w:fill="FFFFFF"/>
          <w:lang w:val="en-US" w:eastAsia="zh-CN"/>
        </w:rPr>
        <w:t>二是</w:t>
      </w:r>
      <w:r>
        <w:rPr>
          <w:rFonts w:hint="default" w:ascii="Times New Roman" w:hAnsi="Times New Roman" w:eastAsia="仿宋_GB2312" w:cs="Times New Roman"/>
          <w:b/>
          <w:bCs/>
          <w:color w:val="000000"/>
          <w:kern w:val="0"/>
          <w:sz w:val="32"/>
          <w:szCs w:val="32"/>
          <w:highlight w:val="none"/>
          <w:shd w:val="clear" w:color="auto" w:fill="FFFFFF"/>
          <w:lang w:val="zh-CN"/>
        </w:rPr>
        <w:t>周转房履职效果。</w:t>
      </w:r>
      <w:r>
        <w:rPr>
          <w:rFonts w:hint="default" w:ascii="Times New Roman" w:hAnsi="Times New Roman" w:eastAsia="仿宋_GB2312" w:cs="Times New Roman"/>
          <w:color w:val="000000"/>
          <w:kern w:val="0"/>
          <w:sz w:val="32"/>
          <w:szCs w:val="32"/>
          <w:highlight w:val="none"/>
          <w:shd w:val="clear" w:color="auto" w:fill="FFFFFF"/>
          <w:lang w:val="zh-CN"/>
        </w:rPr>
        <w:t>设置周转房工作满意度指标≥9</w:t>
      </w:r>
      <w:r>
        <w:rPr>
          <w:rFonts w:hint="default"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lang w:val="zh-CN"/>
        </w:rPr>
        <w:t>%，202</w:t>
      </w:r>
      <w:r>
        <w:rPr>
          <w:rFonts w:hint="default"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lang w:val="zh-CN"/>
        </w:rPr>
        <w:t>年我局坚持聚焦干部职工所期所盼，围绕周转房服务管理中的痛点、难点，在居住安全、环境提升等方面不断下功夫，持续抓好干部职工周转房租赁和腾退服务保障工作，坚决打击违规转租、转借周转房等行为，保障干部职工合法权益，不断提升干部职工的满意度，服务干部群众满意度=100%。</w:t>
      </w:r>
      <w:r>
        <w:rPr>
          <w:rFonts w:hint="default" w:ascii="Times New Roman" w:hAnsi="Times New Roman" w:eastAsia="仿宋_GB2312" w:cs="Times New Roman"/>
          <w:b/>
          <w:bCs/>
          <w:color w:val="000000"/>
          <w:kern w:val="0"/>
          <w:sz w:val="32"/>
          <w:szCs w:val="32"/>
          <w:highlight w:val="none"/>
          <w:shd w:val="clear" w:color="auto" w:fill="FFFFFF"/>
          <w:lang w:val="en-US" w:eastAsia="zh-CN"/>
        </w:rPr>
        <w:t>三是</w:t>
      </w:r>
      <w:r>
        <w:rPr>
          <w:rFonts w:hint="default" w:ascii="Times New Roman" w:hAnsi="Times New Roman" w:eastAsia="仿宋_GB2312" w:cs="Times New Roman"/>
          <w:b/>
          <w:bCs/>
          <w:color w:val="000000" w:themeColor="text1"/>
          <w:kern w:val="0"/>
          <w:sz w:val="32"/>
          <w:szCs w:val="32"/>
          <w:highlight w:val="none"/>
          <w:shd w:val="clear" w:color="auto" w:fill="FFFFFF"/>
          <w:lang w:val="zh-CN"/>
          <w14:textFill>
            <w14:solidFill>
              <w14:schemeClr w14:val="tx1"/>
            </w14:solidFill>
          </w14:textFill>
        </w:rPr>
        <w:t>资产与后勤管理履职效果。</w:t>
      </w:r>
      <w:r>
        <w:rPr>
          <w:rFonts w:hint="default" w:ascii="Times New Roman" w:hAnsi="Times New Roman" w:eastAsia="仿宋_GB2312" w:cs="Times New Roman"/>
          <w:color w:val="000000"/>
          <w:kern w:val="0"/>
          <w:sz w:val="32"/>
          <w:szCs w:val="32"/>
          <w:highlight w:val="none"/>
          <w:shd w:val="clear" w:color="auto" w:fill="FFFFFF"/>
          <w:lang w:val="zh-CN"/>
        </w:rPr>
        <w:t>坚持勤俭办一切事务的重要要求，坚持节约、集约、高效原则，持续强化行政事业单位国有资产管理，建立完善资产共享共用、统管统配机制，有效提升资产管理使用效能；高质量完成州民族团结广场综合体运行管理工作，推动集中办公、集中食堂建设和会议服务高效规范有序运转。</w:t>
      </w:r>
      <w:r>
        <w:rPr>
          <w:rFonts w:hint="default" w:ascii="Times New Roman" w:hAnsi="Times New Roman" w:eastAsia="仿宋_GB2312" w:cs="Times New Roman"/>
          <w:b/>
          <w:bCs/>
          <w:color w:val="000000"/>
          <w:kern w:val="0"/>
          <w:sz w:val="32"/>
          <w:szCs w:val="32"/>
          <w:highlight w:val="none"/>
          <w:shd w:val="clear" w:color="auto" w:fill="FFFFFF"/>
          <w:lang w:val="en-US" w:eastAsia="zh-CN"/>
        </w:rPr>
        <w:t>四是公共机构节能管理履职效果。</w:t>
      </w:r>
      <w:r>
        <w:rPr>
          <w:rFonts w:hint="default" w:ascii="Times New Roman" w:hAnsi="Times New Roman" w:eastAsia="仿宋_GB2312" w:cs="Times New Roman"/>
          <w:color w:val="000000"/>
          <w:kern w:val="0"/>
          <w:sz w:val="32"/>
          <w:szCs w:val="32"/>
          <w:highlight w:val="none"/>
          <w:shd w:val="clear" w:color="auto" w:fill="FFFFFF"/>
          <w:lang w:val="zh-CN"/>
        </w:rPr>
        <w:t>极推进国家级、省级节约型公共机构示范单位和节水型单位创建，深入推进公共机构绿色建筑创建行动、能源管理创建、绿色办公出行等重点工作，为实现“双碳”目标贡献公共机构力量。</w:t>
      </w:r>
      <w:r>
        <w:rPr>
          <w:rFonts w:hint="default" w:ascii="Times New Roman" w:hAnsi="Times New Roman" w:eastAsia="仿宋_GB2312" w:cs="Times New Roman"/>
          <w:b/>
          <w:bCs/>
          <w:color w:val="000000"/>
          <w:kern w:val="0"/>
          <w:sz w:val="32"/>
          <w:szCs w:val="32"/>
          <w:highlight w:val="none"/>
          <w:shd w:val="clear" w:color="auto" w:fill="FFFFFF"/>
          <w:lang w:val="en-US" w:eastAsia="zh-CN"/>
        </w:rPr>
        <w:t>五是办公用房管理履职效果。</w:t>
      </w:r>
      <w:r>
        <w:rPr>
          <w:rFonts w:hint="default" w:ascii="Times New Roman" w:hAnsi="Times New Roman" w:eastAsia="仿宋_GB2312" w:cs="Times New Roman"/>
          <w:color w:val="000000"/>
          <w:kern w:val="0"/>
          <w:sz w:val="32"/>
          <w:szCs w:val="32"/>
          <w:highlight w:val="none"/>
          <w:shd w:val="clear" w:color="auto" w:fill="FFFFFF"/>
          <w:lang w:val="zh-CN"/>
        </w:rPr>
        <w:t>设置办公用房统计率=100%，202</w:t>
      </w:r>
      <w:r>
        <w:rPr>
          <w:rFonts w:hint="default"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lang w:val="zh-CN"/>
        </w:rPr>
        <w:t>年办公用房工作坚持厉行节约反对浪费，持续做好202</w:t>
      </w:r>
      <w:r>
        <w:rPr>
          <w:rFonts w:hint="default"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lang w:val="zh-CN"/>
        </w:rPr>
        <w:t>年度办公用房统计全覆盖工作，持续推进使用办公用房监督管理，从严审核办公用房维修改造审核审批工作。</w:t>
      </w:r>
      <w:r>
        <w:rPr>
          <w:rFonts w:hint="default" w:ascii="Times New Roman" w:hAnsi="Times New Roman" w:eastAsia="仿宋_GB2312" w:cs="Times New Roman"/>
          <w:color w:val="000000" w:themeColor="text1"/>
          <w:kern w:val="0"/>
          <w:sz w:val="32"/>
          <w:szCs w:val="32"/>
          <w:highlight w:val="none"/>
          <w:shd w:val="clear" w:color="auto" w:fill="FFFFFF"/>
          <w:lang w:val="zh-CN"/>
          <w14:textFill>
            <w14:solidFill>
              <w14:schemeClr w14:val="tx1"/>
            </w14:solidFill>
          </w14:textFill>
        </w:rPr>
        <w:t>该项指标得分=年终完成履职效果目标数量5÷年初目标设置总5×100%×15=15</w:t>
      </w:r>
      <w:r>
        <w:rPr>
          <w:rFonts w:hint="default" w:ascii="Times New Roman" w:hAnsi="Times New Roman" w:eastAsia="仿宋_GB2312" w:cs="Times New Roman"/>
          <w:color w:val="000000" w:themeColor="text1"/>
          <w:kern w:val="0"/>
          <w:sz w:val="32"/>
          <w:szCs w:val="32"/>
          <w:highlight w:val="none"/>
          <w:shd w:val="clear" w:color="auto" w:fill="FFFFFF"/>
          <w:lang w:val="en-US" w:eastAsia="zh-CN"/>
          <w14:textFill>
            <w14:solidFill>
              <w14:schemeClr w14:val="tx1"/>
            </w14:solidFill>
          </w14:textFill>
        </w:rPr>
        <w:t>分。</w:t>
      </w:r>
    </w:p>
    <w:p w14:paraId="006A723A">
      <w:pPr>
        <w:keepNext w:val="0"/>
        <w:keepLines w:val="0"/>
        <w:pageBreakBefore w:val="0"/>
        <w:widowControl w:val="0"/>
        <w:numPr>
          <w:ilvl w:val="0"/>
          <w:numId w:val="0"/>
        </w:numPr>
        <w:kinsoku/>
        <w:wordWrap/>
        <w:overflowPunct w:val="0"/>
        <w:topLinePunct w:val="0"/>
        <w:autoSpaceDE/>
        <w:autoSpaceDN/>
        <w:bidi w:val="0"/>
        <w:adjustRightInd w:val="0"/>
        <w:snapToGrid w:val="0"/>
        <w:spacing w:line="564" w:lineRule="exact"/>
        <w:ind w:firstLine="643" w:firstLineChars="200"/>
        <w:contextualSpacing/>
        <w:jc w:val="both"/>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仿宋_GB2312" w:hAnsi="仿宋_GB2312" w:eastAsia="仿宋_GB2312" w:cs="仿宋_GB2312"/>
          <w:b/>
          <w:bCs/>
          <w:color w:val="000000"/>
          <w:kern w:val="0"/>
          <w:sz w:val="32"/>
          <w:szCs w:val="32"/>
          <w:highlight w:val="none"/>
          <w:shd w:val="clear" w:color="auto" w:fill="FFFFFF"/>
          <w:lang w:val="en-US" w:eastAsia="zh-CN"/>
        </w:rPr>
        <w:t>2.</w:t>
      </w:r>
      <w:r>
        <w:rPr>
          <w:rFonts w:hint="default" w:ascii="仿宋_GB2312" w:hAnsi="仿宋_GB2312" w:eastAsia="仿宋_GB2312" w:cs="仿宋_GB2312"/>
          <w:b/>
          <w:bCs/>
          <w:color w:val="000000"/>
          <w:kern w:val="0"/>
          <w:sz w:val="32"/>
          <w:szCs w:val="32"/>
          <w:highlight w:val="none"/>
          <w:shd w:val="clear" w:color="auto" w:fill="FFFFFF"/>
          <w:lang w:val="zh-CN" w:eastAsia="zh-CN"/>
        </w:rPr>
        <w:t>预算管理。</w:t>
      </w:r>
      <w:r>
        <w:rPr>
          <w:rFonts w:hint="default" w:ascii="Times New Roman" w:hAnsi="Times New Roman" w:eastAsia="仿宋_GB2312" w:cs="Times New Roman"/>
          <w:color w:val="000000"/>
          <w:kern w:val="0"/>
          <w:sz w:val="32"/>
          <w:szCs w:val="32"/>
          <w:highlight w:val="none"/>
          <w:shd w:val="clear" w:color="auto" w:fill="FFFFFF"/>
          <w:lang w:val="zh-CN"/>
        </w:rPr>
        <w:t>围绕预算编制质量、单位收入统筹、支出执行进度、预算年终结余、严控一般性支出进行绩效分析。</w:t>
      </w:r>
    </w:p>
    <w:p w14:paraId="0F324615">
      <w:pPr>
        <w:keepNext w:val="0"/>
        <w:keepLines w:val="0"/>
        <w:pageBreakBefore w:val="0"/>
        <w:widowControl w:val="0"/>
        <w:numPr>
          <w:ilvl w:val="0"/>
          <w:numId w:val="0"/>
        </w:numPr>
        <w:kinsoku/>
        <w:wordWrap/>
        <w:overflowPunct w:val="0"/>
        <w:topLinePunct w:val="0"/>
        <w:autoSpaceDE/>
        <w:autoSpaceDN/>
        <w:bidi w:val="0"/>
        <w:adjustRightInd w:val="0"/>
        <w:snapToGrid w:val="0"/>
        <w:spacing w:line="564" w:lineRule="exact"/>
        <w:ind w:firstLine="643" w:firstLineChars="200"/>
        <w:contextualSpacing/>
        <w:jc w:val="both"/>
        <w:textAlignment w:val="auto"/>
        <w:outlineLvl w:val="9"/>
        <w:rPr>
          <w:rFonts w:hint="default" w:ascii="Times New Roman" w:hAnsi="Times New Roman" w:eastAsia="仿宋_GB2312" w:cs="Times New Roman"/>
          <w:b w:val="0"/>
          <w:bCs w:val="0"/>
          <w:color w:val="000000"/>
          <w:kern w:val="0"/>
          <w:sz w:val="32"/>
          <w:szCs w:val="32"/>
          <w:highlight w:val="none"/>
          <w:shd w:val="clear" w:color="auto" w:fill="FFFFFF"/>
          <w:lang w:val="en-US" w:eastAsia="zh-CN"/>
        </w:rPr>
      </w:pPr>
      <w:r>
        <w:rPr>
          <w:rFonts w:hint="eastAsia" w:ascii="Times New Roman" w:hAnsi="Times New Roman" w:cs="Times New Roman"/>
          <w:b/>
          <w:bCs/>
          <w:color w:val="000000"/>
          <w:kern w:val="0"/>
          <w:sz w:val="32"/>
          <w:szCs w:val="32"/>
          <w:highlight w:val="none"/>
          <w:shd w:val="clear" w:color="auto" w:fill="FFFFFF"/>
          <w:lang w:val="en-US" w:eastAsia="zh-CN"/>
        </w:rPr>
        <w:t>（1）</w:t>
      </w:r>
      <w:r>
        <w:rPr>
          <w:rFonts w:hint="default" w:ascii="Times New Roman" w:hAnsi="Times New Roman" w:eastAsia="仿宋_GB2312" w:cs="Times New Roman"/>
          <w:b/>
          <w:bCs/>
          <w:color w:val="000000"/>
          <w:kern w:val="0"/>
          <w:sz w:val="32"/>
          <w:szCs w:val="32"/>
          <w:highlight w:val="none"/>
          <w:shd w:val="clear" w:color="auto" w:fill="FFFFFF"/>
          <w:lang w:val="zh-CN"/>
        </w:rPr>
        <w:t>预算编制质量指标。</w:t>
      </w:r>
      <w:r>
        <w:rPr>
          <w:rFonts w:hint="default" w:ascii="Times New Roman" w:hAnsi="Times New Roman" w:eastAsia="仿宋_GB2312" w:cs="Times New Roman"/>
          <w:b w:val="0"/>
          <w:bCs w:val="0"/>
          <w:color w:val="000000"/>
          <w:kern w:val="0"/>
          <w:sz w:val="32"/>
          <w:szCs w:val="32"/>
          <w:highlight w:val="none"/>
          <w:shd w:val="clear" w:color="auto" w:fill="FFFFFF"/>
          <w:lang w:val="zh-CN"/>
        </w:rPr>
        <w:t>部门是否严格按要求编制年初部门预算，年初预算编制的科学性和准确性</w:t>
      </w:r>
      <w:r>
        <w:rPr>
          <w:rFonts w:hint="default" w:ascii="Times New Roman" w:hAnsi="Times New Roman" w:eastAsia="仿宋_GB2312" w:cs="Times New Roman"/>
          <w:b w:val="0"/>
          <w:bCs w:val="0"/>
          <w:color w:val="000000"/>
          <w:kern w:val="0"/>
          <w:sz w:val="32"/>
          <w:szCs w:val="32"/>
          <w:highlight w:val="none"/>
          <w:shd w:val="clear" w:color="auto" w:fill="FFFFFF"/>
          <w:lang w:val="en-US" w:eastAsia="zh-CN"/>
        </w:rPr>
        <w:t>通过</w:t>
      </w:r>
      <w:r>
        <w:rPr>
          <w:rFonts w:hint="default" w:ascii="Times New Roman" w:hAnsi="Times New Roman" w:eastAsia="仿宋_GB2312" w:cs="Times New Roman"/>
          <w:b w:val="0"/>
          <w:bCs w:val="0"/>
          <w:color w:val="000000"/>
          <w:kern w:val="0"/>
          <w:sz w:val="32"/>
          <w:szCs w:val="32"/>
          <w:highlight w:val="none"/>
          <w:shd w:val="clear" w:color="auto" w:fill="FFFFFF"/>
          <w:lang w:val="zh-CN"/>
        </w:rPr>
        <w:t>1.财政拨款预算偏离度：〔财政拨款预算执行数（</w:t>
      </w:r>
      <w:r>
        <w:rPr>
          <w:rFonts w:hint="default" w:ascii="Times New Roman" w:hAnsi="Times New Roman" w:eastAsia="仿宋_GB2312" w:cs="Times New Roman"/>
          <w:b w:val="0"/>
          <w:bCs w:val="0"/>
          <w:color w:val="000000"/>
          <w:kern w:val="0"/>
          <w:sz w:val="32"/>
          <w:szCs w:val="32"/>
          <w:highlight w:val="none"/>
          <w:shd w:val="clear" w:color="auto" w:fill="FFFFFF"/>
          <w:lang w:val="en-US" w:eastAsia="zh-CN"/>
        </w:rPr>
        <w:t>831.74</w:t>
      </w:r>
      <w:r>
        <w:rPr>
          <w:rFonts w:hint="default" w:ascii="Times New Roman" w:hAnsi="Times New Roman" w:eastAsia="仿宋_GB2312" w:cs="Times New Roman"/>
          <w:b w:val="0"/>
          <w:bCs w:val="0"/>
          <w:color w:val="000000"/>
          <w:kern w:val="0"/>
          <w:sz w:val="32"/>
          <w:szCs w:val="32"/>
          <w:highlight w:val="none"/>
          <w:shd w:val="clear" w:color="auto" w:fill="FFFFFF"/>
          <w:lang w:val="zh-CN"/>
        </w:rPr>
        <w:t>万元）-财政拨款年初预算数（</w:t>
      </w:r>
      <w:r>
        <w:rPr>
          <w:rFonts w:hint="default" w:ascii="Times New Roman" w:hAnsi="Times New Roman" w:eastAsia="仿宋_GB2312" w:cs="Times New Roman"/>
          <w:b w:val="0"/>
          <w:bCs w:val="0"/>
          <w:color w:val="000000"/>
          <w:kern w:val="0"/>
          <w:sz w:val="32"/>
          <w:szCs w:val="32"/>
          <w:highlight w:val="none"/>
          <w:shd w:val="clear" w:color="auto" w:fill="FFFFFF"/>
          <w:lang w:val="en-US" w:eastAsia="zh-CN"/>
        </w:rPr>
        <w:t>625.33</w:t>
      </w:r>
      <w:r>
        <w:rPr>
          <w:rFonts w:hint="default" w:ascii="Times New Roman" w:hAnsi="Times New Roman" w:eastAsia="仿宋_GB2312" w:cs="Times New Roman"/>
          <w:b w:val="0"/>
          <w:bCs w:val="0"/>
          <w:color w:val="000000"/>
          <w:kern w:val="0"/>
          <w:sz w:val="32"/>
          <w:szCs w:val="32"/>
          <w:highlight w:val="none"/>
          <w:shd w:val="clear" w:color="auto" w:fill="FFFFFF"/>
          <w:lang w:val="zh-CN"/>
        </w:rPr>
        <w:t>万元）〕÷财政拨款年初预算数（</w:t>
      </w:r>
      <w:r>
        <w:rPr>
          <w:rFonts w:hint="default" w:ascii="Times New Roman" w:hAnsi="Times New Roman" w:eastAsia="仿宋_GB2312" w:cs="Times New Roman"/>
          <w:b w:val="0"/>
          <w:bCs w:val="0"/>
          <w:color w:val="000000"/>
          <w:kern w:val="0"/>
          <w:sz w:val="32"/>
          <w:szCs w:val="32"/>
          <w:highlight w:val="none"/>
          <w:shd w:val="clear" w:color="auto" w:fill="FFFFFF"/>
          <w:lang w:val="en-US" w:eastAsia="zh-CN"/>
        </w:rPr>
        <w:t>625.33</w:t>
      </w:r>
      <w:r>
        <w:rPr>
          <w:rFonts w:hint="default" w:ascii="Times New Roman" w:hAnsi="Times New Roman" w:eastAsia="仿宋_GB2312" w:cs="Times New Roman"/>
          <w:b w:val="0"/>
          <w:bCs w:val="0"/>
          <w:color w:val="000000"/>
          <w:kern w:val="0"/>
          <w:sz w:val="32"/>
          <w:szCs w:val="32"/>
          <w:highlight w:val="none"/>
          <w:shd w:val="clear" w:color="auto" w:fill="FFFFFF"/>
          <w:lang w:val="zh-CN"/>
        </w:rPr>
        <w:t>万元）=</w:t>
      </w:r>
      <w:r>
        <w:rPr>
          <w:rFonts w:hint="default" w:ascii="Times New Roman" w:hAnsi="Times New Roman" w:eastAsia="仿宋_GB2312" w:cs="Times New Roman"/>
          <w:b w:val="0"/>
          <w:bCs w:val="0"/>
          <w:color w:val="000000"/>
          <w:kern w:val="0"/>
          <w:sz w:val="32"/>
          <w:szCs w:val="32"/>
          <w:highlight w:val="none"/>
          <w:shd w:val="clear" w:color="auto" w:fill="FFFFFF"/>
          <w:lang w:val="en-US" w:eastAsia="zh-CN"/>
        </w:rPr>
        <w:t>21.27</w:t>
      </w:r>
      <w:r>
        <w:rPr>
          <w:rFonts w:hint="default" w:ascii="Times New Roman" w:hAnsi="Times New Roman" w:eastAsia="仿宋_GB2312" w:cs="Times New Roman"/>
          <w:b w:val="0"/>
          <w:bCs w:val="0"/>
          <w:color w:val="000000"/>
          <w:kern w:val="0"/>
          <w:sz w:val="32"/>
          <w:szCs w:val="32"/>
          <w:highlight w:val="none"/>
          <w:shd w:val="clear" w:color="auto" w:fill="FFFFFF"/>
          <w:lang w:val="zh-CN"/>
        </w:rPr>
        <w:t>%；2.资产配置预算偏离度：</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zh-CN"/>
          <w14:textFill>
            <w14:solidFill>
              <w14:schemeClr w14:val="tx1"/>
            </w14:solidFill>
          </w14:textFill>
        </w:rPr>
        <w:t>〔资产配置预算执行数（</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en-US" w:eastAsia="zh-CN"/>
          <w14:textFill>
            <w14:solidFill>
              <w14:schemeClr w14:val="tx1"/>
            </w14:solidFill>
          </w14:textFill>
        </w:rPr>
        <w:t>22.15</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zh-CN"/>
          <w14:textFill>
            <w14:solidFill>
              <w14:schemeClr w14:val="tx1"/>
            </w14:solidFill>
          </w14:textFill>
        </w:rPr>
        <w:t>万元）-资产配置年初预算数（</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en-US" w:eastAsia="zh-CN"/>
          <w14:textFill>
            <w14:solidFill>
              <w14:schemeClr w14:val="tx1"/>
            </w14:solidFill>
          </w14:textFill>
        </w:rPr>
        <w:t>22.15</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zh-CN"/>
          <w14:textFill>
            <w14:solidFill>
              <w14:schemeClr w14:val="tx1"/>
            </w14:solidFill>
          </w14:textFill>
        </w:rPr>
        <w:t>万元）〕÷资产配置年初预算数（</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en-US" w:eastAsia="zh-CN"/>
          <w14:textFill>
            <w14:solidFill>
              <w14:schemeClr w14:val="tx1"/>
            </w14:solidFill>
          </w14:textFill>
        </w:rPr>
        <w:t>22.15</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zh-CN"/>
          <w14:textFill>
            <w14:solidFill>
              <w14:schemeClr w14:val="tx1"/>
            </w14:solidFill>
          </w14:textFill>
        </w:rPr>
        <w:t>万元）=0%</w:t>
      </w:r>
      <w:r>
        <w:rPr>
          <w:rFonts w:hint="default" w:ascii="Times New Roman" w:hAnsi="Times New Roman" w:eastAsia="仿宋_GB2312" w:cs="Times New Roman"/>
          <w:b w:val="0"/>
          <w:bCs w:val="0"/>
          <w:color w:val="000000"/>
          <w:kern w:val="0"/>
          <w:sz w:val="32"/>
          <w:szCs w:val="32"/>
          <w:highlight w:val="none"/>
          <w:shd w:val="clear" w:color="auto" w:fill="FFFFFF"/>
          <w:lang w:val="zh-CN"/>
        </w:rPr>
        <w:t>；3.政府采购预算偏离度：〔政府采购预算执行数（</w:t>
      </w:r>
      <w:r>
        <w:rPr>
          <w:rFonts w:hint="default" w:ascii="Times New Roman" w:hAnsi="Times New Roman" w:eastAsia="仿宋_GB2312" w:cs="Times New Roman"/>
          <w:b w:val="0"/>
          <w:bCs w:val="0"/>
          <w:color w:val="000000"/>
          <w:kern w:val="0"/>
          <w:sz w:val="32"/>
          <w:szCs w:val="32"/>
          <w:highlight w:val="none"/>
          <w:shd w:val="clear" w:color="auto" w:fill="FFFFFF"/>
          <w:lang w:val="en-US" w:eastAsia="zh-CN"/>
        </w:rPr>
        <w:t>46.79</w:t>
      </w:r>
      <w:r>
        <w:rPr>
          <w:rFonts w:hint="default" w:ascii="Times New Roman" w:hAnsi="Times New Roman" w:eastAsia="仿宋_GB2312" w:cs="Times New Roman"/>
          <w:b w:val="0"/>
          <w:bCs w:val="0"/>
          <w:color w:val="000000"/>
          <w:kern w:val="0"/>
          <w:sz w:val="32"/>
          <w:szCs w:val="32"/>
          <w:highlight w:val="none"/>
          <w:shd w:val="clear" w:color="auto" w:fill="FFFFFF"/>
          <w:lang w:val="zh-CN"/>
        </w:rPr>
        <w:t>万元）-政府采购年初预算数（</w:t>
      </w:r>
      <w:r>
        <w:rPr>
          <w:rFonts w:hint="default" w:ascii="Times New Roman" w:hAnsi="Times New Roman" w:eastAsia="仿宋_GB2312" w:cs="Times New Roman"/>
          <w:b w:val="0"/>
          <w:bCs w:val="0"/>
          <w:color w:val="000000"/>
          <w:kern w:val="0"/>
          <w:sz w:val="32"/>
          <w:szCs w:val="32"/>
          <w:highlight w:val="none"/>
          <w:shd w:val="clear" w:color="auto" w:fill="FFFFFF"/>
          <w:lang w:val="en-US" w:eastAsia="zh-CN"/>
        </w:rPr>
        <w:t>26.58</w:t>
      </w:r>
      <w:r>
        <w:rPr>
          <w:rFonts w:hint="default" w:ascii="Times New Roman" w:hAnsi="Times New Roman" w:eastAsia="仿宋_GB2312" w:cs="Times New Roman"/>
          <w:b w:val="0"/>
          <w:bCs w:val="0"/>
          <w:color w:val="000000"/>
          <w:kern w:val="0"/>
          <w:sz w:val="32"/>
          <w:szCs w:val="32"/>
          <w:highlight w:val="none"/>
          <w:shd w:val="clear" w:color="auto" w:fill="FFFFFF"/>
          <w:lang w:val="zh-CN"/>
        </w:rPr>
        <w:t>万元）〕÷政府采购年初预算数（</w:t>
      </w:r>
      <w:r>
        <w:rPr>
          <w:rFonts w:hint="default" w:ascii="Times New Roman" w:hAnsi="Times New Roman" w:eastAsia="仿宋_GB2312" w:cs="Times New Roman"/>
          <w:b w:val="0"/>
          <w:bCs w:val="0"/>
          <w:color w:val="000000"/>
          <w:kern w:val="0"/>
          <w:sz w:val="32"/>
          <w:szCs w:val="32"/>
          <w:highlight w:val="none"/>
          <w:shd w:val="clear" w:color="auto" w:fill="FFFFFF"/>
          <w:lang w:val="en-US" w:eastAsia="zh-CN"/>
        </w:rPr>
        <w:t>26.58</w:t>
      </w:r>
      <w:r>
        <w:rPr>
          <w:rFonts w:hint="default" w:ascii="Times New Roman" w:hAnsi="Times New Roman" w:eastAsia="仿宋_GB2312" w:cs="Times New Roman"/>
          <w:b w:val="0"/>
          <w:bCs w:val="0"/>
          <w:color w:val="000000"/>
          <w:kern w:val="0"/>
          <w:sz w:val="32"/>
          <w:szCs w:val="32"/>
          <w:highlight w:val="none"/>
          <w:shd w:val="clear" w:color="auto" w:fill="FFFFFF"/>
          <w:lang w:val="zh-CN"/>
        </w:rPr>
        <w:t>万元）=</w:t>
      </w:r>
      <w:r>
        <w:rPr>
          <w:rFonts w:hint="default" w:ascii="Times New Roman" w:hAnsi="Times New Roman" w:eastAsia="仿宋_GB2312" w:cs="Times New Roman"/>
          <w:b w:val="0"/>
          <w:bCs w:val="0"/>
          <w:color w:val="000000"/>
          <w:kern w:val="0"/>
          <w:sz w:val="32"/>
          <w:szCs w:val="32"/>
          <w:highlight w:val="none"/>
          <w:shd w:val="clear" w:color="auto" w:fill="FFFFFF"/>
          <w:lang w:val="en-US" w:eastAsia="zh-CN"/>
        </w:rPr>
        <w:t>76</w:t>
      </w:r>
      <w:r>
        <w:rPr>
          <w:rFonts w:hint="default" w:ascii="Times New Roman" w:hAnsi="Times New Roman" w:eastAsia="仿宋_GB2312" w:cs="Times New Roman"/>
          <w:b w:val="0"/>
          <w:bCs w:val="0"/>
          <w:color w:val="000000"/>
          <w:kern w:val="0"/>
          <w:sz w:val="32"/>
          <w:szCs w:val="32"/>
          <w:highlight w:val="none"/>
          <w:shd w:val="clear" w:color="auto" w:fill="FFFFFF"/>
          <w:lang w:val="zh-CN"/>
        </w:rPr>
        <w:t>%。</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zh-CN"/>
          <w14:textFill>
            <w14:solidFill>
              <w14:schemeClr w14:val="tx1"/>
            </w14:solidFill>
          </w14:textFill>
        </w:rPr>
        <w:t>该项指标得分=（1-财政拨款预算偏离度</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en-US" w:eastAsia="zh-CN"/>
          <w14:textFill>
            <w14:solidFill>
              <w14:schemeClr w14:val="tx1"/>
            </w14:solidFill>
          </w14:textFill>
        </w:rPr>
        <w:t>21.27</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zh-CN"/>
          <w14:textFill>
            <w14:solidFill>
              <w14:schemeClr w14:val="tx1"/>
            </w14:solidFill>
          </w14:textFill>
        </w:rPr>
        <w:t>%）×100%×</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en-US" w:eastAsia="zh-CN"/>
          <w14:textFill>
            <w14:solidFill>
              <w14:schemeClr w14:val="tx1"/>
            </w14:solidFill>
          </w14:textFill>
        </w:rPr>
        <w:t>4</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zh-CN"/>
          <w14:textFill>
            <w14:solidFill>
              <w14:schemeClr w14:val="tx1"/>
            </w14:solidFill>
          </w14:textFill>
        </w:rPr>
        <w:t>+（1-资产配置预算偏离度0%）×100%×3+（1-政府采购预算偏离度</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en-US" w:eastAsia="zh-CN"/>
          <w14:textFill>
            <w14:solidFill>
              <w14:schemeClr w14:val="tx1"/>
            </w14:solidFill>
          </w14:textFill>
        </w:rPr>
        <w:t>76</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zh-CN"/>
          <w14:textFill>
            <w14:solidFill>
              <w14:schemeClr w14:val="tx1"/>
            </w14:solidFill>
          </w14:textFill>
        </w:rPr>
        <w:t>%）×100%×</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en-US" w:eastAsia="zh-CN"/>
          <w14:textFill>
            <w14:solidFill>
              <w14:schemeClr w14:val="tx1"/>
            </w14:solidFill>
          </w14:textFill>
        </w:rPr>
        <w:t>2</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zh-CN"/>
          <w14:textFill>
            <w14:solidFill>
              <w14:schemeClr w14:val="tx1"/>
            </w14:solidFill>
          </w14:textFill>
        </w:rPr>
        <w:t>=</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en-US" w:eastAsia="zh-CN"/>
          <w14:textFill>
            <w14:solidFill>
              <w14:schemeClr w14:val="tx1"/>
            </w14:solidFill>
          </w14:textFill>
        </w:rPr>
        <w:t>6.63分</w:t>
      </w:r>
      <w:r>
        <w:rPr>
          <w:rFonts w:hint="default" w:ascii="Times New Roman" w:hAnsi="Times New Roman" w:eastAsia="仿宋_GB2312" w:cs="Times New Roman"/>
          <w:b w:val="0"/>
          <w:bCs w:val="0"/>
          <w:color w:val="000000"/>
          <w:kern w:val="0"/>
          <w:sz w:val="32"/>
          <w:szCs w:val="32"/>
          <w:highlight w:val="none"/>
          <w:shd w:val="clear" w:color="auto" w:fill="FFFFFF"/>
          <w:lang w:val="en-US" w:eastAsia="zh-CN"/>
        </w:rPr>
        <w:t>。</w:t>
      </w:r>
    </w:p>
    <w:p w14:paraId="4BC5286D">
      <w:pPr>
        <w:keepNext w:val="0"/>
        <w:keepLines w:val="0"/>
        <w:pageBreakBefore w:val="0"/>
        <w:widowControl w:val="0"/>
        <w:numPr>
          <w:ilvl w:val="0"/>
          <w:numId w:val="0"/>
        </w:numPr>
        <w:kinsoku/>
        <w:wordWrap/>
        <w:overflowPunct w:val="0"/>
        <w:topLinePunct w:val="0"/>
        <w:autoSpaceDE/>
        <w:autoSpaceDN/>
        <w:bidi w:val="0"/>
        <w:adjustRightInd w:val="0"/>
        <w:snapToGrid w:val="0"/>
        <w:spacing w:line="564" w:lineRule="exact"/>
        <w:ind w:firstLine="643" w:firstLineChars="200"/>
        <w:contextualSpacing/>
        <w:jc w:val="both"/>
        <w:textAlignment w:val="auto"/>
        <w:outlineLvl w:val="9"/>
        <w:rPr>
          <w:rFonts w:hint="default" w:ascii="Times New Roman" w:hAnsi="Times New Roman" w:eastAsia="仿宋_GB2312" w:cs="Times New Roman"/>
          <w:color w:val="000000"/>
          <w:kern w:val="0"/>
          <w:sz w:val="32"/>
          <w:szCs w:val="32"/>
          <w:highlight w:val="none"/>
          <w:shd w:val="clear" w:color="auto" w:fill="FFFFFF"/>
          <w:lang w:val="en-US" w:eastAsia="zh-CN"/>
        </w:rPr>
      </w:pPr>
      <w:r>
        <w:rPr>
          <w:rFonts w:hint="eastAsia" w:ascii="仿宋_GB2312" w:hAnsi="仿宋_GB2312" w:cs="仿宋_GB2312"/>
          <w:b/>
          <w:bCs/>
          <w:color w:val="000000"/>
          <w:kern w:val="0"/>
          <w:sz w:val="32"/>
          <w:szCs w:val="32"/>
          <w:highlight w:val="none"/>
          <w:shd w:val="clear" w:color="auto" w:fill="FFFFFF"/>
          <w:lang w:val="en-US" w:eastAsia="zh-CN"/>
        </w:rPr>
        <w:t>（2）</w:t>
      </w:r>
      <w:r>
        <w:rPr>
          <w:rFonts w:hint="default" w:ascii="仿宋_GB2312" w:hAnsi="仿宋_GB2312" w:eastAsia="仿宋_GB2312" w:cs="仿宋_GB2312"/>
          <w:b/>
          <w:bCs/>
          <w:color w:val="000000"/>
          <w:kern w:val="0"/>
          <w:sz w:val="32"/>
          <w:szCs w:val="32"/>
          <w:highlight w:val="none"/>
          <w:shd w:val="clear" w:color="auto" w:fill="FFFFFF"/>
          <w:lang w:val="zh-CN" w:eastAsia="zh-CN"/>
        </w:rPr>
        <w:t>支出执行进度。</w:t>
      </w:r>
      <w:r>
        <w:rPr>
          <w:rFonts w:hint="default" w:ascii="Times New Roman" w:hAnsi="Times New Roman" w:eastAsia="仿宋_GB2312" w:cs="Times New Roman"/>
          <w:b w:val="0"/>
          <w:bCs w:val="0"/>
          <w:color w:val="000000"/>
          <w:kern w:val="0"/>
          <w:sz w:val="32"/>
          <w:szCs w:val="32"/>
          <w:highlight w:val="none"/>
          <w:shd w:val="clear" w:color="auto" w:fill="FFFFFF"/>
          <w:lang w:val="zh-CN"/>
        </w:rPr>
        <w:t>部门1至6月、1至10月预算执行情况</w:t>
      </w:r>
      <w:r>
        <w:rPr>
          <w:rFonts w:hint="default" w:ascii="Times New Roman" w:hAnsi="Times New Roman" w:eastAsia="仿宋_GB2312" w:cs="Times New Roman"/>
          <w:b w:val="0"/>
          <w:bCs w:val="0"/>
          <w:color w:val="000000"/>
          <w:kern w:val="0"/>
          <w:sz w:val="32"/>
          <w:szCs w:val="32"/>
          <w:highlight w:val="none"/>
          <w:shd w:val="clear" w:color="auto" w:fill="FFFFFF"/>
          <w:lang w:val="en-US" w:eastAsia="zh-CN"/>
        </w:rPr>
        <w:t>是</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zh-CN"/>
          <w14:textFill>
            <w14:solidFill>
              <w14:schemeClr w14:val="tx1"/>
            </w14:solidFill>
          </w14:textFill>
        </w:rPr>
        <w:t>（1至6月预算执行数</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en-US" w:eastAsia="zh-CN"/>
          <w14:textFill>
            <w14:solidFill>
              <w14:schemeClr w14:val="tx1"/>
            </w14:solidFill>
          </w14:textFill>
        </w:rPr>
        <w:t>146.74</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zh-CN"/>
          <w14:textFill>
            <w14:solidFill>
              <w14:schemeClr w14:val="tx1"/>
            </w14:solidFill>
          </w14:textFill>
        </w:rPr>
        <w:t>÷（部门预算数</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en-US" w:eastAsia="zh-CN"/>
          <w14:textFill>
            <w14:solidFill>
              <w14:schemeClr w14:val="tx1"/>
            </w14:solidFill>
          </w14:textFill>
        </w:rPr>
        <w:t>625.33</w:t>
      </w:r>
      <w:r>
        <w:rPr>
          <w:rFonts w:hint="default" w:ascii="Times New Roman" w:hAnsi="Times New Roman" w:eastAsia="仿宋_GB2312" w:cs="Times New Roman"/>
          <w:b w:val="0"/>
          <w:bCs w:val="0"/>
          <w:color w:val="000000" w:themeColor="text1"/>
          <w:kern w:val="0"/>
          <w:sz w:val="32"/>
          <w:szCs w:val="32"/>
          <w:highlight w:val="none"/>
          <w:shd w:val="clear" w:color="auto" w:fill="FFFFFF"/>
          <w:lang w:val="zh-CN"/>
          <w14:textFill>
            <w14:solidFill>
              <w14:schemeClr w14:val="tx1"/>
            </w14:solidFill>
          </w14:textFill>
        </w:rPr>
        <w:t>×50%）×2）+（1-1至6月支出预警金额占比0×0.8-1至6月支出违规金额占比×0.2）+（1</w:t>
      </w:r>
      <w:r>
        <w:rPr>
          <w:rFonts w:hint="default" w:ascii="Times New Roman" w:hAnsi="Times New Roman" w:eastAsia="仿宋_GB2312" w:cs="Times New Roman"/>
          <w:color w:val="000000"/>
          <w:kern w:val="0"/>
          <w:sz w:val="32"/>
          <w:szCs w:val="32"/>
          <w:highlight w:val="none"/>
          <w:shd w:val="clear" w:color="auto" w:fill="FFFFFF"/>
          <w:lang w:val="zh-CN"/>
        </w:rPr>
        <w:t>至10月预算执行数</w:t>
      </w:r>
      <w:r>
        <w:rPr>
          <w:rFonts w:hint="default" w:ascii="Times New Roman" w:hAnsi="Times New Roman" w:eastAsia="仿宋_GB2312" w:cs="Times New Roman"/>
          <w:color w:val="000000"/>
          <w:kern w:val="0"/>
          <w:sz w:val="32"/>
          <w:szCs w:val="32"/>
          <w:highlight w:val="none"/>
          <w:shd w:val="clear" w:color="auto" w:fill="FFFFFF"/>
          <w:lang w:val="en-US" w:eastAsia="zh-CN"/>
        </w:rPr>
        <w:t>248.95</w:t>
      </w:r>
      <w:r>
        <w:rPr>
          <w:rFonts w:hint="default" w:ascii="Times New Roman" w:hAnsi="Times New Roman" w:eastAsia="仿宋_GB2312" w:cs="Times New Roman"/>
          <w:color w:val="000000"/>
          <w:kern w:val="0"/>
          <w:sz w:val="32"/>
          <w:szCs w:val="32"/>
          <w:highlight w:val="none"/>
          <w:shd w:val="clear" w:color="auto" w:fill="FFFFFF"/>
          <w:lang w:val="zh-CN"/>
        </w:rPr>
        <w:t>÷（部门预算数</w:t>
      </w:r>
      <w:r>
        <w:rPr>
          <w:rFonts w:hint="default" w:ascii="Times New Roman" w:hAnsi="Times New Roman" w:eastAsia="仿宋_GB2312" w:cs="Times New Roman"/>
          <w:kern w:val="0"/>
          <w:sz w:val="32"/>
          <w:szCs w:val="32"/>
          <w:lang w:val="en-US" w:eastAsia="zh-CN"/>
        </w:rPr>
        <w:t>625.33</w:t>
      </w:r>
      <w:r>
        <w:rPr>
          <w:rFonts w:hint="default" w:ascii="Times New Roman" w:hAnsi="Times New Roman" w:eastAsia="仿宋_GB2312" w:cs="Times New Roman"/>
          <w:color w:val="000000"/>
          <w:kern w:val="0"/>
          <w:sz w:val="32"/>
          <w:szCs w:val="32"/>
          <w:highlight w:val="none"/>
          <w:shd w:val="clear" w:color="auto" w:fill="FFFFFF"/>
          <w:lang w:val="zh-CN"/>
        </w:rPr>
        <w:t>×83.33%）×2）+（1-1至10月支出预警金额占比0×0.8-1至10月支出违规金额占比0×0.2）=</w:t>
      </w:r>
      <w:r>
        <w:rPr>
          <w:rFonts w:hint="default" w:ascii="Times New Roman" w:hAnsi="Times New Roman" w:eastAsia="仿宋_GB2312" w:cs="Times New Roman"/>
          <w:color w:val="000000"/>
          <w:kern w:val="0"/>
          <w:sz w:val="32"/>
          <w:szCs w:val="32"/>
          <w:highlight w:val="none"/>
          <w:shd w:val="clear" w:color="auto" w:fill="FFFFFF"/>
          <w:lang w:val="en-US" w:eastAsia="zh-CN"/>
        </w:rPr>
        <w:t>4分。</w:t>
      </w:r>
    </w:p>
    <w:p w14:paraId="661185A8">
      <w:pPr>
        <w:keepNext w:val="0"/>
        <w:keepLines w:val="0"/>
        <w:pageBreakBefore w:val="0"/>
        <w:widowControl w:val="0"/>
        <w:numPr>
          <w:ilvl w:val="0"/>
          <w:numId w:val="0"/>
        </w:numPr>
        <w:kinsoku/>
        <w:wordWrap/>
        <w:overflowPunct w:val="0"/>
        <w:topLinePunct w:val="0"/>
        <w:autoSpaceDE/>
        <w:autoSpaceDN/>
        <w:bidi w:val="0"/>
        <w:adjustRightInd w:val="0"/>
        <w:snapToGrid w:val="0"/>
        <w:spacing w:line="564" w:lineRule="exact"/>
        <w:ind w:firstLine="643" w:firstLineChars="200"/>
        <w:contextualSpacing/>
        <w:jc w:val="both"/>
        <w:textAlignment w:val="auto"/>
        <w:outlineLvl w:val="9"/>
        <w:rPr>
          <w:rFonts w:hint="default" w:ascii="Times New Roman" w:hAnsi="Times New Roman" w:eastAsia="仿宋_GB2312" w:cs="Times New Roman"/>
          <w:b w:val="0"/>
          <w:bCs w:val="0"/>
          <w:color w:val="000000"/>
          <w:kern w:val="0"/>
          <w:sz w:val="32"/>
          <w:szCs w:val="32"/>
          <w:highlight w:val="none"/>
          <w:shd w:val="clear" w:color="auto" w:fill="FFFFFF"/>
          <w:lang w:val="en-US" w:eastAsia="zh-CN"/>
        </w:rPr>
      </w:pPr>
      <w:r>
        <w:rPr>
          <w:rFonts w:hint="eastAsia" w:ascii="Times New Roman" w:hAnsi="Times New Roman" w:cs="Times New Roman"/>
          <w:b/>
          <w:bCs/>
          <w:color w:val="000000"/>
          <w:kern w:val="0"/>
          <w:sz w:val="32"/>
          <w:szCs w:val="32"/>
          <w:highlight w:val="none"/>
          <w:shd w:val="clear" w:color="auto" w:fill="FFFFFF"/>
          <w:lang w:val="en-US" w:eastAsia="zh-CN"/>
        </w:rPr>
        <w:t>（3）</w:t>
      </w:r>
      <w:r>
        <w:rPr>
          <w:rFonts w:hint="default" w:ascii="Times New Roman" w:hAnsi="Times New Roman" w:eastAsia="仿宋_GB2312" w:cs="Times New Roman"/>
          <w:b/>
          <w:bCs/>
          <w:color w:val="000000"/>
          <w:kern w:val="0"/>
          <w:sz w:val="32"/>
          <w:szCs w:val="32"/>
          <w:highlight w:val="none"/>
          <w:shd w:val="clear" w:color="auto" w:fill="FFFFFF"/>
          <w:lang w:val="en-US" w:eastAsia="zh-CN"/>
        </w:rPr>
        <w:t>预算年终结余。</w:t>
      </w:r>
      <w:r>
        <w:rPr>
          <w:rFonts w:hint="default" w:ascii="Times New Roman" w:hAnsi="Times New Roman" w:eastAsia="仿宋_GB2312" w:cs="Times New Roman"/>
          <w:b w:val="0"/>
          <w:bCs w:val="0"/>
          <w:color w:val="000000"/>
          <w:kern w:val="0"/>
          <w:sz w:val="32"/>
          <w:szCs w:val="32"/>
          <w:highlight w:val="none"/>
          <w:shd w:val="clear" w:color="auto" w:fill="FFFFFF"/>
          <w:lang w:val="en-US" w:eastAsia="zh-CN"/>
        </w:rPr>
        <w:t>部门整体年终预算结余情况是按部门整体预算结余率：（年终部门预算注销金额合计0+年终部门预算结转金额合计0万元）÷调整后的年度部门预算数753.26万元=0% ，该项指标得分=（1-部门整体预算结余率0%）×100%×2=2分。</w:t>
      </w:r>
    </w:p>
    <w:p w14:paraId="7BAABED1">
      <w:pPr>
        <w:keepNext w:val="0"/>
        <w:keepLines w:val="0"/>
        <w:pageBreakBefore w:val="0"/>
        <w:widowControl w:val="0"/>
        <w:numPr>
          <w:ilvl w:val="0"/>
          <w:numId w:val="0"/>
        </w:numPr>
        <w:kinsoku/>
        <w:wordWrap/>
        <w:overflowPunct w:val="0"/>
        <w:topLinePunct w:val="0"/>
        <w:autoSpaceDE/>
        <w:autoSpaceDN/>
        <w:bidi w:val="0"/>
        <w:adjustRightInd w:val="0"/>
        <w:snapToGrid w:val="0"/>
        <w:spacing w:line="564" w:lineRule="exact"/>
        <w:ind w:firstLine="643" w:firstLineChars="200"/>
        <w:contextualSpacing/>
        <w:jc w:val="both"/>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cs="Times New Roman"/>
          <w:b/>
          <w:bCs/>
          <w:color w:val="000000"/>
          <w:kern w:val="0"/>
          <w:sz w:val="32"/>
          <w:szCs w:val="32"/>
          <w:highlight w:val="none"/>
          <w:shd w:val="clear" w:color="auto" w:fill="FFFFFF"/>
          <w:lang w:val="en-US" w:eastAsia="zh-CN"/>
        </w:rPr>
        <w:t>（4）</w:t>
      </w:r>
      <w:r>
        <w:rPr>
          <w:rFonts w:hint="default" w:ascii="Times New Roman" w:hAnsi="Times New Roman" w:eastAsia="仿宋_GB2312" w:cs="Times New Roman"/>
          <w:b/>
          <w:bCs/>
          <w:color w:val="000000"/>
          <w:kern w:val="0"/>
          <w:sz w:val="32"/>
          <w:szCs w:val="32"/>
          <w:highlight w:val="none"/>
          <w:shd w:val="clear" w:color="auto" w:fill="FFFFFF"/>
          <w:lang w:val="en-US" w:eastAsia="zh-CN"/>
        </w:rPr>
        <w:t>严控一般性支出</w:t>
      </w:r>
      <w:r>
        <w:rPr>
          <w:rFonts w:hint="default" w:ascii="Times New Roman" w:hAnsi="Times New Roman" w:eastAsia="仿宋_GB2312" w:cs="Times New Roman"/>
          <w:b w:val="0"/>
          <w:bCs w:val="0"/>
          <w:color w:val="000000"/>
          <w:kern w:val="0"/>
          <w:sz w:val="32"/>
          <w:szCs w:val="32"/>
          <w:highlight w:val="none"/>
          <w:shd w:val="clear" w:color="auto" w:fill="FFFFFF"/>
          <w:lang w:val="en-US" w:eastAsia="zh-CN"/>
        </w:rPr>
        <w:t>。部门严控“三公”经费、会议、培训、差旅、办节办展、办公设备购置、信息网络及软件购置更新、课题经费等8项一般性支出情况。2024年8项一般性支出执行数121.34万元，2023年执行数59.59万元。2024年8项一般性支出年初预算数57.53万元，2023年预算数77.68万元。</w:t>
      </w:r>
      <w:r>
        <w:rPr>
          <w:rFonts w:hint="default" w:ascii="Times New Roman" w:hAnsi="Times New Roman" w:eastAsia="仿宋_GB2312" w:cs="Times New Roman"/>
          <w:b/>
          <w:bCs/>
          <w:color w:val="000000"/>
          <w:kern w:val="0"/>
          <w:sz w:val="32"/>
          <w:szCs w:val="32"/>
          <w:highlight w:val="none"/>
          <w:shd w:val="clear" w:color="auto" w:fill="FFFFFF"/>
          <w:lang w:val="en-US" w:eastAsia="zh-CN"/>
        </w:rPr>
        <w:t>基础分值</w:t>
      </w:r>
      <w:r>
        <w:rPr>
          <w:rFonts w:hint="default" w:ascii="Times New Roman" w:hAnsi="Times New Roman" w:eastAsia="仿宋_GB2312" w:cs="Times New Roman"/>
          <w:b w:val="0"/>
          <w:bCs w:val="0"/>
          <w:color w:val="000000"/>
          <w:kern w:val="0"/>
          <w:sz w:val="32"/>
          <w:szCs w:val="32"/>
          <w:highlight w:val="none"/>
          <w:shd w:val="clear" w:color="auto" w:fill="FFFFFF"/>
          <w:lang w:val="en-US" w:eastAsia="zh-CN"/>
        </w:rPr>
        <w:t>。一般性支出财政拨款年初预算57.53万元小于上年77.68万元，实现压减该项基础分得1分；</w:t>
      </w:r>
      <w:r>
        <w:rPr>
          <w:rFonts w:hint="default" w:ascii="Times New Roman" w:hAnsi="Times New Roman" w:eastAsia="仿宋_GB2312" w:cs="Times New Roman"/>
          <w:b w:val="0"/>
          <w:bCs w:val="0"/>
          <w:color w:val="auto"/>
          <w:kern w:val="0"/>
          <w:sz w:val="32"/>
          <w:szCs w:val="32"/>
          <w:highlight w:val="none"/>
          <w:shd w:val="clear" w:color="auto" w:fill="FFFFFF"/>
          <w:lang w:val="en-US" w:eastAsia="zh-CN"/>
        </w:rPr>
        <w:t>一般性支</w:t>
      </w:r>
      <w:r>
        <w:rPr>
          <w:rFonts w:hint="default" w:ascii="Times New Roman" w:hAnsi="Times New Roman" w:eastAsia="仿宋_GB2312" w:cs="Times New Roman"/>
          <w:b w:val="0"/>
          <w:bCs w:val="0"/>
          <w:color w:val="000000"/>
          <w:kern w:val="0"/>
          <w:sz w:val="32"/>
          <w:szCs w:val="32"/>
          <w:highlight w:val="none"/>
          <w:shd w:val="clear" w:color="auto" w:fill="FFFFFF"/>
          <w:lang w:val="en-US" w:eastAsia="zh-CN"/>
        </w:rPr>
        <w:t>出财政拨款预算执行较上年多，未实现压减不得分。</w:t>
      </w:r>
      <w:r>
        <w:rPr>
          <w:rFonts w:hint="default" w:ascii="Times New Roman" w:hAnsi="Times New Roman" w:eastAsia="仿宋_GB2312" w:cs="Times New Roman"/>
          <w:b/>
          <w:bCs/>
          <w:color w:val="000000"/>
          <w:kern w:val="0"/>
          <w:sz w:val="32"/>
          <w:szCs w:val="32"/>
          <w:highlight w:val="none"/>
          <w:shd w:val="clear" w:color="auto" w:fill="FFFFFF"/>
          <w:lang w:val="en-US" w:eastAsia="zh-CN"/>
        </w:rPr>
        <w:t>加分值。</w:t>
      </w:r>
      <w:r>
        <w:rPr>
          <w:rFonts w:hint="default" w:ascii="Times New Roman" w:hAnsi="Times New Roman" w:eastAsia="仿宋_GB2312" w:cs="Times New Roman"/>
          <w:b w:val="0"/>
          <w:bCs w:val="0"/>
          <w:color w:val="000000"/>
          <w:kern w:val="0"/>
          <w:sz w:val="32"/>
          <w:szCs w:val="32"/>
          <w:highlight w:val="none"/>
          <w:shd w:val="clear" w:color="auto" w:fill="FFFFFF"/>
          <w:lang w:val="en-US" w:eastAsia="zh-CN"/>
        </w:rPr>
        <w:t>压减率=（上年年初预算77.68万元-本年年初预算57.53万元）÷上年年初预算77.68万元=25.9%，得1分；压减率=（上年执行数59.59万元-本年执行数121.34万元）÷上年执行数59.59万元=-103.6%，不得分；指标得分=基础分值+加分值=1+0+1+0=2分。</w:t>
      </w:r>
    </w:p>
    <w:p w14:paraId="2ACED05E">
      <w:pPr>
        <w:keepNext w:val="0"/>
        <w:keepLines w:val="0"/>
        <w:pageBreakBefore w:val="0"/>
        <w:widowControl w:val="0"/>
        <w:numPr>
          <w:ilvl w:val="0"/>
          <w:numId w:val="0"/>
        </w:numPr>
        <w:kinsoku/>
        <w:wordWrap/>
        <w:overflowPunct/>
        <w:topLinePunct w:val="0"/>
        <w:autoSpaceDE/>
        <w:autoSpaceDN/>
        <w:bidi w:val="0"/>
        <w:adjustRightInd w:val="0"/>
        <w:snapToGrid w:val="0"/>
        <w:spacing w:line="564" w:lineRule="exact"/>
        <w:ind w:firstLine="643"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en-US" w:eastAsia="zh-CN"/>
        </w:rPr>
        <w:t>3.</w:t>
      </w:r>
      <w:r>
        <w:rPr>
          <w:rFonts w:hint="eastAsia" w:ascii="仿宋_GB2312" w:hAnsi="仿宋_GB2312" w:eastAsia="仿宋_GB2312" w:cs="仿宋_GB2312"/>
          <w:b/>
          <w:bCs/>
          <w:color w:val="000000"/>
          <w:kern w:val="0"/>
          <w:sz w:val="32"/>
          <w:szCs w:val="32"/>
          <w:highlight w:val="none"/>
          <w:shd w:val="clear" w:color="auto" w:fill="FFFFFF"/>
          <w:lang w:val="zh-CN"/>
        </w:rPr>
        <w:t>财务管理。</w:t>
      </w:r>
      <w:r>
        <w:rPr>
          <w:rFonts w:hint="default" w:ascii="Times New Roman" w:hAnsi="Times New Roman" w:eastAsia="仿宋_GB2312" w:cs="Times New Roman"/>
          <w:color w:val="000000"/>
          <w:kern w:val="0"/>
          <w:sz w:val="32"/>
          <w:szCs w:val="32"/>
          <w:highlight w:val="none"/>
          <w:shd w:val="clear" w:color="auto" w:fill="FFFFFF"/>
          <w:lang w:val="zh-CN"/>
        </w:rPr>
        <w:t>围绕财务管理制度、财务岗位设置、资金使用规范进行绩效分析。</w:t>
      </w:r>
      <w:r>
        <w:rPr>
          <w:rFonts w:hint="default" w:ascii="Times New Roman" w:hAnsi="Times New Roman" w:eastAsia="仿宋_GB2312" w:cs="Times New Roman"/>
          <w:b w:val="0"/>
          <w:bCs w:val="0"/>
          <w:color w:val="000000"/>
          <w:sz w:val="32"/>
          <w:szCs w:val="32"/>
          <w:shd w:val="clear" w:color="auto" w:fill="FFFFFF"/>
        </w:rPr>
        <w:t>部门已制定内部财务管理制度等制度</w:t>
      </w:r>
      <w:r>
        <w:rPr>
          <w:rFonts w:hint="default" w:ascii="Times New Roman" w:hAnsi="Times New Roman" w:eastAsia="仿宋_GB2312" w:cs="Times New Roman"/>
          <w:b w:val="0"/>
          <w:bCs w:val="0"/>
          <w:color w:val="000000"/>
          <w:sz w:val="32"/>
          <w:szCs w:val="32"/>
          <w:shd w:val="clear" w:color="auto" w:fill="FFFFFF"/>
          <w:lang w:eastAsia="zh-CN"/>
        </w:rPr>
        <w:t>。部门合理设置财务工作岗位，明确职责权限，并严格实行不相容岗位分离的原则。我部门不存在超预算或无预算安排、虚列支出、超范围超标准使用经费、违规使用“三公”经费、滥发津补贴、报销不合规等情况。</w:t>
      </w:r>
    </w:p>
    <w:p w14:paraId="646AD786">
      <w:pPr>
        <w:keepNext w:val="0"/>
        <w:keepLines w:val="0"/>
        <w:pageBreakBefore w:val="0"/>
        <w:widowControl w:val="0"/>
        <w:numPr>
          <w:ilvl w:val="0"/>
          <w:numId w:val="0"/>
        </w:numPr>
        <w:kinsoku/>
        <w:wordWrap/>
        <w:overflowPunct/>
        <w:topLinePunct w:val="0"/>
        <w:autoSpaceDE/>
        <w:autoSpaceDN/>
        <w:bidi w:val="0"/>
        <w:adjustRightInd w:val="0"/>
        <w:snapToGrid w:val="0"/>
        <w:spacing w:line="564" w:lineRule="exact"/>
        <w:ind w:firstLine="643"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en-US" w:eastAsia="zh-CN"/>
        </w:rPr>
      </w:pPr>
      <w:r>
        <w:rPr>
          <w:rFonts w:hint="default" w:ascii="仿宋_GB2312" w:hAnsi="仿宋_GB2312" w:eastAsia="仿宋_GB2312" w:cs="仿宋_GB2312"/>
          <w:b/>
          <w:bCs/>
          <w:color w:val="000000"/>
          <w:kern w:val="0"/>
          <w:sz w:val="32"/>
          <w:szCs w:val="32"/>
          <w:highlight w:val="none"/>
          <w:shd w:val="clear" w:color="auto" w:fill="FFFFFF"/>
          <w:lang w:val="en-US" w:eastAsia="zh-CN"/>
        </w:rPr>
        <w:t>4.</w:t>
      </w:r>
      <w:r>
        <w:rPr>
          <w:rFonts w:hint="default" w:ascii="仿宋_GB2312" w:hAnsi="仿宋_GB2312" w:eastAsia="仿宋_GB2312" w:cs="仿宋_GB2312"/>
          <w:b/>
          <w:bCs/>
          <w:color w:val="000000"/>
          <w:kern w:val="0"/>
          <w:sz w:val="32"/>
          <w:szCs w:val="32"/>
          <w:highlight w:val="none"/>
          <w:shd w:val="clear" w:color="auto" w:fill="FFFFFF"/>
          <w:lang w:val="zh-CN"/>
        </w:rPr>
        <w:t>资产管理。</w:t>
      </w:r>
      <w:r>
        <w:rPr>
          <w:rFonts w:hint="default" w:ascii="Times New Roman" w:hAnsi="Times New Roman" w:eastAsia="仿宋_GB2312" w:cs="Times New Roman"/>
          <w:color w:val="000000"/>
          <w:kern w:val="0"/>
          <w:sz w:val="32"/>
          <w:szCs w:val="32"/>
          <w:highlight w:val="none"/>
          <w:shd w:val="clear" w:color="auto" w:fill="FFFFFF"/>
          <w:lang w:val="zh-CN"/>
        </w:rPr>
        <w:t>围绕人均资产变化率、资产利用率、资产盘活率进行绩效分析。</w:t>
      </w:r>
      <w:r>
        <w:rPr>
          <w:rFonts w:hint="default" w:ascii="Times New Roman" w:hAnsi="Times New Roman" w:eastAsia="仿宋_GB2312" w:cs="Times New Roman"/>
          <w:b/>
          <w:bCs/>
          <w:color w:val="000000"/>
          <w:kern w:val="0"/>
          <w:sz w:val="32"/>
          <w:szCs w:val="32"/>
          <w:highlight w:val="none"/>
          <w:shd w:val="clear" w:color="auto" w:fill="FFFFFF"/>
          <w:lang w:val="zh-CN"/>
        </w:rPr>
        <w:t>202</w:t>
      </w:r>
      <w:r>
        <w:rPr>
          <w:rFonts w:hint="default" w:ascii="Times New Roman" w:hAnsi="Times New Roman" w:eastAsia="仿宋_GB2312" w:cs="Times New Roman"/>
          <w:b/>
          <w:bCs/>
          <w:color w:val="000000"/>
          <w:kern w:val="0"/>
          <w:sz w:val="32"/>
          <w:szCs w:val="32"/>
          <w:highlight w:val="none"/>
          <w:shd w:val="clear" w:color="auto" w:fill="FFFFFF"/>
          <w:lang w:val="en-US" w:eastAsia="zh-CN"/>
        </w:rPr>
        <w:t>4</w:t>
      </w:r>
      <w:r>
        <w:rPr>
          <w:rFonts w:hint="default" w:ascii="Times New Roman" w:hAnsi="Times New Roman" w:eastAsia="仿宋_GB2312" w:cs="Times New Roman"/>
          <w:b/>
          <w:bCs/>
          <w:color w:val="000000"/>
          <w:kern w:val="0"/>
          <w:sz w:val="32"/>
          <w:szCs w:val="32"/>
          <w:highlight w:val="none"/>
          <w:shd w:val="clear" w:color="auto" w:fill="FFFFFF"/>
          <w:lang w:val="zh-CN"/>
        </w:rPr>
        <w:t>年人均占有资产</w:t>
      </w:r>
      <w:r>
        <w:rPr>
          <w:rFonts w:hint="default" w:ascii="Times New Roman" w:hAnsi="Times New Roman" w:eastAsia="仿宋_GB2312" w:cs="Times New Roman"/>
          <w:color w:val="000000"/>
          <w:kern w:val="0"/>
          <w:sz w:val="32"/>
          <w:szCs w:val="32"/>
          <w:highlight w:val="none"/>
          <w:shd w:val="clear" w:color="auto" w:fill="FFFFFF"/>
          <w:lang w:val="zh-CN"/>
        </w:rPr>
        <w:t>=（固定资产净值1407227.54元+无形资产净值</w:t>
      </w:r>
      <w:r>
        <w:rPr>
          <w:rFonts w:hint="default" w:ascii="Times New Roman" w:hAnsi="Times New Roman" w:eastAsia="仿宋_GB2312" w:cs="Times New Roman"/>
          <w:color w:val="000000"/>
          <w:kern w:val="0"/>
          <w:sz w:val="32"/>
          <w:szCs w:val="32"/>
          <w:highlight w:val="none"/>
          <w:shd w:val="clear" w:color="auto" w:fill="FFFFFF"/>
          <w:lang w:val="en-US" w:eastAsia="zh-CN"/>
        </w:rPr>
        <w:t>0</w:t>
      </w:r>
      <w:r>
        <w:rPr>
          <w:rFonts w:hint="default" w:ascii="Times New Roman" w:hAnsi="Times New Roman" w:eastAsia="仿宋_GB2312" w:cs="Times New Roman"/>
          <w:color w:val="000000"/>
          <w:kern w:val="0"/>
          <w:sz w:val="32"/>
          <w:szCs w:val="32"/>
          <w:highlight w:val="none"/>
          <w:shd w:val="clear" w:color="auto" w:fill="FFFFFF"/>
          <w:lang w:val="zh-CN"/>
        </w:rPr>
        <w:t>元）÷年末实有人数1</w:t>
      </w:r>
      <w:r>
        <w:rPr>
          <w:rFonts w:hint="default" w:ascii="Times New Roman" w:hAnsi="Times New Roman" w:eastAsia="仿宋_GB2312" w:cs="Times New Roman"/>
          <w:color w:val="000000"/>
          <w:kern w:val="0"/>
          <w:sz w:val="32"/>
          <w:szCs w:val="32"/>
          <w:highlight w:val="none"/>
          <w:shd w:val="clear" w:color="auto" w:fill="FFFFFF"/>
          <w:lang w:val="en-US" w:eastAsia="zh-CN"/>
        </w:rPr>
        <w:t>6</w:t>
      </w:r>
      <w:r>
        <w:rPr>
          <w:rFonts w:hint="default" w:ascii="Times New Roman" w:hAnsi="Times New Roman" w:eastAsia="仿宋_GB2312" w:cs="Times New Roman"/>
          <w:color w:val="000000"/>
          <w:kern w:val="0"/>
          <w:sz w:val="32"/>
          <w:szCs w:val="32"/>
          <w:highlight w:val="none"/>
          <w:shd w:val="clear" w:color="auto" w:fill="FFFFFF"/>
          <w:lang w:val="zh-CN"/>
        </w:rPr>
        <w:t>人=</w:t>
      </w:r>
      <w:r>
        <w:rPr>
          <w:rFonts w:hint="default" w:ascii="Times New Roman" w:hAnsi="Times New Roman" w:eastAsia="仿宋_GB2312" w:cs="Times New Roman"/>
          <w:color w:val="000000"/>
          <w:kern w:val="0"/>
          <w:sz w:val="32"/>
          <w:szCs w:val="32"/>
          <w:highlight w:val="none"/>
          <w:shd w:val="clear" w:color="auto" w:fill="FFFFFF"/>
          <w:lang w:val="en-US" w:eastAsia="zh-CN"/>
        </w:rPr>
        <w:t>87951.72</w:t>
      </w:r>
      <w:r>
        <w:rPr>
          <w:rFonts w:hint="default" w:ascii="Times New Roman" w:hAnsi="Times New Roman" w:eastAsia="仿宋_GB2312" w:cs="Times New Roman"/>
          <w:color w:val="000000"/>
          <w:kern w:val="0"/>
          <w:sz w:val="32"/>
          <w:szCs w:val="32"/>
          <w:highlight w:val="none"/>
          <w:shd w:val="clear" w:color="auto" w:fill="FFFFFF"/>
          <w:lang w:val="zh-CN"/>
        </w:rPr>
        <w:t>元；</w:t>
      </w:r>
      <w:r>
        <w:rPr>
          <w:rFonts w:hint="default" w:ascii="Times New Roman" w:hAnsi="Times New Roman" w:eastAsia="仿宋_GB2312" w:cs="Times New Roman"/>
          <w:b/>
          <w:bCs/>
          <w:color w:val="000000"/>
          <w:kern w:val="0"/>
          <w:sz w:val="32"/>
          <w:szCs w:val="32"/>
          <w:highlight w:val="none"/>
          <w:shd w:val="clear" w:color="auto" w:fill="FFFFFF"/>
          <w:lang w:val="zh-CN"/>
        </w:rPr>
        <w:t>2023年人均占有资产</w:t>
      </w:r>
      <w:r>
        <w:rPr>
          <w:rFonts w:hint="default" w:ascii="Times New Roman" w:hAnsi="Times New Roman" w:eastAsia="仿宋_GB2312" w:cs="Times New Roman"/>
          <w:color w:val="000000"/>
          <w:kern w:val="0"/>
          <w:sz w:val="32"/>
          <w:szCs w:val="32"/>
          <w:highlight w:val="none"/>
          <w:shd w:val="clear" w:color="auto" w:fill="FFFFFF"/>
          <w:lang w:val="zh-CN"/>
        </w:rPr>
        <w:t>=（固定资产净值1164610.67元+无形资产净值7433.2元）÷年末实有人数16人=73252.74元；</w:t>
      </w:r>
      <w:r>
        <w:rPr>
          <w:rFonts w:hint="default" w:ascii="Times New Roman" w:hAnsi="Times New Roman" w:eastAsia="仿宋_GB2312" w:cs="Times New Roman"/>
          <w:b/>
          <w:bCs/>
          <w:color w:val="000000"/>
          <w:kern w:val="0"/>
          <w:sz w:val="32"/>
          <w:szCs w:val="32"/>
          <w:highlight w:val="none"/>
          <w:shd w:val="clear" w:color="auto" w:fill="FFFFFF"/>
          <w:lang w:val="zh-CN"/>
        </w:rPr>
        <w:t>部门人均资产变化率X</w:t>
      </w:r>
      <w:r>
        <w:rPr>
          <w:rFonts w:hint="default" w:ascii="Times New Roman" w:hAnsi="Times New Roman" w:eastAsia="仿宋_GB2312" w:cs="Times New Roman"/>
          <w:color w:val="000000"/>
          <w:kern w:val="0"/>
          <w:sz w:val="32"/>
          <w:szCs w:val="32"/>
          <w:highlight w:val="none"/>
          <w:shd w:val="clear" w:color="auto" w:fill="FFFFFF"/>
          <w:lang w:val="zh-CN"/>
        </w:rPr>
        <w:t>：（当年单位人均占有资产</w:t>
      </w:r>
      <w:r>
        <w:rPr>
          <w:rFonts w:hint="default" w:ascii="Times New Roman" w:hAnsi="Times New Roman" w:eastAsia="仿宋_GB2312" w:cs="Times New Roman"/>
          <w:color w:val="000000"/>
          <w:kern w:val="0"/>
          <w:sz w:val="32"/>
          <w:szCs w:val="32"/>
          <w:highlight w:val="none"/>
          <w:shd w:val="clear" w:color="auto" w:fill="FFFFFF"/>
          <w:lang w:val="en-US" w:eastAsia="zh-CN"/>
        </w:rPr>
        <w:t>87951.72</w:t>
      </w:r>
      <w:r>
        <w:rPr>
          <w:rFonts w:hint="default" w:ascii="Times New Roman" w:hAnsi="Times New Roman" w:eastAsia="仿宋_GB2312" w:cs="Times New Roman"/>
          <w:color w:val="000000"/>
          <w:kern w:val="0"/>
          <w:sz w:val="32"/>
          <w:szCs w:val="32"/>
          <w:highlight w:val="none"/>
          <w:shd w:val="clear" w:color="auto" w:fill="FFFFFF"/>
          <w:lang w:val="zh-CN"/>
        </w:rPr>
        <w:t>-上年单位人均占有资产73252.74）÷上年单位人均占有资产73252.74=</w:t>
      </w:r>
      <w:r>
        <w:rPr>
          <w:rFonts w:hint="default" w:ascii="Times New Roman" w:hAnsi="Times New Roman" w:eastAsia="仿宋_GB2312" w:cs="Times New Roman"/>
          <w:color w:val="000000"/>
          <w:kern w:val="0"/>
          <w:sz w:val="32"/>
          <w:szCs w:val="32"/>
          <w:highlight w:val="none"/>
          <w:shd w:val="clear" w:color="auto" w:fill="FFFFFF"/>
          <w:lang w:val="en-US" w:eastAsia="zh-CN"/>
        </w:rPr>
        <w:t>20</w:t>
      </w:r>
      <w:r>
        <w:rPr>
          <w:rFonts w:hint="default" w:ascii="Times New Roman" w:hAnsi="Times New Roman" w:eastAsia="仿宋_GB2312" w:cs="Times New Roman"/>
          <w:color w:val="000000"/>
          <w:kern w:val="0"/>
          <w:sz w:val="32"/>
          <w:szCs w:val="32"/>
          <w:highlight w:val="none"/>
          <w:shd w:val="clear" w:color="auto" w:fill="FFFFFF"/>
          <w:lang w:val="zh-CN"/>
        </w:rPr>
        <w:t>%；部门人均资产变化率X为</w:t>
      </w:r>
      <w:r>
        <w:rPr>
          <w:rFonts w:hint="default" w:ascii="Times New Roman" w:hAnsi="Times New Roman" w:eastAsia="仿宋_GB2312" w:cs="Times New Roman"/>
          <w:color w:val="000000"/>
          <w:kern w:val="0"/>
          <w:sz w:val="32"/>
          <w:szCs w:val="32"/>
          <w:highlight w:val="none"/>
          <w:shd w:val="clear" w:color="auto" w:fill="FFFFFF"/>
          <w:lang w:val="en-US" w:eastAsia="zh-CN"/>
        </w:rPr>
        <w:t>20</w:t>
      </w:r>
      <w:r>
        <w:rPr>
          <w:rFonts w:hint="default" w:ascii="Times New Roman" w:hAnsi="Times New Roman" w:eastAsia="仿宋_GB2312" w:cs="Times New Roman"/>
          <w:color w:val="000000"/>
          <w:kern w:val="0"/>
          <w:sz w:val="32"/>
          <w:szCs w:val="32"/>
          <w:highlight w:val="none"/>
          <w:shd w:val="clear" w:color="auto" w:fill="FFFFFF"/>
          <w:lang w:val="zh-CN"/>
        </w:rPr>
        <w:t>%，州直行政事业单位人均资产变化率N为</w:t>
      </w:r>
      <w:r>
        <w:rPr>
          <w:rFonts w:hint="default" w:ascii="Times New Roman" w:hAnsi="Times New Roman" w:eastAsia="仿宋_GB2312" w:cs="Times New Roman"/>
          <w:color w:val="000000"/>
          <w:kern w:val="0"/>
          <w:sz w:val="32"/>
          <w:szCs w:val="32"/>
          <w:highlight w:val="none"/>
          <w:shd w:val="clear" w:color="auto" w:fill="FFFFFF"/>
          <w:lang w:val="en-US" w:eastAsia="zh-CN"/>
        </w:rPr>
        <w:t>24.28%</w:t>
      </w:r>
      <w:r>
        <w:rPr>
          <w:rFonts w:hint="default" w:ascii="Times New Roman" w:hAnsi="Times New Roman" w:eastAsia="仿宋_GB2312" w:cs="Times New Roman"/>
          <w:color w:val="000000"/>
          <w:kern w:val="0"/>
          <w:sz w:val="32"/>
          <w:szCs w:val="32"/>
          <w:highlight w:val="none"/>
          <w:shd w:val="clear" w:color="auto" w:fill="FFFFFF"/>
          <w:lang w:val="zh-CN"/>
        </w:rPr>
        <w:t>，则：X≤N，得1.5分。部门人均资产增长率X为</w:t>
      </w:r>
      <w:r>
        <w:rPr>
          <w:rFonts w:hint="default" w:ascii="Times New Roman" w:hAnsi="Times New Roman" w:eastAsia="仿宋_GB2312" w:cs="Times New Roman"/>
          <w:color w:val="000000"/>
          <w:kern w:val="0"/>
          <w:sz w:val="32"/>
          <w:szCs w:val="32"/>
          <w:highlight w:val="none"/>
          <w:shd w:val="clear" w:color="auto" w:fill="FFFFFF"/>
          <w:lang w:val="en-US" w:eastAsia="zh-CN"/>
        </w:rPr>
        <w:t>20</w:t>
      </w:r>
      <w:r>
        <w:rPr>
          <w:rFonts w:hint="default" w:ascii="Times New Roman" w:hAnsi="Times New Roman" w:eastAsia="仿宋_GB2312" w:cs="Times New Roman"/>
          <w:color w:val="000000"/>
          <w:kern w:val="0"/>
          <w:sz w:val="32"/>
          <w:szCs w:val="32"/>
          <w:highlight w:val="none"/>
          <w:shd w:val="clear" w:color="auto" w:fill="FFFFFF"/>
          <w:lang w:val="zh-CN"/>
        </w:rPr>
        <w:t>%，同期州级财政收入增长率N为</w:t>
      </w:r>
      <w:r>
        <w:rPr>
          <w:rFonts w:hint="default" w:ascii="Times New Roman" w:hAnsi="Times New Roman" w:eastAsia="仿宋_GB2312" w:cs="Times New Roman"/>
          <w:color w:val="000000"/>
          <w:kern w:val="0"/>
          <w:sz w:val="32"/>
          <w:szCs w:val="32"/>
          <w:highlight w:val="none"/>
          <w:shd w:val="clear" w:color="auto" w:fill="FFFFFF"/>
          <w:lang w:val="en-US" w:eastAsia="zh-CN"/>
        </w:rPr>
        <w:t>-30.5</w:t>
      </w:r>
      <w:r>
        <w:rPr>
          <w:rFonts w:hint="default" w:ascii="Times New Roman" w:hAnsi="Times New Roman" w:eastAsia="仿宋_GB2312" w:cs="Times New Roman"/>
          <w:color w:val="000000"/>
          <w:kern w:val="0"/>
          <w:sz w:val="32"/>
          <w:szCs w:val="32"/>
          <w:highlight w:val="none"/>
          <w:shd w:val="clear" w:color="auto" w:fill="FFFFFF"/>
          <w:lang w:val="zh-CN"/>
        </w:rPr>
        <w:t>%，则：X＞0，</w:t>
      </w:r>
      <w:r>
        <w:rPr>
          <w:rFonts w:hint="default" w:ascii="Times New Roman" w:hAnsi="Times New Roman" w:eastAsia="仿宋_GB2312" w:cs="Times New Roman"/>
          <w:color w:val="000000"/>
          <w:kern w:val="0"/>
          <w:sz w:val="32"/>
          <w:szCs w:val="32"/>
          <w:highlight w:val="none"/>
          <w:shd w:val="clear" w:color="auto" w:fill="FFFFFF"/>
          <w:lang w:val="en-US" w:eastAsia="zh-CN"/>
        </w:rPr>
        <w:t>不得分</w:t>
      </w:r>
      <w:r>
        <w:rPr>
          <w:rFonts w:hint="default" w:ascii="Times New Roman" w:hAnsi="Times New Roman" w:eastAsia="仿宋_GB2312" w:cs="Times New Roman"/>
          <w:color w:val="000000"/>
          <w:kern w:val="0"/>
          <w:sz w:val="32"/>
          <w:szCs w:val="32"/>
          <w:highlight w:val="none"/>
          <w:shd w:val="clear" w:color="auto" w:fill="FFFFFF"/>
          <w:lang w:val="zh-CN"/>
        </w:rPr>
        <w:t>。部门办公家具超最低使用年限资产利用率＞</w:t>
      </w:r>
      <w:r>
        <w:rPr>
          <w:rFonts w:hint="default" w:ascii="Times New Roman" w:hAnsi="Times New Roman" w:eastAsia="仿宋_GB2312" w:cs="Times New Roman"/>
          <w:color w:val="000000"/>
          <w:kern w:val="0"/>
          <w:sz w:val="32"/>
          <w:szCs w:val="32"/>
          <w:highlight w:val="none"/>
          <w:shd w:val="clear" w:color="auto" w:fill="FFFFFF"/>
          <w:lang w:val="en-US" w:eastAsia="zh-CN"/>
        </w:rPr>
        <w:t>10.03%，得1.5分。部门办公设备超最低使用年限资产利用率</w:t>
      </w:r>
      <w:r>
        <w:rPr>
          <w:rFonts w:hint="default" w:ascii="Times New Roman" w:hAnsi="Times New Roman" w:eastAsia="仿宋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lang w:val="en-US" w:eastAsia="zh-CN"/>
        </w:rPr>
        <w:t>47.86%，得1.5分。本部门</w:t>
      </w:r>
      <w:r>
        <w:rPr>
          <w:rFonts w:hint="default" w:ascii="Times New Roman" w:hAnsi="Times New Roman" w:eastAsia="仿宋_GB2312" w:cs="Times New Roman"/>
          <w:color w:val="000000"/>
          <w:kern w:val="0"/>
          <w:sz w:val="32"/>
          <w:szCs w:val="32"/>
          <w:highlight w:val="none"/>
          <w:shd w:val="clear" w:color="auto" w:fill="FFFFFF"/>
          <w:lang w:val="zh-CN"/>
        </w:rPr>
        <w:t>两年均无闲置资产，</w:t>
      </w:r>
      <w:r>
        <w:rPr>
          <w:rFonts w:hint="default" w:ascii="Times New Roman" w:hAnsi="Times New Roman" w:eastAsia="仿宋_GB2312" w:cs="Times New Roman"/>
          <w:color w:val="000000"/>
          <w:kern w:val="0"/>
          <w:sz w:val="32"/>
          <w:szCs w:val="32"/>
          <w:highlight w:val="none"/>
          <w:shd w:val="clear" w:color="auto" w:fill="FFFFFF"/>
          <w:lang w:val="en-US" w:eastAsia="zh-CN"/>
        </w:rPr>
        <w:t>得3分。此项合计得分7.5分。</w:t>
      </w:r>
    </w:p>
    <w:p w14:paraId="38CBBFF3">
      <w:pPr>
        <w:keepNext w:val="0"/>
        <w:keepLines w:val="0"/>
        <w:pageBreakBefore w:val="0"/>
        <w:widowControl w:val="0"/>
        <w:numPr>
          <w:ilvl w:val="0"/>
          <w:numId w:val="0"/>
        </w:numPr>
        <w:kinsoku/>
        <w:wordWrap/>
        <w:overflowPunct w:val="0"/>
        <w:topLinePunct w:val="0"/>
        <w:autoSpaceDE/>
        <w:autoSpaceDN/>
        <w:bidi w:val="0"/>
        <w:adjustRightInd w:val="0"/>
        <w:snapToGrid w:val="0"/>
        <w:spacing w:line="564" w:lineRule="exact"/>
        <w:ind w:firstLine="643" w:firstLineChars="200"/>
        <w:contextualSpacing/>
        <w:jc w:val="both"/>
        <w:textAlignment w:val="auto"/>
        <w:outlineLvl w:val="9"/>
        <w:rPr>
          <w:rFonts w:hint="default" w:ascii="Times New Roman" w:hAnsi="Times New Roman" w:eastAsia="仿宋_GB2312" w:cs="Times New Roman"/>
          <w:color w:val="000000"/>
          <w:kern w:val="0"/>
          <w:sz w:val="32"/>
          <w:szCs w:val="32"/>
          <w:highlight w:val="none"/>
          <w:shd w:val="clear" w:color="auto" w:fill="FFFFFF"/>
          <w:lang w:val="en-US" w:eastAsia="zh-CN"/>
        </w:rPr>
      </w:pPr>
      <w:r>
        <w:rPr>
          <w:rFonts w:hint="default" w:ascii="仿宋_GB2312" w:hAnsi="仿宋_GB2312" w:eastAsia="仿宋_GB2312" w:cs="仿宋_GB2312"/>
          <w:b/>
          <w:bCs/>
          <w:color w:val="000000"/>
          <w:kern w:val="0"/>
          <w:sz w:val="32"/>
          <w:szCs w:val="32"/>
          <w:highlight w:val="none"/>
          <w:shd w:val="clear" w:color="auto" w:fill="FFFFFF"/>
          <w:lang w:val="en-US" w:eastAsia="zh-CN"/>
        </w:rPr>
        <w:t>5.</w:t>
      </w:r>
      <w:r>
        <w:rPr>
          <w:rFonts w:hint="default" w:ascii="仿宋_GB2312" w:hAnsi="仿宋_GB2312" w:eastAsia="仿宋_GB2312" w:cs="仿宋_GB2312"/>
          <w:b/>
          <w:bCs/>
          <w:color w:val="000000"/>
          <w:kern w:val="0"/>
          <w:sz w:val="32"/>
          <w:szCs w:val="32"/>
          <w:highlight w:val="none"/>
          <w:shd w:val="clear" w:color="auto" w:fill="FFFFFF"/>
          <w:lang w:val="zh-CN" w:eastAsia="zh-CN"/>
        </w:rPr>
        <w:t>采购管理。</w:t>
      </w:r>
      <w:r>
        <w:rPr>
          <w:rFonts w:hint="default" w:ascii="Times New Roman" w:hAnsi="Times New Roman" w:eastAsia="仿宋_GB2312" w:cs="Times New Roman"/>
          <w:color w:val="000000"/>
          <w:kern w:val="0"/>
          <w:sz w:val="32"/>
          <w:szCs w:val="32"/>
          <w:highlight w:val="none"/>
          <w:shd w:val="clear" w:color="auto" w:fill="FFFFFF"/>
          <w:lang w:val="zh-CN"/>
        </w:rPr>
        <w:t>围绕支持中小企业发展、采购执行率进行绩效分析。对适宜由中小企业提供的采购项目和采购包，预留采购份额专门面向中小企业采购，并在采购预算中单独列示，</w:t>
      </w:r>
      <w:r>
        <w:rPr>
          <w:rFonts w:hint="default" w:ascii="Times New Roman" w:hAnsi="Times New Roman" w:eastAsia="仿宋_GB2312" w:cs="Times New Roman"/>
          <w:color w:val="000000"/>
          <w:kern w:val="0"/>
          <w:sz w:val="32"/>
          <w:szCs w:val="32"/>
          <w:highlight w:val="none"/>
          <w:shd w:val="clear" w:color="auto" w:fill="FFFFFF"/>
          <w:lang w:val="en-US" w:eastAsia="zh-CN"/>
        </w:rPr>
        <w:t>得3分</w:t>
      </w:r>
      <w:r>
        <w:rPr>
          <w:rFonts w:hint="default" w:ascii="Times New Roman" w:hAnsi="Times New Roman" w:eastAsia="仿宋_GB2312" w:cs="Times New Roman"/>
          <w:color w:val="000000"/>
          <w:kern w:val="0"/>
          <w:sz w:val="32"/>
          <w:szCs w:val="32"/>
          <w:highlight w:val="none"/>
          <w:shd w:val="clear" w:color="auto" w:fill="FFFFFF"/>
          <w:lang w:val="zh-CN"/>
        </w:rPr>
        <w:t>。部门政府采购项目资金支付比例情况</w:t>
      </w:r>
      <w:r>
        <w:rPr>
          <w:rFonts w:hint="default" w:ascii="Times New Roman" w:hAnsi="Times New Roman" w:eastAsia="仿宋_GB2312" w:cs="Times New Roman"/>
          <w:color w:val="000000"/>
          <w:kern w:val="0"/>
          <w:sz w:val="32"/>
          <w:szCs w:val="32"/>
          <w:highlight w:val="none"/>
          <w:shd w:val="clear" w:color="auto" w:fill="FFFFFF"/>
          <w:lang w:val="en-US" w:eastAsia="zh-CN"/>
        </w:rPr>
        <w:t>得分=</w:t>
      </w:r>
      <w:r>
        <w:rPr>
          <w:rFonts w:hint="default" w:ascii="Times New Roman" w:hAnsi="Times New Roman" w:eastAsia="仿宋_GB2312" w:cs="Times New Roman"/>
          <w:color w:val="000000"/>
          <w:kern w:val="0"/>
          <w:sz w:val="32"/>
          <w:szCs w:val="32"/>
          <w:highlight w:val="none"/>
          <w:shd w:val="clear" w:color="auto" w:fill="FFFFFF"/>
          <w:lang w:val="zh-CN"/>
        </w:rPr>
        <w:t>当年政府采购实际支付总金额</w:t>
      </w:r>
      <w:r>
        <w:rPr>
          <w:rFonts w:hint="default" w:ascii="Times New Roman" w:hAnsi="Times New Roman" w:eastAsia="仿宋_GB2312" w:cs="Times New Roman"/>
          <w:color w:val="000000"/>
          <w:kern w:val="0"/>
          <w:sz w:val="32"/>
          <w:szCs w:val="32"/>
          <w:highlight w:val="none"/>
          <w:shd w:val="clear" w:color="auto" w:fill="FFFFFF"/>
          <w:lang w:val="en-US" w:eastAsia="zh-CN"/>
        </w:rPr>
        <w:t>106.77</w:t>
      </w:r>
      <w:r>
        <w:rPr>
          <w:rFonts w:hint="default" w:ascii="Times New Roman" w:hAnsi="Times New Roman" w:eastAsia="仿宋_GB2312" w:cs="Times New Roman"/>
          <w:color w:val="000000"/>
          <w:kern w:val="0"/>
          <w:sz w:val="32"/>
          <w:szCs w:val="32"/>
          <w:highlight w:val="none"/>
          <w:shd w:val="clear" w:color="auto" w:fill="FFFFFF"/>
          <w:lang w:val="zh-CN"/>
        </w:rPr>
        <w:t>1万元÷（当年政府采购总预算数</w:t>
      </w:r>
      <w:r>
        <w:rPr>
          <w:rFonts w:hint="default" w:ascii="Times New Roman" w:hAnsi="Times New Roman" w:eastAsia="仿宋_GB2312" w:cs="Times New Roman"/>
          <w:color w:val="000000"/>
          <w:kern w:val="0"/>
          <w:sz w:val="32"/>
          <w:szCs w:val="32"/>
          <w:highlight w:val="none"/>
          <w:shd w:val="clear" w:color="auto" w:fill="FFFFFF"/>
          <w:lang w:val="en-US" w:eastAsia="zh-CN"/>
        </w:rPr>
        <w:t>106.77</w:t>
      </w:r>
      <w:r>
        <w:rPr>
          <w:rFonts w:hint="default" w:ascii="Times New Roman" w:hAnsi="Times New Roman" w:eastAsia="仿宋_GB2312" w:cs="Times New Roman"/>
          <w:color w:val="000000"/>
          <w:kern w:val="0"/>
          <w:sz w:val="32"/>
          <w:szCs w:val="32"/>
          <w:highlight w:val="none"/>
          <w:shd w:val="clear" w:color="auto" w:fill="FFFFFF"/>
          <w:lang w:val="zh-CN"/>
        </w:rPr>
        <w:t>万元-当年已完成采购项目节约金额0万元）×100%×3</w:t>
      </w:r>
      <w:r>
        <w:rPr>
          <w:rFonts w:hint="default" w:ascii="Times New Roman" w:hAnsi="Times New Roman" w:eastAsia="仿宋_GB2312" w:cs="Times New Roman"/>
          <w:color w:val="000000"/>
          <w:kern w:val="0"/>
          <w:sz w:val="32"/>
          <w:szCs w:val="32"/>
          <w:highlight w:val="none"/>
          <w:shd w:val="clear" w:color="auto" w:fill="FFFFFF"/>
          <w:lang w:val="en-US" w:eastAsia="zh-CN"/>
        </w:rPr>
        <w:t>=3</w:t>
      </w:r>
      <w:r>
        <w:rPr>
          <w:rFonts w:hint="default" w:ascii="Times New Roman" w:hAnsi="Times New Roman" w:eastAsia="仿宋_GB2312" w:cs="Times New Roman"/>
          <w:color w:val="000000"/>
          <w:kern w:val="0"/>
          <w:sz w:val="32"/>
          <w:szCs w:val="32"/>
          <w:highlight w:val="none"/>
          <w:shd w:val="clear" w:color="auto" w:fill="FFFFFF"/>
          <w:lang w:val="zh-CN"/>
        </w:rPr>
        <w:t>，该项指标得</w:t>
      </w:r>
      <w:r>
        <w:rPr>
          <w:rFonts w:hint="default" w:ascii="Times New Roman" w:hAnsi="Times New Roman" w:eastAsia="仿宋_GB2312" w:cs="Times New Roman"/>
          <w:color w:val="000000"/>
          <w:kern w:val="0"/>
          <w:sz w:val="32"/>
          <w:szCs w:val="32"/>
          <w:highlight w:val="none"/>
          <w:shd w:val="clear" w:color="auto" w:fill="FFFFFF"/>
          <w:lang w:val="en-US" w:eastAsia="zh-CN"/>
        </w:rPr>
        <w:t>3</w:t>
      </w:r>
      <w:r>
        <w:rPr>
          <w:rFonts w:hint="default" w:ascii="Times New Roman" w:hAnsi="Times New Roman" w:eastAsia="仿宋_GB2312" w:cs="Times New Roman"/>
          <w:color w:val="000000"/>
          <w:kern w:val="0"/>
          <w:sz w:val="32"/>
          <w:szCs w:val="32"/>
          <w:highlight w:val="none"/>
          <w:shd w:val="clear" w:color="auto" w:fill="FFFFFF"/>
          <w:lang w:val="zh-CN"/>
        </w:rPr>
        <w:t>分。</w:t>
      </w:r>
      <w:r>
        <w:rPr>
          <w:rFonts w:hint="default" w:ascii="Times New Roman" w:hAnsi="Times New Roman" w:eastAsia="仿宋_GB2312" w:cs="Times New Roman"/>
          <w:color w:val="000000"/>
          <w:kern w:val="0"/>
          <w:sz w:val="32"/>
          <w:szCs w:val="32"/>
          <w:highlight w:val="none"/>
          <w:shd w:val="clear" w:color="auto" w:fill="FFFFFF"/>
          <w:lang w:val="en-US" w:eastAsia="zh-CN"/>
        </w:rPr>
        <w:t>合计6分。</w:t>
      </w:r>
    </w:p>
    <w:p w14:paraId="309602F8">
      <w:pPr>
        <w:keepNext w:val="0"/>
        <w:keepLines w:val="0"/>
        <w:pageBreakBefore w:val="0"/>
        <w:widowControl/>
        <w:kinsoku/>
        <w:wordWrap/>
        <w:overflowPunct/>
        <w:topLinePunct w:val="0"/>
        <w:autoSpaceDE/>
        <w:autoSpaceDN/>
        <w:bidi w:val="0"/>
        <w:adjustRightInd w:val="0"/>
        <w:snapToGrid w:val="0"/>
        <w:spacing w:line="564" w:lineRule="exact"/>
        <w:ind w:firstLine="643"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en-US" w:eastAsia="zh-CN"/>
        </w:rPr>
      </w:pPr>
      <w:r>
        <w:rPr>
          <w:rFonts w:hint="default" w:ascii="楷体" w:hAnsi="楷体" w:eastAsia="楷体" w:cs="楷体"/>
          <w:b/>
          <w:bCs/>
          <w:color w:val="000000"/>
          <w:kern w:val="0"/>
          <w:sz w:val="32"/>
          <w:szCs w:val="32"/>
          <w:highlight w:val="none"/>
          <w:shd w:val="clear" w:color="auto" w:fill="FFFFFF"/>
          <w:lang w:val="zh-CN" w:eastAsia="zh-CN"/>
        </w:rPr>
        <w:t>（二）部门预算项目绩效分析。</w:t>
      </w:r>
      <w:r>
        <w:rPr>
          <w:rFonts w:hint="default" w:ascii="Times New Roman" w:hAnsi="Times New Roman" w:eastAsia="仿宋_GB2312" w:cs="Times New Roman"/>
          <w:color w:val="000000"/>
          <w:kern w:val="0"/>
          <w:sz w:val="32"/>
          <w:szCs w:val="32"/>
          <w:highlight w:val="none"/>
          <w:shd w:val="clear" w:color="auto" w:fill="FFFFFF"/>
          <w:lang w:val="zh-CN" w:eastAsia="zh-CN"/>
        </w:rPr>
        <w:t>填报以下数据，</w:t>
      </w:r>
      <w:r>
        <w:rPr>
          <w:rFonts w:hint="default" w:ascii="Times New Roman" w:hAnsi="Times New Roman" w:eastAsia="仿宋_GB2312" w:cs="Times New Roman"/>
          <w:color w:val="000000"/>
          <w:kern w:val="0"/>
          <w:sz w:val="32"/>
          <w:szCs w:val="32"/>
          <w:highlight w:val="none"/>
          <w:shd w:val="clear" w:color="auto" w:fill="FFFFFF"/>
          <w:lang w:val="zh-CN"/>
        </w:rPr>
        <w:t>并根据部门预算绩效评价指标体系“项目绩效”涉及二、三级指标进行逐项绩效分析并评分，依次包括项目</w:t>
      </w:r>
      <w:r>
        <w:rPr>
          <w:rFonts w:hint="default" w:ascii="Times New Roman" w:hAnsi="Times New Roman" w:eastAsia="仿宋_GB2312" w:cs="Times New Roman"/>
          <w:color w:val="000000"/>
          <w:kern w:val="0"/>
          <w:sz w:val="32"/>
          <w:szCs w:val="32"/>
          <w:highlight w:val="none"/>
          <w:shd w:val="clear" w:color="auto" w:fill="FFFFFF"/>
          <w:lang w:val="en-US" w:eastAsia="zh-CN"/>
        </w:rPr>
        <w:t>决策、项目执行、目标实现等情况。</w:t>
      </w:r>
    </w:p>
    <w:p w14:paraId="62CC06B5">
      <w:pPr>
        <w:keepNext w:val="0"/>
        <w:keepLines w:val="0"/>
        <w:pageBreakBefore w:val="0"/>
        <w:widowControl w:val="0"/>
        <w:numPr>
          <w:ilvl w:val="0"/>
          <w:numId w:val="0"/>
        </w:numPr>
        <w:kinsoku/>
        <w:wordWrap/>
        <w:overflowPunct/>
        <w:topLinePunct w:val="0"/>
        <w:autoSpaceDE/>
        <w:autoSpaceDN/>
        <w:bidi w:val="0"/>
        <w:adjustRightInd w:val="0"/>
        <w:snapToGrid w:val="0"/>
        <w:spacing w:line="564"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rPr>
      </w:pPr>
      <w:r>
        <w:rPr>
          <w:rFonts w:hint="default" w:ascii="Times New Roman" w:hAnsi="Times New Roman" w:eastAsia="仿宋_GB2312" w:cs="Times New Roman"/>
          <w:color w:val="000000"/>
          <w:kern w:val="0"/>
          <w:sz w:val="32"/>
          <w:szCs w:val="32"/>
          <w:highlight w:val="none"/>
          <w:shd w:val="clear" w:color="auto" w:fill="FFFFFF"/>
          <w:lang w:val="en-US" w:eastAsia="zh-CN"/>
        </w:rPr>
        <w:t>常年项目绩效分析。</w:t>
      </w:r>
      <w:r>
        <w:rPr>
          <w:rFonts w:hint="default" w:ascii="Times New Roman" w:hAnsi="Times New Roman" w:eastAsia="仿宋_GB2312" w:cs="Times New Roman"/>
          <w:color w:val="000000"/>
          <w:kern w:val="0"/>
          <w:sz w:val="32"/>
          <w:szCs w:val="32"/>
          <w:highlight w:val="none"/>
          <w:shd w:val="clear" w:color="auto" w:fill="FFFFFF"/>
          <w:lang w:val="zh-CN" w:eastAsia="zh-CN"/>
        </w:rPr>
        <w:t>该类项目总数</w:t>
      </w:r>
      <w:r>
        <w:rPr>
          <w:rFonts w:hint="default" w:ascii="Times New Roman" w:hAnsi="Times New Roman" w:eastAsia="仿宋_GB2312" w:cs="Times New Roman"/>
          <w:color w:val="000000"/>
          <w:kern w:val="0"/>
          <w:sz w:val="32"/>
          <w:szCs w:val="32"/>
          <w:highlight w:val="none"/>
          <w:shd w:val="clear" w:color="auto" w:fill="FFFFFF"/>
          <w:lang w:val="en-US" w:eastAsia="zh-CN"/>
        </w:rPr>
        <w:t>11</w:t>
      </w:r>
      <w:r>
        <w:rPr>
          <w:rFonts w:hint="default" w:ascii="Times New Roman" w:hAnsi="Times New Roman" w:eastAsia="仿宋_GB2312" w:cs="Times New Roman"/>
          <w:color w:val="000000"/>
          <w:kern w:val="0"/>
          <w:sz w:val="32"/>
          <w:szCs w:val="32"/>
          <w:highlight w:val="none"/>
          <w:shd w:val="clear" w:color="auto" w:fill="FFFFFF"/>
          <w:lang w:val="zh-CN" w:eastAsia="zh-CN"/>
        </w:rPr>
        <w:t>个，涉及预算总金额</w:t>
      </w:r>
      <w:r>
        <w:rPr>
          <w:rFonts w:hint="default" w:ascii="Times New Roman" w:hAnsi="Times New Roman" w:eastAsia="仿宋_GB2312" w:cs="Times New Roman"/>
          <w:color w:val="000000"/>
          <w:kern w:val="0"/>
          <w:sz w:val="32"/>
          <w:szCs w:val="32"/>
          <w:highlight w:val="none"/>
          <w:shd w:val="clear" w:color="auto" w:fill="FFFFFF"/>
          <w:lang w:val="en-US" w:eastAsia="zh-CN"/>
        </w:rPr>
        <w:t xml:space="preserve">   556.91</w:t>
      </w:r>
      <w:r>
        <w:rPr>
          <w:rFonts w:hint="default" w:ascii="Times New Roman" w:hAnsi="Times New Roman" w:eastAsia="仿宋_GB2312" w:cs="Times New Roman"/>
          <w:color w:val="000000"/>
          <w:kern w:val="0"/>
          <w:sz w:val="32"/>
          <w:szCs w:val="32"/>
          <w:highlight w:val="none"/>
          <w:shd w:val="clear" w:color="auto" w:fill="FFFFFF"/>
          <w:lang w:val="zh-CN" w:eastAsia="zh-CN"/>
        </w:rPr>
        <w:t>万元，</w:t>
      </w:r>
      <w:r>
        <w:rPr>
          <w:rFonts w:hint="default" w:ascii="Times New Roman" w:hAnsi="Times New Roman" w:eastAsia="仿宋_GB2312" w:cs="Times New Roman"/>
          <w:color w:val="000000"/>
          <w:kern w:val="0"/>
          <w:sz w:val="32"/>
          <w:szCs w:val="32"/>
          <w:highlight w:val="none"/>
          <w:shd w:val="clear" w:color="auto" w:fill="FFFFFF"/>
          <w:lang w:val="zh-CN"/>
        </w:rPr>
        <w:t>1</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1</w:t>
      </w:r>
      <w:r>
        <w:rPr>
          <w:rFonts w:hint="default" w:ascii="Times New Roman" w:hAnsi="Times New Roman" w:eastAsia="仿宋_GB2312" w:cs="Times New Roman"/>
          <w:color w:val="000000"/>
          <w:kern w:val="0"/>
          <w:sz w:val="32"/>
          <w:szCs w:val="32"/>
          <w:highlight w:val="none"/>
          <w:shd w:val="clear" w:color="auto" w:fill="FFFFFF"/>
          <w:lang w:val="en-US" w:eastAsia="zh-CN"/>
        </w:rPr>
        <w:t>2</w:t>
      </w:r>
      <w:r>
        <w:rPr>
          <w:rFonts w:hint="default" w:ascii="Times New Roman" w:hAnsi="Times New Roman" w:eastAsia="仿宋_GB2312" w:cs="Times New Roman"/>
          <w:color w:val="000000"/>
          <w:kern w:val="0"/>
          <w:sz w:val="32"/>
          <w:szCs w:val="32"/>
          <w:highlight w:val="none"/>
          <w:shd w:val="clear" w:color="auto" w:fill="FFFFFF"/>
          <w:lang w:val="zh-CN"/>
        </w:rPr>
        <w:t>月预算执行总体进度为</w:t>
      </w:r>
      <w:r>
        <w:rPr>
          <w:rFonts w:hint="default" w:ascii="Times New Roman" w:hAnsi="Times New Roman" w:eastAsia="仿宋_GB2312" w:cs="Times New Roman"/>
          <w:color w:val="000000"/>
          <w:kern w:val="0"/>
          <w:sz w:val="32"/>
          <w:szCs w:val="32"/>
          <w:highlight w:val="none"/>
          <w:shd w:val="clear" w:color="auto" w:fill="FFFFFF"/>
          <w:lang w:val="en-US" w:eastAsia="zh-CN"/>
        </w:rPr>
        <w:t xml:space="preserve"> 100 </w:t>
      </w:r>
      <w:r>
        <w:rPr>
          <w:rFonts w:hint="default" w:ascii="Times New Roman" w:hAnsi="Times New Roman" w:eastAsia="仿宋_GB2312" w:cs="Times New Roman"/>
          <w:color w:val="000000"/>
          <w:kern w:val="0"/>
          <w:sz w:val="32"/>
          <w:szCs w:val="32"/>
          <w:highlight w:val="none"/>
          <w:shd w:val="clear" w:color="auto" w:fill="FFFFFF"/>
          <w:lang w:val="zh-CN"/>
        </w:rPr>
        <w:t>%，其中：</w:t>
      </w:r>
      <w:r>
        <w:rPr>
          <w:rFonts w:hint="default" w:ascii="Times New Roman" w:hAnsi="Times New Roman" w:eastAsia="仿宋_GB2312" w:cs="Times New Roman"/>
          <w:color w:val="000000"/>
          <w:kern w:val="0"/>
          <w:sz w:val="32"/>
          <w:szCs w:val="32"/>
          <w:highlight w:val="none"/>
          <w:shd w:val="clear" w:color="auto" w:fill="FFFFFF"/>
          <w:lang w:val="zh-CN" w:eastAsia="zh-CN"/>
        </w:rPr>
        <w:t>预算结余率大于</w:t>
      </w:r>
      <w:r>
        <w:rPr>
          <w:rFonts w:hint="default" w:ascii="Times New Roman" w:hAnsi="Times New Roman" w:eastAsia="仿宋_GB2312" w:cs="Times New Roman"/>
          <w:color w:val="000000"/>
          <w:kern w:val="0"/>
          <w:sz w:val="32"/>
          <w:szCs w:val="32"/>
          <w:highlight w:val="none"/>
          <w:shd w:val="clear" w:color="auto" w:fill="FFFFFF"/>
          <w:lang w:val="en-US" w:eastAsia="zh-CN"/>
        </w:rPr>
        <w:t>10%</w:t>
      </w:r>
      <w:r>
        <w:rPr>
          <w:rFonts w:hint="default" w:ascii="Times New Roman" w:hAnsi="Times New Roman" w:eastAsia="仿宋_GB2312" w:cs="Times New Roman"/>
          <w:color w:val="000000"/>
          <w:kern w:val="0"/>
          <w:sz w:val="32"/>
          <w:szCs w:val="32"/>
          <w:highlight w:val="none"/>
          <w:shd w:val="clear" w:color="auto" w:fill="FFFFFF"/>
          <w:lang w:val="zh-CN" w:eastAsia="zh-CN"/>
        </w:rPr>
        <w:t>的项目共计</w:t>
      </w:r>
      <w:r>
        <w:rPr>
          <w:rFonts w:hint="default" w:ascii="Times New Roman" w:hAnsi="Times New Roman" w:eastAsia="仿宋_GB2312" w:cs="Times New Roman"/>
          <w:color w:val="000000"/>
          <w:kern w:val="0"/>
          <w:sz w:val="32"/>
          <w:szCs w:val="32"/>
          <w:highlight w:val="none"/>
          <w:shd w:val="clear" w:color="auto" w:fill="FFFFFF"/>
          <w:lang w:val="en-US" w:eastAsia="zh-CN"/>
        </w:rPr>
        <w:t xml:space="preserve"> 0 </w:t>
      </w:r>
      <w:r>
        <w:rPr>
          <w:rFonts w:hint="default" w:ascii="Times New Roman" w:hAnsi="Times New Roman" w:eastAsia="仿宋_GB2312" w:cs="Times New Roman"/>
          <w:color w:val="000000"/>
          <w:kern w:val="0"/>
          <w:sz w:val="32"/>
          <w:szCs w:val="32"/>
          <w:highlight w:val="none"/>
          <w:shd w:val="clear" w:color="auto" w:fill="FFFFFF"/>
          <w:lang w:val="zh-CN" w:eastAsia="zh-CN"/>
        </w:rPr>
        <w:t>个。</w:t>
      </w:r>
    </w:p>
    <w:p w14:paraId="65E051FE">
      <w:pPr>
        <w:keepNext w:val="0"/>
        <w:keepLines w:val="0"/>
        <w:pageBreakBefore w:val="0"/>
        <w:widowControl w:val="0"/>
        <w:numPr>
          <w:ilvl w:val="0"/>
          <w:numId w:val="0"/>
        </w:numPr>
        <w:kinsoku/>
        <w:wordWrap/>
        <w:overflowPunct/>
        <w:topLinePunct w:val="0"/>
        <w:autoSpaceDE/>
        <w:autoSpaceDN/>
        <w:bidi w:val="0"/>
        <w:adjustRightInd w:val="0"/>
        <w:snapToGrid w:val="0"/>
        <w:spacing w:line="564"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rPr>
      </w:pPr>
      <w:r>
        <w:rPr>
          <w:rFonts w:hint="default" w:ascii="Times New Roman" w:hAnsi="Times New Roman" w:eastAsia="仿宋_GB2312" w:cs="Times New Roman"/>
          <w:color w:val="000000"/>
          <w:kern w:val="0"/>
          <w:sz w:val="32"/>
          <w:szCs w:val="32"/>
          <w:highlight w:val="none"/>
          <w:shd w:val="clear" w:color="auto" w:fill="FFFFFF"/>
          <w:lang w:val="en-US" w:eastAsia="zh-CN"/>
        </w:rPr>
        <w:t>阶段（含一次性）项目绩效分析。</w:t>
      </w:r>
      <w:r>
        <w:rPr>
          <w:rFonts w:hint="default" w:ascii="Times New Roman" w:hAnsi="Times New Roman" w:eastAsia="仿宋_GB2312" w:cs="Times New Roman"/>
          <w:color w:val="000000"/>
          <w:kern w:val="0"/>
          <w:sz w:val="32"/>
          <w:szCs w:val="32"/>
          <w:highlight w:val="none"/>
          <w:shd w:val="clear" w:color="auto" w:fill="FFFFFF"/>
          <w:lang w:val="zh-CN" w:eastAsia="zh-CN"/>
        </w:rPr>
        <w:t>该类项目总数</w:t>
      </w:r>
      <w:r>
        <w:rPr>
          <w:rFonts w:hint="default" w:ascii="Times New Roman" w:hAnsi="Times New Roman" w:eastAsia="仿宋_GB2312" w:cs="Times New Roman"/>
          <w:color w:val="000000"/>
          <w:kern w:val="0"/>
          <w:sz w:val="32"/>
          <w:szCs w:val="32"/>
          <w:highlight w:val="none"/>
          <w:shd w:val="clear" w:color="auto" w:fill="FFFFFF"/>
          <w:lang w:val="en-US" w:eastAsia="zh-CN"/>
        </w:rPr>
        <w:t xml:space="preserve">  2 </w:t>
      </w:r>
      <w:r>
        <w:rPr>
          <w:rFonts w:hint="default" w:ascii="Times New Roman" w:hAnsi="Times New Roman" w:eastAsia="仿宋_GB2312" w:cs="Times New Roman"/>
          <w:color w:val="000000"/>
          <w:kern w:val="0"/>
          <w:sz w:val="32"/>
          <w:szCs w:val="32"/>
          <w:highlight w:val="none"/>
          <w:shd w:val="clear" w:color="auto" w:fill="FFFFFF"/>
          <w:lang w:val="zh-CN" w:eastAsia="zh-CN"/>
        </w:rPr>
        <w:t>个，涉及预算总金额</w:t>
      </w:r>
      <w:r>
        <w:rPr>
          <w:rFonts w:hint="default" w:ascii="Times New Roman" w:hAnsi="Times New Roman" w:eastAsia="仿宋_GB2312" w:cs="Times New Roman"/>
          <w:color w:val="000000"/>
          <w:kern w:val="0"/>
          <w:sz w:val="32"/>
          <w:szCs w:val="32"/>
          <w:highlight w:val="none"/>
          <w:shd w:val="clear" w:color="auto" w:fill="FFFFFF"/>
          <w:lang w:val="en-US" w:eastAsia="zh-CN"/>
        </w:rPr>
        <w:t xml:space="preserve"> 84.91</w:t>
      </w:r>
      <w:r>
        <w:rPr>
          <w:rFonts w:hint="default" w:ascii="Times New Roman" w:hAnsi="Times New Roman" w:eastAsia="仿宋_GB2312" w:cs="Times New Roman"/>
          <w:color w:val="000000"/>
          <w:kern w:val="0"/>
          <w:sz w:val="32"/>
          <w:szCs w:val="32"/>
          <w:highlight w:val="none"/>
          <w:shd w:val="clear" w:color="auto" w:fill="FFFFFF"/>
          <w:lang w:val="zh-CN" w:eastAsia="zh-CN"/>
        </w:rPr>
        <w:t>万元，</w:t>
      </w:r>
      <w:r>
        <w:rPr>
          <w:rFonts w:hint="default" w:ascii="Times New Roman" w:hAnsi="Times New Roman" w:eastAsia="仿宋_GB2312" w:cs="Times New Roman"/>
          <w:color w:val="000000"/>
          <w:kern w:val="0"/>
          <w:sz w:val="32"/>
          <w:szCs w:val="32"/>
          <w:highlight w:val="none"/>
          <w:shd w:val="clear" w:color="auto" w:fill="FFFFFF"/>
          <w:lang w:val="zh-CN"/>
        </w:rPr>
        <w:t>1</w:t>
      </w:r>
      <w:r>
        <w:rPr>
          <w:rFonts w:hint="default"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1</w:t>
      </w:r>
      <w:r>
        <w:rPr>
          <w:rFonts w:hint="default" w:ascii="Times New Roman" w:hAnsi="Times New Roman" w:eastAsia="仿宋_GB2312" w:cs="Times New Roman"/>
          <w:color w:val="000000"/>
          <w:kern w:val="0"/>
          <w:sz w:val="32"/>
          <w:szCs w:val="32"/>
          <w:highlight w:val="none"/>
          <w:shd w:val="clear" w:color="auto" w:fill="FFFFFF"/>
          <w:lang w:val="en-US" w:eastAsia="zh-CN"/>
        </w:rPr>
        <w:t>2</w:t>
      </w:r>
      <w:r>
        <w:rPr>
          <w:rFonts w:hint="default" w:ascii="Times New Roman" w:hAnsi="Times New Roman" w:eastAsia="仿宋_GB2312" w:cs="Times New Roman"/>
          <w:color w:val="000000"/>
          <w:kern w:val="0"/>
          <w:sz w:val="32"/>
          <w:szCs w:val="32"/>
          <w:highlight w:val="none"/>
          <w:shd w:val="clear" w:color="auto" w:fill="FFFFFF"/>
          <w:lang w:val="zh-CN"/>
        </w:rPr>
        <w:t>月预算执行总体进度为</w:t>
      </w:r>
      <w:r>
        <w:rPr>
          <w:rFonts w:hint="default" w:ascii="Times New Roman" w:hAnsi="Times New Roman" w:eastAsia="仿宋_GB2312" w:cs="Times New Roman"/>
          <w:color w:val="000000"/>
          <w:kern w:val="0"/>
          <w:sz w:val="32"/>
          <w:szCs w:val="32"/>
          <w:highlight w:val="none"/>
          <w:shd w:val="clear" w:color="auto" w:fill="FFFFFF"/>
          <w:lang w:val="en-US" w:eastAsia="zh-CN"/>
        </w:rPr>
        <w:t xml:space="preserve"> 100</w:t>
      </w:r>
      <w:r>
        <w:rPr>
          <w:rFonts w:hint="default" w:ascii="Times New Roman" w:hAnsi="Times New Roman" w:eastAsia="仿宋_GB2312" w:cs="Times New Roman"/>
          <w:color w:val="000000"/>
          <w:kern w:val="0"/>
          <w:sz w:val="32"/>
          <w:szCs w:val="32"/>
          <w:highlight w:val="none"/>
          <w:shd w:val="clear" w:color="auto" w:fill="FFFFFF"/>
          <w:lang w:val="zh-CN"/>
        </w:rPr>
        <w:t>%，其中：</w:t>
      </w:r>
      <w:r>
        <w:rPr>
          <w:rFonts w:hint="default" w:ascii="Times New Roman" w:hAnsi="Times New Roman" w:eastAsia="仿宋_GB2312" w:cs="Times New Roman"/>
          <w:color w:val="000000"/>
          <w:kern w:val="0"/>
          <w:sz w:val="32"/>
          <w:szCs w:val="32"/>
          <w:highlight w:val="none"/>
          <w:shd w:val="clear" w:color="auto" w:fill="FFFFFF"/>
          <w:lang w:val="zh-CN" w:eastAsia="zh-CN"/>
        </w:rPr>
        <w:t>预算结余率大于</w:t>
      </w:r>
      <w:r>
        <w:rPr>
          <w:rFonts w:hint="default" w:ascii="Times New Roman" w:hAnsi="Times New Roman" w:eastAsia="仿宋_GB2312" w:cs="Times New Roman"/>
          <w:color w:val="000000"/>
          <w:kern w:val="0"/>
          <w:sz w:val="32"/>
          <w:szCs w:val="32"/>
          <w:highlight w:val="none"/>
          <w:shd w:val="clear" w:color="auto" w:fill="FFFFFF"/>
          <w:lang w:val="en-US" w:eastAsia="zh-CN"/>
        </w:rPr>
        <w:t>10%</w:t>
      </w:r>
      <w:r>
        <w:rPr>
          <w:rFonts w:hint="default" w:ascii="Times New Roman" w:hAnsi="Times New Roman" w:eastAsia="仿宋_GB2312" w:cs="Times New Roman"/>
          <w:color w:val="000000"/>
          <w:kern w:val="0"/>
          <w:sz w:val="32"/>
          <w:szCs w:val="32"/>
          <w:highlight w:val="none"/>
          <w:shd w:val="clear" w:color="auto" w:fill="FFFFFF"/>
          <w:lang w:val="zh-CN" w:eastAsia="zh-CN"/>
        </w:rPr>
        <w:t>的项目共计</w:t>
      </w:r>
      <w:r>
        <w:rPr>
          <w:rFonts w:hint="default" w:ascii="Times New Roman" w:hAnsi="Times New Roman" w:eastAsia="仿宋_GB2312" w:cs="Times New Roman"/>
          <w:color w:val="000000"/>
          <w:kern w:val="0"/>
          <w:sz w:val="32"/>
          <w:szCs w:val="32"/>
          <w:highlight w:val="none"/>
          <w:shd w:val="clear" w:color="auto" w:fill="FFFFFF"/>
          <w:lang w:val="en-US" w:eastAsia="zh-CN"/>
        </w:rPr>
        <w:t xml:space="preserve"> 0</w:t>
      </w:r>
      <w:r>
        <w:rPr>
          <w:rFonts w:hint="default" w:ascii="Times New Roman" w:hAnsi="Times New Roman" w:eastAsia="仿宋_GB2312" w:cs="Times New Roman"/>
          <w:color w:val="000000"/>
          <w:kern w:val="0"/>
          <w:sz w:val="32"/>
          <w:szCs w:val="32"/>
          <w:highlight w:val="none"/>
          <w:shd w:val="clear" w:color="auto" w:fill="FFFFFF"/>
          <w:lang w:val="zh-CN" w:eastAsia="zh-CN"/>
        </w:rPr>
        <w:t>个。</w:t>
      </w:r>
    </w:p>
    <w:p w14:paraId="030D258A">
      <w:pPr>
        <w:keepNext w:val="0"/>
        <w:keepLines w:val="0"/>
        <w:pageBreakBefore w:val="0"/>
        <w:widowControl w:val="0"/>
        <w:numPr>
          <w:ilvl w:val="0"/>
          <w:numId w:val="0"/>
        </w:numPr>
        <w:kinsoku/>
        <w:wordWrap/>
        <w:overflowPunct w:val="0"/>
        <w:topLinePunct w:val="0"/>
        <w:autoSpaceDE/>
        <w:autoSpaceDN/>
        <w:bidi w:val="0"/>
        <w:adjustRightInd w:val="0"/>
        <w:snapToGrid w:val="0"/>
        <w:spacing w:line="564" w:lineRule="exact"/>
        <w:ind w:firstLine="643" w:firstLineChars="200"/>
        <w:contextualSpacing/>
        <w:jc w:val="both"/>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rPr>
      </w:pPr>
      <w:r>
        <w:rPr>
          <w:rFonts w:hint="default" w:ascii="仿宋_GB2312" w:hAnsi="仿宋_GB2312" w:eastAsia="仿宋_GB2312" w:cs="仿宋_GB2312"/>
          <w:b/>
          <w:bCs/>
          <w:color w:val="000000"/>
          <w:kern w:val="0"/>
          <w:sz w:val="32"/>
          <w:szCs w:val="32"/>
          <w:highlight w:val="none"/>
          <w:shd w:val="clear" w:color="auto" w:fill="FFFFFF"/>
          <w:lang w:val="en-US" w:eastAsia="zh-CN"/>
        </w:rPr>
        <w:t>1.</w:t>
      </w:r>
      <w:r>
        <w:rPr>
          <w:rFonts w:hint="default" w:ascii="仿宋_GB2312" w:hAnsi="仿宋_GB2312" w:eastAsia="仿宋_GB2312" w:cs="仿宋_GB2312"/>
          <w:b/>
          <w:bCs/>
          <w:color w:val="000000"/>
          <w:kern w:val="0"/>
          <w:sz w:val="32"/>
          <w:szCs w:val="32"/>
          <w:highlight w:val="none"/>
          <w:shd w:val="clear" w:color="auto" w:fill="FFFFFF"/>
          <w:lang w:val="zh-CN" w:eastAsia="zh-CN"/>
        </w:rPr>
        <w:t>项目决策。</w:t>
      </w:r>
      <w:r>
        <w:rPr>
          <w:rFonts w:hint="default" w:ascii="Times New Roman" w:hAnsi="Times New Roman" w:eastAsia="仿宋_GB2312" w:cs="Times New Roman"/>
          <w:color w:val="000000"/>
          <w:kern w:val="0"/>
          <w:sz w:val="32"/>
          <w:szCs w:val="32"/>
          <w:highlight w:val="none"/>
          <w:shd w:val="clear" w:color="auto" w:fill="FFFFFF"/>
          <w:lang w:val="zh-CN" w:eastAsia="zh-CN"/>
        </w:rPr>
        <w:t>围绕决策程序、目标设置、项目入库进行绩效分析。部门预算项目设立按规定履行评估论证、申报程序。部门预算项目绩效目标与计划期内的任务量、预算安排的资金量匹配，绩效目标设置科学合理、规范完整、量化细化、预算匹配。部门预算项目在规定时间完成项目入库。</w:t>
      </w:r>
    </w:p>
    <w:p w14:paraId="2EE4541F">
      <w:pPr>
        <w:keepNext w:val="0"/>
        <w:keepLines w:val="0"/>
        <w:pageBreakBefore w:val="0"/>
        <w:widowControl w:val="0"/>
        <w:numPr>
          <w:ilvl w:val="0"/>
          <w:numId w:val="0"/>
        </w:numPr>
        <w:kinsoku/>
        <w:wordWrap/>
        <w:overflowPunct w:val="0"/>
        <w:topLinePunct w:val="0"/>
        <w:autoSpaceDE/>
        <w:autoSpaceDN/>
        <w:bidi w:val="0"/>
        <w:adjustRightInd w:val="0"/>
        <w:snapToGrid w:val="0"/>
        <w:spacing w:line="564" w:lineRule="exact"/>
        <w:ind w:leftChars="0" w:firstLine="643" w:firstLineChars="200"/>
        <w:contextualSpacing/>
        <w:jc w:val="both"/>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rPr>
      </w:pPr>
      <w:r>
        <w:rPr>
          <w:rFonts w:hint="default" w:ascii="仿宋_GB2312" w:hAnsi="仿宋_GB2312" w:eastAsia="仿宋_GB2312" w:cs="仿宋_GB2312"/>
          <w:b/>
          <w:bCs/>
          <w:color w:val="000000"/>
          <w:kern w:val="0"/>
          <w:sz w:val="32"/>
          <w:szCs w:val="32"/>
          <w:highlight w:val="none"/>
          <w:shd w:val="clear" w:color="auto" w:fill="FFFFFF"/>
          <w:lang w:val="en-US" w:eastAsia="zh-CN"/>
        </w:rPr>
        <w:t>2.项目执行</w:t>
      </w:r>
      <w:r>
        <w:rPr>
          <w:rFonts w:hint="default" w:ascii="仿宋_GB2312" w:hAnsi="仿宋_GB2312" w:eastAsia="仿宋_GB2312" w:cs="仿宋_GB2312"/>
          <w:b/>
          <w:bCs/>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eastAsia="zh-CN"/>
        </w:rPr>
        <w:t>围绕资金执行同向、项目调整、执行结果进行绩效分析。部门预算项目实际列支内容与绩效目标设置方向相符。部门预算项目</w:t>
      </w:r>
      <w:r>
        <w:rPr>
          <w:rFonts w:hint="default" w:ascii="Times New Roman" w:hAnsi="Times New Roman" w:eastAsia="仿宋_GB2312" w:cs="Times New Roman"/>
          <w:color w:val="000000"/>
          <w:kern w:val="0"/>
          <w:sz w:val="32"/>
          <w:szCs w:val="32"/>
          <w:highlight w:val="none"/>
          <w:shd w:val="clear" w:color="auto" w:fill="FFFFFF"/>
          <w:lang w:val="en-US" w:eastAsia="zh-CN"/>
        </w:rPr>
        <w:t>均未</w:t>
      </w:r>
      <w:r>
        <w:rPr>
          <w:rFonts w:hint="default" w:ascii="Times New Roman" w:hAnsi="Times New Roman" w:eastAsia="仿宋_GB2312" w:cs="Times New Roman"/>
          <w:color w:val="000000"/>
          <w:kern w:val="0"/>
          <w:sz w:val="32"/>
          <w:szCs w:val="32"/>
          <w:highlight w:val="none"/>
          <w:shd w:val="clear" w:color="auto" w:fill="FFFFFF"/>
          <w:lang w:val="zh-CN" w:eastAsia="zh-CN"/>
        </w:rPr>
        <w:t>采取对应调整措施。部门预算项目预算执行进度</w:t>
      </w:r>
      <w:r>
        <w:rPr>
          <w:rFonts w:hint="default" w:ascii="Times New Roman" w:hAnsi="Times New Roman" w:eastAsia="仿宋_GB2312" w:cs="Times New Roman"/>
          <w:color w:val="000000"/>
          <w:kern w:val="0"/>
          <w:sz w:val="32"/>
          <w:szCs w:val="32"/>
          <w:highlight w:val="none"/>
          <w:shd w:val="clear" w:color="auto" w:fill="FFFFFF"/>
          <w:lang w:val="en-US" w:eastAsia="zh-CN"/>
        </w:rPr>
        <w:t>均</w:t>
      </w:r>
      <w:r>
        <w:rPr>
          <w:rFonts w:hint="default" w:ascii="Times New Roman" w:hAnsi="Times New Roman" w:eastAsia="仿宋_GB2312" w:cs="Times New Roman"/>
          <w:color w:val="000000"/>
          <w:kern w:val="0"/>
          <w:sz w:val="32"/>
          <w:szCs w:val="32"/>
          <w:highlight w:val="none"/>
          <w:shd w:val="clear" w:color="auto" w:fill="FFFFFF"/>
          <w:lang w:val="zh-CN" w:eastAsia="zh-CN"/>
        </w:rPr>
        <w:t>为</w:t>
      </w:r>
      <w:r>
        <w:rPr>
          <w:rFonts w:hint="default" w:ascii="Times New Roman" w:hAnsi="Times New Roman" w:eastAsia="仿宋_GB2312" w:cs="Times New Roman"/>
          <w:color w:val="000000"/>
          <w:kern w:val="0"/>
          <w:sz w:val="32"/>
          <w:szCs w:val="32"/>
          <w:highlight w:val="none"/>
          <w:shd w:val="clear" w:color="auto" w:fill="FFFFFF"/>
          <w:lang w:val="en-US" w:eastAsia="zh-CN"/>
        </w:rPr>
        <w:t>100</w:t>
      </w:r>
      <w:r>
        <w:rPr>
          <w:rFonts w:hint="default" w:ascii="Times New Roman" w:hAnsi="Times New Roman" w:eastAsia="仿宋_GB2312" w:cs="Times New Roman"/>
          <w:color w:val="000000"/>
          <w:kern w:val="0"/>
          <w:sz w:val="32"/>
          <w:szCs w:val="32"/>
          <w:highlight w:val="none"/>
          <w:shd w:val="clear" w:color="auto" w:fill="FFFFFF"/>
          <w:lang w:val="zh-CN" w:eastAsia="zh-CN"/>
        </w:rPr>
        <w:t>%。</w:t>
      </w:r>
    </w:p>
    <w:p w14:paraId="56D91432">
      <w:pPr>
        <w:keepNext w:val="0"/>
        <w:keepLines w:val="0"/>
        <w:pageBreakBefore w:val="0"/>
        <w:widowControl w:val="0"/>
        <w:numPr>
          <w:ilvl w:val="0"/>
          <w:numId w:val="0"/>
        </w:numPr>
        <w:kinsoku/>
        <w:wordWrap/>
        <w:overflowPunct w:val="0"/>
        <w:topLinePunct w:val="0"/>
        <w:autoSpaceDE/>
        <w:autoSpaceDN/>
        <w:bidi w:val="0"/>
        <w:adjustRightInd w:val="0"/>
        <w:snapToGrid w:val="0"/>
        <w:spacing w:line="564" w:lineRule="exact"/>
        <w:ind w:leftChars="0" w:firstLine="643" w:firstLineChars="200"/>
        <w:contextualSpacing/>
        <w:jc w:val="both"/>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仿宋_GB2312" w:hAnsi="仿宋_GB2312" w:eastAsia="仿宋_GB2312" w:cs="仿宋_GB2312"/>
          <w:b/>
          <w:bCs/>
          <w:color w:val="000000"/>
          <w:kern w:val="0"/>
          <w:sz w:val="32"/>
          <w:szCs w:val="32"/>
          <w:highlight w:val="none"/>
          <w:shd w:val="clear" w:color="auto" w:fill="FFFFFF"/>
          <w:lang w:val="en-US" w:eastAsia="zh-CN"/>
        </w:rPr>
        <w:t>3.</w:t>
      </w:r>
      <w:r>
        <w:rPr>
          <w:rFonts w:hint="default" w:ascii="仿宋_GB2312" w:hAnsi="仿宋_GB2312" w:eastAsia="仿宋_GB2312" w:cs="仿宋_GB2312"/>
          <w:b/>
          <w:bCs/>
          <w:color w:val="000000"/>
          <w:kern w:val="0"/>
          <w:sz w:val="32"/>
          <w:szCs w:val="32"/>
          <w:highlight w:val="none"/>
          <w:shd w:val="clear" w:color="auto" w:fill="FFFFFF"/>
          <w:lang w:val="zh-CN" w:eastAsia="zh-CN"/>
        </w:rPr>
        <w:t>目标实现。</w:t>
      </w:r>
      <w:r>
        <w:rPr>
          <w:rFonts w:hint="default" w:ascii="Times New Roman" w:hAnsi="Times New Roman" w:eastAsia="仿宋_GB2312" w:cs="Times New Roman"/>
          <w:color w:val="000000"/>
          <w:kern w:val="0"/>
          <w:sz w:val="32"/>
          <w:szCs w:val="32"/>
          <w:highlight w:val="none"/>
          <w:shd w:val="clear" w:color="auto" w:fill="FFFFFF"/>
          <w:lang w:val="zh-CN"/>
        </w:rPr>
        <w:t>围绕目标完成、目标偏离、实现效果进行绩效分析。部门预算项目绩效目标数量指标</w:t>
      </w:r>
      <w:r>
        <w:rPr>
          <w:rFonts w:hint="default" w:ascii="Times New Roman" w:hAnsi="Times New Roman" w:eastAsia="仿宋_GB2312" w:cs="Times New Roman"/>
          <w:color w:val="000000"/>
          <w:kern w:val="0"/>
          <w:sz w:val="32"/>
          <w:szCs w:val="32"/>
          <w:highlight w:val="none"/>
          <w:shd w:val="clear" w:color="auto" w:fill="FFFFFF"/>
          <w:lang w:val="en-US" w:eastAsia="zh-CN"/>
        </w:rPr>
        <w:t>13个。已完成预期指标值的数量指标个数13，均为完成预期指标值的数量指标中偏离度在30%内的指标。完成绩效目标效益指标的部门预算阶段项目（含一次性项目）数量13个，均为部门预算阶段项目（含一次性项目）。</w:t>
      </w:r>
    </w:p>
    <w:p w14:paraId="7B962EAF">
      <w:pPr>
        <w:keepNext w:val="0"/>
        <w:keepLines w:val="0"/>
        <w:pageBreakBefore w:val="0"/>
        <w:widowControl w:val="0"/>
        <w:kinsoku/>
        <w:wordWrap/>
        <w:overflowPunct w:val="0"/>
        <w:topLinePunct w:val="0"/>
        <w:autoSpaceDE/>
        <w:autoSpaceDN/>
        <w:bidi w:val="0"/>
        <w:adjustRightInd/>
        <w:snapToGrid/>
        <w:spacing w:line="564" w:lineRule="exact"/>
        <w:ind w:lef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sz w:val="32"/>
          <w:szCs w:val="32"/>
          <w:u w:val="none"/>
          <w:lang w:val="en-US" w:eastAsia="zh-CN"/>
        </w:rPr>
        <w:t>2024年度未</w:t>
      </w:r>
      <w:r>
        <w:rPr>
          <w:rFonts w:hint="default" w:ascii="Times New Roman" w:hAnsi="Times New Roman" w:eastAsia="仿宋_GB2312" w:cs="Times New Roman"/>
          <w:sz w:val="32"/>
          <w:szCs w:val="32"/>
          <w:u w:val="none"/>
        </w:rPr>
        <w:t>涉及国有资</w:t>
      </w:r>
      <w:r>
        <w:rPr>
          <w:rFonts w:hint="default" w:ascii="Times New Roman" w:hAnsi="Times New Roman" w:eastAsia="仿宋_GB2312" w:cs="Times New Roman"/>
          <w:sz w:val="32"/>
          <w:szCs w:val="32"/>
          <w:highlight w:val="none"/>
          <w:u w:val="none"/>
        </w:rPr>
        <w:t>本经营预算、社会保险基金预算</w:t>
      </w:r>
      <w:r>
        <w:rPr>
          <w:rFonts w:hint="default" w:ascii="Times New Roman" w:hAnsi="Times New Roman" w:eastAsia="仿宋_GB2312" w:cs="Times New Roman"/>
          <w:sz w:val="32"/>
          <w:szCs w:val="32"/>
          <w:highlight w:val="none"/>
          <w:u w:val="none"/>
          <w:lang w:eastAsia="zh-CN"/>
        </w:rPr>
        <w:t>。</w:t>
      </w:r>
    </w:p>
    <w:p w14:paraId="66D3DA2E">
      <w:pPr>
        <w:keepNext w:val="0"/>
        <w:keepLines w:val="0"/>
        <w:pageBreakBefore w:val="0"/>
        <w:kinsoku/>
        <w:wordWrap/>
        <w:topLinePunct w:val="0"/>
        <w:autoSpaceDE/>
        <w:bidi w:val="0"/>
        <w:spacing w:line="564" w:lineRule="exact"/>
        <w:ind w:firstLine="643" w:firstLineChars="200"/>
        <w:textAlignment w:val="auto"/>
        <w:rPr>
          <w:rFonts w:hint="default" w:ascii="Times New Roman" w:hAnsi="Times New Roman" w:eastAsia="仿宋_GB2312" w:cs="Times New Roman"/>
          <w:b/>
          <w:bCs w:val="0"/>
          <w:sz w:val="32"/>
          <w:szCs w:val="32"/>
        </w:rPr>
      </w:pPr>
      <w:r>
        <w:rPr>
          <w:rFonts w:hint="default" w:ascii="楷体" w:hAnsi="楷体" w:eastAsia="楷体" w:cs="楷体"/>
          <w:b/>
          <w:bCs/>
          <w:color w:val="000000"/>
          <w:kern w:val="0"/>
          <w:sz w:val="32"/>
          <w:szCs w:val="32"/>
          <w:highlight w:val="none"/>
          <w:shd w:val="clear" w:color="auto" w:fill="FFFFFF"/>
          <w:lang w:val="zh-CN" w:eastAsia="zh-CN"/>
        </w:rPr>
        <w:t>（三）绩效结果应用情况。</w:t>
      </w:r>
      <w:r>
        <w:rPr>
          <w:rFonts w:hint="default" w:ascii="Times New Roman" w:hAnsi="Times New Roman" w:eastAsia="仿宋_GB2312" w:cs="Times New Roman"/>
          <w:sz w:val="32"/>
          <w:szCs w:val="32"/>
        </w:rPr>
        <w:t>我部门下的州机关事务管理局、州机关后勤服务中心两个</w:t>
      </w:r>
      <w:r>
        <w:rPr>
          <w:rFonts w:hint="default" w:ascii="Times New Roman" w:hAnsi="Times New Roman" w:eastAsia="仿宋_GB2312" w:cs="Times New Roman"/>
          <w:sz w:val="32"/>
          <w:szCs w:val="32"/>
          <w:lang w:eastAsia="zh-CN"/>
        </w:rPr>
        <w:t>部门</w:t>
      </w:r>
      <w:r>
        <w:rPr>
          <w:rFonts w:hint="default" w:ascii="Times New Roman" w:hAnsi="Times New Roman" w:eastAsia="仿宋_GB2312" w:cs="Times New Roman"/>
          <w:sz w:val="32"/>
          <w:szCs w:val="32"/>
        </w:rPr>
        <w:t>已经按财政要求分别在州机关事务管理局部门网站和州人民政府门户网站上完成预算、决算、绩效等信息公开工作，接受社会广泛监督。</w:t>
      </w:r>
    </w:p>
    <w:p w14:paraId="273860F4">
      <w:pPr>
        <w:keepNext w:val="0"/>
        <w:keepLines w:val="0"/>
        <w:pageBreakBefore w:val="0"/>
        <w:widowControl/>
        <w:kinsoku/>
        <w:wordWrap/>
        <w:overflowPunct/>
        <w:topLinePunct w:val="0"/>
        <w:autoSpaceDE/>
        <w:autoSpaceDN/>
        <w:bidi w:val="0"/>
        <w:adjustRightInd w:val="0"/>
        <w:snapToGrid w:val="0"/>
        <w:spacing w:line="564" w:lineRule="exact"/>
        <w:ind w:firstLine="640" w:firstLineChars="200"/>
        <w:contextualSpacing/>
        <w:jc w:val="left"/>
        <w:textAlignment w:val="auto"/>
        <w:outlineLvl w:val="9"/>
        <w:rPr>
          <w:rFonts w:hint="eastAsia" w:ascii="黑体" w:hAnsi="黑体" w:eastAsia="黑体" w:cs="黑体"/>
          <w:color w:val="000000"/>
          <w:kern w:val="0"/>
          <w:sz w:val="32"/>
          <w:szCs w:val="32"/>
          <w:highlight w:val="none"/>
          <w:shd w:val="clear" w:color="auto" w:fill="FFFFFF"/>
        </w:rPr>
      </w:pPr>
      <w:r>
        <w:rPr>
          <w:rFonts w:hint="eastAsia" w:ascii="黑体" w:hAnsi="黑体" w:eastAsia="黑体" w:cs="黑体"/>
          <w:color w:val="000000"/>
          <w:kern w:val="0"/>
          <w:sz w:val="32"/>
          <w:szCs w:val="32"/>
          <w:highlight w:val="none"/>
          <w:shd w:val="clear" w:color="auto" w:fill="FFFFFF"/>
          <w:lang w:eastAsia="zh-CN"/>
        </w:rPr>
        <w:t>四、</w:t>
      </w:r>
      <w:r>
        <w:rPr>
          <w:rFonts w:hint="eastAsia" w:ascii="黑体" w:hAnsi="黑体" w:eastAsia="黑体" w:cs="黑体"/>
          <w:color w:val="000000"/>
          <w:kern w:val="0"/>
          <w:sz w:val="32"/>
          <w:szCs w:val="32"/>
          <w:highlight w:val="none"/>
          <w:shd w:val="clear" w:color="auto" w:fill="FFFFFF"/>
        </w:rPr>
        <w:t>评价结论及建议</w:t>
      </w:r>
    </w:p>
    <w:p w14:paraId="6020BBF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4" w:lineRule="exact"/>
        <w:ind w:right="0" w:firstLine="643" w:firstLineChars="200"/>
        <w:jc w:val="left"/>
        <w:textAlignment w:val="auto"/>
        <w:rPr>
          <w:rFonts w:hint="default" w:ascii="Times New Roman" w:hAnsi="Times New Roman" w:eastAsia="仿宋_GB2312" w:cs="Times New Roman"/>
          <w:b/>
          <w:bCs/>
          <w:color w:val="000000"/>
          <w:kern w:val="0"/>
          <w:sz w:val="32"/>
          <w:szCs w:val="32"/>
          <w:highlight w:val="none"/>
          <w:shd w:val="clear" w:color="auto" w:fill="FFFFFF"/>
          <w:lang w:val="en-US"/>
        </w:rPr>
      </w:pPr>
      <w:r>
        <w:rPr>
          <w:rFonts w:hint="default" w:ascii="楷体" w:hAnsi="楷体" w:eastAsia="楷体" w:cs="楷体"/>
          <w:b/>
          <w:bCs/>
          <w:color w:val="000000"/>
          <w:kern w:val="0"/>
          <w:sz w:val="32"/>
          <w:szCs w:val="32"/>
          <w:highlight w:val="none"/>
          <w:shd w:val="clear" w:color="auto" w:fill="FFFFFF"/>
          <w:lang w:val="zh-CN" w:eastAsia="zh-CN" w:bidi="ar-SA"/>
        </w:rPr>
        <w:t>（一）评价结论。</w:t>
      </w:r>
      <w:r>
        <w:rPr>
          <w:rFonts w:hint="default" w:ascii="Times New Roman" w:hAnsi="Times New Roman" w:eastAsia="仿宋_GB2312" w:cs="Times New Roman"/>
          <w:b w:val="0"/>
          <w:bCs w:val="0"/>
          <w:spacing w:val="10"/>
          <w:kern w:val="36"/>
          <w:sz w:val="32"/>
          <w:szCs w:val="32"/>
          <w:highlight w:val="none"/>
          <w:lang w:val="en-US" w:eastAsia="zh-CN" w:bidi="ar"/>
        </w:rPr>
        <w:t>2024年部门整体支出绩效评价指标总分值100分，自评92.13分，无加分项。</w:t>
      </w:r>
      <w:r>
        <w:rPr>
          <w:rFonts w:hint="default" w:ascii="Times New Roman" w:hAnsi="Times New Roman" w:eastAsia="仿宋_GB2312" w:cs="Times New Roman"/>
          <w:b/>
          <w:bCs/>
          <w:spacing w:val="10"/>
          <w:kern w:val="36"/>
          <w:sz w:val="32"/>
          <w:szCs w:val="32"/>
          <w:highlight w:val="none"/>
          <w:lang w:val="en-US" w:eastAsia="zh-CN" w:bidi="ar"/>
        </w:rPr>
        <w:t>一是</w:t>
      </w:r>
      <w:r>
        <w:rPr>
          <w:rFonts w:hint="default" w:ascii="Times New Roman" w:hAnsi="Times New Roman" w:eastAsia="仿宋_GB2312" w:cs="Times New Roman"/>
          <w:b w:val="0"/>
          <w:bCs w:val="0"/>
          <w:spacing w:val="10"/>
          <w:kern w:val="36"/>
          <w:sz w:val="32"/>
          <w:szCs w:val="32"/>
          <w:highlight w:val="none"/>
          <w:lang w:val="en-US" w:eastAsia="zh-CN" w:bidi="ar"/>
        </w:rPr>
        <w:t>预算管理中支出执行进度需进一步加强，扣2分；</w:t>
      </w:r>
      <w:r>
        <w:rPr>
          <w:rFonts w:hint="default" w:ascii="Times New Roman" w:hAnsi="Times New Roman" w:eastAsia="仿宋_GB2312" w:cs="Times New Roman"/>
          <w:b/>
          <w:bCs/>
          <w:spacing w:val="10"/>
          <w:kern w:val="36"/>
          <w:sz w:val="32"/>
          <w:szCs w:val="32"/>
          <w:highlight w:val="none"/>
          <w:lang w:val="en-US" w:eastAsia="zh-CN" w:bidi="ar"/>
        </w:rPr>
        <w:t>二是</w:t>
      </w:r>
      <w:r>
        <w:rPr>
          <w:rFonts w:hint="default" w:ascii="Times New Roman" w:hAnsi="Times New Roman" w:eastAsia="仿宋_GB2312" w:cs="Times New Roman"/>
          <w:b w:val="0"/>
          <w:bCs w:val="0"/>
          <w:spacing w:val="10"/>
          <w:kern w:val="36"/>
          <w:sz w:val="32"/>
          <w:szCs w:val="32"/>
          <w:highlight w:val="none"/>
          <w:lang w:val="en-US" w:eastAsia="zh-CN" w:bidi="ar"/>
        </w:rPr>
        <w:t>资产管理中</w:t>
      </w:r>
      <w:r>
        <w:rPr>
          <w:rFonts w:hint="default" w:ascii="Times New Roman" w:hAnsi="Times New Roman" w:eastAsia="仿宋_GB2312" w:cs="Times New Roman"/>
          <w:color w:val="000000"/>
          <w:kern w:val="0"/>
          <w:sz w:val="32"/>
          <w:szCs w:val="32"/>
          <w:highlight w:val="none"/>
          <w:shd w:val="clear" w:color="auto" w:fill="FFFFFF"/>
          <w:lang w:val="zh-CN"/>
        </w:rPr>
        <w:t>人均资产增长率</w:t>
      </w:r>
      <w:r>
        <w:rPr>
          <w:rFonts w:hint="default" w:ascii="Times New Roman" w:hAnsi="Times New Roman" w:eastAsia="仿宋_GB2312" w:cs="Times New Roman"/>
          <w:color w:val="000000"/>
          <w:kern w:val="0"/>
          <w:sz w:val="32"/>
          <w:szCs w:val="32"/>
          <w:highlight w:val="none"/>
          <w:shd w:val="clear" w:color="auto" w:fill="FFFFFF"/>
          <w:lang w:val="en-US" w:eastAsia="zh-CN"/>
        </w:rPr>
        <w:t>呈正增长</w:t>
      </w:r>
      <w:r>
        <w:rPr>
          <w:rFonts w:hint="default" w:ascii="Times New Roman" w:hAnsi="Times New Roman" w:eastAsia="仿宋_GB2312" w:cs="Times New Roman"/>
          <w:b w:val="0"/>
          <w:bCs w:val="0"/>
          <w:spacing w:val="10"/>
          <w:kern w:val="36"/>
          <w:sz w:val="32"/>
          <w:szCs w:val="32"/>
          <w:highlight w:val="none"/>
          <w:lang w:val="en-US" w:eastAsia="zh-CN" w:bidi="ar"/>
        </w:rPr>
        <w:t>，扣1.5分。三是预算编制质量，预算偏离度约21%，扣1.37分。四是严控一般性支出，2024年办公设备购置数大于2023年，扣3分。</w:t>
      </w:r>
    </w:p>
    <w:p w14:paraId="33EF7745">
      <w:pPr>
        <w:keepNext w:val="0"/>
        <w:keepLines w:val="0"/>
        <w:pageBreakBefore w:val="0"/>
        <w:widowControl/>
        <w:kinsoku/>
        <w:wordWrap/>
        <w:overflowPunct/>
        <w:topLinePunct w:val="0"/>
        <w:autoSpaceDE/>
        <w:autoSpaceDN/>
        <w:bidi w:val="0"/>
        <w:adjustRightInd/>
        <w:snapToGrid/>
        <w:spacing w:line="564" w:lineRule="exact"/>
        <w:ind w:firstLine="643" w:firstLineChars="200"/>
        <w:textAlignment w:val="auto"/>
        <w:rPr>
          <w:rFonts w:hint="default" w:ascii="Times New Roman" w:hAnsi="Times New Roman" w:eastAsia="仿宋_GB2312" w:cs="Times New Roman"/>
          <w:b/>
          <w:bCs/>
          <w:color w:val="000000"/>
          <w:kern w:val="0"/>
          <w:sz w:val="32"/>
          <w:szCs w:val="32"/>
          <w:highlight w:val="none"/>
          <w:shd w:val="clear" w:color="auto" w:fill="FFFFFF"/>
          <w:lang w:val="en-US" w:eastAsia="zh-CN"/>
        </w:rPr>
      </w:pPr>
      <w:r>
        <w:rPr>
          <w:rFonts w:hint="default" w:ascii="楷体" w:hAnsi="楷体" w:eastAsia="楷体" w:cs="楷体"/>
          <w:b/>
          <w:bCs/>
          <w:color w:val="000000"/>
          <w:kern w:val="0"/>
          <w:sz w:val="32"/>
          <w:szCs w:val="32"/>
          <w:highlight w:val="none"/>
          <w:shd w:val="clear" w:color="auto" w:fill="FFFFFF"/>
          <w:lang w:val="zh-CN" w:eastAsia="zh-CN" w:bidi="ar-SA"/>
        </w:rPr>
        <w:t>（二）存在问题。</w:t>
      </w:r>
      <w:r>
        <w:rPr>
          <w:rFonts w:hint="default" w:ascii="Times New Roman" w:hAnsi="Times New Roman" w:eastAsia="仿宋_GB2312" w:cs="Times New Roman"/>
          <w:b w:val="0"/>
          <w:bCs w:val="0"/>
          <w:spacing w:val="10"/>
          <w:kern w:val="36"/>
          <w:sz w:val="32"/>
          <w:szCs w:val="32"/>
          <w:lang w:val="en-US" w:eastAsia="zh-CN" w:bidi="ar"/>
        </w:rPr>
        <w:t>我部门严格按照预算执行进度相关要求，强化责任主体意识，积极采取有效措施，不断优化支出结构，不断提升预算执行管理水平。但经费支付进度还有待提高，经费支出没严格按照预算目标进行结算。</w:t>
      </w:r>
    </w:p>
    <w:p w14:paraId="17C1159B">
      <w:pPr>
        <w:keepNext w:val="0"/>
        <w:keepLines w:val="0"/>
        <w:pageBreakBefore w:val="0"/>
        <w:widowControl/>
        <w:kinsoku/>
        <w:wordWrap/>
        <w:overflowPunct/>
        <w:topLinePunct w:val="0"/>
        <w:autoSpaceDE/>
        <w:autoSpaceDN/>
        <w:bidi w:val="0"/>
        <w:adjustRightInd/>
        <w:snapToGrid/>
        <w:spacing w:line="564" w:lineRule="exact"/>
        <w:ind w:firstLine="643" w:firstLineChars="200"/>
        <w:textAlignment w:val="auto"/>
        <w:rPr>
          <w:rFonts w:hint="default" w:ascii="Times New Roman" w:hAnsi="Times New Roman" w:eastAsia="仿宋_GB2312" w:cs="Times New Roman"/>
          <w:b w:val="0"/>
          <w:bCs w:val="0"/>
          <w:spacing w:val="10"/>
          <w:kern w:val="36"/>
          <w:sz w:val="32"/>
          <w:szCs w:val="32"/>
          <w:lang w:val="en-US" w:eastAsia="zh-CN" w:bidi="ar"/>
        </w:rPr>
      </w:pPr>
      <w:r>
        <w:rPr>
          <w:rFonts w:hint="default" w:ascii="楷体" w:hAnsi="楷体" w:eastAsia="楷体" w:cs="楷体"/>
          <w:b/>
          <w:bCs/>
          <w:color w:val="000000"/>
          <w:kern w:val="0"/>
          <w:sz w:val="32"/>
          <w:szCs w:val="32"/>
          <w:highlight w:val="none"/>
          <w:shd w:val="clear" w:color="auto" w:fill="FFFFFF"/>
          <w:lang w:val="zh-CN" w:eastAsia="zh-CN" w:bidi="ar-SA"/>
        </w:rPr>
        <w:t>（三）改进建议。</w:t>
      </w:r>
      <w:bookmarkStart w:id="53" w:name="_Hlk110546638"/>
      <w:r>
        <w:rPr>
          <w:rFonts w:hint="default" w:ascii="Times New Roman" w:hAnsi="Times New Roman" w:eastAsia="仿宋_GB2312" w:cs="Times New Roman"/>
          <w:b w:val="0"/>
          <w:bCs w:val="0"/>
          <w:spacing w:val="10"/>
          <w:kern w:val="36"/>
          <w:sz w:val="32"/>
          <w:szCs w:val="32"/>
          <w:lang w:val="en-US" w:eastAsia="zh-CN" w:bidi="ar"/>
        </w:rPr>
        <w:t>加快支出标准体系建设，加强预算项目管理，进一步细化预算编制工作，认真做好预算编制不断提高预算编制的科学性、严谨性和可控性，推动全过程预算绩效管理提质增效。及时分析部门的项目目标完成情况，对确实在本年度项目实施难度大的情况多沟通、多汇报，在确保资金支出安全有序高效的前提下，正确进行项目的实施，力争完成年度目标任务。</w:t>
      </w:r>
    </w:p>
    <w:bookmarkEnd w:id="53"/>
    <w:p w14:paraId="08DF494B">
      <w:pPr>
        <w:keepNext w:val="0"/>
        <w:keepLines w:val="0"/>
        <w:pageBreakBefore w:val="0"/>
        <w:kinsoku/>
        <w:wordWrap/>
        <w:overflowPunct/>
        <w:topLinePunct w:val="0"/>
        <w:autoSpaceDE/>
        <w:autoSpaceDN/>
        <w:bidi w:val="0"/>
        <w:spacing w:line="564" w:lineRule="exact"/>
        <w:contextualSpacing/>
        <w:textAlignment w:val="auto"/>
        <w:outlineLvl w:val="9"/>
        <w:rPr>
          <w:rFonts w:hint="default" w:ascii="Times New Roman" w:hAnsi="Times New Roman" w:eastAsia="仿宋_GB2312" w:cs="Times New Roman"/>
          <w:sz w:val="32"/>
          <w:szCs w:val="32"/>
          <w:highlight w:val="none"/>
          <w:lang w:val="en-US" w:eastAsia="zh-CN"/>
        </w:rPr>
      </w:pPr>
    </w:p>
    <w:p w14:paraId="7212B45C">
      <w:pPr>
        <w:keepNext w:val="0"/>
        <w:keepLines w:val="0"/>
        <w:pageBreakBefore w:val="0"/>
        <w:kinsoku/>
        <w:wordWrap/>
        <w:overflowPunct/>
        <w:topLinePunct w:val="0"/>
        <w:autoSpaceDE/>
        <w:autoSpaceDN/>
        <w:bidi w:val="0"/>
        <w:spacing w:line="564" w:lineRule="exact"/>
        <w:ind w:firstLine="960" w:firstLineChars="300"/>
        <w:textAlignment w:val="auto"/>
        <w:rPr>
          <w:rFonts w:hint="default" w:ascii="Times New Roman" w:hAnsi="Times New Roman" w:eastAsia="仿宋_GB2312" w:cs="Times New Roman"/>
          <w:strike w:val="0"/>
          <w:sz w:val="32"/>
          <w:szCs w:val="32"/>
          <w:u w:val="none"/>
          <w:lang w:val="en-US" w:eastAsia="zh-CN" w:bidi="ar"/>
        </w:rPr>
      </w:pPr>
      <w:r>
        <w:rPr>
          <w:rFonts w:hint="default" w:ascii="Times New Roman" w:hAnsi="Times New Roman" w:eastAsia="仿宋_GB2312" w:cs="Times New Roman"/>
          <w:color w:val="000000"/>
          <w:kern w:val="0"/>
          <w:sz w:val="32"/>
          <w:szCs w:val="32"/>
          <w:highlight w:val="none"/>
          <w:shd w:val="clear" w:color="auto" w:fill="FFFFFF"/>
          <w:lang w:val="en-US" w:eastAsia="zh-CN"/>
        </w:rPr>
        <w:t>附</w:t>
      </w:r>
      <w:r>
        <w:rPr>
          <w:rFonts w:hint="eastAsia" w:ascii="Times New Roman" w:hAnsi="Times New Roman" w:eastAsia="仿宋_GB2312" w:cs="Times New Roman"/>
          <w:b w:val="0"/>
          <w:bCs w:val="0"/>
          <w:spacing w:val="10"/>
          <w:kern w:val="36"/>
          <w:sz w:val="32"/>
          <w:szCs w:val="32"/>
          <w:lang w:val="en-US" w:eastAsia="zh-CN" w:bidi="ar"/>
        </w:rPr>
        <w:t>件</w:t>
      </w:r>
      <w:r>
        <w:rPr>
          <w:rFonts w:hint="default" w:ascii="Times New Roman" w:hAnsi="Times New Roman" w:eastAsia="仿宋_GB2312" w:cs="Times New Roman"/>
          <w:color w:val="000000"/>
          <w:kern w:val="0"/>
          <w:sz w:val="32"/>
          <w:szCs w:val="32"/>
          <w:highlight w:val="none"/>
          <w:shd w:val="clear" w:color="auto" w:fill="FFFFFF"/>
          <w:lang w:val="en-US" w:eastAsia="zh-CN"/>
        </w:rPr>
        <w:t>：1.</w:t>
      </w:r>
      <w:r>
        <w:rPr>
          <w:rFonts w:hint="default" w:ascii="Times New Roman" w:hAnsi="Times New Roman" w:eastAsia="仿宋_GB2312" w:cs="Times New Roman"/>
          <w:strike w:val="0"/>
          <w:sz w:val="32"/>
          <w:szCs w:val="32"/>
          <w:u w:val="none"/>
          <w:lang w:val="en-US" w:eastAsia="zh-CN" w:bidi="ar"/>
        </w:rPr>
        <w:t>部门预算绩效自评打分表</w:t>
      </w:r>
    </w:p>
    <w:p w14:paraId="2AA46F73">
      <w:pPr>
        <w:keepNext w:val="0"/>
        <w:keepLines w:val="0"/>
        <w:pageBreakBefore w:val="0"/>
        <w:kinsoku/>
        <w:wordWrap/>
        <w:overflowPunct/>
        <w:topLinePunct w:val="0"/>
        <w:autoSpaceDE/>
        <w:autoSpaceDN/>
        <w:bidi w:val="0"/>
        <w:spacing w:line="564" w:lineRule="exact"/>
        <w:ind w:firstLine="1920" w:firstLineChars="600"/>
        <w:textAlignment w:val="auto"/>
        <w:rPr>
          <w:rFonts w:hint="default" w:ascii="Times New Roman" w:hAnsi="Times New Roman" w:eastAsia="仿宋_GB2312" w:cs="Times New Roman"/>
          <w:color w:val="000000"/>
          <w:kern w:val="0"/>
          <w:sz w:val="32"/>
          <w:szCs w:val="32"/>
          <w:highlight w:val="none"/>
          <w:shd w:val="clear" w:color="auto" w:fill="FFFFFF"/>
          <w:lang w:val="en-US" w:eastAsia="zh-CN"/>
        </w:rPr>
      </w:pPr>
      <w:r>
        <w:rPr>
          <w:rFonts w:hint="default" w:ascii="Times New Roman" w:hAnsi="Times New Roman" w:eastAsia="仿宋_GB2312" w:cs="Times New Roman"/>
          <w:strike w:val="0"/>
          <w:sz w:val="32"/>
          <w:szCs w:val="32"/>
          <w:u w:val="none"/>
          <w:lang w:val="en-US" w:eastAsia="zh-CN" w:bidi="ar"/>
        </w:rPr>
        <w:t>2.</w:t>
      </w:r>
      <w:r>
        <w:rPr>
          <w:rFonts w:hint="default" w:ascii="Times New Roman" w:hAnsi="Times New Roman" w:eastAsia="仿宋_GB2312" w:cs="Times New Roman"/>
          <w:color w:val="000000"/>
          <w:kern w:val="0"/>
          <w:sz w:val="32"/>
          <w:szCs w:val="32"/>
          <w:highlight w:val="none"/>
          <w:shd w:val="clear" w:color="auto" w:fill="FFFFFF"/>
          <w:lang w:val="en-US" w:eastAsia="zh-CN"/>
        </w:rPr>
        <w:t>部门整体绩效目标完成情况自评表</w:t>
      </w:r>
    </w:p>
    <w:p w14:paraId="7AF073D7">
      <w:pPr>
        <w:keepNext w:val="0"/>
        <w:keepLines w:val="0"/>
        <w:pageBreakBefore w:val="0"/>
        <w:kinsoku/>
        <w:wordWrap/>
        <w:overflowPunct/>
        <w:topLinePunct w:val="0"/>
        <w:autoSpaceDE/>
        <w:autoSpaceDN/>
        <w:bidi w:val="0"/>
        <w:spacing w:line="564" w:lineRule="exact"/>
        <w:ind w:firstLine="1920" w:firstLineChars="600"/>
        <w:textAlignment w:val="auto"/>
        <w:rPr>
          <w:rFonts w:hint="default" w:ascii="Times New Roman" w:hAnsi="Times New Roman" w:eastAsia="仿宋_GB2312" w:cs="Times New Roman"/>
          <w:strike w:val="0"/>
          <w:sz w:val="32"/>
          <w:szCs w:val="32"/>
          <w:u w:val="none"/>
          <w:lang w:eastAsia="zh-CN" w:bidi="ar"/>
        </w:rPr>
      </w:pPr>
      <w:r>
        <w:rPr>
          <w:rFonts w:hint="default" w:ascii="Times New Roman" w:hAnsi="Times New Roman" w:eastAsia="仿宋_GB2312" w:cs="Times New Roman"/>
          <w:color w:val="000000"/>
          <w:kern w:val="0"/>
          <w:sz w:val="32"/>
          <w:szCs w:val="32"/>
          <w:highlight w:val="none"/>
          <w:shd w:val="clear" w:color="auto" w:fill="FFFFFF"/>
          <w:lang w:val="en-US" w:eastAsia="zh-CN"/>
        </w:rPr>
        <w:t>3.</w:t>
      </w:r>
      <w:r>
        <w:rPr>
          <w:rFonts w:hint="default" w:ascii="Times New Roman" w:hAnsi="Times New Roman" w:eastAsia="仿宋_GB2312" w:cs="Times New Roman"/>
          <w:strike w:val="0"/>
          <w:sz w:val="32"/>
          <w:szCs w:val="32"/>
          <w:u w:val="none"/>
          <w:lang w:bidi="ar"/>
        </w:rPr>
        <w:t>部门预算项目支出绩效</w:t>
      </w:r>
      <w:r>
        <w:rPr>
          <w:rFonts w:hint="default" w:ascii="Times New Roman" w:hAnsi="Times New Roman" w:eastAsia="仿宋_GB2312" w:cs="Times New Roman"/>
          <w:strike w:val="0"/>
          <w:sz w:val="32"/>
          <w:szCs w:val="32"/>
          <w:u w:val="none"/>
          <w:lang w:eastAsia="zh-CN" w:bidi="ar"/>
        </w:rPr>
        <w:t>评价</w:t>
      </w:r>
      <w:r>
        <w:rPr>
          <w:rFonts w:hint="default" w:ascii="Times New Roman" w:hAnsi="Times New Roman" w:eastAsia="仿宋_GB2312" w:cs="Times New Roman"/>
          <w:strike w:val="0"/>
          <w:sz w:val="32"/>
          <w:szCs w:val="32"/>
          <w:u w:val="none"/>
          <w:lang w:bidi="ar"/>
        </w:rPr>
        <w:t>表</w:t>
      </w:r>
      <w:r>
        <w:rPr>
          <w:rFonts w:hint="default" w:ascii="Times New Roman" w:hAnsi="Times New Roman" w:eastAsia="仿宋_GB2312" w:cs="Times New Roman"/>
          <w:strike w:val="0"/>
          <w:sz w:val="32"/>
          <w:szCs w:val="32"/>
          <w:u w:val="none"/>
          <w:lang w:eastAsia="zh-CN" w:bidi="ar"/>
        </w:rPr>
        <w:t>（202</w:t>
      </w:r>
      <w:r>
        <w:rPr>
          <w:rFonts w:hint="default" w:ascii="Times New Roman" w:hAnsi="Times New Roman" w:eastAsia="仿宋_GB2312" w:cs="Times New Roman"/>
          <w:strike w:val="0"/>
          <w:sz w:val="32"/>
          <w:szCs w:val="32"/>
          <w:u w:val="none"/>
          <w:lang w:val="en-US" w:eastAsia="zh-CN" w:bidi="ar"/>
        </w:rPr>
        <w:t>4</w:t>
      </w:r>
      <w:r>
        <w:rPr>
          <w:rFonts w:hint="default" w:ascii="Times New Roman" w:hAnsi="Times New Roman" w:eastAsia="仿宋_GB2312" w:cs="Times New Roman"/>
          <w:strike w:val="0"/>
          <w:sz w:val="32"/>
          <w:szCs w:val="32"/>
          <w:u w:val="none"/>
          <w:lang w:eastAsia="zh-CN" w:bidi="ar"/>
        </w:rPr>
        <w:t>年度）</w:t>
      </w:r>
    </w:p>
    <w:p w14:paraId="31D2B42E">
      <w:pPr>
        <w:keepNext w:val="0"/>
        <w:keepLines w:val="0"/>
        <w:pageBreakBefore w:val="0"/>
        <w:widowControl w:val="0"/>
        <w:kinsoku/>
        <w:wordWrap/>
        <w:overflowPunct w:val="0"/>
        <w:topLinePunct w:val="0"/>
        <w:autoSpaceDE/>
        <w:autoSpaceDN/>
        <w:bidi w:val="0"/>
        <w:adjustRightInd w:val="0"/>
        <w:snapToGrid w:val="0"/>
        <w:spacing w:line="564" w:lineRule="exact"/>
        <w:ind w:leftChars="0" w:firstLine="643" w:firstLineChars="200"/>
        <w:contextualSpacing/>
        <w:jc w:val="both"/>
        <w:textAlignment w:val="auto"/>
        <w:outlineLvl w:val="9"/>
        <w:rPr>
          <w:rFonts w:hint="default" w:ascii="Times New Roman" w:hAnsi="Times New Roman" w:eastAsia="仿宋_GB2312" w:cs="Times New Roman"/>
          <w:b/>
          <w:bCs/>
          <w:color w:val="000000"/>
          <w:kern w:val="0"/>
          <w:sz w:val="32"/>
          <w:szCs w:val="32"/>
          <w:highlight w:val="none"/>
          <w:shd w:val="clear" w:color="auto" w:fill="FFFFFF"/>
          <w:lang w:val="zh-CN"/>
        </w:rPr>
      </w:pPr>
    </w:p>
    <w:p w14:paraId="20ABFDEC">
      <w:pPr>
        <w:keepNext w:val="0"/>
        <w:keepLines w:val="0"/>
        <w:pageBreakBefore w:val="0"/>
        <w:widowControl w:val="0"/>
        <w:kinsoku/>
        <w:wordWrap/>
        <w:overflowPunct w:val="0"/>
        <w:topLinePunct w:val="0"/>
        <w:autoSpaceDE/>
        <w:autoSpaceDN/>
        <w:bidi w:val="0"/>
        <w:spacing w:line="564" w:lineRule="exact"/>
        <w:ind w:leftChars="0" w:firstLine="640" w:firstLineChars="200"/>
        <w:jc w:val="both"/>
        <w:textAlignment w:val="auto"/>
        <w:outlineLvl w:val="9"/>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color w:val="000000"/>
          <w:kern w:val="0"/>
          <w:sz w:val="32"/>
          <w:szCs w:val="32"/>
          <w:highlight w:val="none"/>
          <w:shd w:val="clear" w:color="auto" w:fill="FFFFFF"/>
          <w:lang w:val="en-US" w:eastAsia="zh-CN"/>
        </w:rPr>
        <w:br w:type="page"/>
      </w:r>
    </w:p>
    <w:p w14:paraId="74993394">
      <w:pPr>
        <w:keepNext w:val="0"/>
        <w:keepLines w:val="0"/>
        <w:pageBreakBefore w:val="0"/>
        <w:kinsoku/>
        <w:wordWrap/>
        <w:overflowPunct/>
        <w:topLinePunct w:val="0"/>
        <w:autoSpaceDE/>
        <w:autoSpaceDN/>
        <w:bidi w:val="0"/>
        <w:spacing w:line="578" w:lineRule="exact"/>
        <w:jc w:val="left"/>
        <w:textAlignment w:val="auto"/>
        <w:rPr>
          <w:rFonts w:hint="eastAsia"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1</w:t>
      </w:r>
    </w:p>
    <w:p w14:paraId="336A344E">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bidi="ar"/>
        </w:rPr>
      </w:pPr>
      <w:r>
        <w:rPr>
          <w:rFonts w:hint="eastAsia" w:ascii="Times New Roman" w:hAnsi="Times New Roman" w:eastAsia="方正小标宋简体" w:cs="Times New Roman"/>
          <w:i w:val="0"/>
          <w:color w:val="000000"/>
          <w:kern w:val="0"/>
          <w:sz w:val="44"/>
          <w:szCs w:val="44"/>
          <w:u w:val="none"/>
          <w:lang w:val="en-US" w:eastAsia="zh-CN" w:bidi="ar"/>
        </w:rPr>
        <w:t>部门预算绩效自评打分表</w:t>
      </w:r>
    </w:p>
    <w:tbl>
      <w:tblPr>
        <w:tblStyle w:val="17"/>
        <w:tblW w:w="10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4"/>
        <w:gridCol w:w="1462"/>
        <w:gridCol w:w="1665"/>
        <w:gridCol w:w="720"/>
        <w:gridCol w:w="4734"/>
        <w:gridCol w:w="756"/>
        <w:gridCol w:w="478"/>
      </w:tblGrid>
      <w:tr w14:paraId="4DD4C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8C83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4264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41741A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2018E4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6A70C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439134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C74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D5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830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CF340">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1A6D6826">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10073749">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1BF7E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D4EE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F0D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履职效能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251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13764C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684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104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FBC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6C76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BE17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298D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533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6FF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A67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6D1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6.63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3F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DD8B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544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22D1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C42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B4E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669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B66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271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B01C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076E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F197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B28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75A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BEC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708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BCA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76C3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51A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E610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052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C93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311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9A0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656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BEBB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012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B9B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7F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352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79F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C7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302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56CD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8899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D156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财务管理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3E5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E06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7FC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86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99B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328A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006E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9204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C6F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A3F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366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DB0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E67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CC05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DAD9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3A1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D11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047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D08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CBF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9B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65E5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86EF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E4BB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5F1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668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6B2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F4F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21A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0FAB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09FE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926E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813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474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9E8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AB0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4B6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5CBE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F83A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B1E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2FF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AC2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CD7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149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660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8903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D6BE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BFBE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采购管理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209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524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E7B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5A2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CF5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7C21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07C7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8FC7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384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9A6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7D3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E84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268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C33C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C857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51C576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项目决策</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A0D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4F8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FA7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0BA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38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32A8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C499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6843761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734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07B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38A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91D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408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9FCB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94CE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0D7A59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CE1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AE6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E4C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9C2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FFA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0BDC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CA0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7F550F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项目执行</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6A8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557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D48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788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F60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2FD6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6671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2B5322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218DBF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249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68C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EEF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8A0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D118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5432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095537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F14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54D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671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AAC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7BF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28CA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B59C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27C1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目标实现</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43A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54C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395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9B2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A0D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7F9D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D027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D91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263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58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C06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FE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BA6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6277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93A2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887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6A5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0CB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2B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4B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E9C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2E27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6D8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扣分项</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603F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333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8E3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708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CE1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4E1AB1A6">
      <w:pPr>
        <w:pStyle w:val="21"/>
        <w:keepNext/>
        <w:keepLines/>
        <w:pageBreakBefore w:val="0"/>
        <w:widowControl w:val="0"/>
        <w:kinsoku/>
        <w:wordWrap/>
        <w:overflowPunct/>
        <w:topLinePunct w:val="0"/>
        <w:autoSpaceDE/>
        <w:autoSpaceDN/>
        <w:bidi w:val="0"/>
        <w:adjustRightInd/>
        <w:snapToGrid/>
        <w:spacing w:line="20" w:lineRule="exact"/>
        <w:textAlignment w:val="auto"/>
        <w:rPr>
          <w:rFonts w:hint="default"/>
          <w:lang w:val="en-US" w:eastAsia="zh-CN"/>
        </w:rPr>
      </w:pPr>
    </w:p>
    <w:p w14:paraId="0AAD0783">
      <w:pPr>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br w:type="page"/>
      </w:r>
    </w:p>
    <w:p w14:paraId="19C5314F">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2</w:t>
      </w:r>
    </w:p>
    <w:tbl>
      <w:tblPr>
        <w:tblStyle w:val="17"/>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14:paraId="61C3F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2" w:hRule="exact"/>
          <w:jc w:val="center"/>
        </w:trPr>
        <w:tc>
          <w:tcPr>
            <w:tcW w:w="10560" w:type="dxa"/>
            <w:gridSpan w:val="10"/>
            <w:shd w:val="clear" w:color="auto" w:fill="auto"/>
            <w:vAlign w:val="center"/>
          </w:tcPr>
          <w:p w14:paraId="4477010C">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部门整体绩效目标完成情况自评表</w:t>
            </w:r>
          </w:p>
        </w:tc>
      </w:tr>
      <w:tr w14:paraId="4E3DC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shd w:val="clear" w:color="auto" w:fill="auto"/>
            <w:vAlign w:val="center"/>
          </w:tcPr>
          <w:p w14:paraId="0C9E2B0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14:paraId="1D815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shd w:val="clear" w:color="auto" w:fill="auto"/>
            <w:vAlign w:val="center"/>
          </w:tcPr>
          <w:p w14:paraId="3F275CE0">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7FF92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E9A18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4B8040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ascii="仿宋_GB2312" w:hAnsi="仿宋_GB2312" w:eastAsia="仿宋_GB2312" w:cs="仿宋_GB2312"/>
                <w:sz w:val="22"/>
                <w:szCs w:val="22"/>
              </w:rPr>
              <w:t>阿坝州机关事务管理局</w:t>
            </w:r>
          </w:p>
        </w:tc>
      </w:tr>
      <w:tr w14:paraId="36A0A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282DC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71CB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2A980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D8044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14:paraId="68DC2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84DB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58F2B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ascii="Times New Roman" w:hAnsi="Times New Roman" w:eastAsia="仿宋_GB2312" w:cs="Times New Roman"/>
                <w:kern w:val="0"/>
                <w:sz w:val="32"/>
                <w:szCs w:val="32"/>
                <w:lang w:val="en-US" w:eastAsia="zh-CN"/>
              </w:rPr>
              <w:t>625.33</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D03CD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ascii="Times New Roman" w:hAnsi="Times New Roman" w:eastAsia="仿宋_GB2312" w:cs="Times New Roman"/>
                <w:kern w:val="0"/>
                <w:sz w:val="32"/>
                <w:szCs w:val="32"/>
                <w:lang w:val="en-US" w:eastAsia="zh-CN"/>
              </w:rPr>
              <w:t>831.74</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8FCB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0</w:t>
            </w:r>
          </w:p>
        </w:tc>
      </w:tr>
      <w:tr w14:paraId="0F632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5CF7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14:paraId="201291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201DFB6">
            <w:pPr>
              <w:keepNext w:val="0"/>
              <w:keepLines w:val="0"/>
              <w:pageBreakBefore w:val="0"/>
              <w:widowControl/>
              <w:suppressLineNumbers w:val="0"/>
              <w:kinsoku/>
              <w:wordWrap/>
              <w:overflowPunct/>
              <w:topLinePunct w:val="0"/>
              <w:autoSpaceDE/>
              <w:autoSpaceDN/>
              <w:bidi w:val="0"/>
              <w:adjustRightInd/>
              <w:snapToGrid/>
              <w:spacing w:line="300" w:lineRule="exact"/>
              <w:ind w:firstLine="360" w:firstLineChars="200"/>
              <w:jc w:val="left"/>
              <w:textAlignment w:val="center"/>
              <w:outlineLvl w:val="9"/>
              <w:rPr>
                <w:rFonts w:hint="eastAsia" w:ascii="仿宋_GB2312" w:hAnsi="仿宋_GB2312" w:eastAsia="仿宋_GB2312" w:cs="仿宋_GB2312"/>
                <w:b w:val="0"/>
                <w:bCs w:val="0"/>
                <w:i w:val="0"/>
                <w:color w:val="000000"/>
                <w:sz w:val="18"/>
                <w:szCs w:val="18"/>
                <w:u w:val="none"/>
                <w:lang w:val="en-US" w:eastAsia="zh-CN"/>
              </w:rPr>
            </w:pPr>
            <w:r>
              <w:rPr>
                <w:rFonts w:hint="eastAsia" w:ascii="仿宋_GB2312" w:hAnsi="仿宋_GB2312" w:eastAsia="仿宋_GB2312" w:cs="仿宋_GB2312"/>
                <w:b w:val="0"/>
                <w:bCs w:val="0"/>
                <w:i w:val="0"/>
                <w:color w:val="000000"/>
                <w:sz w:val="18"/>
                <w:szCs w:val="18"/>
                <w:u w:val="none"/>
                <w:lang w:val="en-US" w:eastAsia="zh-CN"/>
              </w:rPr>
              <w:t>认真践行习近平总书记关于机关事务工作“两个重大”“一个表率”“两个更好服务”重要指示精神，坚持新时代机关事务高质量发展方向，出台《阿坝州推进州级机关事务高质量发展工作方案》，以高标准引领机关事务高质量发展，着力提升服务管理效能，为党政机关高效运转提供有力保障。</w:t>
            </w:r>
          </w:p>
          <w:p w14:paraId="1B83ECF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ascii="仿宋_GB2312" w:hAnsi="仿宋_GB2312" w:eastAsia="仿宋_GB2312" w:cs="仿宋_GB2312"/>
                <w:b w:val="0"/>
                <w:bCs w:val="0"/>
                <w:i w:val="0"/>
                <w:color w:val="000000"/>
                <w:sz w:val="18"/>
                <w:szCs w:val="18"/>
                <w:u w:val="none"/>
                <w:lang w:val="en-US" w:eastAsia="zh-CN"/>
              </w:rPr>
              <w:t>。</w:t>
            </w:r>
          </w:p>
        </w:tc>
      </w:tr>
      <w:tr w14:paraId="2D3BA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13" w:hRule="atLeast"/>
          <w:jc w:val="center"/>
        </w:trPr>
        <w:tc>
          <w:tcPr>
            <w:tcW w:w="1309" w:type="dxa"/>
            <w:vMerge w:val="restart"/>
            <w:tcBorders>
              <w:top w:val="single" w:color="000000" w:sz="4" w:space="0"/>
              <w:left w:val="single" w:color="000000" w:sz="4" w:space="0"/>
              <w:right w:val="single" w:color="000000" w:sz="4" w:space="0"/>
            </w:tcBorders>
            <w:shd w:val="clear" w:color="auto" w:fill="auto"/>
            <w:vAlign w:val="center"/>
          </w:tcPr>
          <w:p w14:paraId="549F21E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14:paraId="66F36F4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69BF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仿宋_GB2312" w:hAnsi="仿宋_GB2312" w:eastAsia="仿宋_GB2312" w:cs="仿宋_GB2312"/>
                <w:b w:val="0"/>
                <w:bCs w:val="0"/>
                <w:i w:val="0"/>
                <w:color w:val="000000"/>
                <w:sz w:val="18"/>
                <w:szCs w:val="18"/>
                <w:u w:val="none"/>
                <w:lang w:val="en-US" w:eastAsia="zh-CN"/>
              </w:rPr>
            </w:pPr>
            <w:r>
              <w:rPr>
                <w:rFonts w:hint="eastAsia" w:ascii="Times New Roman" w:hAnsi="Times New Roman" w:eastAsia="宋体" w:cs="Times New Roman"/>
                <w:i w:val="0"/>
                <w:color w:val="000000"/>
                <w:kern w:val="0"/>
                <w:sz w:val="24"/>
                <w:szCs w:val="24"/>
                <w:u w:val="none"/>
                <w:lang w:val="en-US" w:eastAsia="zh-CN" w:bidi="ar"/>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6BB61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仿宋_GB2312" w:hAnsi="仿宋_GB2312" w:eastAsia="仿宋_GB2312" w:cs="仿宋_GB2312"/>
                <w:b w:val="0"/>
                <w:bCs w:val="0"/>
                <w:i w:val="0"/>
                <w:color w:val="000000"/>
                <w:sz w:val="18"/>
                <w:szCs w:val="18"/>
                <w:u w:val="none"/>
                <w:lang w:val="en-US" w:eastAsia="zh-CN"/>
              </w:rPr>
            </w:pPr>
            <w:r>
              <w:rPr>
                <w:rFonts w:hint="eastAsia" w:ascii="Times New Roman" w:hAnsi="Times New Roman" w:eastAsia="宋体" w:cs="Times New Roman"/>
                <w:i w:val="0"/>
                <w:color w:val="000000"/>
                <w:kern w:val="0"/>
                <w:sz w:val="24"/>
                <w:szCs w:val="24"/>
                <w:u w:val="none"/>
                <w:lang w:val="en-US" w:eastAsia="zh-CN" w:bidi="ar"/>
              </w:rPr>
              <w:t>主要内容</w:t>
            </w:r>
          </w:p>
        </w:tc>
      </w:tr>
      <w:tr w14:paraId="5FAE0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13" w:hRule="atLeast"/>
          <w:jc w:val="center"/>
        </w:trPr>
        <w:tc>
          <w:tcPr>
            <w:tcW w:w="1309" w:type="dxa"/>
            <w:vMerge w:val="continue"/>
            <w:tcBorders>
              <w:left w:val="single" w:color="000000" w:sz="4" w:space="0"/>
              <w:right w:val="single" w:color="000000" w:sz="4" w:space="0"/>
            </w:tcBorders>
            <w:shd w:val="clear" w:color="auto" w:fill="auto"/>
            <w:vAlign w:val="center"/>
          </w:tcPr>
          <w:p w14:paraId="69E4865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80E45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_GB2312" w:hAnsi="仿宋_GB2312" w:eastAsia="仿宋_GB2312" w:cs="仿宋_GB2312"/>
                <w:b w:val="0"/>
                <w:bCs w:val="0"/>
                <w:i w:val="0"/>
                <w:color w:val="000000"/>
                <w:sz w:val="18"/>
                <w:szCs w:val="18"/>
                <w:u w:val="none"/>
                <w:lang w:val="en-US" w:eastAsia="zh-CN"/>
              </w:rPr>
            </w:pPr>
            <w:r>
              <w:rPr>
                <w:rFonts w:hint="eastAsia" w:ascii="仿宋_GB2312" w:hAnsi="仿宋_GB2312" w:eastAsia="仿宋_GB2312" w:cs="仿宋_GB2312"/>
                <w:b w:val="0"/>
                <w:bCs w:val="0"/>
                <w:i w:val="0"/>
                <w:color w:val="000000"/>
                <w:sz w:val="18"/>
                <w:szCs w:val="18"/>
                <w:u w:val="none"/>
                <w:lang w:val="en-US" w:eastAsia="zh-CN"/>
              </w:rPr>
              <w:t>着力抓好国有资产管理</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393DB6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_GB2312" w:hAnsi="仿宋_GB2312" w:eastAsia="仿宋_GB2312" w:cs="仿宋_GB2312"/>
                <w:b w:val="0"/>
                <w:bCs w:val="0"/>
                <w:i w:val="0"/>
                <w:color w:val="000000"/>
                <w:sz w:val="18"/>
                <w:szCs w:val="18"/>
                <w:u w:val="none"/>
                <w:lang w:val="en-US" w:eastAsia="zh-CN"/>
              </w:rPr>
            </w:pPr>
            <w:r>
              <w:rPr>
                <w:rFonts w:hint="eastAsia" w:ascii="仿宋_GB2312" w:hAnsi="仿宋_GB2312" w:eastAsia="仿宋_GB2312" w:cs="仿宋_GB2312"/>
                <w:b w:val="0"/>
                <w:bCs w:val="0"/>
                <w:i w:val="0"/>
                <w:color w:val="000000"/>
                <w:sz w:val="18"/>
                <w:szCs w:val="18"/>
                <w:u w:val="none"/>
                <w:lang w:val="en-US" w:eastAsia="zh-CN"/>
              </w:rPr>
              <w:t>严格落实政府过紧日子要求，认真执行《州直行政事业单位国有资产管理办法》，依法依规对36家州直行政事业单位国有资产进行处置，会同州财政局督促指导州直行政事业单位全面开展国有资产资源清查工作。</w:t>
            </w:r>
          </w:p>
          <w:p w14:paraId="7C95DF9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_GB2312" w:hAnsi="仿宋_GB2312" w:eastAsia="仿宋_GB2312" w:cs="仿宋_GB2312"/>
                <w:b w:val="0"/>
                <w:bCs w:val="0"/>
                <w:i w:val="0"/>
                <w:color w:val="000000"/>
                <w:sz w:val="18"/>
                <w:szCs w:val="18"/>
                <w:u w:val="none"/>
                <w:lang w:val="en-US" w:eastAsia="zh-CN"/>
              </w:rPr>
            </w:pPr>
          </w:p>
        </w:tc>
      </w:tr>
      <w:tr w14:paraId="1A1AB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13" w:hRule="atLeast"/>
          <w:jc w:val="center"/>
        </w:trPr>
        <w:tc>
          <w:tcPr>
            <w:tcW w:w="1309" w:type="dxa"/>
            <w:vMerge w:val="continue"/>
            <w:tcBorders>
              <w:left w:val="single" w:color="000000" w:sz="4" w:space="0"/>
              <w:right w:val="single" w:color="000000" w:sz="4" w:space="0"/>
            </w:tcBorders>
            <w:shd w:val="clear" w:color="auto" w:fill="auto"/>
            <w:vAlign w:val="center"/>
          </w:tcPr>
          <w:p w14:paraId="48D7239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9C707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_GB2312" w:hAnsi="仿宋_GB2312" w:eastAsia="仿宋_GB2312" w:cs="仿宋_GB2312"/>
                <w:b w:val="0"/>
                <w:bCs w:val="0"/>
                <w:i w:val="0"/>
                <w:color w:val="000000"/>
                <w:sz w:val="18"/>
                <w:szCs w:val="18"/>
                <w:u w:val="none"/>
                <w:lang w:val="en-US" w:eastAsia="zh-CN"/>
              </w:rPr>
            </w:pPr>
            <w:r>
              <w:rPr>
                <w:rFonts w:hint="eastAsia" w:ascii="仿宋_GB2312" w:hAnsi="仿宋_GB2312" w:eastAsia="仿宋_GB2312" w:cs="仿宋_GB2312"/>
                <w:b w:val="0"/>
                <w:bCs w:val="0"/>
                <w:i w:val="0"/>
                <w:color w:val="000000"/>
                <w:sz w:val="18"/>
                <w:szCs w:val="18"/>
                <w:u w:val="none"/>
                <w:lang w:val="en-US" w:eastAsia="zh-CN"/>
              </w:rPr>
              <w:t>着力抓好办公用房管理</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345833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_GB2312" w:hAnsi="仿宋_GB2312" w:eastAsia="仿宋_GB2312" w:cs="仿宋_GB2312"/>
                <w:b w:val="0"/>
                <w:bCs w:val="0"/>
                <w:i w:val="0"/>
                <w:color w:val="000000"/>
                <w:sz w:val="18"/>
                <w:szCs w:val="18"/>
                <w:u w:val="none"/>
                <w:lang w:val="en-US" w:eastAsia="zh-CN"/>
              </w:rPr>
            </w:pPr>
            <w:r>
              <w:rPr>
                <w:rFonts w:hint="eastAsia" w:ascii="仿宋_GB2312" w:hAnsi="仿宋_GB2312" w:eastAsia="仿宋_GB2312" w:cs="仿宋_GB2312"/>
                <w:b w:val="0"/>
                <w:bCs w:val="0"/>
                <w:i w:val="0"/>
                <w:color w:val="000000"/>
                <w:sz w:val="18"/>
                <w:szCs w:val="18"/>
                <w:u w:val="none"/>
                <w:lang w:val="en-US" w:eastAsia="zh-CN"/>
              </w:rPr>
              <w:t>完成2024年度全州行政机关事业单位办公用房统计报告，督促指导2家州直单位完成办公用房整改工作。严格落实厉行节约要求，从严审核29家州直单位办公用房维修改造事宜。完成12家还迁州直机关单位办公用房集中统一租赁工作，积极推进涉改部门办公用房调剂保障。完成全州党政机关单位办公用房危房排查整治工作，对1个州级部门办公用房Csu级危房进行调剂，指导小金、壤塘、理县等3个县分类施策，依法依规按程序做好办公用房危房整治工作。</w:t>
            </w:r>
          </w:p>
        </w:tc>
      </w:tr>
      <w:tr w14:paraId="40A49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4" w:hRule="atLeast"/>
          <w:jc w:val="center"/>
        </w:trPr>
        <w:tc>
          <w:tcPr>
            <w:tcW w:w="1309" w:type="dxa"/>
            <w:vMerge w:val="continue"/>
            <w:tcBorders>
              <w:left w:val="single" w:color="000000" w:sz="4" w:space="0"/>
              <w:right w:val="single" w:color="000000" w:sz="4" w:space="0"/>
            </w:tcBorders>
            <w:shd w:val="clear" w:color="auto" w:fill="auto"/>
            <w:vAlign w:val="center"/>
          </w:tcPr>
          <w:p w14:paraId="25913F1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96B01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hint="default" w:ascii="Times New Roman" w:hAnsi="Times New Roman" w:eastAsia="宋体" w:cs="Times New Roman"/>
                <w:i w:val="0"/>
                <w:color w:val="000000"/>
                <w:sz w:val="24"/>
                <w:szCs w:val="24"/>
                <w:u w:val="none"/>
              </w:rPr>
            </w:pPr>
            <w:r>
              <w:rPr>
                <w:rFonts w:hint="eastAsia" w:ascii="仿宋_GB2312" w:hAnsi="仿宋_GB2312" w:eastAsia="仿宋_GB2312" w:cs="仿宋_GB2312"/>
                <w:b w:val="0"/>
                <w:bCs w:val="0"/>
                <w:i w:val="0"/>
                <w:color w:val="000000"/>
                <w:sz w:val="18"/>
                <w:szCs w:val="18"/>
                <w:u w:val="none"/>
                <w:lang w:val="en-US" w:eastAsia="zh-CN"/>
              </w:rPr>
              <w:t>着力抓好公务用车管理</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E8717F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_GB2312" w:hAnsi="仿宋_GB2312" w:eastAsia="仿宋_GB2312" w:cs="仿宋_GB2312"/>
                <w:b w:val="0"/>
                <w:bCs w:val="0"/>
                <w:i w:val="0"/>
                <w:color w:val="000000"/>
                <w:sz w:val="18"/>
                <w:szCs w:val="18"/>
                <w:u w:val="none"/>
                <w:lang w:val="en-US" w:eastAsia="zh-CN"/>
              </w:rPr>
            </w:pPr>
            <w:r>
              <w:rPr>
                <w:rFonts w:hint="eastAsia" w:ascii="仿宋_GB2312" w:hAnsi="仿宋_GB2312" w:eastAsia="仿宋_GB2312" w:cs="仿宋_GB2312"/>
                <w:b w:val="0"/>
                <w:bCs w:val="0"/>
                <w:i w:val="0"/>
                <w:color w:val="000000"/>
                <w:sz w:val="18"/>
                <w:szCs w:val="18"/>
                <w:u w:val="none"/>
                <w:lang w:val="en-US" w:eastAsia="zh-CN"/>
              </w:rPr>
              <w:t>筹备召开2024年公务用车制度改革和管理领导小组第一次会议，审议通过公车制度修订、公车编制调剂、车辆更新购置等事项，依法依规开展公务用车更新购置和调剂审核、批复工作。完成全州公务用车、执法执勤用车集中统一采购任务，有效降低机关运行成本。启动全州事业单位公务用车编制化管理，开展公车督导调研10余次，发送廉洁用车、安全用车提醒短信100万余条，将全州600余辆公务用车纳入公车平台试运行管理，积极探索便捷派车、高效用车、透明管车、有效督车新模式。</w:t>
            </w:r>
          </w:p>
          <w:p w14:paraId="4E84B11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p>
        </w:tc>
      </w:tr>
      <w:tr w14:paraId="7B907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jc w:val="center"/>
        </w:trPr>
        <w:tc>
          <w:tcPr>
            <w:tcW w:w="1309" w:type="dxa"/>
            <w:vMerge w:val="continue"/>
            <w:tcBorders>
              <w:left w:val="single" w:color="000000" w:sz="4" w:space="0"/>
              <w:right w:val="single" w:color="000000" w:sz="4" w:space="0"/>
            </w:tcBorders>
            <w:shd w:val="clear" w:color="auto" w:fill="auto"/>
            <w:vAlign w:val="center"/>
          </w:tcPr>
          <w:p w14:paraId="5F4AE0A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7264A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ascii="仿宋_GB2312" w:hAnsi="仿宋_GB2312" w:eastAsia="仿宋_GB2312" w:cs="仿宋_GB2312"/>
                <w:b w:val="0"/>
                <w:bCs w:val="0"/>
                <w:i w:val="0"/>
                <w:color w:val="000000"/>
                <w:sz w:val="18"/>
                <w:szCs w:val="18"/>
                <w:u w:val="none"/>
                <w:lang w:val="en-US" w:eastAsia="zh-CN"/>
              </w:rPr>
              <w:t>着力抓好公共机构节能管理</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DAE7F2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_GB2312" w:hAnsi="仿宋_GB2312" w:eastAsia="仿宋_GB2312" w:cs="仿宋_GB2312"/>
                <w:b w:val="0"/>
                <w:bCs w:val="0"/>
                <w:i w:val="0"/>
                <w:color w:val="000000"/>
                <w:sz w:val="18"/>
                <w:szCs w:val="18"/>
                <w:u w:val="none"/>
                <w:lang w:val="en-US" w:eastAsia="zh-CN"/>
              </w:rPr>
            </w:pPr>
            <w:r>
              <w:rPr>
                <w:rFonts w:hint="eastAsia" w:ascii="仿宋_GB2312" w:hAnsi="仿宋_GB2312" w:eastAsia="仿宋_GB2312" w:cs="仿宋_GB2312"/>
                <w:b w:val="0"/>
                <w:bCs w:val="0"/>
                <w:i w:val="0"/>
                <w:color w:val="000000"/>
                <w:sz w:val="18"/>
                <w:szCs w:val="18"/>
                <w:u w:val="none"/>
                <w:lang w:val="en-US" w:eastAsia="zh-CN"/>
              </w:rPr>
              <w:t>深入践行习近平生态文明思想，充分发挥公共机构示范带动作用，坚持绿色低碳发展，积极推进节能降碳各项工作。指导中国人民银行阿坝州分行成功创建国家级2024—2026年公共机构水效领跑者，督促指导州公安局等4家单位启动2023—2024年国家级节约型公共机构示范单位创建工作。大力实施公共机构节能改造，完成既有建筑节能综合改造0.93万平方米。积极推进新能源利用，实施分布式光伏建设18个、合同能源管理1个、热泵技术应用2个、智慧能源管理3个。深入推进反食品浪费，开展专项检查督查，抽查州级部门20余个。2024年1-3季度全州公共机构人均综合能耗、单位建筑面积能耗、人均水耗分别为69.65千克标准煤/人，2.47千克标准煤/平方米，13.11吨/人；较2023年同期，分别下降19.07%、26.03%、7.61%。</w:t>
            </w:r>
          </w:p>
          <w:p w14:paraId="2B2F4FD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p>
        </w:tc>
      </w:tr>
      <w:tr w14:paraId="741DC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9" w:hRule="atLeast"/>
          <w:jc w:val="center"/>
        </w:trPr>
        <w:tc>
          <w:tcPr>
            <w:tcW w:w="1309" w:type="dxa"/>
            <w:vMerge w:val="continue"/>
            <w:tcBorders>
              <w:left w:val="single" w:color="000000" w:sz="4" w:space="0"/>
              <w:bottom w:val="single" w:color="000000" w:sz="4" w:space="0"/>
              <w:right w:val="single" w:color="000000" w:sz="4" w:space="0"/>
            </w:tcBorders>
            <w:shd w:val="clear" w:color="auto" w:fill="auto"/>
            <w:vAlign w:val="center"/>
          </w:tcPr>
          <w:p w14:paraId="54C9EEE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E8BB6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仿宋_GB2312" w:hAnsi="仿宋_GB2312" w:eastAsia="仿宋_GB2312" w:cs="仿宋_GB2312"/>
                <w:b w:val="0"/>
                <w:bCs w:val="0"/>
                <w:i w:val="0"/>
                <w:color w:val="000000"/>
                <w:sz w:val="18"/>
                <w:szCs w:val="18"/>
                <w:u w:val="none"/>
                <w:lang w:val="en-US" w:eastAsia="zh-CN"/>
              </w:rPr>
            </w:pPr>
            <w:r>
              <w:rPr>
                <w:rFonts w:hint="eastAsia" w:ascii="仿宋_GB2312" w:hAnsi="仿宋_GB2312" w:eastAsia="仿宋_GB2312" w:cs="仿宋_GB2312"/>
                <w:b w:val="0"/>
                <w:bCs w:val="0"/>
                <w:i w:val="0"/>
                <w:color w:val="000000"/>
                <w:sz w:val="18"/>
                <w:szCs w:val="18"/>
                <w:u w:val="none"/>
                <w:lang w:val="en-US" w:eastAsia="zh-CN"/>
              </w:rPr>
              <w:t>着力抓好后勤服务保障</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DFB2E1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eastAsia" w:ascii="仿宋_GB2312" w:hAnsi="仿宋_GB2312" w:eastAsia="仿宋_GB2312" w:cs="仿宋_GB2312"/>
                <w:b w:val="0"/>
                <w:bCs w:val="0"/>
                <w:i w:val="0"/>
                <w:color w:val="000000"/>
                <w:sz w:val="18"/>
                <w:szCs w:val="18"/>
                <w:u w:val="none"/>
                <w:lang w:val="en-US" w:eastAsia="zh-CN"/>
              </w:rPr>
            </w:pPr>
            <w:r>
              <w:rPr>
                <w:rFonts w:hint="eastAsia" w:ascii="仿宋_GB2312" w:hAnsi="仿宋_GB2312" w:eastAsia="仿宋_GB2312" w:cs="仿宋_GB2312"/>
                <w:b w:val="0"/>
                <w:bCs w:val="0"/>
                <w:i w:val="0"/>
                <w:color w:val="000000"/>
                <w:sz w:val="18"/>
                <w:szCs w:val="18"/>
                <w:u w:val="none"/>
                <w:lang w:val="en-US" w:eastAsia="zh-CN"/>
              </w:rPr>
              <w:t>聚焦干部职工所期所盼，先后累计投入164余万元，完成130余套周转房和15项公共区域维修维护，有力解决周转房排水不畅、供水不足和停电保障等各类问题。持之以恒抓实抓牢消防、燃气管道和电梯设备专业维保工作和地质灾害防范，有效开展消防应急演练，汛期紧急转移干部职工及家属100余人次，有力确保干部职工生命财产安全。分配腾退周转房72套，有效保障干部职工住房需求。</w:t>
            </w:r>
          </w:p>
          <w:p w14:paraId="06DF0AD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仿宋_GB2312" w:hAnsi="仿宋_GB2312" w:eastAsia="仿宋_GB2312" w:cs="仿宋_GB2312"/>
                <w:b w:val="0"/>
                <w:bCs w:val="0"/>
                <w:i w:val="0"/>
                <w:color w:val="000000"/>
                <w:sz w:val="18"/>
                <w:szCs w:val="18"/>
                <w:u w:val="none"/>
                <w:lang w:val="en-US" w:eastAsia="zh-CN"/>
              </w:rPr>
            </w:pPr>
          </w:p>
        </w:tc>
      </w:tr>
      <w:tr w14:paraId="37BAE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EE98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14:paraId="4210DF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74A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A3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8033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D4F5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14:paraId="1134FA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37E2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130B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3C169A9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1048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14:paraId="169DA06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14:paraId="5EBA6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C411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B881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7702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4F18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ascii="仿宋_GB2312" w:hAnsi="仿宋_GB2312" w:eastAsia="仿宋_GB2312" w:cs="仿宋_GB2312"/>
                <w:b w:val="0"/>
                <w:bCs w:val="0"/>
                <w:i w:val="0"/>
                <w:color w:val="000000"/>
                <w:kern w:val="0"/>
                <w:sz w:val="18"/>
                <w:szCs w:val="18"/>
                <w:u w:val="none"/>
                <w:lang w:val="en-US" w:eastAsia="zh-CN" w:bidi="ar"/>
              </w:rPr>
              <w:t>更好地服务干部群众</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396A5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ascii="仿宋_GB2312" w:hAnsi="仿宋_GB2312" w:eastAsia="仿宋_GB2312" w:cs="仿宋_GB2312"/>
                <w:b w:val="0"/>
                <w:bCs w:val="0"/>
                <w:i w:val="0"/>
                <w:color w:val="000000"/>
                <w:kern w:val="0"/>
                <w:sz w:val="18"/>
                <w:szCs w:val="18"/>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5E378">
            <w:pPr>
              <w:keepNext w:val="0"/>
              <w:keepLines w:val="0"/>
              <w:pageBreakBefore w:val="0"/>
              <w:widowControl w:val="0"/>
              <w:suppressLineNumbers w:val="0"/>
              <w:kinsoku/>
              <w:wordWrap/>
              <w:overflowPunct w:val="0"/>
              <w:topLinePunct w:val="0"/>
              <w:autoSpaceDE/>
              <w:autoSpaceDN/>
              <w:bidi w:val="0"/>
              <w:adjustRightInd/>
              <w:snapToGrid/>
              <w:spacing w:line="576" w:lineRule="exact"/>
              <w:ind w:left="0" w:leftChars="0" w:firstLine="360" w:firstLineChars="200"/>
              <w:jc w:val="both"/>
              <w:textAlignment w:val="center"/>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eastAsia="仿宋_GB2312" w:cs="仿宋_GB2312"/>
                <w:b w:val="0"/>
                <w:bCs w:val="0"/>
                <w:i w:val="0"/>
                <w:color w:val="000000"/>
                <w:kern w:val="0"/>
                <w:sz w:val="18"/>
                <w:szCs w:val="18"/>
                <w:u w:val="none"/>
                <w:lang w:val="en-US" w:eastAsia="zh-CN" w:bidi="ar"/>
              </w:rPr>
              <w:t>93</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4004B">
            <w:pPr>
              <w:keepNext w:val="0"/>
              <w:keepLines w:val="0"/>
              <w:pageBreakBefore w:val="0"/>
              <w:widowControl w:val="0"/>
              <w:suppressLineNumbers w:val="0"/>
              <w:kinsoku/>
              <w:wordWrap/>
              <w:overflowPunct w:val="0"/>
              <w:topLinePunct w:val="0"/>
              <w:autoSpaceDE/>
              <w:autoSpaceDN/>
              <w:bidi w:val="0"/>
              <w:adjustRightInd/>
              <w:snapToGrid/>
              <w:spacing w:line="576" w:lineRule="exact"/>
              <w:ind w:left="0" w:leftChars="0" w:firstLine="360" w:firstLineChars="200"/>
              <w:jc w:val="both"/>
              <w:textAlignment w:val="center"/>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cs="仿宋_GB2312"/>
                <w:b w:val="0"/>
                <w:bCs w:val="0"/>
                <w:i w:val="0"/>
                <w:color w:val="000000"/>
                <w:kern w:val="0"/>
                <w:sz w:val="18"/>
                <w:szCs w:val="18"/>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00496">
            <w:pPr>
              <w:keepNext w:val="0"/>
              <w:keepLines w:val="0"/>
              <w:pageBreakBefore w:val="0"/>
              <w:widowControl w:val="0"/>
              <w:suppressLineNumbers w:val="0"/>
              <w:kinsoku/>
              <w:wordWrap/>
              <w:overflowPunct w:val="0"/>
              <w:topLinePunct w:val="0"/>
              <w:autoSpaceDE/>
              <w:autoSpaceDN/>
              <w:bidi w:val="0"/>
              <w:adjustRightInd/>
              <w:snapToGrid/>
              <w:spacing w:line="576" w:lineRule="exact"/>
              <w:ind w:left="0" w:leftChars="0" w:firstLine="360" w:firstLineChars="200"/>
              <w:jc w:val="both"/>
              <w:textAlignment w:val="center"/>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cs="仿宋_GB2312"/>
                <w:b w:val="0"/>
                <w:bCs w:val="0"/>
                <w:i w:val="0"/>
                <w:color w:val="000000"/>
                <w:kern w:val="0"/>
                <w:sz w:val="18"/>
                <w:szCs w:val="18"/>
                <w:u w:val="none"/>
                <w:lang w:val="en-US" w:eastAsia="zh-CN" w:bidi="ar"/>
              </w:rPr>
              <w:t>20</w:t>
            </w:r>
          </w:p>
        </w:tc>
        <w:tc>
          <w:tcPr>
            <w:tcW w:w="1113" w:type="dxa"/>
            <w:tcBorders>
              <w:left w:val="single" w:color="000000" w:sz="4" w:space="0"/>
              <w:bottom w:val="single" w:color="000000" w:sz="4" w:space="0"/>
              <w:right w:val="single" w:color="000000" w:sz="4" w:space="0"/>
            </w:tcBorders>
            <w:shd w:val="clear" w:color="auto" w:fill="auto"/>
            <w:vAlign w:val="center"/>
          </w:tcPr>
          <w:p w14:paraId="19C299EA">
            <w:pPr>
              <w:keepNext w:val="0"/>
              <w:keepLines w:val="0"/>
              <w:pageBreakBefore w:val="0"/>
              <w:widowControl w:val="0"/>
              <w:suppressLineNumbers w:val="0"/>
              <w:kinsoku/>
              <w:wordWrap/>
              <w:overflowPunct w:val="0"/>
              <w:topLinePunct w:val="0"/>
              <w:autoSpaceDE/>
              <w:autoSpaceDN/>
              <w:bidi w:val="0"/>
              <w:adjustRightInd/>
              <w:snapToGrid/>
              <w:spacing w:line="576" w:lineRule="exact"/>
              <w:ind w:left="0" w:leftChars="0" w:firstLine="360" w:firstLineChars="200"/>
              <w:jc w:val="both"/>
              <w:textAlignment w:val="center"/>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cs="仿宋_GB2312"/>
                <w:b w:val="0"/>
                <w:bCs w:val="0"/>
                <w:i w:val="0"/>
                <w:color w:val="000000"/>
                <w:kern w:val="0"/>
                <w:sz w:val="18"/>
                <w:szCs w:val="18"/>
                <w:u w:val="none"/>
                <w:lang w:val="en-US" w:eastAsia="zh-CN" w:bidi="ar"/>
              </w:rPr>
              <w:t>95</w:t>
            </w:r>
          </w:p>
        </w:tc>
      </w:tr>
      <w:tr w14:paraId="0BE83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7CB4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C166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C2AD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5BE82">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3E6A3">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2F57D">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BA3BE">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3B0D9">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563D2">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r w14:paraId="3749B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8"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5834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4B06D">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F7BD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0E52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eastAsia="仿宋_GB2312" w:cs="仿宋_GB2312"/>
                <w:b w:val="0"/>
                <w:bCs w:val="0"/>
                <w:i w:val="0"/>
                <w:color w:val="000000"/>
                <w:kern w:val="0"/>
                <w:sz w:val="18"/>
                <w:szCs w:val="18"/>
                <w:u w:val="none"/>
                <w:lang w:val="en-US" w:eastAsia="zh-CN" w:bidi="ar"/>
              </w:rPr>
              <w:t>更好地服务干部群众</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8F9488">
            <w:pPr>
              <w:keepNext w:val="0"/>
              <w:keepLines w:val="0"/>
              <w:pageBreakBefore w:val="0"/>
              <w:widowControl w:val="0"/>
              <w:suppressLineNumbers w:val="0"/>
              <w:kinsoku/>
              <w:wordWrap/>
              <w:overflowPunct w:val="0"/>
              <w:topLinePunct w:val="0"/>
              <w:autoSpaceDE/>
              <w:autoSpaceDN/>
              <w:bidi w:val="0"/>
              <w:adjustRightInd/>
              <w:snapToGrid/>
              <w:spacing w:line="576" w:lineRule="exact"/>
              <w:ind w:left="0" w:leftChars="0" w:firstLine="360" w:firstLineChars="200"/>
              <w:jc w:val="both"/>
              <w:textAlignment w:val="center"/>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eastAsia="仿宋_GB2312" w:cs="仿宋_GB2312"/>
                <w:b w:val="0"/>
                <w:bCs w:val="0"/>
                <w:i w:val="0"/>
                <w:color w:val="000000"/>
                <w:kern w:val="0"/>
                <w:sz w:val="18"/>
                <w:szCs w:val="18"/>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7CF76">
            <w:pPr>
              <w:keepNext w:val="0"/>
              <w:keepLines w:val="0"/>
              <w:pageBreakBefore w:val="0"/>
              <w:widowControl w:val="0"/>
              <w:suppressLineNumbers w:val="0"/>
              <w:kinsoku/>
              <w:wordWrap/>
              <w:overflowPunct w:val="0"/>
              <w:topLinePunct w:val="0"/>
              <w:autoSpaceDE/>
              <w:autoSpaceDN/>
              <w:bidi w:val="0"/>
              <w:adjustRightInd/>
              <w:snapToGrid/>
              <w:spacing w:line="576" w:lineRule="exact"/>
              <w:ind w:left="0" w:leftChars="0" w:firstLine="360" w:firstLineChars="200"/>
              <w:jc w:val="both"/>
              <w:textAlignment w:val="center"/>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eastAsia="仿宋_GB2312" w:cs="仿宋_GB2312"/>
                <w:b w:val="0"/>
                <w:bCs w:val="0"/>
                <w:i w:val="0"/>
                <w:color w:val="000000"/>
                <w:kern w:val="0"/>
                <w:sz w:val="18"/>
                <w:szCs w:val="18"/>
                <w:u w:val="none"/>
                <w:lang w:val="en-US" w:eastAsia="zh-CN" w:bidi="ar"/>
              </w:rPr>
              <w:t>93</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AEDA6">
            <w:pPr>
              <w:keepNext w:val="0"/>
              <w:keepLines w:val="0"/>
              <w:pageBreakBefore w:val="0"/>
              <w:widowControl w:val="0"/>
              <w:suppressLineNumbers w:val="0"/>
              <w:kinsoku/>
              <w:wordWrap/>
              <w:overflowPunct w:val="0"/>
              <w:topLinePunct w:val="0"/>
              <w:autoSpaceDE/>
              <w:autoSpaceDN/>
              <w:bidi w:val="0"/>
              <w:adjustRightInd/>
              <w:snapToGrid/>
              <w:spacing w:line="576" w:lineRule="exact"/>
              <w:ind w:left="0" w:leftChars="0" w:firstLine="360" w:firstLineChars="200"/>
              <w:jc w:val="both"/>
              <w:textAlignment w:val="center"/>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cs="仿宋_GB2312"/>
                <w:b w:val="0"/>
                <w:bCs w:val="0"/>
                <w:i w:val="0"/>
                <w:color w:val="000000"/>
                <w:kern w:val="0"/>
                <w:sz w:val="18"/>
                <w:szCs w:val="18"/>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86D08">
            <w:pPr>
              <w:keepNext w:val="0"/>
              <w:keepLines w:val="0"/>
              <w:pageBreakBefore w:val="0"/>
              <w:widowControl w:val="0"/>
              <w:suppressLineNumbers w:val="0"/>
              <w:kinsoku/>
              <w:wordWrap/>
              <w:overflowPunct w:val="0"/>
              <w:topLinePunct w:val="0"/>
              <w:autoSpaceDE/>
              <w:autoSpaceDN/>
              <w:bidi w:val="0"/>
              <w:adjustRightInd/>
              <w:snapToGrid/>
              <w:spacing w:line="576" w:lineRule="exact"/>
              <w:ind w:left="0" w:leftChars="0" w:firstLine="360" w:firstLineChars="200"/>
              <w:jc w:val="both"/>
              <w:textAlignment w:val="center"/>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cs="仿宋_GB2312"/>
                <w:b w:val="0"/>
                <w:bCs w:val="0"/>
                <w:i w:val="0"/>
                <w:color w:val="000000"/>
                <w:kern w:val="0"/>
                <w:sz w:val="18"/>
                <w:szCs w:val="18"/>
                <w:u w:val="none"/>
                <w:lang w:val="en-US" w:eastAsia="zh-CN" w:bidi="ar"/>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A49B4">
            <w:pPr>
              <w:keepNext w:val="0"/>
              <w:keepLines w:val="0"/>
              <w:pageBreakBefore w:val="0"/>
              <w:widowControl w:val="0"/>
              <w:suppressLineNumbers w:val="0"/>
              <w:kinsoku/>
              <w:wordWrap/>
              <w:overflowPunct w:val="0"/>
              <w:topLinePunct w:val="0"/>
              <w:autoSpaceDE/>
              <w:autoSpaceDN/>
              <w:bidi w:val="0"/>
              <w:adjustRightInd/>
              <w:snapToGrid/>
              <w:spacing w:line="576" w:lineRule="exact"/>
              <w:ind w:left="0" w:leftChars="0" w:firstLine="360" w:firstLineChars="200"/>
              <w:jc w:val="both"/>
              <w:textAlignment w:val="center"/>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cs="仿宋_GB2312"/>
                <w:b w:val="0"/>
                <w:bCs w:val="0"/>
                <w:i w:val="0"/>
                <w:color w:val="000000"/>
                <w:kern w:val="0"/>
                <w:sz w:val="18"/>
                <w:szCs w:val="18"/>
                <w:u w:val="none"/>
                <w:lang w:val="en-US" w:eastAsia="zh-CN" w:bidi="ar"/>
              </w:rPr>
              <w:t>95</w:t>
            </w:r>
          </w:p>
        </w:tc>
      </w:tr>
      <w:tr w14:paraId="5B577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59D4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E20B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53E5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13AED">
            <w:pPr>
              <w:keepNext w:val="0"/>
              <w:keepLines w:val="0"/>
              <w:pageBreakBefore w:val="0"/>
              <w:widowControl w:val="0"/>
              <w:kinsoku/>
              <w:wordWrap/>
              <w:overflowPunct w:val="0"/>
              <w:topLinePunct w:val="0"/>
              <w:autoSpaceDE/>
              <w:autoSpaceDN/>
              <w:bidi w:val="0"/>
              <w:adjustRightInd/>
              <w:snapToGrid/>
              <w:spacing w:line="576" w:lineRule="exact"/>
              <w:jc w:val="both"/>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eastAsia="仿宋_GB2312" w:cs="仿宋_GB2312"/>
                <w:b w:val="0"/>
                <w:bCs w:val="0"/>
                <w:i w:val="0"/>
                <w:color w:val="000000"/>
                <w:sz w:val="18"/>
                <w:szCs w:val="18"/>
                <w:u w:val="none"/>
              </w:rPr>
              <w:t>持续影响</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36548D">
            <w:pPr>
              <w:keepNext w:val="0"/>
              <w:keepLines w:val="0"/>
              <w:pageBreakBefore w:val="0"/>
              <w:widowControl w:val="0"/>
              <w:kinsoku/>
              <w:wordWrap/>
              <w:overflowPunct w:val="0"/>
              <w:topLinePunct w:val="0"/>
              <w:autoSpaceDE/>
              <w:autoSpaceDN/>
              <w:bidi w:val="0"/>
              <w:adjustRightInd/>
              <w:snapToGrid/>
              <w:spacing w:line="576" w:lineRule="exact"/>
              <w:ind w:left="0" w:leftChars="0" w:firstLine="360" w:firstLineChars="200"/>
              <w:jc w:val="both"/>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eastAsia="仿宋_GB2312" w:cs="仿宋_GB2312"/>
                <w:b w:val="0"/>
                <w:bCs w:val="0"/>
                <w:i w:val="0"/>
                <w:color w:val="000000"/>
                <w:sz w:val="18"/>
                <w:szCs w:val="18"/>
                <w:u w:val="none"/>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5DD3A">
            <w:pPr>
              <w:keepNext w:val="0"/>
              <w:keepLines w:val="0"/>
              <w:widowControl/>
              <w:suppressLineNumbers w:val="0"/>
              <w:jc w:val="lef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优良中低差</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A94C8">
            <w:pPr>
              <w:keepNext w:val="0"/>
              <w:keepLines w:val="0"/>
              <w:pageBreakBefore w:val="0"/>
              <w:widowControl w:val="0"/>
              <w:kinsoku/>
              <w:wordWrap/>
              <w:overflowPunct w:val="0"/>
              <w:topLinePunct w:val="0"/>
              <w:autoSpaceDE/>
              <w:autoSpaceDN/>
              <w:bidi w:val="0"/>
              <w:adjustRightInd/>
              <w:snapToGrid/>
              <w:spacing w:line="576" w:lineRule="exact"/>
              <w:ind w:left="0" w:leftChars="0" w:firstLine="360" w:firstLineChars="200"/>
              <w:jc w:val="both"/>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cs="仿宋_GB2312"/>
                <w:b w:val="0"/>
                <w:bCs w:val="0"/>
                <w:i w:val="0"/>
                <w:color w:val="000000"/>
                <w:sz w:val="18"/>
                <w:szCs w:val="18"/>
                <w:u w:val="none"/>
                <w:lang w:val="en-US" w:eastAsia="zh-CN"/>
              </w:rPr>
              <w:t>项</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F94DE">
            <w:pPr>
              <w:keepNext w:val="0"/>
              <w:keepLines w:val="0"/>
              <w:pageBreakBefore w:val="0"/>
              <w:widowControl w:val="0"/>
              <w:kinsoku/>
              <w:wordWrap/>
              <w:overflowPunct w:val="0"/>
              <w:topLinePunct w:val="0"/>
              <w:autoSpaceDE/>
              <w:autoSpaceDN/>
              <w:bidi w:val="0"/>
              <w:adjustRightInd/>
              <w:snapToGrid/>
              <w:spacing w:line="576" w:lineRule="exact"/>
              <w:ind w:left="0" w:leftChars="0" w:firstLine="360" w:firstLineChars="200"/>
              <w:jc w:val="both"/>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cs="仿宋_GB2312"/>
                <w:b w:val="0"/>
                <w:bCs w:val="0"/>
                <w:i w:val="0"/>
                <w:color w:val="000000"/>
                <w:sz w:val="18"/>
                <w:szCs w:val="18"/>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70275">
            <w:pPr>
              <w:keepNext w:val="0"/>
              <w:keepLines w:val="0"/>
              <w:pageBreakBefore w:val="0"/>
              <w:widowControl w:val="0"/>
              <w:kinsoku/>
              <w:wordWrap/>
              <w:overflowPunct w:val="0"/>
              <w:topLinePunct w:val="0"/>
              <w:autoSpaceDE/>
              <w:autoSpaceDN/>
              <w:bidi w:val="0"/>
              <w:adjustRightInd/>
              <w:snapToGrid/>
              <w:spacing w:line="576" w:lineRule="exact"/>
              <w:ind w:left="0" w:leftChars="0" w:firstLine="360" w:firstLineChars="200"/>
              <w:jc w:val="both"/>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cs="仿宋_GB2312"/>
                <w:b w:val="0"/>
                <w:bCs w:val="0"/>
                <w:i w:val="0"/>
                <w:color w:val="000000"/>
                <w:sz w:val="18"/>
                <w:szCs w:val="18"/>
                <w:u w:val="none"/>
                <w:lang w:val="en-US" w:eastAsia="zh-CN"/>
              </w:rPr>
              <w:t>优</w:t>
            </w:r>
          </w:p>
        </w:tc>
      </w:tr>
      <w:tr w14:paraId="72D79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AD953">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7D20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78D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68D83">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B4B4E5">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061D0">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3AF2">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A9589">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FD45C">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r w14:paraId="13DB1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7566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D67E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73" w:type="dxa"/>
            <w:vMerge w:val="restart"/>
            <w:tcBorders>
              <w:top w:val="single" w:color="000000" w:sz="4" w:space="0"/>
              <w:left w:val="single" w:color="000000" w:sz="4" w:space="0"/>
              <w:right w:val="single" w:color="000000" w:sz="4" w:space="0"/>
            </w:tcBorders>
            <w:shd w:val="clear" w:color="auto" w:fill="auto"/>
            <w:vAlign w:val="center"/>
          </w:tcPr>
          <w:p w14:paraId="56724AF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14:paraId="70B93E9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B2E3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eastAsia="仿宋_GB2312" w:cs="仿宋_GB2312"/>
                <w:b w:val="0"/>
                <w:bCs w:val="0"/>
                <w:i w:val="0"/>
                <w:color w:val="000000"/>
                <w:kern w:val="0"/>
                <w:sz w:val="18"/>
                <w:szCs w:val="18"/>
                <w:u w:val="none"/>
                <w:lang w:val="en-US" w:eastAsia="zh-CN" w:bidi="ar"/>
              </w:rPr>
              <w:t>提高机关事务工作效率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15D2BF">
            <w:pPr>
              <w:keepNext w:val="0"/>
              <w:keepLines w:val="0"/>
              <w:pageBreakBefore w:val="0"/>
              <w:widowControl w:val="0"/>
              <w:kinsoku/>
              <w:wordWrap/>
              <w:overflowPunct w:val="0"/>
              <w:topLinePunct w:val="0"/>
              <w:autoSpaceDE/>
              <w:autoSpaceDN/>
              <w:bidi w:val="0"/>
              <w:adjustRightInd/>
              <w:snapToGrid/>
              <w:spacing w:line="576" w:lineRule="exact"/>
              <w:ind w:left="0" w:leftChars="0" w:firstLine="360" w:firstLineChars="200"/>
              <w:jc w:val="both"/>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eastAsia="仿宋_GB2312" w:cs="仿宋_GB2312"/>
                <w:b w:val="0"/>
                <w:bCs w:val="0"/>
                <w:i w:val="0"/>
                <w:color w:val="000000"/>
                <w:sz w:val="18"/>
                <w:szCs w:val="18"/>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7842">
            <w:pPr>
              <w:keepNext w:val="0"/>
              <w:keepLines w:val="0"/>
              <w:pageBreakBefore w:val="0"/>
              <w:widowControl w:val="0"/>
              <w:kinsoku/>
              <w:wordWrap/>
              <w:overflowPunct w:val="0"/>
              <w:topLinePunct w:val="0"/>
              <w:autoSpaceDE/>
              <w:autoSpaceDN/>
              <w:bidi w:val="0"/>
              <w:adjustRightInd/>
              <w:snapToGrid/>
              <w:spacing w:line="576" w:lineRule="exact"/>
              <w:ind w:left="0" w:leftChars="0" w:firstLine="360" w:firstLineChars="200"/>
              <w:jc w:val="both"/>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cs="仿宋_GB2312"/>
                <w:b w:val="0"/>
                <w:bCs w:val="0"/>
                <w:i w:val="0"/>
                <w:color w:val="000000"/>
                <w:sz w:val="18"/>
                <w:szCs w:val="18"/>
                <w:u w:val="none"/>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611AC">
            <w:pPr>
              <w:keepNext w:val="0"/>
              <w:keepLines w:val="0"/>
              <w:pageBreakBefore w:val="0"/>
              <w:widowControl w:val="0"/>
              <w:kinsoku/>
              <w:wordWrap/>
              <w:overflowPunct w:val="0"/>
              <w:topLinePunct w:val="0"/>
              <w:autoSpaceDE/>
              <w:autoSpaceDN/>
              <w:bidi w:val="0"/>
              <w:adjustRightInd/>
              <w:snapToGrid/>
              <w:spacing w:line="576" w:lineRule="exact"/>
              <w:ind w:left="0" w:leftChars="0" w:firstLine="360" w:firstLineChars="200"/>
              <w:jc w:val="both"/>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cs="仿宋_GB2312"/>
                <w:b w:val="0"/>
                <w:bCs w:val="0"/>
                <w:i w:val="0"/>
                <w:color w:val="000000"/>
                <w:sz w:val="18"/>
                <w:szCs w:val="18"/>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F028F">
            <w:pPr>
              <w:keepNext w:val="0"/>
              <w:keepLines w:val="0"/>
              <w:pageBreakBefore w:val="0"/>
              <w:widowControl w:val="0"/>
              <w:kinsoku/>
              <w:wordWrap/>
              <w:overflowPunct w:val="0"/>
              <w:topLinePunct w:val="0"/>
              <w:autoSpaceDE/>
              <w:autoSpaceDN/>
              <w:bidi w:val="0"/>
              <w:adjustRightInd/>
              <w:snapToGrid/>
              <w:spacing w:line="576" w:lineRule="exact"/>
              <w:ind w:left="0" w:leftChars="0" w:firstLine="360" w:firstLineChars="200"/>
              <w:jc w:val="both"/>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cs="仿宋_GB2312"/>
                <w:b w:val="0"/>
                <w:bCs w:val="0"/>
                <w:i w:val="0"/>
                <w:color w:val="000000"/>
                <w:sz w:val="18"/>
                <w:szCs w:val="18"/>
                <w:u w:val="none"/>
                <w:lang w:val="en-US" w:eastAsia="zh-CN"/>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74B29">
            <w:pPr>
              <w:keepNext w:val="0"/>
              <w:keepLines w:val="0"/>
              <w:pageBreakBefore w:val="0"/>
              <w:widowControl w:val="0"/>
              <w:kinsoku/>
              <w:wordWrap/>
              <w:overflowPunct w:val="0"/>
              <w:topLinePunct w:val="0"/>
              <w:autoSpaceDE/>
              <w:autoSpaceDN/>
              <w:bidi w:val="0"/>
              <w:adjustRightInd/>
              <w:snapToGrid/>
              <w:spacing w:line="576" w:lineRule="exact"/>
              <w:ind w:left="0" w:leftChars="0" w:firstLine="360" w:firstLineChars="200"/>
              <w:jc w:val="both"/>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cs="仿宋_GB2312"/>
                <w:b w:val="0"/>
                <w:bCs w:val="0"/>
                <w:i w:val="0"/>
                <w:color w:val="000000"/>
                <w:sz w:val="18"/>
                <w:szCs w:val="18"/>
                <w:u w:val="none"/>
                <w:lang w:val="en-US" w:eastAsia="zh-CN"/>
              </w:rPr>
              <w:t>100</w:t>
            </w:r>
          </w:p>
        </w:tc>
      </w:tr>
      <w:tr w14:paraId="5B01E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CD3A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90B9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right w:val="single" w:color="000000" w:sz="4" w:space="0"/>
            </w:tcBorders>
            <w:shd w:val="clear" w:color="auto" w:fill="auto"/>
            <w:vAlign w:val="center"/>
          </w:tcPr>
          <w:p w14:paraId="23CABFA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A3400">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5B538F">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B5CEF">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F7332">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27C89">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8B422">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r w14:paraId="77267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1E80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A47B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967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经济效益指标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B070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eastAsia="仿宋_GB2312" w:cs="仿宋_GB2312"/>
                <w:b w:val="0"/>
                <w:bCs w:val="0"/>
                <w:i w:val="0"/>
                <w:color w:val="000000"/>
                <w:kern w:val="0"/>
                <w:sz w:val="18"/>
                <w:szCs w:val="18"/>
                <w:u w:val="none"/>
                <w:lang w:val="en-US" w:eastAsia="zh-CN" w:bidi="ar"/>
              </w:rPr>
              <w:t>提高机关事务工作效率，节约财政资金</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760CEF">
            <w:pPr>
              <w:keepNext w:val="0"/>
              <w:keepLines w:val="0"/>
              <w:pageBreakBefore w:val="0"/>
              <w:widowControl w:val="0"/>
              <w:kinsoku/>
              <w:wordWrap/>
              <w:overflowPunct w:val="0"/>
              <w:topLinePunct w:val="0"/>
              <w:autoSpaceDE/>
              <w:autoSpaceDN/>
              <w:bidi w:val="0"/>
              <w:adjustRightInd/>
              <w:snapToGrid/>
              <w:spacing w:line="576" w:lineRule="exact"/>
              <w:ind w:left="0" w:leftChars="0" w:firstLine="360" w:firstLineChars="200"/>
              <w:jc w:val="both"/>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eastAsia="仿宋_GB2312" w:cs="仿宋_GB2312"/>
                <w:b w:val="0"/>
                <w:bCs w:val="0"/>
                <w:i w:val="0"/>
                <w:color w:val="000000"/>
                <w:sz w:val="18"/>
                <w:szCs w:val="18"/>
                <w:u w:val="none"/>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BF5C4">
            <w:pPr>
              <w:keepNext w:val="0"/>
              <w:keepLines w:val="0"/>
              <w:pageBreakBefore w:val="0"/>
              <w:widowControl w:val="0"/>
              <w:kinsoku/>
              <w:wordWrap/>
              <w:overflowPunct w:val="0"/>
              <w:topLinePunct w:val="0"/>
              <w:autoSpaceDE/>
              <w:autoSpaceDN/>
              <w:bidi w:val="0"/>
              <w:adjustRightInd/>
              <w:snapToGrid/>
              <w:spacing w:line="576" w:lineRule="exact"/>
              <w:ind w:left="0" w:leftChars="0" w:firstLine="360" w:firstLineChars="200"/>
              <w:jc w:val="both"/>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cs="仿宋_GB2312"/>
                <w:b w:val="0"/>
                <w:bCs w:val="0"/>
                <w:i w:val="0"/>
                <w:color w:val="000000"/>
                <w:sz w:val="18"/>
                <w:szCs w:val="18"/>
                <w:u w:val="none"/>
                <w:lang w:val="en-US" w:eastAsia="zh-CN"/>
              </w:rPr>
              <w:t>48</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18A75">
            <w:pPr>
              <w:keepNext w:val="0"/>
              <w:keepLines w:val="0"/>
              <w:pageBreakBefore w:val="0"/>
              <w:widowControl w:val="0"/>
              <w:kinsoku/>
              <w:wordWrap/>
              <w:overflowPunct w:val="0"/>
              <w:topLinePunct w:val="0"/>
              <w:autoSpaceDE/>
              <w:autoSpaceDN/>
              <w:bidi w:val="0"/>
              <w:adjustRightInd/>
              <w:snapToGrid/>
              <w:spacing w:line="576" w:lineRule="exact"/>
              <w:ind w:left="0" w:leftChars="0" w:firstLine="360" w:firstLineChars="200"/>
              <w:jc w:val="both"/>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cs="仿宋_GB2312"/>
                <w:b w:val="0"/>
                <w:bCs w:val="0"/>
                <w:i w:val="0"/>
                <w:color w:val="000000"/>
                <w:sz w:val="18"/>
                <w:szCs w:val="18"/>
                <w:u w:val="none"/>
                <w:lang w:val="en-US" w:eastAsia="zh-CN"/>
              </w:rPr>
              <w:t>万元</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93DAA">
            <w:pPr>
              <w:keepNext w:val="0"/>
              <w:keepLines w:val="0"/>
              <w:pageBreakBefore w:val="0"/>
              <w:widowControl w:val="0"/>
              <w:kinsoku/>
              <w:wordWrap/>
              <w:overflowPunct w:val="0"/>
              <w:topLinePunct w:val="0"/>
              <w:autoSpaceDE/>
              <w:autoSpaceDN/>
              <w:bidi w:val="0"/>
              <w:adjustRightInd/>
              <w:snapToGrid/>
              <w:spacing w:line="576" w:lineRule="exact"/>
              <w:ind w:left="0" w:leftChars="0" w:firstLine="360" w:firstLineChars="200"/>
              <w:jc w:val="both"/>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cs="仿宋_GB2312"/>
                <w:b w:val="0"/>
                <w:bCs w:val="0"/>
                <w:i w:val="0"/>
                <w:color w:val="000000"/>
                <w:sz w:val="18"/>
                <w:szCs w:val="18"/>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BFD8A">
            <w:pPr>
              <w:keepNext w:val="0"/>
              <w:keepLines w:val="0"/>
              <w:pageBreakBefore w:val="0"/>
              <w:widowControl w:val="0"/>
              <w:kinsoku/>
              <w:wordWrap/>
              <w:overflowPunct w:val="0"/>
              <w:topLinePunct w:val="0"/>
              <w:autoSpaceDE/>
              <w:autoSpaceDN/>
              <w:bidi w:val="0"/>
              <w:adjustRightInd/>
              <w:snapToGrid/>
              <w:spacing w:line="576" w:lineRule="exact"/>
              <w:ind w:left="0" w:leftChars="0" w:firstLine="360" w:firstLineChars="200"/>
              <w:jc w:val="both"/>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cs="仿宋_GB2312"/>
                <w:b w:val="0"/>
                <w:bCs w:val="0"/>
                <w:i w:val="0"/>
                <w:color w:val="000000"/>
                <w:sz w:val="18"/>
                <w:szCs w:val="18"/>
                <w:u w:val="none"/>
                <w:lang w:val="en-US" w:eastAsia="zh-CN"/>
              </w:rPr>
              <w:t>100</w:t>
            </w:r>
          </w:p>
        </w:tc>
      </w:tr>
      <w:tr w14:paraId="7DBE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1"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17DCB">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B3C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8B82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3F4F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eastAsia="仿宋_GB2312" w:cs="仿宋_GB2312"/>
                <w:b w:val="0"/>
                <w:bCs w:val="0"/>
                <w:i w:val="0"/>
                <w:color w:val="000000"/>
                <w:kern w:val="0"/>
                <w:sz w:val="18"/>
                <w:szCs w:val="18"/>
                <w:u w:val="none"/>
                <w:lang w:val="en-US" w:eastAsia="zh-CN" w:bidi="ar"/>
              </w:rPr>
              <w:t>服务对象满意度指标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029BD3">
            <w:pPr>
              <w:keepNext w:val="0"/>
              <w:keepLines w:val="0"/>
              <w:pageBreakBefore w:val="0"/>
              <w:widowControl w:val="0"/>
              <w:kinsoku/>
              <w:wordWrap/>
              <w:overflowPunct w:val="0"/>
              <w:topLinePunct w:val="0"/>
              <w:autoSpaceDE/>
              <w:autoSpaceDN/>
              <w:bidi w:val="0"/>
              <w:adjustRightInd/>
              <w:snapToGrid/>
              <w:spacing w:line="576" w:lineRule="exact"/>
              <w:jc w:val="both"/>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eastAsia="仿宋_GB2312" w:cs="仿宋_GB2312"/>
                <w:b w:val="0"/>
                <w:bCs w:val="0"/>
                <w:i w:val="0"/>
                <w:color w:val="000000"/>
                <w:sz w:val="18"/>
                <w:szCs w:val="18"/>
                <w:u w:val="none"/>
              </w:rPr>
              <w:t>服务对象满意度指标，计算方法：（满意人数/总人数）×100%</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E94F2">
            <w:pPr>
              <w:keepNext w:val="0"/>
              <w:keepLines w:val="0"/>
              <w:pageBreakBefore w:val="0"/>
              <w:widowControl w:val="0"/>
              <w:kinsoku/>
              <w:wordWrap/>
              <w:overflowPunct w:val="0"/>
              <w:topLinePunct w:val="0"/>
              <w:autoSpaceDE/>
              <w:autoSpaceDN/>
              <w:bidi w:val="0"/>
              <w:adjustRightInd/>
              <w:snapToGrid/>
              <w:spacing w:line="576" w:lineRule="exact"/>
              <w:ind w:left="0" w:leftChars="0" w:firstLine="360" w:firstLineChars="200"/>
              <w:jc w:val="both"/>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eastAsia="仿宋_GB2312" w:cs="仿宋_GB2312"/>
                <w:b w:val="0"/>
                <w:bCs w:val="0"/>
                <w:i w:val="0"/>
                <w:color w:val="000000"/>
                <w:sz w:val="18"/>
                <w:szCs w:val="18"/>
                <w:u w:val="none"/>
              </w:rPr>
              <w:t>高中低</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9331C">
            <w:pPr>
              <w:keepNext w:val="0"/>
              <w:keepLines w:val="0"/>
              <w:pageBreakBefore w:val="0"/>
              <w:widowControl w:val="0"/>
              <w:kinsoku/>
              <w:wordWrap/>
              <w:overflowPunct w:val="0"/>
              <w:topLinePunct w:val="0"/>
              <w:autoSpaceDE/>
              <w:autoSpaceDN/>
              <w:bidi w:val="0"/>
              <w:adjustRightInd/>
              <w:snapToGrid/>
              <w:spacing w:line="576" w:lineRule="exact"/>
              <w:ind w:left="0" w:leftChars="0" w:firstLine="360" w:firstLineChars="200"/>
              <w:jc w:val="both"/>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cs="仿宋_GB2312"/>
                <w:b w:val="0"/>
                <w:bCs w:val="0"/>
                <w:i w:val="0"/>
                <w:color w:val="000000"/>
                <w:sz w:val="18"/>
                <w:szCs w:val="18"/>
                <w:u w:val="none"/>
                <w:lang w:val="en-US" w:eastAsia="zh-CN"/>
              </w:rPr>
              <w:t>项</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A72EE">
            <w:pPr>
              <w:keepNext w:val="0"/>
              <w:keepLines w:val="0"/>
              <w:pageBreakBefore w:val="0"/>
              <w:widowControl w:val="0"/>
              <w:kinsoku/>
              <w:wordWrap/>
              <w:overflowPunct w:val="0"/>
              <w:topLinePunct w:val="0"/>
              <w:autoSpaceDE/>
              <w:autoSpaceDN/>
              <w:bidi w:val="0"/>
              <w:adjustRightInd/>
              <w:snapToGrid/>
              <w:spacing w:line="576" w:lineRule="exact"/>
              <w:ind w:left="0" w:leftChars="0" w:firstLine="360" w:firstLineChars="200"/>
              <w:jc w:val="both"/>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cs="仿宋_GB2312"/>
                <w:b w:val="0"/>
                <w:bCs w:val="0"/>
                <w:i w:val="0"/>
                <w:color w:val="000000"/>
                <w:sz w:val="18"/>
                <w:szCs w:val="18"/>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B563E">
            <w:pPr>
              <w:keepNext w:val="0"/>
              <w:keepLines w:val="0"/>
              <w:pageBreakBefore w:val="0"/>
              <w:widowControl w:val="0"/>
              <w:kinsoku/>
              <w:wordWrap/>
              <w:overflowPunct w:val="0"/>
              <w:topLinePunct w:val="0"/>
              <w:autoSpaceDE/>
              <w:autoSpaceDN/>
              <w:bidi w:val="0"/>
              <w:adjustRightInd/>
              <w:snapToGrid/>
              <w:spacing w:line="576" w:lineRule="exact"/>
              <w:ind w:left="0" w:leftChars="0" w:firstLine="360" w:firstLineChars="200"/>
              <w:jc w:val="both"/>
              <w:outlineLvl w:val="9"/>
              <w:rPr>
                <w:rFonts w:hint="default" w:ascii="仿宋_GB2312" w:hAnsi="仿宋_GB2312" w:eastAsia="仿宋_GB2312" w:cs="仿宋_GB2312"/>
                <w:b w:val="0"/>
                <w:bCs w:val="0"/>
                <w:i w:val="0"/>
                <w:color w:val="000000"/>
                <w:kern w:val="2"/>
                <w:sz w:val="18"/>
                <w:szCs w:val="18"/>
                <w:u w:val="none"/>
                <w:lang w:val="en-US" w:eastAsia="zh-CN" w:bidi="ar-SA"/>
              </w:rPr>
            </w:pPr>
            <w:r>
              <w:rPr>
                <w:rFonts w:hint="eastAsia" w:ascii="仿宋_GB2312" w:hAnsi="仿宋_GB2312" w:cs="仿宋_GB2312"/>
                <w:b w:val="0"/>
                <w:bCs w:val="0"/>
                <w:i w:val="0"/>
                <w:color w:val="000000"/>
                <w:sz w:val="18"/>
                <w:szCs w:val="18"/>
                <w:u w:val="none"/>
                <w:lang w:val="en-US" w:eastAsia="zh-CN"/>
              </w:rPr>
              <w:t>高</w:t>
            </w:r>
          </w:p>
        </w:tc>
      </w:tr>
    </w:tbl>
    <w:p w14:paraId="78F4A424">
      <w:pPr>
        <w:rPr>
          <w:rFonts w:hint="default"/>
          <w:lang w:val="en-US" w:eastAsia="zh-CN"/>
        </w:rPr>
      </w:pPr>
    </w:p>
    <w:p w14:paraId="02FA6DA0">
      <w:pPr>
        <w:pStyle w:val="3"/>
        <w:keepNext w:val="0"/>
        <w:keepLines w:val="0"/>
        <w:pageBreakBefore w:val="0"/>
        <w:widowControl w:val="0"/>
        <w:kinsoku/>
        <w:wordWrap/>
        <w:overflowPunct/>
        <w:topLinePunct w:val="0"/>
        <w:autoSpaceDE/>
        <w:autoSpaceDN/>
        <w:bidi w:val="0"/>
        <w:spacing w:after="0" w:line="560" w:lineRule="exact"/>
        <w:ind w:left="0" w:leftChars="0" w:firstLine="0" w:firstLineChars="0"/>
        <w:jc w:val="both"/>
        <w:outlineLvl w:val="9"/>
        <w:rPr>
          <w:rFonts w:hint="eastAsia" w:ascii="仿宋_GB2312" w:hAnsi="仿宋_GB2312" w:eastAsia="仿宋_GB2312" w:cs="仿宋_GB2312"/>
          <w:sz w:val="32"/>
          <w:szCs w:val="32"/>
          <w:highlight w:val="none"/>
          <w:lang w:val="en-US" w:eastAsia="zh-CN"/>
        </w:rPr>
        <w:sectPr>
          <w:footerReference r:id="rId7" w:type="first"/>
          <w:footerReference r:id="rId6" w:type="default"/>
          <w:pgSz w:w="11906" w:h="16838"/>
          <w:pgMar w:top="1440" w:right="1800" w:bottom="1440" w:left="1800" w:header="851" w:footer="992" w:gutter="0"/>
          <w:pgNumType w:fmt="decimal" w:start="1"/>
          <w:cols w:space="425" w:num="1"/>
          <w:titlePg/>
          <w:docGrid w:type="lines" w:linePitch="312" w:charSpace="0"/>
        </w:sectPr>
      </w:pPr>
      <w:bookmarkStart w:id="67" w:name="_GoBack"/>
      <w:bookmarkEnd w:id="67"/>
    </w:p>
    <w:tbl>
      <w:tblPr>
        <w:tblStyle w:val="17"/>
        <w:tblW w:w="2615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1"/>
        <w:gridCol w:w="2300"/>
        <w:gridCol w:w="1980"/>
        <w:gridCol w:w="2534"/>
        <w:gridCol w:w="587"/>
        <w:gridCol w:w="1881"/>
        <w:gridCol w:w="588"/>
        <w:gridCol w:w="1225"/>
        <w:gridCol w:w="570"/>
        <w:gridCol w:w="503"/>
        <w:gridCol w:w="2856"/>
        <w:gridCol w:w="506"/>
        <w:gridCol w:w="1507"/>
        <w:gridCol w:w="1298"/>
        <w:gridCol w:w="1661"/>
        <w:gridCol w:w="385"/>
        <w:gridCol w:w="1233"/>
        <w:gridCol w:w="386"/>
        <w:gridCol w:w="803"/>
        <w:gridCol w:w="374"/>
        <w:gridCol w:w="330"/>
        <w:gridCol w:w="1873"/>
      </w:tblGrid>
      <w:tr w14:paraId="72D19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557" w:hRule="atLeast"/>
        </w:trPr>
        <w:tc>
          <w:tcPr>
            <w:tcW w:w="1579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17"/>
              <w:tblW w:w="14115" w:type="dxa"/>
              <w:tblInd w:w="-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
              <w:gridCol w:w="685"/>
              <w:gridCol w:w="5"/>
              <w:gridCol w:w="2050"/>
              <w:gridCol w:w="5"/>
              <w:gridCol w:w="1765"/>
              <w:gridCol w:w="5"/>
              <w:gridCol w:w="2260"/>
              <w:gridCol w:w="5"/>
              <w:gridCol w:w="520"/>
              <w:gridCol w:w="5"/>
              <w:gridCol w:w="1675"/>
              <w:gridCol w:w="5"/>
              <w:gridCol w:w="520"/>
              <w:gridCol w:w="5"/>
              <w:gridCol w:w="1090"/>
              <w:gridCol w:w="5"/>
              <w:gridCol w:w="505"/>
              <w:gridCol w:w="5"/>
              <w:gridCol w:w="445"/>
              <w:gridCol w:w="5"/>
              <w:gridCol w:w="2545"/>
              <w:gridCol w:w="5"/>
            </w:tblGrid>
            <w:tr w14:paraId="614E3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904" w:hRule="atLeast"/>
              </w:trPr>
              <w:tc>
                <w:tcPr>
                  <w:tcW w:w="14115"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1C161988">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D115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617B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98B04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51320022T000000309401-阿坝州公务用车管理平台建设</w:t>
                  </w:r>
                </w:p>
              </w:tc>
            </w:tr>
            <w:tr w14:paraId="299DC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14"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71F0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03DA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州机关事务管理局部门</w:t>
                  </w:r>
                </w:p>
              </w:tc>
              <w:tc>
                <w:tcPr>
                  <w:tcW w:w="1095" w:type="dxa"/>
                  <w:gridSpan w:val="2"/>
                  <w:tcBorders>
                    <w:top w:val="nil"/>
                    <w:left w:val="nil"/>
                    <w:bottom w:val="nil"/>
                    <w:right w:val="nil"/>
                  </w:tcBorders>
                  <w:shd w:val="clear" w:color="auto" w:fill="auto"/>
                  <w:vAlign w:val="center"/>
                </w:tcPr>
                <w:p w14:paraId="2334F525">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F5A5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w:t>
                  </w:r>
                </w:p>
              </w:tc>
            </w:tr>
            <w:tr w14:paraId="5C5B5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FFC3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727D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FD63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6C6215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2BC4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94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4D04E">
                  <w:pP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3CCA0">
                  <w:pPr>
                    <w:rPr>
                      <w:rFonts w:hint="eastAsia" w:ascii="宋体" w:hAnsi="宋体" w:eastAsia="宋体" w:cs="宋体"/>
                      <w:i w:val="0"/>
                      <w:iCs w:val="0"/>
                      <w:color w:val="000000"/>
                      <w:sz w:val="18"/>
                      <w:szCs w:val="18"/>
                      <w:u w:val="none"/>
                    </w:rPr>
                  </w:pP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7A0F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党风廉政建设、厉行节约反对浪费，全省一张网统一监管。为贯彻落实《中共四川省委办公厅、四川省人民政府办公厅关于印发&lt;四川省全面推进公务用车制度改革总体方案&gt;的通知》（川委办〔2015〕45号）精神。</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2016年12月22日，中央车改办下发了《关于进一步加强地方公务用车平台建设的通知》（发改电〔2016〕756号），要求“通过车辆管理平台建设，实现公车管理平台化、平台信息化，省、市、县三级信息互联互通，公车管理实现全省一张网”。2017年6月30日，省车改办制定《四川省公务用车管理平台建设方案》（川车改办函〔2017〕15号），明确了全省总体目标、建设要求及方式。省机关事务管理局要市、州完成各级公车管理平台建设，并与省级公务用车管理平台实现对接。</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2018年12月，省车改办组织会议，要求甘孜阿坝两州尽快开始车改，并明确车改同时必须建设州公务用车管理平台，平台建设完成且平台数据能够接入到省级公务用车管理平台，即拨付车改补贴。</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D500C8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14:paraId="050C7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9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A0612">
                  <w:pP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F985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1402548">
                  <w:pPr>
                    <w:rPr>
                      <w:rFonts w:hint="eastAsia" w:ascii="宋体" w:hAnsi="宋体" w:eastAsia="宋体" w:cs="宋体"/>
                      <w:i w:val="0"/>
                      <w:iCs w:val="0"/>
                      <w:color w:val="000000"/>
                      <w:sz w:val="18"/>
                      <w:szCs w:val="18"/>
                      <w:u w:val="none"/>
                    </w:rPr>
                  </w:pPr>
                </w:p>
              </w:tc>
            </w:tr>
            <w:tr w14:paraId="18A98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94F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8EFF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F89E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552C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7660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33AB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C0A1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81D5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1E92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193D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5"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B76E6">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E408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C1BA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EA5D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0F8E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5E35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BF74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9B1E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E083F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74FD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9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7EEF2">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FF8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561D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0EB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8C364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C68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8385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E9E4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89F1C">
                  <w:pPr>
                    <w:rPr>
                      <w:rFonts w:hint="eastAsia" w:ascii="黑体" w:hAnsi="黑体" w:eastAsia="黑体" w:cs="黑体"/>
                      <w:i/>
                      <w:iCs/>
                      <w:color w:val="000000"/>
                      <w:sz w:val="18"/>
                      <w:szCs w:val="18"/>
                      <w:u w:val="none"/>
                    </w:rPr>
                  </w:pPr>
                </w:p>
              </w:tc>
            </w:tr>
            <w:tr w14:paraId="5F843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0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F2DE8">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37C8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6FE2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269A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8A1B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1A1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0188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D122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A6E58">
                  <w:pPr>
                    <w:rPr>
                      <w:rFonts w:hint="eastAsia" w:ascii="黑体" w:hAnsi="黑体" w:eastAsia="黑体" w:cs="黑体"/>
                      <w:i/>
                      <w:iCs/>
                      <w:color w:val="000000"/>
                      <w:sz w:val="18"/>
                      <w:szCs w:val="18"/>
                      <w:u w:val="none"/>
                    </w:rPr>
                  </w:pPr>
                </w:p>
              </w:tc>
            </w:tr>
            <w:tr w14:paraId="48562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82F62">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F79F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1CB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AAB3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3F0A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DC65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D1F6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B973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F1F1C">
                  <w:pPr>
                    <w:rPr>
                      <w:rFonts w:hint="eastAsia" w:ascii="黑体" w:hAnsi="黑体" w:eastAsia="黑体" w:cs="黑体"/>
                      <w:i/>
                      <w:iCs/>
                      <w:color w:val="000000"/>
                      <w:sz w:val="18"/>
                      <w:szCs w:val="18"/>
                      <w:u w:val="none"/>
                    </w:rPr>
                  </w:pPr>
                </w:p>
              </w:tc>
            </w:tr>
            <w:tr w14:paraId="4014F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C30AD">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4E3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A0E9BC">
                  <w:pPr>
                    <w:jc w:val="center"/>
                    <w:rPr>
                      <w:rFonts w:hint="eastAsia" w:ascii="微软雅黑" w:hAnsi="微软雅黑" w:eastAsia="微软雅黑" w:cs="微软雅黑"/>
                      <w:i/>
                      <w:iCs/>
                      <w:color w:val="000000"/>
                      <w:sz w:val="16"/>
                      <w:szCs w:val="16"/>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5F34FD">
                  <w:pPr>
                    <w:jc w:val="center"/>
                    <w:rPr>
                      <w:rFonts w:hint="eastAsia" w:ascii="微软雅黑" w:hAnsi="微软雅黑" w:eastAsia="微软雅黑" w:cs="微软雅黑"/>
                      <w:i/>
                      <w:iCs/>
                      <w:color w:val="000000"/>
                      <w:sz w:val="16"/>
                      <w:szCs w:val="16"/>
                      <w:u w:val="none"/>
                    </w:rPr>
                  </w:pP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D61B70">
                  <w:pPr>
                    <w:jc w:val="center"/>
                    <w:rPr>
                      <w:rFonts w:hint="eastAsia" w:ascii="微软雅黑" w:hAnsi="微软雅黑" w:eastAsia="微软雅黑" w:cs="微软雅黑"/>
                      <w:i/>
                      <w:iCs/>
                      <w:color w:val="000000"/>
                      <w:sz w:val="16"/>
                      <w:szCs w:val="16"/>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FDB36">
                  <w:pPr>
                    <w:jc w:val="center"/>
                    <w:rPr>
                      <w:rFonts w:hint="eastAsia" w:ascii="微软雅黑" w:hAnsi="微软雅黑" w:eastAsia="微软雅黑" w:cs="微软雅黑"/>
                      <w:i/>
                      <w:iCs/>
                      <w:color w:val="000000"/>
                      <w:sz w:val="16"/>
                      <w:szCs w:val="16"/>
                      <w:u w:val="none"/>
                    </w:rPr>
                  </w:pP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0316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8F08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14CAA">
                  <w:pPr>
                    <w:rPr>
                      <w:rFonts w:hint="eastAsia" w:ascii="黑体" w:hAnsi="黑体" w:eastAsia="黑体" w:cs="黑体"/>
                      <w:i/>
                      <w:iCs/>
                      <w:color w:val="000000"/>
                      <w:sz w:val="18"/>
                      <w:szCs w:val="18"/>
                      <w:u w:val="none"/>
                    </w:rPr>
                  </w:pPr>
                </w:p>
              </w:tc>
            </w:tr>
            <w:tr w14:paraId="12AF9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1503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4175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2002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3584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54E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0E67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3169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C529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478F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D4E6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0235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27C9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0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D145A">
                  <w:pPr>
                    <w:jc w:val="center"/>
                    <w:rPr>
                      <w:rFonts w:hint="eastAsia" w:ascii="宋体" w:hAnsi="宋体" w:eastAsia="宋体" w:cs="宋体"/>
                      <w:i w:val="0"/>
                      <w:iCs w:val="0"/>
                      <w:color w:val="000000"/>
                      <w:sz w:val="18"/>
                      <w:szCs w:val="18"/>
                      <w:u w:val="none"/>
                    </w:rPr>
                  </w:pP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6858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553F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05DD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国产定位系统安装率，计算方法为：（车载定位系统安装车辆/州级机关车辆）×100%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B40D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D117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22.14</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9FFC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D9865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25</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7623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97E9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55D6E3">
                  <w:pPr>
                    <w:jc w:val="center"/>
                    <w:rPr>
                      <w:rFonts w:hint="eastAsia" w:ascii="微软雅黑" w:hAnsi="微软雅黑" w:eastAsia="微软雅黑" w:cs="微软雅黑"/>
                      <w:i/>
                      <w:iCs/>
                      <w:color w:val="000000"/>
                      <w:sz w:val="16"/>
                      <w:szCs w:val="16"/>
                      <w:u w:val="none"/>
                    </w:rPr>
                  </w:pPr>
                </w:p>
              </w:tc>
            </w:tr>
            <w:tr w14:paraId="3FA60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31FA9">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830FF">
                  <w:pPr>
                    <w:jc w:val="center"/>
                    <w:rPr>
                      <w:rFonts w:hint="eastAsia" w:ascii="宋体" w:hAnsi="宋体" w:eastAsia="宋体" w:cs="宋体"/>
                      <w:i w:val="0"/>
                      <w:iCs w:val="0"/>
                      <w:color w:val="000000"/>
                      <w:sz w:val="18"/>
                      <w:szCs w:val="18"/>
                      <w:u w:val="none"/>
                    </w:rPr>
                  </w:pPr>
                </w:p>
              </w:tc>
              <w:tc>
                <w:tcPr>
                  <w:tcW w:w="17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6C1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5DBB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达标率</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5B50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8316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07E9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E9F51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BFA6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200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FEFD7D">
                  <w:pPr>
                    <w:jc w:val="center"/>
                    <w:rPr>
                      <w:rFonts w:hint="eastAsia" w:ascii="微软雅黑" w:hAnsi="微软雅黑" w:eastAsia="微软雅黑" w:cs="微软雅黑"/>
                      <w:i/>
                      <w:iCs/>
                      <w:color w:val="000000"/>
                      <w:sz w:val="16"/>
                      <w:szCs w:val="16"/>
                      <w:u w:val="none"/>
                    </w:rPr>
                  </w:pPr>
                </w:p>
              </w:tc>
            </w:tr>
            <w:tr w14:paraId="2D419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7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B4B18">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AF629">
                  <w:pPr>
                    <w:jc w:val="center"/>
                    <w:rPr>
                      <w:rFonts w:hint="eastAsia" w:ascii="宋体" w:hAnsi="宋体" w:eastAsia="宋体" w:cs="宋体"/>
                      <w:i w:val="0"/>
                      <w:iCs w:val="0"/>
                      <w:color w:val="000000"/>
                      <w:sz w:val="18"/>
                      <w:szCs w:val="18"/>
                      <w:u w:val="none"/>
                    </w:rPr>
                  </w:pPr>
                </w:p>
              </w:tc>
              <w:tc>
                <w:tcPr>
                  <w:tcW w:w="17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DD425">
                  <w:pPr>
                    <w:jc w:val="center"/>
                    <w:rPr>
                      <w:rFonts w:hint="eastAsia" w:ascii="宋体" w:hAnsi="宋体" w:eastAsia="宋体" w:cs="宋体"/>
                      <w:i w:val="0"/>
                      <w:iCs w:val="0"/>
                      <w:color w:val="000000"/>
                      <w:sz w:val="18"/>
                      <w:szCs w:val="18"/>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2A51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群众满意度指标，计算方法：（满意数/总数）×100%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6AF7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3CE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CD5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9568A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017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BFFB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335671">
                  <w:pPr>
                    <w:jc w:val="center"/>
                    <w:rPr>
                      <w:rFonts w:hint="eastAsia" w:ascii="微软雅黑" w:hAnsi="微软雅黑" w:eastAsia="微软雅黑" w:cs="微软雅黑"/>
                      <w:i/>
                      <w:iCs/>
                      <w:color w:val="000000"/>
                      <w:sz w:val="16"/>
                      <w:szCs w:val="16"/>
                      <w:u w:val="none"/>
                    </w:rPr>
                  </w:pPr>
                </w:p>
              </w:tc>
            </w:tr>
            <w:tr w14:paraId="0BD31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51521">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95885">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31FB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94A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8C03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69A8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2024年12月底前完成</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D25C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20300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723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0A6E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CDA345">
                  <w:pPr>
                    <w:jc w:val="center"/>
                    <w:rPr>
                      <w:rFonts w:hint="eastAsia" w:ascii="微软雅黑" w:hAnsi="微软雅黑" w:eastAsia="微软雅黑" w:cs="微软雅黑"/>
                      <w:i/>
                      <w:iCs/>
                      <w:color w:val="000000"/>
                      <w:sz w:val="16"/>
                      <w:szCs w:val="16"/>
                      <w:u w:val="none"/>
                    </w:rPr>
                  </w:pPr>
                </w:p>
              </w:tc>
            </w:tr>
            <w:tr w14:paraId="75A54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78E43">
                  <w:pPr>
                    <w:jc w:val="center"/>
                    <w:rPr>
                      <w:rFonts w:hint="eastAsia" w:ascii="宋体" w:hAnsi="宋体" w:eastAsia="宋体" w:cs="宋体"/>
                      <w:i w:val="0"/>
                      <w:iCs w:val="0"/>
                      <w:color w:val="000000"/>
                      <w:sz w:val="18"/>
                      <w:szCs w:val="18"/>
                      <w:u w:val="none"/>
                    </w:rPr>
                  </w:pP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8EA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81D4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9E91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年度节约财政资金</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BF6E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B430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E2F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6A915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C7FD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23A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F001DA">
                  <w:pPr>
                    <w:jc w:val="center"/>
                    <w:rPr>
                      <w:rFonts w:hint="eastAsia" w:ascii="微软雅黑" w:hAnsi="微软雅黑" w:eastAsia="微软雅黑" w:cs="微软雅黑"/>
                      <w:i/>
                      <w:iCs/>
                      <w:color w:val="000000"/>
                      <w:sz w:val="16"/>
                      <w:szCs w:val="16"/>
                      <w:u w:val="none"/>
                    </w:rPr>
                  </w:pPr>
                </w:p>
              </w:tc>
            </w:tr>
            <w:tr w14:paraId="0897E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85C6D">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AA04B">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25E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8ACA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社会效益情况</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7F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A92C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2285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D7366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E22E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B86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0708E6">
                  <w:pPr>
                    <w:jc w:val="center"/>
                    <w:rPr>
                      <w:rFonts w:hint="eastAsia" w:ascii="微软雅黑" w:hAnsi="微软雅黑" w:eastAsia="微软雅黑" w:cs="微软雅黑"/>
                      <w:i/>
                      <w:iCs/>
                      <w:color w:val="000000"/>
                      <w:sz w:val="16"/>
                      <w:szCs w:val="16"/>
                      <w:u w:val="none"/>
                    </w:rPr>
                  </w:pPr>
                </w:p>
              </w:tc>
            </w:tr>
            <w:tr w14:paraId="785D2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D3EDD">
                  <w:pPr>
                    <w:jc w:val="center"/>
                    <w:rPr>
                      <w:rFonts w:hint="eastAsia" w:ascii="宋体" w:hAnsi="宋体" w:eastAsia="宋体" w:cs="宋体"/>
                      <w:i w:val="0"/>
                      <w:iCs w:val="0"/>
                      <w:color w:val="000000"/>
                      <w:sz w:val="18"/>
                      <w:szCs w:val="18"/>
                      <w:u w:val="none"/>
                    </w:rPr>
                  </w:pP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F463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D9E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82A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5489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70A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2E24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19ABB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96</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57D6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5683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E6F89">
                  <w:pPr>
                    <w:jc w:val="center"/>
                    <w:rPr>
                      <w:rFonts w:hint="eastAsia" w:ascii="微软雅黑" w:hAnsi="微软雅黑" w:eastAsia="微软雅黑" w:cs="微软雅黑"/>
                      <w:i/>
                      <w:iCs/>
                      <w:color w:val="000000"/>
                      <w:sz w:val="16"/>
                      <w:szCs w:val="16"/>
                      <w:u w:val="none"/>
                    </w:rPr>
                  </w:pPr>
                </w:p>
              </w:tc>
            </w:tr>
            <w:tr w14:paraId="3BD48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EC490">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5DA00">
                  <w:pPr>
                    <w:jc w:val="center"/>
                    <w:rPr>
                      <w:rFonts w:hint="eastAsia" w:ascii="宋体" w:hAnsi="宋体" w:eastAsia="宋体" w:cs="宋体"/>
                      <w:i w:val="0"/>
                      <w:iCs w:val="0"/>
                      <w:color w:val="000000"/>
                      <w:sz w:val="18"/>
                      <w:szCs w:val="18"/>
                      <w:u w:val="none"/>
                    </w:rPr>
                  </w:pPr>
                </w:p>
              </w:tc>
              <w:tc>
                <w:tcPr>
                  <w:tcW w:w="17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0F982">
                  <w:pPr>
                    <w:jc w:val="center"/>
                    <w:rPr>
                      <w:rFonts w:hint="eastAsia" w:ascii="宋体" w:hAnsi="宋体" w:eastAsia="宋体" w:cs="宋体"/>
                      <w:i w:val="0"/>
                      <w:iCs w:val="0"/>
                      <w:color w:val="000000"/>
                      <w:sz w:val="18"/>
                      <w:szCs w:val="18"/>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2115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平台使用人满意度</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F7D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4254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DE05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6798A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C7A4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A8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458A38">
                  <w:pPr>
                    <w:jc w:val="center"/>
                    <w:rPr>
                      <w:rFonts w:hint="eastAsia" w:ascii="微软雅黑" w:hAnsi="微软雅黑" w:eastAsia="微软雅黑" w:cs="微软雅黑"/>
                      <w:i/>
                      <w:iCs/>
                      <w:color w:val="000000"/>
                      <w:sz w:val="16"/>
                      <w:szCs w:val="16"/>
                      <w:u w:val="none"/>
                    </w:rPr>
                  </w:pPr>
                </w:p>
              </w:tc>
            </w:tr>
            <w:tr w14:paraId="53A81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28EEC">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3B1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ED1B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7FBD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公车定位系统经济成本</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2DD7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29FF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0412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6590A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28.63</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790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4DEF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E7E270">
                  <w:pPr>
                    <w:jc w:val="center"/>
                    <w:rPr>
                      <w:rFonts w:hint="eastAsia" w:ascii="微软雅黑" w:hAnsi="微软雅黑" w:eastAsia="微软雅黑" w:cs="微软雅黑"/>
                      <w:i/>
                      <w:iCs/>
                      <w:color w:val="000000"/>
                      <w:sz w:val="16"/>
                      <w:szCs w:val="16"/>
                      <w:u w:val="none"/>
                    </w:rPr>
                  </w:pPr>
                </w:p>
              </w:tc>
            </w:tr>
            <w:tr w14:paraId="04A10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1060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B33D5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2042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D3FC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5FE92F">
                  <w:pPr>
                    <w:rPr>
                      <w:rFonts w:hint="eastAsia" w:ascii="宋体" w:hAnsi="宋体" w:eastAsia="宋体" w:cs="宋体"/>
                      <w:i w:val="0"/>
                      <w:iCs w:val="0"/>
                      <w:color w:val="000000"/>
                      <w:sz w:val="18"/>
                      <w:szCs w:val="18"/>
                      <w:u w:val="none"/>
                    </w:rPr>
                  </w:pPr>
                </w:p>
              </w:tc>
            </w:tr>
            <w:tr w14:paraId="4FDC6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0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E1A9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33143F4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该项目顺利实施，为我州的车改工作奠定了基础，公车实现全省一张网统一监管，系统模块可查询车辆动态，油耗监测等，方便数据统计。</w:t>
                  </w:r>
                </w:p>
              </w:tc>
            </w:tr>
            <w:tr w14:paraId="3806D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7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1A5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0BDD44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该项目试点已完成，全州推广还需加大力度。</w:t>
                  </w:r>
                </w:p>
              </w:tc>
            </w:tr>
            <w:tr w14:paraId="4EAD3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3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C876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0B7A85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C585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730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5DC33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BB2328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F1CE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85" w:hRule="atLeast"/>
              </w:trPr>
              <w:tc>
                <w:tcPr>
                  <w:tcW w:w="690" w:type="dxa"/>
                  <w:gridSpan w:val="2"/>
                  <w:tcBorders>
                    <w:top w:val="nil"/>
                    <w:left w:val="nil"/>
                    <w:bottom w:val="nil"/>
                    <w:right w:val="nil"/>
                  </w:tcBorders>
                  <w:shd w:val="clear" w:color="auto" w:fill="auto"/>
                  <w:vAlign w:val="center"/>
                </w:tcPr>
                <w:p w14:paraId="67F7832F">
                  <w:pPr>
                    <w:rPr>
                      <w:rFonts w:hint="eastAsia" w:ascii="宋体" w:hAnsi="宋体" w:eastAsia="宋体" w:cs="宋体"/>
                      <w:i w:val="0"/>
                      <w:iCs w:val="0"/>
                      <w:color w:val="000000"/>
                      <w:sz w:val="18"/>
                      <w:szCs w:val="18"/>
                      <w:u w:val="none"/>
                    </w:rPr>
                  </w:pPr>
                </w:p>
              </w:tc>
              <w:tc>
                <w:tcPr>
                  <w:tcW w:w="2055" w:type="dxa"/>
                  <w:gridSpan w:val="2"/>
                  <w:tcBorders>
                    <w:top w:val="nil"/>
                    <w:left w:val="nil"/>
                    <w:bottom w:val="nil"/>
                    <w:right w:val="nil"/>
                  </w:tcBorders>
                  <w:shd w:val="clear" w:color="auto" w:fill="auto"/>
                  <w:vAlign w:val="center"/>
                </w:tcPr>
                <w:p w14:paraId="0EFACB32">
                  <w:pPr>
                    <w:rPr>
                      <w:rFonts w:hint="eastAsia" w:ascii="宋体" w:hAnsi="宋体" w:eastAsia="宋体" w:cs="宋体"/>
                      <w:i w:val="0"/>
                      <w:iCs w:val="0"/>
                      <w:color w:val="000000"/>
                      <w:sz w:val="18"/>
                      <w:szCs w:val="18"/>
                      <w:u w:val="none"/>
                    </w:rPr>
                  </w:pPr>
                </w:p>
              </w:tc>
              <w:tc>
                <w:tcPr>
                  <w:tcW w:w="1770" w:type="dxa"/>
                  <w:gridSpan w:val="2"/>
                  <w:tcBorders>
                    <w:top w:val="nil"/>
                    <w:left w:val="nil"/>
                    <w:bottom w:val="nil"/>
                    <w:right w:val="nil"/>
                  </w:tcBorders>
                  <w:shd w:val="clear" w:color="auto" w:fill="auto"/>
                  <w:vAlign w:val="center"/>
                </w:tcPr>
                <w:p w14:paraId="2D2FE5A7">
                  <w:pPr>
                    <w:rPr>
                      <w:rFonts w:hint="eastAsia" w:ascii="宋体" w:hAnsi="宋体" w:eastAsia="宋体" w:cs="宋体"/>
                      <w:i w:val="0"/>
                      <w:iCs w:val="0"/>
                      <w:color w:val="000000"/>
                      <w:sz w:val="18"/>
                      <w:szCs w:val="18"/>
                      <w:u w:val="none"/>
                    </w:rPr>
                  </w:pPr>
                </w:p>
              </w:tc>
              <w:tc>
                <w:tcPr>
                  <w:tcW w:w="2265" w:type="dxa"/>
                  <w:gridSpan w:val="2"/>
                  <w:tcBorders>
                    <w:top w:val="nil"/>
                    <w:left w:val="nil"/>
                    <w:bottom w:val="nil"/>
                    <w:right w:val="nil"/>
                  </w:tcBorders>
                  <w:shd w:val="clear" w:color="auto" w:fill="auto"/>
                  <w:vAlign w:val="center"/>
                </w:tcPr>
                <w:p w14:paraId="534ADB82">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4E54897C">
                  <w:pPr>
                    <w:rPr>
                      <w:rFonts w:hint="eastAsia" w:ascii="宋体" w:hAnsi="宋体" w:eastAsia="宋体" w:cs="宋体"/>
                      <w:i w:val="0"/>
                      <w:iCs w:val="0"/>
                      <w:color w:val="000000"/>
                      <w:sz w:val="18"/>
                      <w:szCs w:val="18"/>
                      <w:u w:val="none"/>
                    </w:rPr>
                  </w:pPr>
                </w:p>
              </w:tc>
              <w:tc>
                <w:tcPr>
                  <w:tcW w:w="1680" w:type="dxa"/>
                  <w:gridSpan w:val="2"/>
                  <w:tcBorders>
                    <w:top w:val="nil"/>
                    <w:left w:val="nil"/>
                    <w:bottom w:val="nil"/>
                    <w:right w:val="nil"/>
                  </w:tcBorders>
                  <w:shd w:val="clear" w:color="auto" w:fill="auto"/>
                  <w:vAlign w:val="center"/>
                </w:tcPr>
                <w:p w14:paraId="0F281D6D">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74C6378B">
                  <w:pPr>
                    <w:rPr>
                      <w:rFonts w:hint="eastAsia" w:ascii="宋体" w:hAnsi="宋体" w:eastAsia="宋体" w:cs="宋体"/>
                      <w:i w:val="0"/>
                      <w:iCs w:val="0"/>
                      <w:color w:val="000000"/>
                      <w:sz w:val="18"/>
                      <w:szCs w:val="18"/>
                      <w:u w:val="none"/>
                    </w:rPr>
                  </w:pPr>
                </w:p>
              </w:tc>
              <w:tc>
                <w:tcPr>
                  <w:tcW w:w="1095" w:type="dxa"/>
                  <w:gridSpan w:val="2"/>
                  <w:tcBorders>
                    <w:top w:val="nil"/>
                    <w:left w:val="nil"/>
                    <w:bottom w:val="nil"/>
                    <w:right w:val="nil"/>
                  </w:tcBorders>
                  <w:shd w:val="clear" w:color="auto" w:fill="auto"/>
                  <w:vAlign w:val="center"/>
                </w:tcPr>
                <w:p w14:paraId="4BE34D34">
                  <w:pPr>
                    <w:rPr>
                      <w:rFonts w:hint="eastAsia" w:ascii="宋体" w:hAnsi="宋体" w:eastAsia="宋体" w:cs="宋体"/>
                      <w:i w:val="0"/>
                      <w:iCs w:val="0"/>
                      <w:color w:val="000000"/>
                      <w:sz w:val="18"/>
                      <w:szCs w:val="18"/>
                      <w:u w:val="none"/>
                    </w:rPr>
                  </w:pPr>
                </w:p>
              </w:tc>
              <w:tc>
                <w:tcPr>
                  <w:tcW w:w="510" w:type="dxa"/>
                  <w:gridSpan w:val="2"/>
                  <w:tcBorders>
                    <w:top w:val="nil"/>
                    <w:left w:val="nil"/>
                    <w:bottom w:val="nil"/>
                    <w:right w:val="nil"/>
                  </w:tcBorders>
                  <w:shd w:val="clear" w:color="auto" w:fill="auto"/>
                  <w:vAlign w:val="center"/>
                </w:tcPr>
                <w:p w14:paraId="484161DD">
                  <w:pPr>
                    <w:rPr>
                      <w:rFonts w:hint="eastAsia" w:ascii="宋体" w:hAnsi="宋体" w:eastAsia="宋体" w:cs="宋体"/>
                      <w:i w:val="0"/>
                      <w:iCs w:val="0"/>
                      <w:color w:val="000000"/>
                      <w:sz w:val="18"/>
                      <w:szCs w:val="18"/>
                      <w:u w:val="none"/>
                    </w:rPr>
                  </w:pPr>
                </w:p>
              </w:tc>
              <w:tc>
                <w:tcPr>
                  <w:tcW w:w="450" w:type="dxa"/>
                  <w:gridSpan w:val="2"/>
                  <w:tcBorders>
                    <w:top w:val="nil"/>
                    <w:left w:val="nil"/>
                    <w:bottom w:val="nil"/>
                    <w:right w:val="nil"/>
                  </w:tcBorders>
                  <w:shd w:val="clear" w:color="auto" w:fill="auto"/>
                  <w:vAlign w:val="center"/>
                </w:tcPr>
                <w:p w14:paraId="30AD4977">
                  <w:pPr>
                    <w:rPr>
                      <w:rFonts w:hint="eastAsia" w:ascii="宋体" w:hAnsi="宋体" w:eastAsia="宋体" w:cs="宋体"/>
                      <w:i w:val="0"/>
                      <w:iCs w:val="0"/>
                      <w:color w:val="000000"/>
                      <w:sz w:val="18"/>
                      <w:szCs w:val="18"/>
                      <w:u w:val="none"/>
                    </w:rPr>
                  </w:pPr>
                </w:p>
              </w:tc>
              <w:tc>
                <w:tcPr>
                  <w:tcW w:w="2550" w:type="dxa"/>
                  <w:gridSpan w:val="2"/>
                  <w:tcBorders>
                    <w:top w:val="nil"/>
                    <w:left w:val="nil"/>
                    <w:bottom w:val="nil"/>
                    <w:right w:val="nil"/>
                  </w:tcBorders>
                  <w:shd w:val="clear" w:color="auto" w:fill="auto"/>
                  <w:vAlign w:val="center"/>
                </w:tcPr>
                <w:p w14:paraId="6588F3D5">
                  <w:pPr>
                    <w:rPr>
                      <w:rFonts w:hint="eastAsia" w:ascii="宋体" w:hAnsi="宋体" w:eastAsia="宋体" w:cs="宋体"/>
                      <w:i w:val="0"/>
                      <w:iCs w:val="0"/>
                      <w:color w:val="000000"/>
                      <w:sz w:val="18"/>
                      <w:szCs w:val="18"/>
                      <w:u w:val="none"/>
                    </w:rPr>
                  </w:pPr>
                </w:p>
              </w:tc>
            </w:tr>
            <w:tr w14:paraId="7FC3B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04" w:hRule="atLeast"/>
              </w:trPr>
              <w:tc>
                <w:tcPr>
                  <w:tcW w:w="14115"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40BEA37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9AF3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6067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E87DB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51320022T000006899514-人才发展专项资金</w:t>
                  </w:r>
                </w:p>
              </w:tc>
            </w:tr>
            <w:tr w14:paraId="2069B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14"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922B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E836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州机关事务管理局部门</w:t>
                  </w:r>
                </w:p>
              </w:tc>
              <w:tc>
                <w:tcPr>
                  <w:tcW w:w="1095" w:type="dxa"/>
                  <w:gridSpan w:val="2"/>
                  <w:tcBorders>
                    <w:top w:val="nil"/>
                    <w:left w:val="nil"/>
                    <w:bottom w:val="nil"/>
                    <w:right w:val="nil"/>
                  </w:tcBorders>
                  <w:shd w:val="clear" w:color="auto" w:fill="auto"/>
                  <w:vAlign w:val="center"/>
                </w:tcPr>
                <w:p w14:paraId="00F2252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1AFC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w:t>
                  </w:r>
                </w:p>
              </w:tc>
            </w:tr>
            <w:tr w14:paraId="16B83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634F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E796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EC06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311927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5026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94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9A04E">
                  <w:pP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DAD33">
                  <w:pPr>
                    <w:rPr>
                      <w:rFonts w:hint="eastAsia" w:ascii="宋体" w:hAnsi="宋体" w:eastAsia="宋体" w:cs="宋体"/>
                      <w:i w:val="0"/>
                      <w:iCs w:val="0"/>
                      <w:color w:val="000000"/>
                      <w:sz w:val="18"/>
                      <w:szCs w:val="18"/>
                      <w:u w:val="none"/>
                    </w:rPr>
                  </w:pP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9DC29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为贯彻落实《阿坝州人才工作领导小组2020年工作要点》，给引进人才营造“家在阿坝”氛围，为高层次人才提供优质服务，充分激发人才创新创造活力，促进人才在阿坝州安心、安身、安业。严格履行厉行节约 反对浪费相关规定，依法依规做好人才服务中心物资采买、管理、使用工作。</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450C3C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已按要求，完成了年度目标。</w:t>
                  </w:r>
                </w:p>
              </w:tc>
            </w:tr>
            <w:tr w14:paraId="5CB41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9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A245E">
                  <w:pP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A09A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4E1516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主要用于服务人才公寓及人才服务中心服务人员劳务费以及物业管理费用</w:t>
                  </w:r>
                </w:p>
              </w:tc>
            </w:tr>
            <w:tr w14:paraId="5710D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EBF0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C948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FDBC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16B7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021A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8B10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19F1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B82E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0F70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8210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5"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92C05">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041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E10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C7FA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8.96</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604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8.96</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00CC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B1F2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7485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0E756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3F24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9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4D5B2">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B39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0091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D2F2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8.96</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E481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8.96</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274F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599E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E30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0E454">
                  <w:pPr>
                    <w:rPr>
                      <w:rFonts w:hint="eastAsia" w:ascii="黑体" w:hAnsi="黑体" w:eastAsia="黑体" w:cs="黑体"/>
                      <w:i/>
                      <w:iCs/>
                      <w:color w:val="000000"/>
                      <w:sz w:val="18"/>
                      <w:szCs w:val="18"/>
                      <w:u w:val="none"/>
                    </w:rPr>
                  </w:pPr>
                </w:p>
              </w:tc>
            </w:tr>
            <w:tr w14:paraId="3F02B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0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16189">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FC2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21F5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946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8149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BEF2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CA20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FA41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629EF">
                  <w:pPr>
                    <w:rPr>
                      <w:rFonts w:hint="eastAsia" w:ascii="黑体" w:hAnsi="黑体" w:eastAsia="黑体" w:cs="黑体"/>
                      <w:i/>
                      <w:iCs/>
                      <w:color w:val="000000"/>
                      <w:sz w:val="18"/>
                      <w:szCs w:val="18"/>
                      <w:u w:val="none"/>
                    </w:rPr>
                  </w:pPr>
                </w:p>
              </w:tc>
            </w:tr>
            <w:tr w14:paraId="0A2C0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9D689">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CC20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767A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A8C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665E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80A8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836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DEED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3B846">
                  <w:pPr>
                    <w:rPr>
                      <w:rFonts w:hint="eastAsia" w:ascii="黑体" w:hAnsi="黑体" w:eastAsia="黑体" w:cs="黑体"/>
                      <w:i/>
                      <w:iCs/>
                      <w:color w:val="000000"/>
                      <w:sz w:val="18"/>
                      <w:szCs w:val="18"/>
                      <w:u w:val="none"/>
                    </w:rPr>
                  </w:pPr>
                </w:p>
              </w:tc>
            </w:tr>
            <w:tr w14:paraId="62F69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83D45">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043C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D7A16C">
                  <w:pPr>
                    <w:jc w:val="center"/>
                    <w:rPr>
                      <w:rFonts w:hint="eastAsia" w:ascii="微软雅黑" w:hAnsi="微软雅黑" w:eastAsia="微软雅黑" w:cs="微软雅黑"/>
                      <w:i/>
                      <w:iCs/>
                      <w:color w:val="000000"/>
                      <w:sz w:val="16"/>
                      <w:szCs w:val="16"/>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B96A4A">
                  <w:pPr>
                    <w:jc w:val="center"/>
                    <w:rPr>
                      <w:rFonts w:hint="eastAsia" w:ascii="微软雅黑" w:hAnsi="微软雅黑" w:eastAsia="微软雅黑" w:cs="微软雅黑"/>
                      <w:i/>
                      <w:iCs/>
                      <w:color w:val="000000"/>
                      <w:sz w:val="16"/>
                      <w:szCs w:val="16"/>
                      <w:u w:val="none"/>
                    </w:rPr>
                  </w:pP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59F188">
                  <w:pPr>
                    <w:jc w:val="center"/>
                    <w:rPr>
                      <w:rFonts w:hint="eastAsia" w:ascii="微软雅黑" w:hAnsi="微软雅黑" w:eastAsia="微软雅黑" w:cs="微软雅黑"/>
                      <w:i/>
                      <w:iCs/>
                      <w:color w:val="000000"/>
                      <w:sz w:val="16"/>
                      <w:szCs w:val="16"/>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E281B5">
                  <w:pPr>
                    <w:jc w:val="center"/>
                    <w:rPr>
                      <w:rFonts w:hint="eastAsia" w:ascii="微软雅黑" w:hAnsi="微软雅黑" w:eastAsia="微软雅黑" w:cs="微软雅黑"/>
                      <w:i/>
                      <w:iCs/>
                      <w:color w:val="000000"/>
                      <w:sz w:val="16"/>
                      <w:szCs w:val="16"/>
                      <w:u w:val="none"/>
                    </w:rPr>
                  </w:pP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80CA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749E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CE966">
                  <w:pPr>
                    <w:rPr>
                      <w:rFonts w:hint="eastAsia" w:ascii="黑体" w:hAnsi="黑体" w:eastAsia="黑体" w:cs="黑体"/>
                      <w:i/>
                      <w:iCs/>
                      <w:color w:val="000000"/>
                      <w:sz w:val="18"/>
                      <w:szCs w:val="18"/>
                      <w:u w:val="none"/>
                    </w:rPr>
                  </w:pPr>
                </w:p>
              </w:tc>
            </w:tr>
            <w:tr w14:paraId="1D4D3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DF7F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87E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2DD4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C03F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6FE3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110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CF72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747F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D86D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300F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8F7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A372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6A6B5">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DD743C">
                  <w:pPr>
                    <w:keepNext w:val="0"/>
                    <w:keepLines w:val="0"/>
                    <w:widowControl/>
                    <w:suppressLineNumbers w:val="0"/>
                    <w:jc w:val="center"/>
                    <w:textAlignment w:val="center"/>
                    <w:rPr>
                      <w:rFonts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产出指标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49B2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质量指标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82F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更好地为引进人才服务</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2139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C4A1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100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6684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107F1E">
                  <w:pPr>
                    <w:keepNext w:val="0"/>
                    <w:keepLines w:val="0"/>
                    <w:widowControl/>
                    <w:suppressLineNumbers w:val="0"/>
                    <w:jc w:val="center"/>
                    <w:textAlignment w:val="center"/>
                    <w:rPr>
                      <w:rFonts w:hint="eastAsia" w:ascii="方正仿宋_GBK" w:hAnsi="方正仿宋_GBK" w:eastAsia="方正仿宋_GBK" w:cs="方正仿宋_GBK"/>
                      <w:i/>
                      <w:iCs/>
                      <w:color w:val="000000"/>
                      <w:sz w:val="22"/>
                      <w:szCs w:val="22"/>
                      <w:u w:val="none"/>
                    </w:rPr>
                  </w:pPr>
                  <w:r>
                    <w:rPr>
                      <w:rFonts w:hint="eastAsia" w:ascii="方正仿宋_GBK" w:hAnsi="方正仿宋_GBK" w:eastAsia="方正仿宋_GBK" w:cs="方正仿宋_GBK"/>
                      <w:i/>
                      <w:iCs/>
                      <w:color w:val="000000"/>
                      <w:kern w:val="0"/>
                      <w:sz w:val="22"/>
                      <w:szCs w:val="22"/>
                      <w:u w:val="none"/>
                      <w:lang w:val="en-US" w:eastAsia="zh-CN" w:bidi="ar"/>
                    </w:rPr>
                    <w:t>100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3AE7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40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D789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40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09C071">
                  <w:pPr>
                    <w:jc w:val="center"/>
                    <w:rPr>
                      <w:rFonts w:hint="eastAsia" w:ascii="宋体" w:hAnsi="宋体" w:eastAsia="宋体" w:cs="宋体"/>
                      <w:i w:val="0"/>
                      <w:iCs w:val="0"/>
                      <w:color w:val="000000"/>
                      <w:sz w:val="18"/>
                      <w:szCs w:val="18"/>
                      <w:u w:val="none"/>
                    </w:rPr>
                  </w:pPr>
                </w:p>
              </w:tc>
            </w:tr>
            <w:tr w14:paraId="634E1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32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CE1A7">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94B9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效益指标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0C53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经济效益指标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3E43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资金执行率=（实际下拨资金/项目预算资金）*100%，百分比+-110范围内得满分，此外每加减10%扣1分</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7EFE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8899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100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2BF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0EE338">
                  <w:pPr>
                    <w:keepNext w:val="0"/>
                    <w:keepLines w:val="0"/>
                    <w:widowControl/>
                    <w:suppressLineNumbers w:val="0"/>
                    <w:jc w:val="center"/>
                    <w:textAlignment w:val="center"/>
                    <w:rPr>
                      <w:rFonts w:hint="eastAsia" w:ascii="方正仿宋_GBK" w:hAnsi="方正仿宋_GBK" w:eastAsia="方正仿宋_GBK" w:cs="方正仿宋_GBK"/>
                      <w:i/>
                      <w:iCs/>
                      <w:color w:val="000000"/>
                      <w:sz w:val="22"/>
                      <w:szCs w:val="22"/>
                      <w:u w:val="none"/>
                    </w:rPr>
                  </w:pPr>
                  <w:r>
                    <w:rPr>
                      <w:rFonts w:hint="eastAsia" w:ascii="方正仿宋_GBK" w:hAnsi="方正仿宋_GBK" w:eastAsia="方正仿宋_GBK" w:cs="方正仿宋_GBK"/>
                      <w:i/>
                      <w:iCs/>
                      <w:color w:val="000000"/>
                      <w:kern w:val="0"/>
                      <w:sz w:val="22"/>
                      <w:szCs w:val="22"/>
                      <w:u w:val="none"/>
                      <w:lang w:val="en-US" w:eastAsia="zh-CN" w:bidi="ar"/>
                    </w:rPr>
                    <w:t>100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169EF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FD7B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D2E99D">
                  <w:pPr>
                    <w:jc w:val="center"/>
                    <w:rPr>
                      <w:rFonts w:hint="eastAsia" w:ascii="宋体" w:hAnsi="宋体" w:eastAsia="宋体" w:cs="宋体"/>
                      <w:i w:val="0"/>
                      <w:iCs w:val="0"/>
                      <w:color w:val="000000"/>
                      <w:sz w:val="18"/>
                      <w:szCs w:val="18"/>
                      <w:u w:val="none"/>
                    </w:rPr>
                  </w:pPr>
                </w:p>
              </w:tc>
            </w:tr>
            <w:tr w14:paraId="464E3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6474E">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BBBB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满意度指标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B2BB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服务对象满意度指标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0EFE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满意率</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6CA6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72AD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100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F16D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F84CF3">
                  <w:pPr>
                    <w:keepNext w:val="0"/>
                    <w:keepLines w:val="0"/>
                    <w:widowControl/>
                    <w:suppressLineNumbers w:val="0"/>
                    <w:jc w:val="center"/>
                    <w:textAlignment w:val="center"/>
                    <w:rPr>
                      <w:rFonts w:hint="eastAsia" w:ascii="方正仿宋_GBK" w:hAnsi="方正仿宋_GBK" w:eastAsia="方正仿宋_GBK" w:cs="方正仿宋_GBK"/>
                      <w:i/>
                      <w:iCs/>
                      <w:color w:val="000000"/>
                      <w:sz w:val="22"/>
                      <w:szCs w:val="22"/>
                      <w:u w:val="none"/>
                    </w:rPr>
                  </w:pPr>
                  <w:r>
                    <w:rPr>
                      <w:rFonts w:hint="eastAsia" w:ascii="方正仿宋_GBK" w:hAnsi="方正仿宋_GBK" w:eastAsia="方正仿宋_GBK" w:cs="方正仿宋_GBK"/>
                      <w:i/>
                      <w:iCs/>
                      <w:color w:val="000000"/>
                      <w:kern w:val="0"/>
                      <w:sz w:val="22"/>
                      <w:szCs w:val="22"/>
                      <w:u w:val="none"/>
                      <w:lang w:val="en-US" w:eastAsia="zh-CN" w:bidi="ar"/>
                    </w:rPr>
                    <w:t>100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F4BC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548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FEE16D">
                  <w:pPr>
                    <w:jc w:val="center"/>
                    <w:rPr>
                      <w:rFonts w:hint="eastAsia" w:ascii="宋体" w:hAnsi="宋体" w:eastAsia="宋体" w:cs="宋体"/>
                      <w:i w:val="0"/>
                      <w:iCs w:val="0"/>
                      <w:color w:val="000000"/>
                      <w:sz w:val="18"/>
                      <w:szCs w:val="18"/>
                      <w:u w:val="none"/>
                    </w:rPr>
                  </w:pPr>
                </w:p>
              </w:tc>
            </w:tr>
            <w:tr w14:paraId="0C677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C9348">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C4909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成本指标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CE0C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经济成本指标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4DD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节约成本率=（节约成本/总成本）</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F612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392A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30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D53B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7F8E43">
                  <w:pPr>
                    <w:keepNext w:val="0"/>
                    <w:keepLines w:val="0"/>
                    <w:widowControl/>
                    <w:suppressLineNumbers w:val="0"/>
                    <w:jc w:val="center"/>
                    <w:textAlignment w:val="center"/>
                    <w:rPr>
                      <w:rFonts w:hint="eastAsia" w:ascii="方正仿宋_GBK" w:hAnsi="方正仿宋_GBK" w:eastAsia="方正仿宋_GBK" w:cs="方正仿宋_GBK"/>
                      <w:i/>
                      <w:iCs/>
                      <w:color w:val="000000"/>
                      <w:sz w:val="22"/>
                      <w:szCs w:val="22"/>
                      <w:u w:val="none"/>
                    </w:rPr>
                  </w:pPr>
                  <w:r>
                    <w:rPr>
                      <w:rFonts w:hint="eastAsia" w:ascii="方正仿宋_GBK" w:hAnsi="方正仿宋_GBK" w:eastAsia="方正仿宋_GBK" w:cs="方正仿宋_GBK"/>
                      <w:i/>
                      <w:iCs/>
                      <w:color w:val="000000"/>
                      <w:kern w:val="0"/>
                      <w:sz w:val="22"/>
                      <w:szCs w:val="22"/>
                      <w:u w:val="none"/>
                      <w:lang w:val="en-US" w:eastAsia="zh-CN" w:bidi="ar"/>
                    </w:rPr>
                    <w:t>31</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7C44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90D0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2"/>
                      <w:szCs w:val="22"/>
                      <w:u w:val="none"/>
                    </w:rPr>
                  </w:pPr>
                  <w:r>
                    <w:rPr>
                      <w:rFonts w:hint="eastAsia" w:ascii="方正仿宋_GBK" w:hAnsi="方正仿宋_GBK" w:eastAsia="方正仿宋_GBK" w:cs="方正仿宋_GBK"/>
                      <w:i w:val="0"/>
                      <w:iCs w:val="0"/>
                      <w:color w:val="000000"/>
                      <w:kern w:val="0"/>
                      <w:sz w:val="22"/>
                      <w:szCs w:val="22"/>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5DC64D">
                  <w:pPr>
                    <w:jc w:val="center"/>
                    <w:rPr>
                      <w:rFonts w:hint="eastAsia" w:ascii="微软雅黑" w:hAnsi="微软雅黑" w:eastAsia="微软雅黑" w:cs="微软雅黑"/>
                      <w:i/>
                      <w:iCs/>
                      <w:color w:val="000000"/>
                      <w:sz w:val="16"/>
                      <w:szCs w:val="16"/>
                      <w:u w:val="none"/>
                    </w:rPr>
                  </w:pPr>
                </w:p>
              </w:tc>
            </w:tr>
            <w:tr w14:paraId="245DA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1060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67E41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1766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10E9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8DA1F">
                  <w:pPr>
                    <w:rPr>
                      <w:rFonts w:hint="eastAsia" w:ascii="宋体" w:hAnsi="宋体" w:eastAsia="宋体" w:cs="宋体"/>
                      <w:i w:val="0"/>
                      <w:iCs w:val="0"/>
                      <w:color w:val="000000"/>
                      <w:sz w:val="18"/>
                      <w:szCs w:val="18"/>
                      <w:u w:val="none"/>
                    </w:rPr>
                  </w:pPr>
                </w:p>
              </w:tc>
            </w:tr>
            <w:tr w14:paraId="74BE9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0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CAA9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2C755F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为更好的引进人才，留住人才奠定了坚实的基础。</w:t>
                  </w:r>
                </w:p>
              </w:tc>
            </w:tr>
            <w:tr w14:paraId="5358F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7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4D71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98AFED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未能换位思考服务对象的需求</w:t>
                  </w:r>
                </w:p>
              </w:tc>
            </w:tr>
            <w:tr w14:paraId="030B0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3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C6A5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6D044B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用心、用情的服务好高端人才</w:t>
                  </w:r>
                </w:p>
              </w:tc>
            </w:tr>
            <w:tr w14:paraId="4EBE7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730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005E5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B6E827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ED7F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85" w:hRule="atLeast"/>
              </w:trPr>
              <w:tc>
                <w:tcPr>
                  <w:tcW w:w="690" w:type="dxa"/>
                  <w:gridSpan w:val="2"/>
                  <w:tcBorders>
                    <w:top w:val="nil"/>
                    <w:left w:val="nil"/>
                    <w:bottom w:val="nil"/>
                    <w:right w:val="nil"/>
                  </w:tcBorders>
                  <w:shd w:val="clear" w:color="auto" w:fill="auto"/>
                  <w:vAlign w:val="center"/>
                </w:tcPr>
                <w:p w14:paraId="0CA73A81">
                  <w:pPr>
                    <w:rPr>
                      <w:rFonts w:hint="eastAsia" w:ascii="宋体" w:hAnsi="宋体" w:eastAsia="宋体" w:cs="宋体"/>
                      <w:i w:val="0"/>
                      <w:iCs w:val="0"/>
                      <w:color w:val="000000"/>
                      <w:sz w:val="18"/>
                      <w:szCs w:val="18"/>
                      <w:u w:val="none"/>
                    </w:rPr>
                  </w:pPr>
                </w:p>
              </w:tc>
              <w:tc>
                <w:tcPr>
                  <w:tcW w:w="2055" w:type="dxa"/>
                  <w:gridSpan w:val="2"/>
                  <w:tcBorders>
                    <w:top w:val="nil"/>
                    <w:left w:val="nil"/>
                    <w:bottom w:val="nil"/>
                    <w:right w:val="nil"/>
                  </w:tcBorders>
                  <w:shd w:val="clear" w:color="auto" w:fill="auto"/>
                  <w:vAlign w:val="center"/>
                </w:tcPr>
                <w:p w14:paraId="2225B376">
                  <w:pPr>
                    <w:rPr>
                      <w:rFonts w:hint="eastAsia" w:ascii="宋体" w:hAnsi="宋体" w:eastAsia="宋体" w:cs="宋体"/>
                      <w:i w:val="0"/>
                      <w:iCs w:val="0"/>
                      <w:color w:val="000000"/>
                      <w:sz w:val="18"/>
                      <w:szCs w:val="18"/>
                      <w:u w:val="none"/>
                    </w:rPr>
                  </w:pPr>
                </w:p>
              </w:tc>
              <w:tc>
                <w:tcPr>
                  <w:tcW w:w="1770" w:type="dxa"/>
                  <w:gridSpan w:val="2"/>
                  <w:tcBorders>
                    <w:top w:val="nil"/>
                    <w:left w:val="nil"/>
                    <w:bottom w:val="nil"/>
                    <w:right w:val="nil"/>
                  </w:tcBorders>
                  <w:shd w:val="clear" w:color="auto" w:fill="auto"/>
                  <w:vAlign w:val="center"/>
                </w:tcPr>
                <w:p w14:paraId="41D88DC8">
                  <w:pPr>
                    <w:rPr>
                      <w:rFonts w:hint="eastAsia" w:ascii="宋体" w:hAnsi="宋体" w:eastAsia="宋体" w:cs="宋体"/>
                      <w:i w:val="0"/>
                      <w:iCs w:val="0"/>
                      <w:color w:val="000000"/>
                      <w:sz w:val="18"/>
                      <w:szCs w:val="18"/>
                      <w:u w:val="none"/>
                    </w:rPr>
                  </w:pPr>
                </w:p>
              </w:tc>
              <w:tc>
                <w:tcPr>
                  <w:tcW w:w="2265" w:type="dxa"/>
                  <w:gridSpan w:val="2"/>
                  <w:tcBorders>
                    <w:top w:val="nil"/>
                    <w:left w:val="nil"/>
                    <w:bottom w:val="nil"/>
                    <w:right w:val="nil"/>
                  </w:tcBorders>
                  <w:shd w:val="clear" w:color="auto" w:fill="auto"/>
                  <w:vAlign w:val="center"/>
                </w:tcPr>
                <w:p w14:paraId="2931F960">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0C60CC8A">
                  <w:pPr>
                    <w:rPr>
                      <w:rFonts w:hint="eastAsia" w:ascii="宋体" w:hAnsi="宋体" w:eastAsia="宋体" w:cs="宋体"/>
                      <w:i w:val="0"/>
                      <w:iCs w:val="0"/>
                      <w:color w:val="000000"/>
                      <w:sz w:val="18"/>
                      <w:szCs w:val="18"/>
                      <w:u w:val="none"/>
                    </w:rPr>
                  </w:pPr>
                </w:p>
              </w:tc>
              <w:tc>
                <w:tcPr>
                  <w:tcW w:w="1680" w:type="dxa"/>
                  <w:gridSpan w:val="2"/>
                  <w:tcBorders>
                    <w:top w:val="nil"/>
                    <w:left w:val="nil"/>
                    <w:bottom w:val="nil"/>
                    <w:right w:val="nil"/>
                  </w:tcBorders>
                  <w:shd w:val="clear" w:color="auto" w:fill="auto"/>
                  <w:vAlign w:val="center"/>
                </w:tcPr>
                <w:p w14:paraId="3EF69356">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3FC75674">
                  <w:pPr>
                    <w:rPr>
                      <w:rFonts w:hint="eastAsia" w:ascii="宋体" w:hAnsi="宋体" w:eastAsia="宋体" w:cs="宋体"/>
                      <w:i w:val="0"/>
                      <w:iCs w:val="0"/>
                      <w:color w:val="000000"/>
                      <w:sz w:val="18"/>
                      <w:szCs w:val="18"/>
                      <w:u w:val="none"/>
                    </w:rPr>
                  </w:pPr>
                </w:p>
              </w:tc>
              <w:tc>
                <w:tcPr>
                  <w:tcW w:w="1095" w:type="dxa"/>
                  <w:gridSpan w:val="2"/>
                  <w:tcBorders>
                    <w:top w:val="nil"/>
                    <w:left w:val="nil"/>
                    <w:bottom w:val="nil"/>
                    <w:right w:val="nil"/>
                  </w:tcBorders>
                  <w:shd w:val="clear" w:color="auto" w:fill="auto"/>
                  <w:vAlign w:val="center"/>
                </w:tcPr>
                <w:p w14:paraId="2D85A061">
                  <w:pPr>
                    <w:rPr>
                      <w:rFonts w:hint="eastAsia" w:ascii="宋体" w:hAnsi="宋体" w:eastAsia="宋体" w:cs="宋体"/>
                      <w:i w:val="0"/>
                      <w:iCs w:val="0"/>
                      <w:color w:val="000000"/>
                      <w:sz w:val="18"/>
                      <w:szCs w:val="18"/>
                      <w:u w:val="none"/>
                    </w:rPr>
                  </w:pPr>
                </w:p>
              </w:tc>
              <w:tc>
                <w:tcPr>
                  <w:tcW w:w="510" w:type="dxa"/>
                  <w:gridSpan w:val="2"/>
                  <w:tcBorders>
                    <w:top w:val="nil"/>
                    <w:left w:val="nil"/>
                    <w:bottom w:val="nil"/>
                    <w:right w:val="nil"/>
                  </w:tcBorders>
                  <w:shd w:val="clear" w:color="auto" w:fill="auto"/>
                  <w:vAlign w:val="center"/>
                </w:tcPr>
                <w:p w14:paraId="46AE89D1">
                  <w:pPr>
                    <w:rPr>
                      <w:rFonts w:hint="eastAsia" w:ascii="宋体" w:hAnsi="宋体" w:eastAsia="宋体" w:cs="宋体"/>
                      <w:i w:val="0"/>
                      <w:iCs w:val="0"/>
                      <w:color w:val="000000"/>
                      <w:sz w:val="18"/>
                      <w:szCs w:val="18"/>
                      <w:u w:val="none"/>
                    </w:rPr>
                  </w:pPr>
                </w:p>
              </w:tc>
              <w:tc>
                <w:tcPr>
                  <w:tcW w:w="450" w:type="dxa"/>
                  <w:gridSpan w:val="2"/>
                  <w:tcBorders>
                    <w:top w:val="nil"/>
                    <w:left w:val="nil"/>
                    <w:bottom w:val="nil"/>
                    <w:right w:val="nil"/>
                  </w:tcBorders>
                  <w:shd w:val="clear" w:color="auto" w:fill="auto"/>
                  <w:vAlign w:val="center"/>
                </w:tcPr>
                <w:p w14:paraId="52B7A125">
                  <w:pPr>
                    <w:rPr>
                      <w:rFonts w:hint="eastAsia" w:ascii="宋体" w:hAnsi="宋体" w:eastAsia="宋体" w:cs="宋体"/>
                      <w:i w:val="0"/>
                      <w:iCs w:val="0"/>
                      <w:color w:val="000000"/>
                      <w:sz w:val="18"/>
                      <w:szCs w:val="18"/>
                      <w:u w:val="none"/>
                    </w:rPr>
                  </w:pPr>
                </w:p>
              </w:tc>
              <w:tc>
                <w:tcPr>
                  <w:tcW w:w="2550" w:type="dxa"/>
                  <w:gridSpan w:val="2"/>
                  <w:tcBorders>
                    <w:top w:val="nil"/>
                    <w:left w:val="nil"/>
                    <w:bottom w:val="nil"/>
                    <w:right w:val="nil"/>
                  </w:tcBorders>
                  <w:shd w:val="clear" w:color="auto" w:fill="auto"/>
                  <w:vAlign w:val="center"/>
                </w:tcPr>
                <w:p w14:paraId="064BA8AA">
                  <w:pPr>
                    <w:rPr>
                      <w:rFonts w:hint="eastAsia" w:ascii="宋体" w:hAnsi="宋体" w:eastAsia="宋体" w:cs="宋体"/>
                      <w:i w:val="0"/>
                      <w:iCs w:val="0"/>
                      <w:color w:val="000000"/>
                      <w:sz w:val="18"/>
                      <w:szCs w:val="18"/>
                      <w:u w:val="none"/>
                    </w:rPr>
                  </w:pPr>
                </w:p>
              </w:tc>
            </w:tr>
            <w:tr w14:paraId="2922B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04" w:hRule="atLeast"/>
              </w:trPr>
              <w:tc>
                <w:tcPr>
                  <w:tcW w:w="14115"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665F408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1F14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82FC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BC07C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51320023T000008196810-节约型机关创建、公车管理及改革、周转房、办公用房督导项目经费</w:t>
                  </w:r>
                </w:p>
              </w:tc>
            </w:tr>
            <w:tr w14:paraId="5AA56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14"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2434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CF0D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州机关事务管理局部门</w:t>
                  </w:r>
                </w:p>
              </w:tc>
              <w:tc>
                <w:tcPr>
                  <w:tcW w:w="1095" w:type="dxa"/>
                  <w:gridSpan w:val="2"/>
                  <w:tcBorders>
                    <w:top w:val="nil"/>
                    <w:left w:val="nil"/>
                    <w:bottom w:val="nil"/>
                    <w:right w:val="nil"/>
                  </w:tcBorders>
                  <w:shd w:val="clear" w:color="auto" w:fill="auto"/>
                  <w:vAlign w:val="center"/>
                </w:tcPr>
                <w:p w14:paraId="6D14937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5D202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w:t>
                  </w:r>
                </w:p>
              </w:tc>
            </w:tr>
            <w:tr w14:paraId="47FFF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BEE1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1468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2FB5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2BEA2F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9321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80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30FA6">
                  <w:pP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1E678">
                  <w:pPr>
                    <w:rPr>
                      <w:rFonts w:hint="eastAsia" w:ascii="宋体" w:hAnsi="宋体" w:eastAsia="宋体" w:cs="宋体"/>
                      <w:i w:val="0"/>
                      <w:iCs w:val="0"/>
                      <w:color w:val="000000"/>
                      <w:sz w:val="18"/>
                      <w:szCs w:val="18"/>
                      <w:u w:val="none"/>
                    </w:rPr>
                  </w:pP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9865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州财政局财经管理要求，根据工作开展实际支出，保障国有资产、办公用房和周转房的管理工作顺利进行，加大机关事务管理局国有资产管理专项工作推进力度。保障公务用车管理工作顺利进行，深入推进公务用车制度改革工作，为取得良好的经济效益和社会效益，完善公务用车管理制度，加大公务用车监管力度，遏制车轮上的铺张浪费。通过加大统筹调度、协调督导力度，跟踪掌握指标推进情况，做到实时监测及处置。加强宣传普及，采取各种形式宣传能源清洁高效利用的重要意义，培育绿色发展理念，改进优化发展模式，营造节能降耗的良好氛围。</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469F72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已按要求，完成了年度目标。</w:t>
                  </w:r>
                </w:p>
              </w:tc>
            </w:tr>
            <w:tr w14:paraId="61E10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69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216B1">
                  <w:pP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001D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F5BB5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有序实施该项目，按规定程序支付资金。</w:t>
                  </w:r>
                </w:p>
              </w:tc>
            </w:tr>
            <w:tr w14:paraId="238C7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E87F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D3BF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3DE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CA1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8954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45C8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5B53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FE21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FBC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823B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5"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94BC0">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858D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C286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639E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35569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8EDD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E929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46D8E3">
                  <w:pPr>
                    <w:jc w:val="center"/>
                    <w:rPr>
                      <w:rFonts w:hint="eastAsia" w:ascii="宋体" w:hAnsi="宋体" w:eastAsia="宋体" w:cs="宋体"/>
                      <w:i w:val="0"/>
                      <w:iCs w:val="0"/>
                      <w:color w:val="000000"/>
                      <w:sz w:val="18"/>
                      <w:szCs w:val="18"/>
                      <w:u w:val="none"/>
                    </w:rPr>
                  </w:pPr>
                </w:p>
              </w:tc>
              <w:tc>
                <w:tcPr>
                  <w:tcW w:w="25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9F40F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9309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9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87399">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88F7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ED02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CACB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42D6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3270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CB18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C6F0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B93E0">
                  <w:pPr>
                    <w:rPr>
                      <w:rFonts w:hint="eastAsia" w:ascii="黑体" w:hAnsi="黑体" w:eastAsia="黑体" w:cs="黑体"/>
                      <w:i/>
                      <w:iCs/>
                      <w:color w:val="000000"/>
                      <w:sz w:val="18"/>
                      <w:szCs w:val="18"/>
                      <w:u w:val="none"/>
                    </w:rPr>
                  </w:pPr>
                </w:p>
              </w:tc>
            </w:tr>
            <w:tr w14:paraId="4ABA4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0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5D5B5">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9AEA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C92D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08F8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544C4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9683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BE89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8B1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E1898">
                  <w:pPr>
                    <w:rPr>
                      <w:rFonts w:hint="eastAsia" w:ascii="黑体" w:hAnsi="黑体" w:eastAsia="黑体" w:cs="黑体"/>
                      <w:i/>
                      <w:iCs/>
                      <w:color w:val="000000"/>
                      <w:sz w:val="18"/>
                      <w:szCs w:val="18"/>
                      <w:u w:val="none"/>
                    </w:rPr>
                  </w:pPr>
                </w:p>
              </w:tc>
            </w:tr>
            <w:tr w14:paraId="374EF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516FC">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707D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615A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CD98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2980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6B72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C839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C005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B85D2">
                  <w:pPr>
                    <w:rPr>
                      <w:rFonts w:hint="eastAsia" w:ascii="黑体" w:hAnsi="黑体" w:eastAsia="黑体" w:cs="黑体"/>
                      <w:i/>
                      <w:iCs/>
                      <w:color w:val="000000"/>
                      <w:sz w:val="18"/>
                      <w:szCs w:val="18"/>
                      <w:u w:val="none"/>
                    </w:rPr>
                  </w:pPr>
                </w:p>
              </w:tc>
            </w:tr>
            <w:tr w14:paraId="5C239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A80DB">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2A9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DD9137">
                  <w:pPr>
                    <w:jc w:val="center"/>
                    <w:rPr>
                      <w:rFonts w:hint="eastAsia" w:ascii="微软雅黑" w:hAnsi="微软雅黑" w:eastAsia="微软雅黑" w:cs="微软雅黑"/>
                      <w:i/>
                      <w:iCs/>
                      <w:color w:val="000000"/>
                      <w:sz w:val="16"/>
                      <w:szCs w:val="16"/>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D46798">
                  <w:pPr>
                    <w:jc w:val="center"/>
                    <w:rPr>
                      <w:rFonts w:hint="eastAsia" w:ascii="微软雅黑" w:hAnsi="微软雅黑" w:eastAsia="微软雅黑" w:cs="微软雅黑"/>
                      <w:i/>
                      <w:iCs/>
                      <w:color w:val="000000"/>
                      <w:sz w:val="16"/>
                      <w:szCs w:val="16"/>
                      <w:u w:val="none"/>
                    </w:rPr>
                  </w:pP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9A04A8">
                  <w:pPr>
                    <w:jc w:val="center"/>
                    <w:rPr>
                      <w:rFonts w:hint="eastAsia" w:ascii="微软雅黑" w:hAnsi="微软雅黑" w:eastAsia="微软雅黑" w:cs="微软雅黑"/>
                      <w:i/>
                      <w:iCs/>
                      <w:color w:val="000000"/>
                      <w:sz w:val="16"/>
                      <w:szCs w:val="16"/>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D474B5">
                  <w:pPr>
                    <w:jc w:val="center"/>
                    <w:rPr>
                      <w:rFonts w:hint="eastAsia" w:ascii="微软雅黑" w:hAnsi="微软雅黑" w:eastAsia="微软雅黑" w:cs="微软雅黑"/>
                      <w:i/>
                      <w:iCs/>
                      <w:color w:val="000000"/>
                      <w:sz w:val="16"/>
                      <w:szCs w:val="16"/>
                      <w:u w:val="none"/>
                    </w:rPr>
                  </w:pP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B0AA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1BB3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07A4A">
                  <w:pPr>
                    <w:rPr>
                      <w:rFonts w:hint="eastAsia" w:ascii="黑体" w:hAnsi="黑体" w:eastAsia="黑体" w:cs="黑体"/>
                      <w:i/>
                      <w:iCs/>
                      <w:color w:val="000000"/>
                      <w:sz w:val="18"/>
                      <w:szCs w:val="18"/>
                      <w:u w:val="none"/>
                    </w:rPr>
                  </w:pPr>
                </w:p>
              </w:tc>
            </w:tr>
            <w:tr w14:paraId="2D341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53F4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2AC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7D63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145F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F0B1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9835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C2DE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BA7B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09A6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B3DA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B1A6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84E8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7235F">
                  <w:pPr>
                    <w:jc w:val="center"/>
                    <w:rPr>
                      <w:rFonts w:hint="eastAsia" w:ascii="宋体" w:hAnsi="宋体" w:eastAsia="宋体" w:cs="宋体"/>
                      <w:i w:val="0"/>
                      <w:iCs w:val="0"/>
                      <w:color w:val="000000"/>
                      <w:sz w:val="18"/>
                      <w:szCs w:val="18"/>
                      <w:u w:val="none"/>
                    </w:rPr>
                  </w:pP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1179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DB04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071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公车管理及改革督导次数</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1D9B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652E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5936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23D3D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BE11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ED73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D45EB5">
                  <w:pPr>
                    <w:jc w:val="center"/>
                    <w:rPr>
                      <w:rFonts w:hint="eastAsia" w:ascii="微软雅黑" w:hAnsi="微软雅黑" w:eastAsia="微软雅黑" w:cs="微软雅黑"/>
                      <w:i/>
                      <w:iCs/>
                      <w:color w:val="000000"/>
                      <w:sz w:val="16"/>
                      <w:szCs w:val="16"/>
                      <w:u w:val="none"/>
                    </w:rPr>
                  </w:pPr>
                </w:p>
              </w:tc>
            </w:tr>
            <w:tr w14:paraId="3218E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AD9F6">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88F24">
                  <w:pPr>
                    <w:jc w:val="center"/>
                    <w:rPr>
                      <w:rFonts w:hint="eastAsia" w:ascii="宋体" w:hAnsi="宋体" w:eastAsia="宋体" w:cs="宋体"/>
                      <w:i w:val="0"/>
                      <w:iCs w:val="0"/>
                      <w:color w:val="000000"/>
                      <w:sz w:val="18"/>
                      <w:szCs w:val="18"/>
                      <w:u w:val="none"/>
                    </w:rPr>
                  </w:pPr>
                </w:p>
              </w:tc>
              <w:tc>
                <w:tcPr>
                  <w:tcW w:w="17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6EB12">
                  <w:pPr>
                    <w:jc w:val="center"/>
                    <w:rPr>
                      <w:rFonts w:hint="eastAsia" w:ascii="宋体" w:hAnsi="宋体" w:eastAsia="宋体" w:cs="宋体"/>
                      <w:i w:val="0"/>
                      <w:iCs w:val="0"/>
                      <w:color w:val="000000"/>
                      <w:sz w:val="18"/>
                      <w:szCs w:val="18"/>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8214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节约型机关创建督导次数</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EEA7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33B0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E3F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0596A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1BD9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72FF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DFC5A9">
                  <w:pPr>
                    <w:jc w:val="center"/>
                    <w:rPr>
                      <w:rFonts w:hint="eastAsia" w:ascii="微软雅黑" w:hAnsi="微软雅黑" w:eastAsia="微软雅黑" w:cs="微软雅黑"/>
                      <w:i/>
                      <w:iCs/>
                      <w:color w:val="000000"/>
                      <w:sz w:val="16"/>
                      <w:szCs w:val="16"/>
                      <w:u w:val="none"/>
                    </w:rPr>
                  </w:pPr>
                </w:p>
              </w:tc>
            </w:tr>
            <w:tr w14:paraId="4E6A1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9EA9F">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20664">
                  <w:pPr>
                    <w:jc w:val="center"/>
                    <w:rPr>
                      <w:rFonts w:hint="eastAsia" w:ascii="宋体" w:hAnsi="宋体" w:eastAsia="宋体" w:cs="宋体"/>
                      <w:i w:val="0"/>
                      <w:iCs w:val="0"/>
                      <w:color w:val="000000"/>
                      <w:sz w:val="18"/>
                      <w:szCs w:val="18"/>
                      <w:u w:val="none"/>
                    </w:rPr>
                  </w:pPr>
                </w:p>
              </w:tc>
              <w:tc>
                <w:tcPr>
                  <w:tcW w:w="17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E7077">
                  <w:pPr>
                    <w:jc w:val="center"/>
                    <w:rPr>
                      <w:rFonts w:hint="eastAsia" w:ascii="宋体" w:hAnsi="宋体" w:eastAsia="宋体" w:cs="宋体"/>
                      <w:i w:val="0"/>
                      <w:iCs w:val="0"/>
                      <w:color w:val="000000"/>
                      <w:sz w:val="18"/>
                      <w:szCs w:val="18"/>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52DE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周转房、办公用房督导次数</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97D1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1DE9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6872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6598F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788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40F0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968C83">
                  <w:pPr>
                    <w:jc w:val="center"/>
                    <w:rPr>
                      <w:rFonts w:hint="eastAsia" w:ascii="微软雅黑" w:hAnsi="微软雅黑" w:eastAsia="微软雅黑" w:cs="微软雅黑"/>
                      <w:i/>
                      <w:iCs/>
                      <w:color w:val="000000"/>
                      <w:sz w:val="16"/>
                      <w:szCs w:val="16"/>
                      <w:u w:val="none"/>
                    </w:rPr>
                  </w:pPr>
                </w:p>
              </w:tc>
            </w:tr>
            <w:tr w14:paraId="6FBDB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427ED">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C5273">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4049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B743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38B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520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2024年12月底前完成</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31C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7504A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已完成</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E94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2E5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AA5D56">
                  <w:pPr>
                    <w:jc w:val="center"/>
                    <w:rPr>
                      <w:rFonts w:hint="eastAsia" w:ascii="微软雅黑" w:hAnsi="微软雅黑" w:eastAsia="微软雅黑" w:cs="微软雅黑"/>
                      <w:i/>
                      <w:iCs/>
                      <w:color w:val="000000"/>
                      <w:sz w:val="16"/>
                      <w:szCs w:val="16"/>
                      <w:u w:val="none"/>
                    </w:rPr>
                  </w:pPr>
                </w:p>
              </w:tc>
            </w:tr>
            <w:tr w14:paraId="6B8E6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020B2">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29E0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B1FC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AF9D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人干部群众幸福感指数</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E906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168E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4AB2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10CF1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B61B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DCCD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787539">
                  <w:pPr>
                    <w:jc w:val="center"/>
                    <w:rPr>
                      <w:rFonts w:hint="eastAsia" w:ascii="微软雅黑" w:hAnsi="微软雅黑" w:eastAsia="微软雅黑" w:cs="微软雅黑"/>
                      <w:i/>
                      <w:iCs/>
                      <w:color w:val="000000"/>
                      <w:sz w:val="16"/>
                      <w:szCs w:val="16"/>
                      <w:u w:val="none"/>
                    </w:rPr>
                  </w:pPr>
                </w:p>
              </w:tc>
            </w:tr>
            <w:tr w14:paraId="2324C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7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2BB57">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E91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CB3C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2E91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服务对象满意度，计算方法：（满意人数/总人数）×100%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B463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EF85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18AA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60143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97%</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9459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A5CA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391577">
                  <w:pPr>
                    <w:jc w:val="center"/>
                    <w:rPr>
                      <w:rFonts w:hint="eastAsia" w:ascii="微软雅黑" w:hAnsi="微软雅黑" w:eastAsia="微软雅黑" w:cs="微软雅黑"/>
                      <w:i/>
                      <w:iCs/>
                      <w:color w:val="000000"/>
                      <w:sz w:val="16"/>
                      <w:szCs w:val="16"/>
                      <w:u w:val="none"/>
                    </w:rPr>
                  </w:pPr>
                </w:p>
              </w:tc>
            </w:tr>
            <w:tr w14:paraId="01716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04A64">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891D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CC71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9207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工作经费支出合计</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EF36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A077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11A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11B6B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15</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A3B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2806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8C2945">
                  <w:pPr>
                    <w:jc w:val="center"/>
                    <w:rPr>
                      <w:rFonts w:hint="eastAsia" w:ascii="微软雅黑" w:hAnsi="微软雅黑" w:eastAsia="微软雅黑" w:cs="微软雅黑"/>
                      <w:i/>
                      <w:iCs/>
                      <w:color w:val="000000"/>
                      <w:sz w:val="16"/>
                      <w:szCs w:val="16"/>
                      <w:u w:val="none"/>
                    </w:rPr>
                  </w:pPr>
                </w:p>
              </w:tc>
            </w:tr>
            <w:tr w14:paraId="1C830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1060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D2408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9630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768B29">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732E47">
                  <w:pPr>
                    <w:rPr>
                      <w:rFonts w:hint="eastAsia" w:ascii="宋体" w:hAnsi="宋体" w:eastAsia="宋体" w:cs="宋体"/>
                      <w:i w:val="0"/>
                      <w:iCs w:val="0"/>
                      <w:color w:val="000000"/>
                      <w:sz w:val="18"/>
                      <w:szCs w:val="18"/>
                      <w:u w:val="none"/>
                    </w:rPr>
                  </w:pPr>
                </w:p>
              </w:tc>
            </w:tr>
            <w:tr w14:paraId="3DAC5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0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7DBC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411B87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自评得分100分，公务用车、办公用房、公共机构节能及周转房工作运转良好，干部群众满意度高。</w:t>
                  </w:r>
                </w:p>
              </w:tc>
            </w:tr>
            <w:tr w14:paraId="098EA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7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2583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CA356E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648B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3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B646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F31AEC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99B4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730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6C1A0C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159CEA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AF8E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85" w:hRule="atLeast"/>
              </w:trPr>
              <w:tc>
                <w:tcPr>
                  <w:tcW w:w="690" w:type="dxa"/>
                  <w:gridSpan w:val="2"/>
                  <w:tcBorders>
                    <w:top w:val="nil"/>
                    <w:left w:val="nil"/>
                    <w:bottom w:val="nil"/>
                    <w:right w:val="nil"/>
                  </w:tcBorders>
                  <w:shd w:val="clear" w:color="auto" w:fill="auto"/>
                  <w:vAlign w:val="center"/>
                </w:tcPr>
                <w:p w14:paraId="1219E5D8">
                  <w:pPr>
                    <w:rPr>
                      <w:rFonts w:hint="eastAsia" w:ascii="宋体" w:hAnsi="宋体" w:eastAsia="宋体" w:cs="宋体"/>
                      <w:i w:val="0"/>
                      <w:iCs w:val="0"/>
                      <w:color w:val="000000"/>
                      <w:sz w:val="18"/>
                      <w:szCs w:val="18"/>
                      <w:u w:val="none"/>
                    </w:rPr>
                  </w:pPr>
                </w:p>
              </w:tc>
              <w:tc>
                <w:tcPr>
                  <w:tcW w:w="2055" w:type="dxa"/>
                  <w:gridSpan w:val="2"/>
                  <w:tcBorders>
                    <w:top w:val="nil"/>
                    <w:left w:val="nil"/>
                    <w:bottom w:val="nil"/>
                    <w:right w:val="nil"/>
                  </w:tcBorders>
                  <w:shd w:val="clear" w:color="auto" w:fill="auto"/>
                  <w:vAlign w:val="center"/>
                </w:tcPr>
                <w:p w14:paraId="623358CC">
                  <w:pPr>
                    <w:rPr>
                      <w:rFonts w:hint="eastAsia" w:ascii="宋体" w:hAnsi="宋体" w:eastAsia="宋体" w:cs="宋体"/>
                      <w:i w:val="0"/>
                      <w:iCs w:val="0"/>
                      <w:color w:val="000000"/>
                      <w:sz w:val="18"/>
                      <w:szCs w:val="18"/>
                      <w:u w:val="none"/>
                    </w:rPr>
                  </w:pPr>
                </w:p>
              </w:tc>
              <w:tc>
                <w:tcPr>
                  <w:tcW w:w="1770" w:type="dxa"/>
                  <w:gridSpan w:val="2"/>
                  <w:tcBorders>
                    <w:top w:val="nil"/>
                    <w:left w:val="nil"/>
                    <w:bottom w:val="nil"/>
                    <w:right w:val="nil"/>
                  </w:tcBorders>
                  <w:shd w:val="clear" w:color="auto" w:fill="auto"/>
                  <w:vAlign w:val="center"/>
                </w:tcPr>
                <w:p w14:paraId="54C808C0">
                  <w:pPr>
                    <w:rPr>
                      <w:rFonts w:hint="eastAsia" w:ascii="宋体" w:hAnsi="宋体" w:eastAsia="宋体" w:cs="宋体"/>
                      <w:i w:val="0"/>
                      <w:iCs w:val="0"/>
                      <w:color w:val="000000"/>
                      <w:sz w:val="18"/>
                      <w:szCs w:val="18"/>
                      <w:u w:val="none"/>
                    </w:rPr>
                  </w:pPr>
                </w:p>
              </w:tc>
              <w:tc>
                <w:tcPr>
                  <w:tcW w:w="2265" w:type="dxa"/>
                  <w:gridSpan w:val="2"/>
                  <w:tcBorders>
                    <w:top w:val="nil"/>
                    <w:left w:val="nil"/>
                    <w:bottom w:val="nil"/>
                    <w:right w:val="nil"/>
                  </w:tcBorders>
                  <w:shd w:val="clear" w:color="auto" w:fill="auto"/>
                  <w:vAlign w:val="center"/>
                </w:tcPr>
                <w:p w14:paraId="43F301C1">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68D81B4B">
                  <w:pPr>
                    <w:rPr>
                      <w:rFonts w:hint="eastAsia" w:ascii="宋体" w:hAnsi="宋体" w:eastAsia="宋体" w:cs="宋体"/>
                      <w:i w:val="0"/>
                      <w:iCs w:val="0"/>
                      <w:color w:val="000000"/>
                      <w:sz w:val="18"/>
                      <w:szCs w:val="18"/>
                      <w:u w:val="none"/>
                    </w:rPr>
                  </w:pPr>
                </w:p>
              </w:tc>
              <w:tc>
                <w:tcPr>
                  <w:tcW w:w="1680" w:type="dxa"/>
                  <w:gridSpan w:val="2"/>
                  <w:tcBorders>
                    <w:top w:val="nil"/>
                    <w:left w:val="nil"/>
                    <w:bottom w:val="nil"/>
                    <w:right w:val="nil"/>
                  </w:tcBorders>
                  <w:shd w:val="clear" w:color="auto" w:fill="auto"/>
                  <w:vAlign w:val="center"/>
                </w:tcPr>
                <w:p w14:paraId="0B63EFBC">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7C10D2F1">
                  <w:pPr>
                    <w:rPr>
                      <w:rFonts w:hint="eastAsia" w:ascii="宋体" w:hAnsi="宋体" w:eastAsia="宋体" w:cs="宋体"/>
                      <w:i w:val="0"/>
                      <w:iCs w:val="0"/>
                      <w:color w:val="000000"/>
                      <w:sz w:val="18"/>
                      <w:szCs w:val="18"/>
                      <w:u w:val="none"/>
                    </w:rPr>
                  </w:pPr>
                </w:p>
              </w:tc>
              <w:tc>
                <w:tcPr>
                  <w:tcW w:w="1095" w:type="dxa"/>
                  <w:gridSpan w:val="2"/>
                  <w:tcBorders>
                    <w:top w:val="nil"/>
                    <w:left w:val="nil"/>
                    <w:bottom w:val="nil"/>
                    <w:right w:val="nil"/>
                  </w:tcBorders>
                  <w:shd w:val="clear" w:color="auto" w:fill="auto"/>
                  <w:vAlign w:val="center"/>
                </w:tcPr>
                <w:p w14:paraId="5A831580">
                  <w:pPr>
                    <w:rPr>
                      <w:rFonts w:hint="eastAsia" w:ascii="宋体" w:hAnsi="宋体" w:eastAsia="宋体" w:cs="宋体"/>
                      <w:i w:val="0"/>
                      <w:iCs w:val="0"/>
                      <w:color w:val="000000"/>
                      <w:sz w:val="18"/>
                      <w:szCs w:val="18"/>
                      <w:u w:val="none"/>
                    </w:rPr>
                  </w:pPr>
                </w:p>
              </w:tc>
              <w:tc>
                <w:tcPr>
                  <w:tcW w:w="510" w:type="dxa"/>
                  <w:gridSpan w:val="2"/>
                  <w:tcBorders>
                    <w:top w:val="nil"/>
                    <w:left w:val="nil"/>
                    <w:bottom w:val="nil"/>
                    <w:right w:val="nil"/>
                  </w:tcBorders>
                  <w:shd w:val="clear" w:color="auto" w:fill="auto"/>
                  <w:vAlign w:val="center"/>
                </w:tcPr>
                <w:p w14:paraId="58E3CF3E">
                  <w:pPr>
                    <w:rPr>
                      <w:rFonts w:hint="eastAsia" w:ascii="宋体" w:hAnsi="宋体" w:eastAsia="宋体" w:cs="宋体"/>
                      <w:i w:val="0"/>
                      <w:iCs w:val="0"/>
                      <w:color w:val="000000"/>
                      <w:sz w:val="18"/>
                      <w:szCs w:val="18"/>
                      <w:u w:val="none"/>
                    </w:rPr>
                  </w:pPr>
                </w:p>
              </w:tc>
              <w:tc>
                <w:tcPr>
                  <w:tcW w:w="450" w:type="dxa"/>
                  <w:gridSpan w:val="2"/>
                  <w:tcBorders>
                    <w:top w:val="nil"/>
                    <w:left w:val="nil"/>
                    <w:bottom w:val="nil"/>
                    <w:right w:val="nil"/>
                  </w:tcBorders>
                  <w:shd w:val="clear" w:color="auto" w:fill="auto"/>
                  <w:vAlign w:val="center"/>
                </w:tcPr>
                <w:p w14:paraId="5E24F28E">
                  <w:pPr>
                    <w:rPr>
                      <w:rFonts w:hint="eastAsia" w:ascii="宋体" w:hAnsi="宋体" w:eastAsia="宋体" w:cs="宋体"/>
                      <w:i w:val="0"/>
                      <w:iCs w:val="0"/>
                      <w:color w:val="000000"/>
                      <w:sz w:val="18"/>
                      <w:szCs w:val="18"/>
                      <w:u w:val="none"/>
                    </w:rPr>
                  </w:pPr>
                </w:p>
              </w:tc>
              <w:tc>
                <w:tcPr>
                  <w:tcW w:w="2550" w:type="dxa"/>
                  <w:gridSpan w:val="2"/>
                  <w:tcBorders>
                    <w:top w:val="nil"/>
                    <w:left w:val="nil"/>
                    <w:bottom w:val="nil"/>
                    <w:right w:val="nil"/>
                  </w:tcBorders>
                  <w:shd w:val="clear" w:color="auto" w:fill="auto"/>
                  <w:vAlign w:val="center"/>
                </w:tcPr>
                <w:p w14:paraId="1F49904D">
                  <w:pPr>
                    <w:rPr>
                      <w:rFonts w:hint="eastAsia" w:ascii="宋体" w:hAnsi="宋体" w:eastAsia="宋体" w:cs="宋体"/>
                      <w:i w:val="0"/>
                      <w:iCs w:val="0"/>
                      <w:color w:val="000000"/>
                      <w:sz w:val="18"/>
                      <w:szCs w:val="18"/>
                      <w:u w:val="none"/>
                    </w:rPr>
                  </w:pPr>
                </w:p>
              </w:tc>
            </w:tr>
            <w:tr w14:paraId="314AD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04" w:hRule="atLeast"/>
              </w:trPr>
              <w:tc>
                <w:tcPr>
                  <w:tcW w:w="14115"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13DA4A0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195C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2D4D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A43FE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51320023T000008591311-川渝地区协调发展联动经费</w:t>
                  </w:r>
                </w:p>
              </w:tc>
            </w:tr>
            <w:tr w14:paraId="1E913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14"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ADF6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C454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州机关事务管理局部门</w:t>
                  </w:r>
                </w:p>
              </w:tc>
              <w:tc>
                <w:tcPr>
                  <w:tcW w:w="1095" w:type="dxa"/>
                  <w:gridSpan w:val="2"/>
                  <w:tcBorders>
                    <w:top w:val="nil"/>
                    <w:left w:val="nil"/>
                    <w:bottom w:val="nil"/>
                    <w:right w:val="nil"/>
                  </w:tcBorders>
                  <w:shd w:val="clear" w:color="auto" w:fill="auto"/>
                  <w:vAlign w:val="center"/>
                </w:tcPr>
                <w:p w14:paraId="1BD5449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066F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w:t>
                  </w:r>
                </w:p>
              </w:tc>
            </w:tr>
            <w:tr w14:paraId="23905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CE73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DEAB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35B6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5E3FA5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96AA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0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8E8D3">
                  <w:pP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540C6">
                  <w:pPr>
                    <w:rPr>
                      <w:rFonts w:hint="eastAsia" w:ascii="宋体" w:hAnsi="宋体" w:eastAsia="宋体" w:cs="宋体"/>
                      <w:i w:val="0"/>
                      <w:iCs w:val="0"/>
                      <w:color w:val="000000"/>
                      <w:sz w:val="18"/>
                      <w:szCs w:val="18"/>
                      <w:u w:val="none"/>
                    </w:rPr>
                  </w:pP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CC6F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按照《国管局办公室 市场监管总局办公厅关于印发《》机关事务标准化工作“十四五”规划》的通知》（国管办发〔2021〕36号）和四川省机关事务管理局印发的《机关事务标准化工作指南DB51∕T 2763-2021》的要求，开展我州机关事务标准化建设。</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43EEEF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已按要求，完成了年度目标。</w:t>
                  </w:r>
                </w:p>
              </w:tc>
            </w:tr>
            <w:tr w14:paraId="1E65C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9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92392">
                  <w:pP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3AF5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CC536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有序实施该项目，按规定程序支付资金。</w:t>
                  </w:r>
                </w:p>
              </w:tc>
            </w:tr>
            <w:tr w14:paraId="7687A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A17A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795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08E9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47FE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A441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B5F5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84E4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92B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08AF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A619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5"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8294E">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E326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99C8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F308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4.68</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0BE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4.68</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CC9A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9D2E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24B1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D91FE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F104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9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4B430">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4FA6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24BF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31E6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4.68</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647F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4.68</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2863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6A31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5141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CCCC4">
                  <w:pPr>
                    <w:rPr>
                      <w:rFonts w:hint="eastAsia" w:ascii="黑体" w:hAnsi="黑体" w:eastAsia="黑体" w:cs="黑体"/>
                      <w:i/>
                      <w:iCs/>
                      <w:color w:val="000000"/>
                      <w:sz w:val="18"/>
                      <w:szCs w:val="18"/>
                      <w:u w:val="none"/>
                    </w:rPr>
                  </w:pPr>
                </w:p>
              </w:tc>
            </w:tr>
            <w:tr w14:paraId="7B70F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0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B110E">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B9EB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2B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29A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6C3A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DAD9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CBB9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B2B9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06D37">
                  <w:pPr>
                    <w:rPr>
                      <w:rFonts w:hint="eastAsia" w:ascii="黑体" w:hAnsi="黑体" w:eastAsia="黑体" w:cs="黑体"/>
                      <w:i/>
                      <w:iCs/>
                      <w:color w:val="000000"/>
                      <w:sz w:val="18"/>
                      <w:szCs w:val="18"/>
                      <w:u w:val="none"/>
                    </w:rPr>
                  </w:pPr>
                </w:p>
              </w:tc>
            </w:tr>
            <w:tr w14:paraId="2D732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6039D">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951F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4A6E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E6E3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1028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B0FA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BA0D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26B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96058">
                  <w:pPr>
                    <w:rPr>
                      <w:rFonts w:hint="eastAsia" w:ascii="黑体" w:hAnsi="黑体" w:eastAsia="黑体" w:cs="黑体"/>
                      <w:i/>
                      <w:iCs/>
                      <w:color w:val="000000"/>
                      <w:sz w:val="18"/>
                      <w:szCs w:val="18"/>
                      <w:u w:val="none"/>
                    </w:rPr>
                  </w:pPr>
                </w:p>
              </w:tc>
            </w:tr>
            <w:tr w14:paraId="7E1B4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F33B6">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9DB5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4FB611">
                  <w:pPr>
                    <w:jc w:val="center"/>
                    <w:rPr>
                      <w:rFonts w:hint="eastAsia" w:ascii="微软雅黑" w:hAnsi="微软雅黑" w:eastAsia="微软雅黑" w:cs="微软雅黑"/>
                      <w:i/>
                      <w:iCs/>
                      <w:color w:val="000000"/>
                      <w:sz w:val="16"/>
                      <w:szCs w:val="16"/>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A4FE81">
                  <w:pPr>
                    <w:jc w:val="center"/>
                    <w:rPr>
                      <w:rFonts w:hint="eastAsia" w:ascii="微软雅黑" w:hAnsi="微软雅黑" w:eastAsia="微软雅黑" w:cs="微软雅黑"/>
                      <w:i/>
                      <w:iCs/>
                      <w:color w:val="000000"/>
                      <w:sz w:val="16"/>
                      <w:szCs w:val="16"/>
                      <w:u w:val="none"/>
                    </w:rPr>
                  </w:pP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8125E6F">
                  <w:pPr>
                    <w:jc w:val="center"/>
                    <w:rPr>
                      <w:rFonts w:hint="eastAsia" w:ascii="微软雅黑" w:hAnsi="微软雅黑" w:eastAsia="微软雅黑" w:cs="微软雅黑"/>
                      <w:i/>
                      <w:iCs/>
                      <w:color w:val="000000"/>
                      <w:sz w:val="16"/>
                      <w:szCs w:val="16"/>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57D329">
                  <w:pPr>
                    <w:jc w:val="center"/>
                    <w:rPr>
                      <w:rFonts w:hint="eastAsia" w:ascii="微软雅黑" w:hAnsi="微软雅黑" w:eastAsia="微软雅黑" w:cs="微软雅黑"/>
                      <w:i/>
                      <w:iCs/>
                      <w:color w:val="000000"/>
                      <w:sz w:val="16"/>
                      <w:szCs w:val="16"/>
                      <w:u w:val="none"/>
                    </w:rPr>
                  </w:pP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C2AE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19B3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B7C8A">
                  <w:pPr>
                    <w:rPr>
                      <w:rFonts w:hint="eastAsia" w:ascii="黑体" w:hAnsi="黑体" w:eastAsia="黑体" w:cs="黑体"/>
                      <w:i/>
                      <w:iCs/>
                      <w:color w:val="000000"/>
                      <w:sz w:val="18"/>
                      <w:szCs w:val="18"/>
                      <w:u w:val="none"/>
                    </w:rPr>
                  </w:pPr>
                </w:p>
              </w:tc>
            </w:tr>
            <w:tr w14:paraId="3923C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5E5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40A9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01BD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082B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D5EA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A803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705F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F853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097B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3B7D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21E5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5807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62FD4">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0FA9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46B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DACC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制定的规章制度数量</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DD4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18DD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4A1B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862B4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838D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904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0F1450">
                  <w:pPr>
                    <w:jc w:val="center"/>
                    <w:rPr>
                      <w:rFonts w:hint="eastAsia" w:ascii="宋体" w:hAnsi="宋体" w:eastAsia="宋体" w:cs="宋体"/>
                      <w:i w:val="0"/>
                      <w:iCs w:val="0"/>
                      <w:color w:val="000000"/>
                      <w:sz w:val="18"/>
                      <w:szCs w:val="18"/>
                      <w:u w:val="none"/>
                    </w:rPr>
                  </w:pPr>
                </w:p>
              </w:tc>
            </w:tr>
            <w:tr w14:paraId="5104D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E8856">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E6EE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2C88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0D3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制定规章、制度可持续利用率</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75A6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C2F8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D817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A9C0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C92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775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149D13">
                  <w:pPr>
                    <w:jc w:val="center"/>
                    <w:rPr>
                      <w:rFonts w:hint="eastAsia" w:ascii="宋体" w:hAnsi="宋体" w:eastAsia="宋体" w:cs="宋体"/>
                      <w:i w:val="0"/>
                      <w:iCs w:val="0"/>
                      <w:color w:val="000000"/>
                      <w:sz w:val="18"/>
                      <w:szCs w:val="18"/>
                      <w:u w:val="none"/>
                    </w:rPr>
                  </w:pPr>
                </w:p>
              </w:tc>
            </w:tr>
            <w:tr w14:paraId="6C66D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65F38">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D24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1E1E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C3B1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满意度，计算方法：（满意人数/总人数）×100%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0B19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CAB9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E06D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85907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F938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E5F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0022DD">
                  <w:pPr>
                    <w:jc w:val="center"/>
                    <w:rPr>
                      <w:rFonts w:hint="eastAsia" w:ascii="宋体" w:hAnsi="宋体" w:eastAsia="宋体" w:cs="宋体"/>
                      <w:i w:val="0"/>
                      <w:iCs w:val="0"/>
                      <w:color w:val="000000"/>
                      <w:sz w:val="18"/>
                      <w:szCs w:val="18"/>
                      <w:u w:val="none"/>
                    </w:rPr>
                  </w:pPr>
                </w:p>
              </w:tc>
            </w:tr>
            <w:tr w14:paraId="4FABC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22BF3">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7D93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78DA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8EE3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节约的经济成本率，计算方法（节约成本/总成本）×100%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E253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4D53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BE8C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5F910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40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BC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700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D23603">
                  <w:pPr>
                    <w:jc w:val="center"/>
                    <w:rPr>
                      <w:rFonts w:hint="eastAsia" w:ascii="微软雅黑" w:hAnsi="微软雅黑" w:eastAsia="微软雅黑" w:cs="微软雅黑"/>
                      <w:i/>
                      <w:iCs/>
                      <w:color w:val="000000"/>
                      <w:sz w:val="16"/>
                      <w:szCs w:val="16"/>
                      <w:u w:val="none"/>
                    </w:rPr>
                  </w:pPr>
                </w:p>
              </w:tc>
            </w:tr>
            <w:tr w14:paraId="31740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1060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0B93F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AF66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3C6F6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CF4331">
                  <w:pPr>
                    <w:rPr>
                      <w:rFonts w:hint="eastAsia" w:ascii="宋体" w:hAnsi="宋体" w:eastAsia="宋体" w:cs="宋体"/>
                      <w:i w:val="0"/>
                      <w:iCs w:val="0"/>
                      <w:color w:val="000000"/>
                      <w:sz w:val="18"/>
                      <w:szCs w:val="18"/>
                      <w:u w:val="none"/>
                    </w:rPr>
                  </w:pPr>
                </w:p>
              </w:tc>
            </w:tr>
            <w:tr w14:paraId="7AE90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0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6AE3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0BB780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自评得分100分，该项规范标准的编制是公共机构分布式光伏新能源利用工作的一个指导，为我州公共机构分布式光伏新能源利用工作的发展起到很好的铺垫。</w:t>
                  </w:r>
                </w:p>
              </w:tc>
            </w:tr>
            <w:tr w14:paraId="002FE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7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E23E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3E1C5F7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501D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3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2A4B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09A579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F2C7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730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86D27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6759AB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2616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85" w:hRule="atLeast"/>
              </w:trPr>
              <w:tc>
                <w:tcPr>
                  <w:tcW w:w="690" w:type="dxa"/>
                  <w:gridSpan w:val="2"/>
                  <w:tcBorders>
                    <w:top w:val="nil"/>
                    <w:left w:val="nil"/>
                    <w:bottom w:val="nil"/>
                    <w:right w:val="nil"/>
                  </w:tcBorders>
                  <w:shd w:val="clear" w:color="auto" w:fill="auto"/>
                  <w:vAlign w:val="center"/>
                </w:tcPr>
                <w:p w14:paraId="523DAD73">
                  <w:pPr>
                    <w:rPr>
                      <w:rFonts w:hint="eastAsia" w:ascii="宋体" w:hAnsi="宋体" w:eastAsia="宋体" w:cs="宋体"/>
                      <w:i w:val="0"/>
                      <w:iCs w:val="0"/>
                      <w:color w:val="000000"/>
                      <w:sz w:val="18"/>
                      <w:szCs w:val="18"/>
                      <w:u w:val="none"/>
                    </w:rPr>
                  </w:pPr>
                </w:p>
              </w:tc>
              <w:tc>
                <w:tcPr>
                  <w:tcW w:w="2055" w:type="dxa"/>
                  <w:gridSpan w:val="2"/>
                  <w:tcBorders>
                    <w:top w:val="nil"/>
                    <w:left w:val="nil"/>
                    <w:bottom w:val="nil"/>
                    <w:right w:val="nil"/>
                  </w:tcBorders>
                  <w:shd w:val="clear" w:color="auto" w:fill="auto"/>
                  <w:vAlign w:val="center"/>
                </w:tcPr>
                <w:p w14:paraId="0BB85A98">
                  <w:pPr>
                    <w:rPr>
                      <w:rFonts w:hint="eastAsia" w:ascii="宋体" w:hAnsi="宋体" w:eastAsia="宋体" w:cs="宋体"/>
                      <w:i w:val="0"/>
                      <w:iCs w:val="0"/>
                      <w:color w:val="000000"/>
                      <w:sz w:val="18"/>
                      <w:szCs w:val="18"/>
                      <w:u w:val="none"/>
                    </w:rPr>
                  </w:pPr>
                </w:p>
              </w:tc>
              <w:tc>
                <w:tcPr>
                  <w:tcW w:w="1770" w:type="dxa"/>
                  <w:gridSpan w:val="2"/>
                  <w:tcBorders>
                    <w:top w:val="nil"/>
                    <w:left w:val="nil"/>
                    <w:bottom w:val="nil"/>
                    <w:right w:val="nil"/>
                  </w:tcBorders>
                  <w:shd w:val="clear" w:color="auto" w:fill="auto"/>
                  <w:vAlign w:val="center"/>
                </w:tcPr>
                <w:p w14:paraId="7DA0BEC4">
                  <w:pPr>
                    <w:rPr>
                      <w:rFonts w:hint="eastAsia" w:ascii="宋体" w:hAnsi="宋体" w:eastAsia="宋体" w:cs="宋体"/>
                      <w:i w:val="0"/>
                      <w:iCs w:val="0"/>
                      <w:color w:val="000000"/>
                      <w:sz w:val="18"/>
                      <w:szCs w:val="18"/>
                      <w:u w:val="none"/>
                    </w:rPr>
                  </w:pPr>
                </w:p>
              </w:tc>
              <w:tc>
                <w:tcPr>
                  <w:tcW w:w="2265" w:type="dxa"/>
                  <w:gridSpan w:val="2"/>
                  <w:tcBorders>
                    <w:top w:val="nil"/>
                    <w:left w:val="nil"/>
                    <w:bottom w:val="nil"/>
                    <w:right w:val="nil"/>
                  </w:tcBorders>
                  <w:shd w:val="clear" w:color="auto" w:fill="auto"/>
                  <w:vAlign w:val="center"/>
                </w:tcPr>
                <w:p w14:paraId="43F7D440">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5AC18162">
                  <w:pPr>
                    <w:rPr>
                      <w:rFonts w:hint="eastAsia" w:ascii="宋体" w:hAnsi="宋体" w:eastAsia="宋体" w:cs="宋体"/>
                      <w:i w:val="0"/>
                      <w:iCs w:val="0"/>
                      <w:color w:val="000000"/>
                      <w:sz w:val="18"/>
                      <w:szCs w:val="18"/>
                      <w:u w:val="none"/>
                    </w:rPr>
                  </w:pPr>
                </w:p>
              </w:tc>
              <w:tc>
                <w:tcPr>
                  <w:tcW w:w="1680" w:type="dxa"/>
                  <w:gridSpan w:val="2"/>
                  <w:tcBorders>
                    <w:top w:val="nil"/>
                    <w:left w:val="nil"/>
                    <w:bottom w:val="nil"/>
                    <w:right w:val="nil"/>
                  </w:tcBorders>
                  <w:shd w:val="clear" w:color="auto" w:fill="auto"/>
                  <w:vAlign w:val="center"/>
                </w:tcPr>
                <w:p w14:paraId="162BC8DF">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40ABBE17">
                  <w:pPr>
                    <w:rPr>
                      <w:rFonts w:hint="eastAsia" w:ascii="宋体" w:hAnsi="宋体" w:eastAsia="宋体" w:cs="宋体"/>
                      <w:i w:val="0"/>
                      <w:iCs w:val="0"/>
                      <w:color w:val="000000"/>
                      <w:sz w:val="18"/>
                      <w:szCs w:val="18"/>
                      <w:u w:val="none"/>
                    </w:rPr>
                  </w:pPr>
                </w:p>
              </w:tc>
              <w:tc>
                <w:tcPr>
                  <w:tcW w:w="1095" w:type="dxa"/>
                  <w:gridSpan w:val="2"/>
                  <w:tcBorders>
                    <w:top w:val="nil"/>
                    <w:left w:val="nil"/>
                    <w:bottom w:val="nil"/>
                    <w:right w:val="nil"/>
                  </w:tcBorders>
                  <w:shd w:val="clear" w:color="auto" w:fill="auto"/>
                  <w:vAlign w:val="center"/>
                </w:tcPr>
                <w:p w14:paraId="33C10A69">
                  <w:pPr>
                    <w:rPr>
                      <w:rFonts w:hint="eastAsia" w:ascii="宋体" w:hAnsi="宋体" w:eastAsia="宋体" w:cs="宋体"/>
                      <w:i w:val="0"/>
                      <w:iCs w:val="0"/>
                      <w:color w:val="000000"/>
                      <w:sz w:val="18"/>
                      <w:szCs w:val="18"/>
                      <w:u w:val="none"/>
                    </w:rPr>
                  </w:pPr>
                </w:p>
              </w:tc>
              <w:tc>
                <w:tcPr>
                  <w:tcW w:w="510" w:type="dxa"/>
                  <w:gridSpan w:val="2"/>
                  <w:tcBorders>
                    <w:top w:val="nil"/>
                    <w:left w:val="nil"/>
                    <w:bottom w:val="nil"/>
                    <w:right w:val="nil"/>
                  </w:tcBorders>
                  <w:shd w:val="clear" w:color="auto" w:fill="auto"/>
                  <w:vAlign w:val="center"/>
                </w:tcPr>
                <w:p w14:paraId="5A0D78E2">
                  <w:pPr>
                    <w:rPr>
                      <w:rFonts w:hint="eastAsia" w:ascii="宋体" w:hAnsi="宋体" w:eastAsia="宋体" w:cs="宋体"/>
                      <w:i w:val="0"/>
                      <w:iCs w:val="0"/>
                      <w:color w:val="000000"/>
                      <w:sz w:val="18"/>
                      <w:szCs w:val="18"/>
                      <w:u w:val="none"/>
                    </w:rPr>
                  </w:pPr>
                </w:p>
              </w:tc>
              <w:tc>
                <w:tcPr>
                  <w:tcW w:w="450" w:type="dxa"/>
                  <w:gridSpan w:val="2"/>
                  <w:tcBorders>
                    <w:top w:val="nil"/>
                    <w:left w:val="nil"/>
                    <w:bottom w:val="nil"/>
                    <w:right w:val="nil"/>
                  </w:tcBorders>
                  <w:shd w:val="clear" w:color="auto" w:fill="auto"/>
                  <w:vAlign w:val="center"/>
                </w:tcPr>
                <w:p w14:paraId="6FD600DF">
                  <w:pPr>
                    <w:rPr>
                      <w:rFonts w:hint="eastAsia" w:ascii="宋体" w:hAnsi="宋体" w:eastAsia="宋体" w:cs="宋体"/>
                      <w:i w:val="0"/>
                      <w:iCs w:val="0"/>
                      <w:color w:val="000000"/>
                      <w:sz w:val="18"/>
                      <w:szCs w:val="18"/>
                      <w:u w:val="none"/>
                    </w:rPr>
                  </w:pPr>
                </w:p>
              </w:tc>
              <w:tc>
                <w:tcPr>
                  <w:tcW w:w="2550" w:type="dxa"/>
                  <w:gridSpan w:val="2"/>
                  <w:tcBorders>
                    <w:top w:val="nil"/>
                    <w:left w:val="nil"/>
                    <w:bottom w:val="nil"/>
                    <w:right w:val="nil"/>
                  </w:tcBorders>
                  <w:shd w:val="clear" w:color="auto" w:fill="auto"/>
                  <w:vAlign w:val="center"/>
                </w:tcPr>
                <w:p w14:paraId="423E7046">
                  <w:pPr>
                    <w:rPr>
                      <w:rFonts w:hint="eastAsia" w:ascii="宋体" w:hAnsi="宋体" w:eastAsia="宋体" w:cs="宋体"/>
                      <w:i w:val="0"/>
                      <w:iCs w:val="0"/>
                      <w:color w:val="000000"/>
                      <w:sz w:val="18"/>
                      <w:szCs w:val="18"/>
                      <w:u w:val="none"/>
                    </w:rPr>
                  </w:pPr>
                </w:p>
              </w:tc>
            </w:tr>
            <w:tr w14:paraId="19819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04" w:hRule="atLeast"/>
              </w:trPr>
              <w:tc>
                <w:tcPr>
                  <w:tcW w:w="14115"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706F90E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0AEB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7F98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6D8A5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51320024T000010424838-节能宣传和生活垃圾分类工作经费</w:t>
                  </w:r>
                </w:p>
              </w:tc>
            </w:tr>
            <w:tr w14:paraId="10E57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14"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B57B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D1640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州机关事务管理局部门</w:t>
                  </w:r>
                </w:p>
              </w:tc>
              <w:tc>
                <w:tcPr>
                  <w:tcW w:w="1095" w:type="dxa"/>
                  <w:gridSpan w:val="2"/>
                  <w:tcBorders>
                    <w:top w:val="nil"/>
                    <w:left w:val="nil"/>
                    <w:bottom w:val="nil"/>
                    <w:right w:val="nil"/>
                  </w:tcBorders>
                  <w:shd w:val="clear" w:color="auto" w:fill="auto"/>
                  <w:vAlign w:val="center"/>
                </w:tcPr>
                <w:p w14:paraId="6906C9D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8D6B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w:t>
                  </w:r>
                </w:p>
              </w:tc>
            </w:tr>
            <w:tr w14:paraId="44B40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B87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3A30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B45E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1586BB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AD5A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94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7874D">
                  <w:pP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B65E9">
                  <w:pPr>
                    <w:rPr>
                      <w:rFonts w:hint="eastAsia" w:ascii="宋体" w:hAnsi="宋体" w:eastAsia="宋体" w:cs="宋体"/>
                      <w:i w:val="0"/>
                      <w:iCs w:val="0"/>
                      <w:color w:val="000000"/>
                      <w:sz w:val="18"/>
                      <w:szCs w:val="18"/>
                      <w:u w:val="none"/>
                    </w:rPr>
                  </w:pP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3556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全面贯彻落实习近平生态文明思想，推动公共机构能源资源节约和生态环境保护工作。重点用能单位能源资源消耗高，节能潜力巨大，进行有效的能耗管理体系建设能提高能源效率、降低能源消耗，减少二氧化碳温室气体的排放，对绿色发展有着重要贡献，同时对公共机构节约减排工作起到很好示范作用。本项目符合中、省、市相关规定，与本单位职能职责及本年重点工作相关。立项依据为四川省公共机构节能工作小组办公室《关于印发〈四川省市（州）公共机构节能工作考核暂行办法的通知〉》（川公共节能办〔2018〕17号）文件要求，各市（州）要将公共机构节能工作经费纳入预算，年度安排公共机构节能工作经费10万以上的得2分。同时按照往年省机关事务管理局下达的年初计划，需要做好全年公共机构节能宣传、开展节能培训以及相关节能检查、能源资源票据填报以及垃圾分类评估等工作，完成省政府、省机管局下达的公共机构节能降碳目标任务。特需要立项建设项目。</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33F2F8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已按要求，完成了年度目标。</w:t>
                  </w:r>
                </w:p>
              </w:tc>
            </w:tr>
            <w:tr w14:paraId="15EFA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9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5B055">
                  <w:pP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C1A9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CEED4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有序实施该项目，按规定程序支付资金。</w:t>
                  </w:r>
                </w:p>
              </w:tc>
            </w:tr>
            <w:tr w14:paraId="23766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ED9B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7A38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A3AF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259F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694C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B0E4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55E2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4969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E63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7A46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5"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4CF37">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46B8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C4DA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1309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AC4A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710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A29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49C0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BD39E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5EF1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9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242FFD">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43E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88AA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055B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A328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A209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BCC7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F440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D836B">
                  <w:pPr>
                    <w:rPr>
                      <w:rFonts w:hint="eastAsia" w:ascii="黑体" w:hAnsi="黑体" w:eastAsia="黑体" w:cs="黑体"/>
                      <w:i/>
                      <w:iCs/>
                      <w:color w:val="000000"/>
                      <w:sz w:val="18"/>
                      <w:szCs w:val="18"/>
                      <w:u w:val="none"/>
                    </w:rPr>
                  </w:pPr>
                </w:p>
              </w:tc>
            </w:tr>
            <w:tr w14:paraId="6FF2C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0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C499E">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BBFA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D12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7C5A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8AB1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552F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D84A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64BB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7AF43">
                  <w:pPr>
                    <w:rPr>
                      <w:rFonts w:hint="eastAsia" w:ascii="黑体" w:hAnsi="黑体" w:eastAsia="黑体" w:cs="黑体"/>
                      <w:i/>
                      <w:iCs/>
                      <w:color w:val="000000"/>
                      <w:sz w:val="18"/>
                      <w:szCs w:val="18"/>
                      <w:u w:val="none"/>
                    </w:rPr>
                  </w:pPr>
                </w:p>
              </w:tc>
            </w:tr>
            <w:tr w14:paraId="54466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42AF2">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C438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7660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9E9A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FD4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3AEF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723C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E44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86326">
                  <w:pPr>
                    <w:rPr>
                      <w:rFonts w:hint="eastAsia" w:ascii="黑体" w:hAnsi="黑体" w:eastAsia="黑体" w:cs="黑体"/>
                      <w:i/>
                      <w:iCs/>
                      <w:color w:val="000000"/>
                      <w:sz w:val="18"/>
                      <w:szCs w:val="18"/>
                      <w:u w:val="none"/>
                    </w:rPr>
                  </w:pPr>
                </w:p>
              </w:tc>
            </w:tr>
            <w:tr w14:paraId="232F9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B8009">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FE76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1D195B">
                  <w:pPr>
                    <w:jc w:val="center"/>
                    <w:rPr>
                      <w:rFonts w:hint="eastAsia" w:ascii="微软雅黑" w:hAnsi="微软雅黑" w:eastAsia="微软雅黑" w:cs="微软雅黑"/>
                      <w:i/>
                      <w:iCs/>
                      <w:color w:val="000000"/>
                      <w:sz w:val="16"/>
                      <w:szCs w:val="16"/>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330024">
                  <w:pPr>
                    <w:jc w:val="center"/>
                    <w:rPr>
                      <w:rFonts w:hint="eastAsia" w:ascii="微软雅黑" w:hAnsi="微软雅黑" w:eastAsia="微软雅黑" w:cs="微软雅黑"/>
                      <w:i/>
                      <w:iCs/>
                      <w:color w:val="000000"/>
                      <w:sz w:val="16"/>
                      <w:szCs w:val="16"/>
                      <w:u w:val="none"/>
                    </w:rPr>
                  </w:pP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920FB5">
                  <w:pPr>
                    <w:jc w:val="center"/>
                    <w:rPr>
                      <w:rFonts w:hint="eastAsia" w:ascii="微软雅黑" w:hAnsi="微软雅黑" w:eastAsia="微软雅黑" w:cs="微软雅黑"/>
                      <w:i/>
                      <w:iCs/>
                      <w:color w:val="000000"/>
                      <w:sz w:val="16"/>
                      <w:szCs w:val="16"/>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74FB51">
                  <w:pPr>
                    <w:jc w:val="center"/>
                    <w:rPr>
                      <w:rFonts w:hint="eastAsia" w:ascii="微软雅黑" w:hAnsi="微软雅黑" w:eastAsia="微软雅黑" w:cs="微软雅黑"/>
                      <w:i/>
                      <w:iCs/>
                      <w:color w:val="000000"/>
                      <w:sz w:val="16"/>
                      <w:szCs w:val="16"/>
                      <w:u w:val="none"/>
                    </w:rPr>
                  </w:pP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CAE6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6AE6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DCDD3">
                  <w:pPr>
                    <w:rPr>
                      <w:rFonts w:hint="eastAsia" w:ascii="黑体" w:hAnsi="黑体" w:eastAsia="黑体" w:cs="黑体"/>
                      <w:i/>
                      <w:iCs/>
                      <w:color w:val="000000"/>
                      <w:sz w:val="18"/>
                      <w:szCs w:val="18"/>
                      <w:u w:val="none"/>
                    </w:rPr>
                  </w:pPr>
                </w:p>
              </w:tc>
            </w:tr>
            <w:tr w14:paraId="57AD5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6780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E882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8A4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0BB3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E3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E0E5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CB8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A072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794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8F3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C1E6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70D4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D61F6">
                  <w:pPr>
                    <w:jc w:val="center"/>
                    <w:rPr>
                      <w:rFonts w:hint="eastAsia" w:ascii="宋体" w:hAnsi="宋体" w:eastAsia="宋体" w:cs="宋体"/>
                      <w:i w:val="0"/>
                      <w:iCs w:val="0"/>
                      <w:color w:val="000000"/>
                      <w:sz w:val="18"/>
                      <w:szCs w:val="18"/>
                      <w:u w:val="none"/>
                    </w:rPr>
                  </w:pP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8B77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AF7D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E246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每年节能宣传的次数</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AED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6E58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BEAD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场次</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C21A2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EF51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758F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E85636">
                  <w:pPr>
                    <w:jc w:val="center"/>
                    <w:rPr>
                      <w:rFonts w:hint="eastAsia" w:ascii="微软雅黑" w:hAnsi="微软雅黑" w:eastAsia="微软雅黑" w:cs="微软雅黑"/>
                      <w:i/>
                      <w:iCs/>
                      <w:color w:val="000000"/>
                      <w:sz w:val="16"/>
                      <w:szCs w:val="16"/>
                      <w:u w:val="none"/>
                    </w:rPr>
                  </w:pPr>
                </w:p>
              </w:tc>
            </w:tr>
            <w:tr w14:paraId="50D67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E2CE1">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343E6">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EA5E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6CC6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节能达标率</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0870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3F94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CE57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C920D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96</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2B2F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27DE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854805">
                  <w:pPr>
                    <w:jc w:val="center"/>
                    <w:rPr>
                      <w:rFonts w:hint="eastAsia" w:ascii="微软雅黑" w:hAnsi="微软雅黑" w:eastAsia="微软雅黑" w:cs="微软雅黑"/>
                      <w:i/>
                      <w:iCs/>
                      <w:color w:val="000000"/>
                      <w:sz w:val="16"/>
                      <w:szCs w:val="16"/>
                      <w:u w:val="none"/>
                    </w:rPr>
                  </w:pPr>
                </w:p>
              </w:tc>
            </w:tr>
            <w:tr w14:paraId="57014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4990D">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AD51B">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874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5DFC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700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6B2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2024年12月底前完成</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F0E908">
                  <w:pPr>
                    <w:jc w:val="center"/>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8C36C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B5FD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1261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EC4251">
                  <w:pPr>
                    <w:jc w:val="center"/>
                    <w:rPr>
                      <w:rFonts w:hint="eastAsia" w:ascii="微软雅黑" w:hAnsi="微软雅黑" w:eastAsia="微软雅黑" w:cs="微软雅黑"/>
                      <w:i/>
                      <w:iCs/>
                      <w:color w:val="000000"/>
                      <w:sz w:val="16"/>
                      <w:szCs w:val="16"/>
                      <w:u w:val="none"/>
                    </w:rPr>
                  </w:pPr>
                </w:p>
              </w:tc>
            </w:tr>
            <w:tr w14:paraId="667B2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1DCFD">
                  <w:pPr>
                    <w:jc w:val="center"/>
                    <w:rPr>
                      <w:rFonts w:hint="eastAsia" w:ascii="宋体" w:hAnsi="宋体" w:eastAsia="宋体" w:cs="宋体"/>
                      <w:i w:val="0"/>
                      <w:iCs w:val="0"/>
                      <w:color w:val="000000"/>
                      <w:sz w:val="18"/>
                      <w:szCs w:val="18"/>
                      <w:u w:val="none"/>
                    </w:rPr>
                  </w:pP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AD4D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320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6798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节约减排工作起到很好示范作用</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A40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628A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92</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80AF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C2384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94</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22D2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B1B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336D71">
                  <w:pPr>
                    <w:jc w:val="center"/>
                    <w:rPr>
                      <w:rFonts w:hint="eastAsia" w:ascii="微软雅黑" w:hAnsi="微软雅黑" w:eastAsia="微软雅黑" w:cs="微软雅黑"/>
                      <w:i/>
                      <w:iCs/>
                      <w:color w:val="000000"/>
                      <w:sz w:val="16"/>
                      <w:szCs w:val="16"/>
                      <w:u w:val="none"/>
                    </w:rPr>
                  </w:pPr>
                </w:p>
              </w:tc>
            </w:tr>
            <w:tr w14:paraId="27432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EBF69">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35A26">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CCB1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2D6E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节能减排率</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CBA4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26CE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0046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2AD4A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96</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E886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E2AB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7B7E25">
                  <w:pPr>
                    <w:jc w:val="center"/>
                    <w:rPr>
                      <w:rFonts w:hint="eastAsia" w:ascii="微软雅黑" w:hAnsi="微软雅黑" w:eastAsia="微软雅黑" w:cs="微软雅黑"/>
                      <w:i/>
                      <w:iCs/>
                      <w:color w:val="000000"/>
                      <w:sz w:val="16"/>
                      <w:szCs w:val="16"/>
                      <w:u w:val="none"/>
                    </w:rPr>
                  </w:pPr>
                </w:p>
              </w:tc>
            </w:tr>
            <w:tr w14:paraId="20F26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A0F54">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3675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25DB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26AE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满意度，计算方法：（满意数/总数）×100%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6C4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E97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好</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548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D3379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好</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58B2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340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F221D6">
                  <w:pPr>
                    <w:jc w:val="center"/>
                    <w:rPr>
                      <w:rFonts w:hint="eastAsia" w:ascii="微软雅黑" w:hAnsi="微软雅黑" w:eastAsia="微软雅黑" w:cs="微软雅黑"/>
                      <w:i/>
                      <w:iCs/>
                      <w:color w:val="000000"/>
                      <w:sz w:val="16"/>
                      <w:szCs w:val="16"/>
                      <w:u w:val="none"/>
                    </w:rPr>
                  </w:pPr>
                </w:p>
              </w:tc>
            </w:tr>
            <w:tr w14:paraId="3CE8E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AEA00">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8F86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B394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D5AD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节能宣传费用支出标准</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3F68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CEA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E840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78007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EAE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6AE5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F32F14">
                  <w:pPr>
                    <w:jc w:val="center"/>
                    <w:rPr>
                      <w:rFonts w:hint="eastAsia" w:ascii="微软雅黑" w:hAnsi="微软雅黑" w:eastAsia="微软雅黑" w:cs="微软雅黑"/>
                      <w:i/>
                      <w:iCs/>
                      <w:color w:val="000000"/>
                      <w:sz w:val="16"/>
                      <w:szCs w:val="16"/>
                      <w:u w:val="none"/>
                    </w:rPr>
                  </w:pPr>
                </w:p>
              </w:tc>
            </w:tr>
            <w:tr w14:paraId="3EBC7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1060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9F399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BF53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BFB45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22FF3E">
                  <w:pPr>
                    <w:rPr>
                      <w:rFonts w:hint="eastAsia" w:ascii="宋体" w:hAnsi="宋体" w:eastAsia="宋体" w:cs="宋体"/>
                      <w:i w:val="0"/>
                      <w:iCs w:val="0"/>
                      <w:color w:val="000000"/>
                      <w:sz w:val="18"/>
                      <w:szCs w:val="18"/>
                      <w:u w:val="none"/>
                    </w:rPr>
                  </w:pPr>
                </w:p>
              </w:tc>
            </w:tr>
            <w:tr w14:paraId="7126A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0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EE18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E7FDC8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自评100分，圆满完成全年公共机构节能宣传、开展节能培训以及相关节能检查、能源资源票据填报以及垃圾分类评估等工作，完成省政府、省机管局下达的公共机构节能降碳目标任务。</w:t>
                  </w:r>
                </w:p>
              </w:tc>
            </w:tr>
            <w:tr w14:paraId="3B4FB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7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4EA1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991458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43ED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3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CDCF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D023B9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41B6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730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8CD94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E6E693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164A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85" w:hRule="atLeast"/>
              </w:trPr>
              <w:tc>
                <w:tcPr>
                  <w:tcW w:w="690" w:type="dxa"/>
                  <w:gridSpan w:val="2"/>
                  <w:tcBorders>
                    <w:top w:val="nil"/>
                    <w:left w:val="nil"/>
                    <w:bottom w:val="nil"/>
                    <w:right w:val="nil"/>
                  </w:tcBorders>
                  <w:shd w:val="clear" w:color="auto" w:fill="auto"/>
                  <w:vAlign w:val="center"/>
                </w:tcPr>
                <w:p w14:paraId="288FD603">
                  <w:pPr>
                    <w:rPr>
                      <w:rFonts w:hint="eastAsia" w:ascii="宋体" w:hAnsi="宋体" w:eastAsia="宋体" w:cs="宋体"/>
                      <w:i w:val="0"/>
                      <w:iCs w:val="0"/>
                      <w:color w:val="000000"/>
                      <w:sz w:val="18"/>
                      <w:szCs w:val="18"/>
                      <w:u w:val="none"/>
                    </w:rPr>
                  </w:pPr>
                </w:p>
              </w:tc>
              <w:tc>
                <w:tcPr>
                  <w:tcW w:w="2055" w:type="dxa"/>
                  <w:gridSpan w:val="2"/>
                  <w:tcBorders>
                    <w:top w:val="nil"/>
                    <w:left w:val="nil"/>
                    <w:bottom w:val="nil"/>
                    <w:right w:val="nil"/>
                  </w:tcBorders>
                  <w:shd w:val="clear" w:color="auto" w:fill="auto"/>
                  <w:vAlign w:val="center"/>
                </w:tcPr>
                <w:p w14:paraId="0B7CCADB">
                  <w:pPr>
                    <w:rPr>
                      <w:rFonts w:hint="eastAsia" w:ascii="宋体" w:hAnsi="宋体" w:eastAsia="宋体" w:cs="宋体"/>
                      <w:i w:val="0"/>
                      <w:iCs w:val="0"/>
                      <w:color w:val="000000"/>
                      <w:sz w:val="18"/>
                      <w:szCs w:val="18"/>
                      <w:u w:val="none"/>
                    </w:rPr>
                  </w:pPr>
                </w:p>
              </w:tc>
              <w:tc>
                <w:tcPr>
                  <w:tcW w:w="1770" w:type="dxa"/>
                  <w:gridSpan w:val="2"/>
                  <w:tcBorders>
                    <w:top w:val="nil"/>
                    <w:left w:val="nil"/>
                    <w:bottom w:val="nil"/>
                    <w:right w:val="nil"/>
                  </w:tcBorders>
                  <w:shd w:val="clear" w:color="auto" w:fill="auto"/>
                  <w:vAlign w:val="center"/>
                </w:tcPr>
                <w:p w14:paraId="66893A86">
                  <w:pPr>
                    <w:rPr>
                      <w:rFonts w:hint="eastAsia" w:ascii="宋体" w:hAnsi="宋体" w:eastAsia="宋体" w:cs="宋体"/>
                      <w:i w:val="0"/>
                      <w:iCs w:val="0"/>
                      <w:color w:val="000000"/>
                      <w:sz w:val="18"/>
                      <w:szCs w:val="18"/>
                      <w:u w:val="none"/>
                    </w:rPr>
                  </w:pPr>
                </w:p>
              </w:tc>
              <w:tc>
                <w:tcPr>
                  <w:tcW w:w="2265" w:type="dxa"/>
                  <w:gridSpan w:val="2"/>
                  <w:tcBorders>
                    <w:top w:val="nil"/>
                    <w:left w:val="nil"/>
                    <w:bottom w:val="nil"/>
                    <w:right w:val="nil"/>
                  </w:tcBorders>
                  <w:shd w:val="clear" w:color="auto" w:fill="auto"/>
                  <w:vAlign w:val="center"/>
                </w:tcPr>
                <w:p w14:paraId="190D02D9">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1B787014">
                  <w:pPr>
                    <w:rPr>
                      <w:rFonts w:hint="eastAsia" w:ascii="宋体" w:hAnsi="宋体" w:eastAsia="宋体" w:cs="宋体"/>
                      <w:i w:val="0"/>
                      <w:iCs w:val="0"/>
                      <w:color w:val="000000"/>
                      <w:sz w:val="18"/>
                      <w:szCs w:val="18"/>
                      <w:u w:val="none"/>
                    </w:rPr>
                  </w:pPr>
                </w:p>
              </w:tc>
              <w:tc>
                <w:tcPr>
                  <w:tcW w:w="1680" w:type="dxa"/>
                  <w:gridSpan w:val="2"/>
                  <w:tcBorders>
                    <w:top w:val="nil"/>
                    <w:left w:val="nil"/>
                    <w:bottom w:val="nil"/>
                    <w:right w:val="nil"/>
                  </w:tcBorders>
                  <w:shd w:val="clear" w:color="auto" w:fill="auto"/>
                  <w:vAlign w:val="center"/>
                </w:tcPr>
                <w:p w14:paraId="058A007B">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78C2BEBA">
                  <w:pPr>
                    <w:rPr>
                      <w:rFonts w:hint="eastAsia" w:ascii="宋体" w:hAnsi="宋体" w:eastAsia="宋体" w:cs="宋体"/>
                      <w:i w:val="0"/>
                      <w:iCs w:val="0"/>
                      <w:color w:val="000000"/>
                      <w:sz w:val="18"/>
                      <w:szCs w:val="18"/>
                      <w:u w:val="none"/>
                    </w:rPr>
                  </w:pPr>
                </w:p>
              </w:tc>
              <w:tc>
                <w:tcPr>
                  <w:tcW w:w="1095" w:type="dxa"/>
                  <w:gridSpan w:val="2"/>
                  <w:tcBorders>
                    <w:top w:val="nil"/>
                    <w:left w:val="nil"/>
                    <w:bottom w:val="nil"/>
                    <w:right w:val="nil"/>
                  </w:tcBorders>
                  <w:shd w:val="clear" w:color="auto" w:fill="auto"/>
                  <w:vAlign w:val="center"/>
                </w:tcPr>
                <w:p w14:paraId="334BC183">
                  <w:pPr>
                    <w:rPr>
                      <w:rFonts w:hint="eastAsia" w:ascii="宋体" w:hAnsi="宋体" w:eastAsia="宋体" w:cs="宋体"/>
                      <w:i w:val="0"/>
                      <w:iCs w:val="0"/>
                      <w:color w:val="000000"/>
                      <w:sz w:val="18"/>
                      <w:szCs w:val="18"/>
                      <w:u w:val="none"/>
                    </w:rPr>
                  </w:pPr>
                </w:p>
              </w:tc>
              <w:tc>
                <w:tcPr>
                  <w:tcW w:w="510" w:type="dxa"/>
                  <w:gridSpan w:val="2"/>
                  <w:tcBorders>
                    <w:top w:val="nil"/>
                    <w:left w:val="nil"/>
                    <w:bottom w:val="nil"/>
                    <w:right w:val="nil"/>
                  </w:tcBorders>
                  <w:shd w:val="clear" w:color="auto" w:fill="auto"/>
                  <w:vAlign w:val="center"/>
                </w:tcPr>
                <w:p w14:paraId="45076C7B">
                  <w:pPr>
                    <w:rPr>
                      <w:rFonts w:hint="eastAsia" w:ascii="宋体" w:hAnsi="宋体" w:eastAsia="宋体" w:cs="宋体"/>
                      <w:i w:val="0"/>
                      <w:iCs w:val="0"/>
                      <w:color w:val="000000"/>
                      <w:sz w:val="18"/>
                      <w:szCs w:val="18"/>
                      <w:u w:val="none"/>
                    </w:rPr>
                  </w:pPr>
                </w:p>
              </w:tc>
              <w:tc>
                <w:tcPr>
                  <w:tcW w:w="450" w:type="dxa"/>
                  <w:gridSpan w:val="2"/>
                  <w:tcBorders>
                    <w:top w:val="nil"/>
                    <w:left w:val="nil"/>
                    <w:bottom w:val="nil"/>
                    <w:right w:val="nil"/>
                  </w:tcBorders>
                  <w:shd w:val="clear" w:color="auto" w:fill="auto"/>
                  <w:vAlign w:val="center"/>
                </w:tcPr>
                <w:p w14:paraId="75AE733E">
                  <w:pPr>
                    <w:rPr>
                      <w:rFonts w:hint="eastAsia" w:ascii="宋体" w:hAnsi="宋体" w:eastAsia="宋体" w:cs="宋体"/>
                      <w:i w:val="0"/>
                      <w:iCs w:val="0"/>
                      <w:color w:val="000000"/>
                      <w:sz w:val="18"/>
                      <w:szCs w:val="18"/>
                      <w:u w:val="none"/>
                    </w:rPr>
                  </w:pPr>
                </w:p>
              </w:tc>
              <w:tc>
                <w:tcPr>
                  <w:tcW w:w="2550" w:type="dxa"/>
                  <w:gridSpan w:val="2"/>
                  <w:tcBorders>
                    <w:top w:val="nil"/>
                    <w:left w:val="nil"/>
                    <w:bottom w:val="nil"/>
                    <w:right w:val="nil"/>
                  </w:tcBorders>
                  <w:shd w:val="clear" w:color="auto" w:fill="auto"/>
                  <w:vAlign w:val="center"/>
                </w:tcPr>
                <w:p w14:paraId="2044F495">
                  <w:pPr>
                    <w:rPr>
                      <w:rFonts w:hint="eastAsia" w:ascii="宋体" w:hAnsi="宋体" w:eastAsia="宋体" w:cs="宋体"/>
                      <w:i w:val="0"/>
                      <w:iCs w:val="0"/>
                      <w:color w:val="000000"/>
                      <w:sz w:val="18"/>
                      <w:szCs w:val="18"/>
                      <w:u w:val="none"/>
                    </w:rPr>
                  </w:pPr>
                </w:p>
              </w:tc>
            </w:tr>
            <w:tr w14:paraId="60FC0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04" w:hRule="atLeast"/>
              </w:trPr>
              <w:tc>
                <w:tcPr>
                  <w:tcW w:w="14115"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6A53CFE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0CE1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6FB5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A4266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51320024T000010459955-州级机关周转房日常维修维护、改造等专项资金</w:t>
                  </w:r>
                </w:p>
              </w:tc>
            </w:tr>
            <w:tr w14:paraId="3B5C8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14"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EA3B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8259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州机关事务管理局部门</w:t>
                  </w:r>
                </w:p>
              </w:tc>
              <w:tc>
                <w:tcPr>
                  <w:tcW w:w="1095" w:type="dxa"/>
                  <w:gridSpan w:val="2"/>
                  <w:tcBorders>
                    <w:top w:val="nil"/>
                    <w:left w:val="nil"/>
                    <w:bottom w:val="nil"/>
                    <w:right w:val="nil"/>
                  </w:tcBorders>
                  <w:shd w:val="clear" w:color="auto" w:fill="auto"/>
                  <w:vAlign w:val="center"/>
                </w:tcPr>
                <w:p w14:paraId="3C4BE52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DFCFD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w:t>
                  </w:r>
                </w:p>
              </w:tc>
            </w:tr>
            <w:tr w14:paraId="350CD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5DCD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2A4A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08CB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691A77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32A7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0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CCCD5">
                  <w:pP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5078A">
                  <w:pPr>
                    <w:rPr>
                      <w:rFonts w:hint="eastAsia" w:ascii="宋体" w:hAnsi="宋体" w:eastAsia="宋体" w:cs="宋体"/>
                      <w:i w:val="0"/>
                      <w:iCs w:val="0"/>
                      <w:color w:val="000000"/>
                      <w:sz w:val="18"/>
                      <w:szCs w:val="18"/>
                      <w:u w:val="none"/>
                    </w:rPr>
                  </w:pP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D3C5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按照《阿坝州州级机关周转房管理办法》相关规定，做好了周转房维修维护相关工作。</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FFA287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14:paraId="20E6B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9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53758">
                  <w:pP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045B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389C9A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承租户提交的维修申请表及物业公司反馈情况，实地查看走访，确认维修范围后联系施工方及时维修。承租户本人提交维修申请表后，机关事务管理局初审并实地查看后对施工方维修方案进行审核，按照方案维修并验收合格后交付使用。</w:t>
                  </w:r>
                </w:p>
              </w:tc>
            </w:tr>
            <w:tr w14:paraId="3F97F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D6AD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13FB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CBB4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691A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254D5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E94A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E4DD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A1C5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5661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AE14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5"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6FFCA">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AF2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35F6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0B35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187.80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B137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187.80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EE28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A5A7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180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3A1A7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2F98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9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594E3">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D075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518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76E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187.80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78F3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187.80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5B6B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D71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0BF7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4D653">
                  <w:pPr>
                    <w:rPr>
                      <w:rFonts w:hint="eastAsia" w:ascii="黑体" w:hAnsi="黑体" w:eastAsia="黑体" w:cs="黑体"/>
                      <w:i/>
                      <w:iCs/>
                      <w:color w:val="000000"/>
                      <w:sz w:val="18"/>
                      <w:szCs w:val="18"/>
                      <w:u w:val="none"/>
                    </w:rPr>
                  </w:pPr>
                </w:p>
              </w:tc>
            </w:tr>
            <w:tr w14:paraId="3143B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0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6C5FC">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95F2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5A4F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88A1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51E6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48E9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1DA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4DBE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717E1">
                  <w:pPr>
                    <w:rPr>
                      <w:rFonts w:hint="eastAsia" w:ascii="黑体" w:hAnsi="黑体" w:eastAsia="黑体" w:cs="黑体"/>
                      <w:i/>
                      <w:iCs/>
                      <w:color w:val="000000"/>
                      <w:sz w:val="18"/>
                      <w:szCs w:val="18"/>
                      <w:u w:val="none"/>
                    </w:rPr>
                  </w:pPr>
                </w:p>
              </w:tc>
            </w:tr>
            <w:tr w14:paraId="52E39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5E327">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0AD6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BF18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99B5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DE3E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3C97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95A5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8508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30C21">
                  <w:pPr>
                    <w:rPr>
                      <w:rFonts w:hint="eastAsia" w:ascii="黑体" w:hAnsi="黑体" w:eastAsia="黑体" w:cs="黑体"/>
                      <w:i/>
                      <w:iCs/>
                      <w:color w:val="000000"/>
                      <w:sz w:val="18"/>
                      <w:szCs w:val="18"/>
                      <w:u w:val="none"/>
                    </w:rPr>
                  </w:pPr>
                </w:p>
              </w:tc>
            </w:tr>
            <w:tr w14:paraId="3F163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A3E67">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0406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514B34">
                  <w:pPr>
                    <w:jc w:val="center"/>
                    <w:rPr>
                      <w:rFonts w:hint="eastAsia" w:ascii="微软雅黑" w:hAnsi="微软雅黑" w:eastAsia="微软雅黑" w:cs="微软雅黑"/>
                      <w:i/>
                      <w:iCs/>
                      <w:color w:val="000000"/>
                      <w:sz w:val="16"/>
                      <w:szCs w:val="16"/>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F1534">
                  <w:pPr>
                    <w:jc w:val="center"/>
                    <w:rPr>
                      <w:rFonts w:hint="eastAsia" w:ascii="微软雅黑" w:hAnsi="微软雅黑" w:eastAsia="微软雅黑" w:cs="微软雅黑"/>
                      <w:i/>
                      <w:iCs/>
                      <w:color w:val="000000"/>
                      <w:sz w:val="16"/>
                      <w:szCs w:val="16"/>
                      <w:u w:val="none"/>
                    </w:rPr>
                  </w:pP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F4A6BA">
                  <w:pPr>
                    <w:jc w:val="center"/>
                    <w:rPr>
                      <w:rFonts w:hint="eastAsia" w:ascii="微软雅黑" w:hAnsi="微软雅黑" w:eastAsia="微软雅黑" w:cs="微软雅黑"/>
                      <w:i/>
                      <w:iCs/>
                      <w:color w:val="000000"/>
                      <w:sz w:val="16"/>
                      <w:szCs w:val="16"/>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61FEC1">
                  <w:pPr>
                    <w:jc w:val="center"/>
                    <w:rPr>
                      <w:rFonts w:hint="eastAsia" w:ascii="微软雅黑" w:hAnsi="微软雅黑" w:eastAsia="微软雅黑" w:cs="微软雅黑"/>
                      <w:i/>
                      <w:iCs/>
                      <w:color w:val="000000"/>
                      <w:sz w:val="16"/>
                      <w:szCs w:val="16"/>
                      <w:u w:val="none"/>
                    </w:rPr>
                  </w:pP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0966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8F2D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CFE30">
                  <w:pPr>
                    <w:rPr>
                      <w:rFonts w:hint="eastAsia" w:ascii="黑体" w:hAnsi="黑体" w:eastAsia="黑体" w:cs="黑体"/>
                      <w:i/>
                      <w:iCs/>
                      <w:color w:val="000000"/>
                      <w:sz w:val="18"/>
                      <w:szCs w:val="18"/>
                      <w:u w:val="none"/>
                    </w:rPr>
                  </w:pPr>
                </w:p>
              </w:tc>
            </w:tr>
            <w:tr w14:paraId="659FA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F801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3F64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46FD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927E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DE56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C23B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990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8572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5CF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4B71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8293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891D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8E6AD">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2E2C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产出指标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94B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质量指标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F94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质量优良差</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C8B8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C2FC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95</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A07E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B1814">
                  <w:pPr>
                    <w:keepNext w:val="0"/>
                    <w:keepLines w:val="0"/>
                    <w:widowControl/>
                    <w:suppressLineNumbers w:val="0"/>
                    <w:jc w:val="center"/>
                    <w:textAlignment w:val="center"/>
                    <w:rPr>
                      <w:rFonts w:hint="eastAsia" w:ascii="方正仿宋_GBK" w:hAnsi="方正仿宋_GBK" w:eastAsia="方正仿宋_GBK" w:cs="方正仿宋_GBK"/>
                      <w:i/>
                      <w:iCs/>
                      <w:color w:val="000000"/>
                      <w:sz w:val="24"/>
                      <w:szCs w:val="24"/>
                      <w:u w:val="none"/>
                    </w:rPr>
                  </w:pPr>
                  <w:r>
                    <w:rPr>
                      <w:rFonts w:hint="eastAsia" w:ascii="方正仿宋_GBK" w:hAnsi="方正仿宋_GBK" w:eastAsia="方正仿宋_GBK" w:cs="方正仿宋_GBK"/>
                      <w:i/>
                      <w:iCs/>
                      <w:color w:val="000000"/>
                      <w:kern w:val="0"/>
                      <w:sz w:val="24"/>
                      <w:szCs w:val="24"/>
                      <w:u w:val="none"/>
                      <w:lang w:val="en-US" w:eastAsia="zh-CN" w:bidi="ar"/>
                    </w:rPr>
                    <w:t>97</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29B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EA89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408F10">
                  <w:pPr>
                    <w:jc w:val="center"/>
                    <w:rPr>
                      <w:rFonts w:hint="eastAsia" w:ascii="宋体" w:hAnsi="宋体" w:eastAsia="宋体" w:cs="宋体"/>
                      <w:i w:val="0"/>
                      <w:iCs w:val="0"/>
                      <w:color w:val="000000"/>
                      <w:sz w:val="18"/>
                      <w:szCs w:val="18"/>
                      <w:u w:val="none"/>
                    </w:rPr>
                  </w:pPr>
                </w:p>
              </w:tc>
            </w:tr>
            <w:tr w14:paraId="5242C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1DA12">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ED0B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效益指标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7D91B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社会效益指标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CE65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周转房维修维护率</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8977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70DF8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90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679F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02D4BF">
                  <w:pPr>
                    <w:keepNext w:val="0"/>
                    <w:keepLines w:val="0"/>
                    <w:widowControl/>
                    <w:suppressLineNumbers w:val="0"/>
                    <w:jc w:val="center"/>
                    <w:textAlignment w:val="center"/>
                    <w:rPr>
                      <w:rFonts w:hint="eastAsia" w:ascii="方正仿宋_GBK" w:hAnsi="方正仿宋_GBK" w:eastAsia="方正仿宋_GBK" w:cs="方正仿宋_GBK"/>
                      <w:i/>
                      <w:iCs/>
                      <w:color w:val="000000"/>
                      <w:sz w:val="24"/>
                      <w:szCs w:val="24"/>
                      <w:u w:val="none"/>
                    </w:rPr>
                  </w:pPr>
                  <w:r>
                    <w:rPr>
                      <w:rFonts w:hint="eastAsia" w:ascii="方正仿宋_GBK" w:hAnsi="方正仿宋_GBK" w:eastAsia="方正仿宋_GBK" w:cs="方正仿宋_GBK"/>
                      <w:i/>
                      <w:iCs/>
                      <w:color w:val="000000"/>
                      <w:kern w:val="0"/>
                      <w:sz w:val="24"/>
                      <w:szCs w:val="24"/>
                      <w:u w:val="none"/>
                      <w:lang w:val="en-US" w:eastAsia="zh-CN" w:bidi="ar"/>
                    </w:rPr>
                    <w:t>96</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1384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27C1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EDBA39">
                  <w:pPr>
                    <w:jc w:val="center"/>
                    <w:rPr>
                      <w:rFonts w:hint="eastAsia" w:ascii="宋体" w:hAnsi="宋体" w:eastAsia="宋体" w:cs="宋体"/>
                      <w:i w:val="0"/>
                      <w:iCs w:val="0"/>
                      <w:color w:val="000000"/>
                      <w:sz w:val="18"/>
                      <w:szCs w:val="18"/>
                      <w:u w:val="none"/>
                    </w:rPr>
                  </w:pPr>
                </w:p>
              </w:tc>
            </w:tr>
            <w:tr w14:paraId="3D4E9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E3672">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05E9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满意度指标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A446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服务对象满意度指标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498A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满意度</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BD46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E359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90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8993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8D5D5C">
                  <w:pPr>
                    <w:keepNext w:val="0"/>
                    <w:keepLines w:val="0"/>
                    <w:widowControl/>
                    <w:suppressLineNumbers w:val="0"/>
                    <w:jc w:val="center"/>
                    <w:textAlignment w:val="center"/>
                    <w:rPr>
                      <w:rFonts w:hint="eastAsia" w:ascii="方正仿宋_GBK" w:hAnsi="方正仿宋_GBK" w:eastAsia="方正仿宋_GBK" w:cs="方正仿宋_GBK"/>
                      <w:i/>
                      <w:iCs/>
                      <w:color w:val="000000"/>
                      <w:sz w:val="24"/>
                      <w:szCs w:val="24"/>
                      <w:u w:val="none"/>
                    </w:rPr>
                  </w:pPr>
                  <w:r>
                    <w:rPr>
                      <w:rFonts w:hint="eastAsia" w:ascii="方正仿宋_GBK" w:hAnsi="方正仿宋_GBK" w:eastAsia="方正仿宋_GBK" w:cs="方正仿宋_GBK"/>
                      <w:i/>
                      <w:iCs/>
                      <w:color w:val="000000"/>
                      <w:kern w:val="0"/>
                      <w:sz w:val="24"/>
                      <w:szCs w:val="24"/>
                      <w:u w:val="none"/>
                      <w:lang w:val="en-US" w:eastAsia="zh-CN" w:bidi="ar"/>
                    </w:rPr>
                    <w:t>95</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121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24E4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07D94E">
                  <w:pPr>
                    <w:jc w:val="center"/>
                    <w:rPr>
                      <w:rFonts w:hint="eastAsia" w:ascii="宋体" w:hAnsi="宋体" w:eastAsia="宋体" w:cs="宋体"/>
                      <w:i w:val="0"/>
                      <w:iCs w:val="0"/>
                      <w:color w:val="000000"/>
                      <w:sz w:val="18"/>
                      <w:szCs w:val="18"/>
                      <w:u w:val="none"/>
                    </w:rPr>
                  </w:pPr>
                </w:p>
              </w:tc>
            </w:tr>
            <w:tr w14:paraId="2CF9B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75014">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1F61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成本指标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3400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经济成本指标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22DC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Style w:val="41"/>
                      <w:lang w:val="en-US" w:eastAsia="zh-CN" w:bidi="ar"/>
                    </w:rPr>
                    <w:t xml:space="preserve">节约成本率=（节约成本/总成本）*100% </w:t>
                  </w:r>
                  <w:r>
                    <w:rPr>
                      <w:rStyle w:val="42"/>
                      <w:rFonts w:eastAsia="方正仿宋_GBK"/>
                      <w:lang w:val="en-US" w:eastAsia="zh-CN" w:bidi="ar"/>
                    </w:rPr>
                    <w:t xml:space="preserve"> </w:t>
                  </w:r>
                  <w:r>
                    <w:rPr>
                      <w:rStyle w:val="41"/>
                      <w:lang w:val="en-US" w:eastAsia="zh-CN" w:bidi="ar"/>
                    </w:rPr>
                    <w:t xml:space="preserve"> ≥</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52E4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3810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187.8</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75868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万元</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14B0A8">
                  <w:pPr>
                    <w:keepNext w:val="0"/>
                    <w:keepLines w:val="0"/>
                    <w:widowControl/>
                    <w:suppressLineNumbers w:val="0"/>
                    <w:jc w:val="center"/>
                    <w:textAlignment w:val="center"/>
                    <w:rPr>
                      <w:rFonts w:hint="eastAsia" w:ascii="方正仿宋_GBK" w:hAnsi="方正仿宋_GBK" w:eastAsia="方正仿宋_GBK" w:cs="方正仿宋_GBK"/>
                      <w:i/>
                      <w:iCs/>
                      <w:color w:val="000000"/>
                      <w:sz w:val="24"/>
                      <w:szCs w:val="24"/>
                      <w:u w:val="none"/>
                    </w:rPr>
                  </w:pPr>
                  <w:r>
                    <w:rPr>
                      <w:rFonts w:hint="eastAsia" w:ascii="方正仿宋_GBK" w:hAnsi="方正仿宋_GBK" w:eastAsia="方正仿宋_GBK" w:cs="方正仿宋_GBK"/>
                      <w:i/>
                      <w:iCs/>
                      <w:color w:val="000000"/>
                      <w:kern w:val="0"/>
                      <w:sz w:val="24"/>
                      <w:szCs w:val="24"/>
                      <w:u w:val="none"/>
                      <w:lang w:val="en-US" w:eastAsia="zh-CN" w:bidi="ar"/>
                    </w:rPr>
                    <w:t>187.8</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A830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577E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68F934">
                  <w:pPr>
                    <w:jc w:val="center"/>
                    <w:rPr>
                      <w:rFonts w:hint="eastAsia" w:ascii="微软雅黑" w:hAnsi="微软雅黑" w:eastAsia="微软雅黑" w:cs="微软雅黑"/>
                      <w:i/>
                      <w:iCs/>
                      <w:color w:val="000000"/>
                      <w:sz w:val="16"/>
                      <w:szCs w:val="16"/>
                      <w:u w:val="none"/>
                    </w:rPr>
                  </w:pPr>
                </w:p>
              </w:tc>
            </w:tr>
            <w:tr w14:paraId="79C36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1060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F3A1B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B762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B239F4">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631C16">
                  <w:pPr>
                    <w:rPr>
                      <w:rFonts w:hint="eastAsia" w:ascii="宋体" w:hAnsi="宋体" w:eastAsia="宋体" w:cs="宋体"/>
                      <w:i w:val="0"/>
                      <w:iCs w:val="0"/>
                      <w:color w:val="000000"/>
                      <w:sz w:val="18"/>
                      <w:szCs w:val="18"/>
                      <w:u w:val="none"/>
                    </w:rPr>
                  </w:pPr>
                </w:p>
              </w:tc>
            </w:tr>
            <w:tr w14:paraId="2AA15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0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1B9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26501E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通过对州级机关周转房房屋的维修的公共区域设施设备的维修维护，提升干部职工入住周转房的满意度，增强安全感、获得感、幸福感。</w:t>
                  </w:r>
                </w:p>
              </w:tc>
            </w:tr>
            <w:tr w14:paraId="41BB3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7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0D7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3679C7B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随着州级机关周转房房屋使用年限的增加，公共区域配套设施和设备出现不同程度的老化和损坏，每年预算资金有限的情况下，按照急难险重的项目进行维修。每年项目安排更具预算资金全额实施，遇应急项目，就会超预算实施，项目维修与实际执行存在逆差。比如，2023年周转房维修维护专项资金超出财政下达经费预算20余万元，导致部分资金不能再年内及时支付。</w:t>
                  </w:r>
                </w:p>
              </w:tc>
            </w:tr>
            <w:tr w14:paraId="5CBB6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3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FFF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6DCA81A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进一步细化预算资金，合理使用每一份钱。</w:t>
                  </w:r>
                </w:p>
              </w:tc>
            </w:tr>
            <w:tr w14:paraId="4647C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730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B705B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DBAEE4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16BF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85" w:hRule="atLeast"/>
              </w:trPr>
              <w:tc>
                <w:tcPr>
                  <w:tcW w:w="690" w:type="dxa"/>
                  <w:gridSpan w:val="2"/>
                  <w:tcBorders>
                    <w:top w:val="nil"/>
                    <w:left w:val="nil"/>
                    <w:bottom w:val="nil"/>
                    <w:right w:val="nil"/>
                  </w:tcBorders>
                  <w:shd w:val="clear" w:color="auto" w:fill="auto"/>
                  <w:vAlign w:val="center"/>
                </w:tcPr>
                <w:p w14:paraId="74D51A6A">
                  <w:pPr>
                    <w:rPr>
                      <w:rFonts w:hint="eastAsia" w:ascii="宋体" w:hAnsi="宋体" w:eastAsia="宋体" w:cs="宋体"/>
                      <w:i w:val="0"/>
                      <w:iCs w:val="0"/>
                      <w:color w:val="000000"/>
                      <w:sz w:val="18"/>
                      <w:szCs w:val="18"/>
                      <w:u w:val="none"/>
                    </w:rPr>
                  </w:pPr>
                </w:p>
              </w:tc>
              <w:tc>
                <w:tcPr>
                  <w:tcW w:w="2055" w:type="dxa"/>
                  <w:gridSpan w:val="2"/>
                  <w:tcBorders>
                    <w:top w:val="nil"/>
                    <w:left w:val="nil"/>
                    <w:bottom w:val="nil"/>
                    <w:right w:val="nil"/>
                  </w:tcBorders>
                  <w:shd w:val="clear" w:color="auto" w:fill="auto"/>
                  <w:vAlign w:val="center"/>
                </w:tcPr>
                <w:p w14:paraId="3C5E4ADB">
                  <w:pPr>
                    <w:rPr>
                      <w:rFonts w:hint="eastAsia" w:ascii="宋体" w:hAnsi="宋体" w:eastAsia="宋体" w:cs="宋体"/>
                      <w:i w:val="0"/>
                      <w:iCs w:val="0"/>
                      <w:color w:val="000000"/>
                      <w:sz w:val="18"/>
                      <w:szCs w:val="18"/>
                      <w:u w:val="none"/>
                    </w:rPr>
                  </w:pPr>
                </w:p>
              </w:tc>
              <w:tc>
                <w:tcPr>
                  <w:tcW w:w="1770" w:type="dxa"/>
                  <w:gridSpan w:val="2"/>
                  <w:tcBorders>
                    <w:top w:val="nil"/>
                    <w:left w:val="nil"/>
                    <w:bottom w:val="nil"/>
                    <w:right w:val="nil"/>
                  </w:tcBorders>
                  <w:shd w:val="clear" w:color="auto" w:fill="auto"/>
                  <w:vAlign w:val="center"/>
                </w:tcPr>
                <w:p w14:paraId="1AB8B943">
                  <w:pPr>
                    <w:rPr>
                      <w:rFonts w:hint="eastAsia" w:ascii="宋体" w:hAnsi="宋体" w:eastAsia="宋体" w:cs="宋体"/>
                      <w:i w:val="0"/>
                      <w:iCs w:val="0"/>
                      <w:color w:val="000000"/>
                      <w:sz w:val="18"/>
                      <w:szCs w:val="18"/>
                      <w:u w:val="none"/>
                    </w:rPr>
                  </w:pPr>
                </w:p>
              </w:tc>
              <w:tc>
                <w:tcPr>
                  <w:tcW w:w="2265" w:type="dxa"/>
                  <w:gridSpan w:val="2"/>
                  <w:tcBorders>
                    <w:top w:val="nil"/>
                    <w:left w:val="nil"/>
                    <w:bottom w:val="nil"/>
                    <w:right w:val="nil"/>
                  </w:tcBorders>
                  <w:shd w:val="clear" w:color="auto" w:fill="auto"/>
                  <w:vAlign w:val="center"/>
                </w:tcPr>
                <w:p w14:paraId="0092A93E">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22E39B6B">
                  <w:pPr>
                    <w:rPr>
                      <w:rFonts w:hint="eastAsia" w:ascii="宋体" w:hAnsi="宋体" w:eastAsia="宋体" w:cs="宋体"/>
                      <w:i w:val="0"/>
                      <w:iCs w:val="0"/>
                      <w:color w:val="000000"/>
                      <w:sz w:val="18"/>
                      <w:szCs w:val="18"/>
                      <w:u w:val="none"/>
                    </w:rPr>
                  </w:pPr>
                </w:p>
              </w:tc>
              <w:tc>
                <w:tcPr>
                  <w:tcW w:w="1680" w:type="dxa"/>
                  <w:gridSpan w:val="2"/>
                  <w:tcBorders>
                    <w:top w:val="nil"/>
                    <w:left w:val="nil"/>
                    <w:bottom w:val="nil"/>
                    <w:right w:val="nil"/>
                  </w:tcBorders>
                  <w:shd w:val="clear" w:color="auto" w:fill="auto"/>
                  <w:vAlign w:val="center"/>
                </w:tcPr>
                <w:p w14:paraId="014BB38C">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1802C06C">
                  <w:pPr>
                    <w:rPr>
                      <w:rFonts w:hint="eastAsia" w:ascii="宋体" w:hAnsi="宋体" w:eastAsia="宋体" w:cs="宋体"/>
                      <w:i w:val="0"/>
                      <w:iCs w:val="0"/>
                      <w:color w:val="000000"/>
                      <w:sz w:val="18"/>
                      <w:szCs w:val="18"/>
                      <w:u w:val="none"/>
                    </w:rPr>
                  </w:pPr>
                </w:p>
              </w:tc>
              <w:tc>
                <w:tcPr>
                  <w:tcW w:w="1095" w:type="dxa"/>
                  <w:gridSpan w:val="2"/>
                  <w:tcBorders>
                    <w:top w:val="nil"/>
                    <w:left w:val="nil"/>
                    <w:bottom w:val="nil"/>
                    <w:right w:val="nil"/>
                  </w:tcBorders>
                  <w:shd w:val="clear" w:color="auto" w:fill="auto"/>
                  <w:vAlign w:val="center"/>
                </w:tcPr>
                <w:p w14:paraId="6D8A0F01">
                  <w:pPr>
                    <w:rPr>
                      <w:rFonts w:hint="eastAsia" w:ascii="宋体" w:hAnsi="宋体" w:eastAsia="宋体" w:cs="宋体"/>
                      <w:i w:val="0"/>
                      <w:iCs w:val="0"/>
                      <w:color w:val="000000"/>
                      <w:sz w:val="18"/>
                      <w:szCs w:val="18"/>
                      <w:u w:val="none"/>
                    </w:rPr>
                  </w:pPr>
                </w:p>
              </w:tc>
              <w:tc>
                <w:tcPr>
                  <w:tcW w:w="510" w:type="dxa"/>
                  <w:gridSpan w:val="2"/>
                  <w:tcBorders>
                    <w:top w:val="nil"/>
                    <w:left w:val="nil"/>
                    <w:bottom w:val="nil"/>
                    <w:right w:val="nil"/>
                  </w:tcBorders>
                  <w:shd w:val="clear" w:color="auto" w:fill="auto"/>
                  <w:vAlign w:val="center"/>
                </w:tcPr>
                <w:p w14:paraId="40D2771B">
                  <w:pPr>
                    <w:rPr>
                      <w:rFonts w:hint="eastAsia" w:ascii="宋体" w:hAnsi="宋体" w:eastAsia="宋体" w:cs="宋体"/>
                      <w:i w:val="0"/>
                      <w:iCs w:val="0"/>
                      <w:color w:val="000000"/>
                      <w:sz w:val="18"/>
                      <w:szCs w:val="18"/>
                      <w:u w:val="none"/>
                    </w:rPr>
                  </w:pPr>
                </w:p>
              </w:tc>
              <w:tc>
                <w:tcPr>
                  <w:tcW w:w="450" w:type="dxa"/>
                  <w:gridSpan w:val="2"/>
                  <w:tcBorders>
                    <w:top w:val="nil"/>
                    <w:left w:val="nil"/>
                    <w:bottom w:val="nil"/>
                    <w:right w:val="nil"/>
                  </w:tcBorders>
                  <w:shd w:val="clear" w:color="auto" w:fill="auto"/>
                  <w:vAlign w:val="center"/>
                </w:tcPr>
                <w:p w14:paraId="13BA66BA">
                  <w:pPr>
                    <w:rPr>
                      <w:rFonts w:hint="eastAsia" w:ascii="宋体" w:hAnsi="宋体" w:eastAsia="宋体" w:cs="宋体"/>
                      <w:i w:val="0"/>
                      <w:iCs w:val="0"/>
                      <w:color w:val="000000"/>
                      <w:sz w:val="18"/>
                      <w:szCs w:val="18"/>
                      <w:u w:val="none"/>
                    </w:rPr>
                  </w:pPr>
                </w:p>
              </w:tc>
              <w:tc>
                <w:tcPr>
                  <w:tcW w:w="2550" w:type="dxa"/>
                  <w:gridSpan w:val="2"/>
                  <w:tcBorders>
                    <w:top w:val="nil"/>
                    <w:left w:val="nil"/>
                    <w:bottom w:val="nil"/>
                    <w:right w:val="nil"/>
                  </w:tcBorders>
                  <w:shd w:val="clear" w:color="auto" w:fill="auto"/>
                  <w:vAlign w:val="center"/>
                </w:tcPr>
                <w:p w14:paraId="12FA86B7">
                  <w:pPr>
                    <w:rPr>
                      <w:rFonts w:hint="eastAsia" w:ascii="宋体" w:hAnsi="宋体" w:eastAsia="宋体" w:cs="宋体"/>
                      <w:i w:val="0"/>
                      <w:iCs w:val="0"/>
                      <w:color w:val="000000"/>
                      <w:sz w:val="18"/>
                      <w:szCs w:val="18"/>
                      <w:u w:val="none"/>
                    </w:rPr>
                  </w:pPr>
                </w:p>
              </w:tc>
            </w:tr>
            <w:tr w14:paraId="3DE9F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04" w:hRule="atLeast"/>
              </w:trPr>
              <w:tc>
                <w:tcPr>
                  <w:tcW w:w="14115"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2B319BE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723B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C893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007C8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51320024T000010479404-办公设备购置费</w:t>
                  </w:r>
                </w:p>
              </w:tc>
            </w:tr>
            <w:tr w14:paraId="694BB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14"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FEF8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2967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州机关事务管理局部门</w:t>
                  </w:r>
                </w:p>
              </w:tc>
              <w:tc>
                <w:tcPr>
                  <w:tcW w:w="1095" w:type="dxa"/>
                  <w:gridSpan w:val="2"/>
                  <w:tcBorders>
                    <w:top w:val="nil"/>
                    <w:left w:val="nil"/>
                    <w:bottom w:val="nil"/>
                    <w:right w:val="nil"/>
                  </w:tcBorders>
                  <w:shd w:val="clear" w:color="auto" w:fill="auto"/>
                  <w:vAlign w:val="center"/>
                </w:tcPr>
                <w:p w14:paraId="3F63FD4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0073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w:t>
                  </w:r>
                </w:p>
              </w:tc>
            </w:tr>
            <w:tr w14:paraId="29CBB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E510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2D9D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2830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387E4C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408F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583"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5DEB9">
                  <w:pP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7F4C2">
                  <w:pPr>
                    <w:rPr>
                      <w:rFonts w:hint="eastAsia" w:ascii="宋体" w:hAnsi="宋体" w:eastAsia="宋体" w:cs="宋体"/>
                      <w:i w:val="0"/>
                      <w:iCs w:val="0"/>
                      <w:color w:val="000000"/>
                      <w:sz w:val="18"/>
                      <w:szCs w:val="18"/>
                      <w:u w:val="none"/>
                    </w:rPr>
                  </w:pP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8C23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进一步提高工作效率，根据工作需要，2023年底至2024年我单位将根据文化广场项目回迁方案我局预算资金343750元。用于购买办公设备（包括办公桌椅、沙发、茶几、书柜、保密柜、文件柜、更衣柜等预算资金为231750元）和计算机（其中用于购买4套平板电脑及配件预算资金3.2万元；10套台式机及配件预算资金5万元；10台打印机预算资金为3万元）。根据州委保密机要局要求，在国家财政部未出台相关电脑办公设备最新采购目录前按照最新采购目录进行采购。</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35B16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14:paraId="678A9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9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26009">
                  <w:pP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9EBD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4B08A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根据实际情况，严把设备的采购，实际支出资金为25.95万元。</w:t>
                  </w:r>
                </w:p>
              </w:tc>
            </w:tr>
            <w:tr w14:paraId="29312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D172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9D4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7153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3E36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28B8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6930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A62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5077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C24A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E3EF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5"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3D770">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D92C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9FAD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26.58</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54DB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25.95</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A2669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25.95</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3A0A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8BAC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F205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704B5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BA15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9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E1E96">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F7D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FE6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26.58</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6356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25.95</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EFF1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25.95</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097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D7A1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265E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80F47">
                  <w:pPr>
                    <w:rPr>
                      <w:rFonts w:hint="eastAsia" w:ascii="黑体" w:hAnsi="黑体" w:eastAsia="黑体" w:cs="黑体"/>
                      <w:i/>
                      <w:iCs/>
                      <w:color w:val="000000"/>
                      <w:sz w:val="18"/>
                      <w:szCs w:val="18"/>
                      <w:u w:val="none"/>
                    </w:rPr>
                  </w:pPr>
                </w:p>
              </w:tc>
            </w:tr>
            <w:tr w14:paraId="1645F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0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F17B4">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BFE2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42BE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0AD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74F8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4C58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39A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1E3B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B3C86">
                  <w:pPr>
                    <w:rPr>
                      <w:rFonts w:hint="eastAsia" w:ascii="黑体" w:hAnsi="黑体" w:eastAsia="黑体" w:cs="黑体"/>
                      <w:i/>
                      <w:iCs/>
                      <w:color w:val="000000"/>
                      <w:sz w:val="18"/>
                      <w:szCs w:val="18"/>
                      <w:u w:val="none"/>
                    </w:rPr>
                  </w:pPr>
                </w:p>
              </w:tc>
            </w:tr>
            <w:tr w14:paraId="23749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BA812">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6A4B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9AE0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0628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00412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D2D6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E143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91D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999B5">
                  <w:pPr>
                    <w:rPr>
                      <w:rFonts w:hint="eastAsia" w:ascii="黑体" w:hAnsi="黑体" w:eastAsia="黑体" w:cs="黑体"/>
                      <w:i/>
                      <w:iCs/>
                      <w:color w:val="000000"/>
                      <w:sz w:val="18"/>
                      <w:szCs w:val="18"/>
                      <w:u w:val="none"/>
                    </w:rPr>
                  </w:pPr>
                </w:p>
              </w:tc>
            </w:tr>
            <w:tr w14:paraId="2AAB2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7D099">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55F2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1752B1">
                  <w:pPr>
                    <w:jc w:val="center"/>
                    <w:rPr>
                      <w:rFonts w:hint="eastAsia" w:ascii="微软雅黑" w:hAnsi="微软雅黑" w:eastAsia="微软雅黑" w:cs="微软雅黑"/>
                      <w:i/>
                      <w:iCs/>
                      <w:color w:val="000000"/>
                      <w:sz w:val="16"/>
                      <w:szCs w:val="16"/>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8E4B85">
                  <w:pPr>
                    <w:jc w:val="center"/>
                    <w:rPr>
                      <w:rFonts w:hint="eastAsia" w:ascii="微软雅黑" w:hAnsi="微软雅黑" w:eastAsia="微软雅黑" w:cs="微软雅黑"/>
                      <w:i/>
                      <w:iCs/>
                      <w:color w:val="000000"/>
                      <w:sz w:val="16"/>
                      <w:szCs w:val="16"/>
                      <w:u w:val="none"/>
                    </w:rPr>
                  </w:pP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8BE1434">
                  <w:pPr>
                    <w:jc w:val="center"/>
                    <w:rPr>
                      <w:rFonts w:hint="eastAsia" w:ascii="微软雅黑" w:hAnsi="微软雅黑" w:eastAsia="微软雅黑" w:cs="微软雅黑"/>
                      <w:i/>
                      <w:iCs/>
                      <w:color w:val="000000"/>
                      <w:sz w:val="16"/>
                      <w:szCs w:val="16"/>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4BEF07">
                  <w:pPr>
                    <w:jc w:val="center"/>
                    <w:rPr>
                      <w:rFonts w:hint="eastAsia" w:ascii="微软雅黑" w:hAnsi="微软雅黑" w:eastAsia="微软雅黑" w:cs="微软雅黑"/>
                      <w:i/>
                      <w:iCs/>
                      <w:color w:val="000000"/>
                      <w:sz w:val="16"/>
                      <w:szCs w:val="16"/>
                      <w:u w:val="none"/>
                    </w:rPr>
                  </w:pP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8F4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5302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6F762">
                  <w:pPr>
                    <w:rPr>
                      <w:rFonts w:hint="eastAsia" w:ascii="黑体" w:hAnsi="黑体" w:eastAsia="黑体" w:cs="黑体"/>
                      <w:i/>
                      <w:iCs/>
                      <w:color w:val="000000"/>
                      <w:sz w:val="18"/>
                      <w:szCs w:val="18"/>
                      <w:u w:val="none"/>
                    </w:rPr>
                  </w:pPr>
                </w:p>
              </w:tc>
            </w:tr>
            <w:tr w14:paraId="3A8AA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3A5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2B7B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381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D54E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4E08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2C1E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181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59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0F84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5107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1988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706F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5CD58">
                  <w:pPr>
                    <w:jc w:val="center"/>
                    <w:rPr>
                      <w:rFonts w:hint="eastAsia" w:ascii="宋体" w:hAnsi="宋体" w:eastAsia="宋体" w:cs="宋体"/>
                      <w:i w:val="0"/>
                      <w:iCs w:val="0"/>
                      <w:color w:val="000000"/>
                      <w:sz w:val="18"/>
                      <w:szCs w:val="18"/>
                      <w:u w:val="none"/>
                    </w:rPr>
                  </w:pP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3DB0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06E0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DCEF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购买办公设备数量</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4D30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0314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84</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8BB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件</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3B59A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84</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559B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91DD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958BAC">
                  <w:pPr>
                    <w:jc w:val="center"/>
                    <w:rPr>
                      <w:rFonts w:hint="eastAsia" w:ascii="微软雅黑" w:hAnsi="微软雅黑" w:eastAsia="微软雅黑" w:cs="微软雅黑"/>
                      <w:i/>
                      <w:iCs/>
                      <w:color w:val="000000"/>
                      <w:sz w:val="16"/>
                      <w:szCs w:val="16"/>
                      <w:u w:val="none"/>
                    </w:rPr>
                  </w:pPr>
                </w:p>
              </w:tc>
            </w:tr>
            <w:tr w14:paraId="59259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A3BE3">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B7479">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8F63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8DF2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办公设备验收合格率</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DCF4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A260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0F60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4E953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DF86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851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95CE5">
                  <w:pPr>
                    <w:jc w:val="center"/>
                    <w:rPr>
                      <w:rFonts w:hint="eastAsia" w:ascii="微软雅黑" w:hAnsi="微软雅黑" w:eastAsia="微软雅黑" w:cs="微软雅黑"/>
                      <w:i/>
                      <w:iCs/>
                      <w:color w:val="000000"/>
                      <w:sz w:val="16"/>
                      <w:szCs w:val="16"/>
                      <w:u w:val="none"/>
                    </w:rPr>
                  </w:pPr>
                </w:p>
              </w:tc>
            </w:tr>
            <w:tr w14:paraId="266CF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F0944">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51033">
                  <w:pPr>
                    <w:jc w:val="center"/>
                    <w:rPr>
                      <w:rFonts w:hint="eastAsia" w:ascii="宋体" w:hAnsi="宋体" w:eastAsia="宋体" w:cs="宋体"/>
                      <w:i w:val="0"/>
                      <w:iCs w:val="0"/>
                      <w:color w:val="000000"/>
                      <w:sz w:val="18"/>
                      <w:szCs w:val="18"/>
                      <w:u w:val="none"/>
                    </w:rPr>
                  </w:pPr>
                </w:p>
              </w:tc>
              <w:tc>
                <w:tcPr>
                  <w:tcW w:w="17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5093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37C4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F403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E839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2024年10月底前</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663581">
                  <w:pPr>
                    <w:jc w:val="center"/>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0ACCB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0566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5499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1DEAE0">
                  <w:pPr>
                    <w:jc w:val="center"/>
                    <w:rPr>
                      <w:rFonts w:hint="eastAsia" w:ascii="微软雅黑" w:hAnsi="微软雅黑" w:eastAsia="微软雅黑" w:cs="微软雅黑"/>
                      <w:i/>
                      <w:iCs/>
                      <w:color w:val="000000"/>
                      <w:sz w:val="16"/>
                      <w:szCs w:val="16"/>
                      <w:u w:val="none"/>
                    </w:rPr>
                  </w:pPr>
                </w:p>
              </w:tc>
            </w:tr>
            <w:tr w14:paraId="6D6B8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CE63B">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FF314">
                  <w:pPr>
                    <w:jc w:val="center"/>
                    <w:rPr>
                      <w:rFonts w:hint="eastAsia" w:ascii="宋体" w:hAnsi="宋体" w:eastAsia="宋体" w:cs="宋体"/>
                      <w:i w:val="0"/>
                      <w:iCs w:val="0"/>
                      <w:color w:val="000000"/>
                      <w:sz w:val="18"/>
                      <w:szCs w:val="18"/>
                      <w:u w:val="none"/>
                    </w:rPr>
                  </w:pPr>
                </w:p>
              </w:tc>
              <w:tc>
                <w:tcPr>
                  <w:tcW w:w="17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5AC92">
                  <w:pPr>
                    <w:jc w:val="center"/>
                    <w:rPr>
                      <w:rFonts w:hint="eastAsia" w:ascii="宋体" w:hAnsi="宋体" w:eastAsia="宋体" w:cs="宋体"/>
                      <w:i w:val="0"/>
                      <w:iCs w:val="0"/>
                      <w:color w:val="000000"/>
                      <w:sz w:val="18"/>
                      <w:szCs w:val="18"/>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4AF2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办公设备使用时效</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5100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46A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E65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8D7A7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8</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7E24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92E7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1103D">
                  <w:pPr>
                    <w:jc w:val="center"/>
                    <w:rPr>
                      <w:rFonts w:hint="eastAsia" w:ascii="微软雅黑" w:hAnsi="微软雅黑" w:eastAsia="微软雅黑" w:cs="微软雅黑"/>
                      <w:i/>
                      <w:iCs/>
                      <w:color w:val="000000"/>
                      <w:sz w:val="16"/>
                      <w:szCs w:val="16"/>
                      <w:u w:val="none"/>
                    </w:rPr>
                  </w:pPr>
                </w:p>
              </w:tc>
            </w:tr>
            <w:tr w14:paraId="279EC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51060">
                  <w:pPr>
                    <w:jc w:val="center"/>
                    <w:rPr>
                      <w:rFonts w:hint="eastAsia" w:ascii="宋体" w:hAnsi="宋体" w:eastAsia="宋体" w:cs="宋体"/>
                      <w:i w:val="0"/>
                      <w:iCs w:val="0"/>
                      <w:color w:val="000000"/>
                      <w:sz w:val="18"/>
                      <w:szCs w:val="18"/>
                      <w:u w:val="none"/>
                    </w:rPr>
                  </w:pP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466C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F77D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048B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提高办公效率</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F927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1367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00FA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C9F4A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AB5C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3B2A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2CC225">
                  <w:pPr>
                    <w:jc w:val="center"/>
                    <w:rPr>
                      <w:rFonts w:hint="eastAsia" w:ascii="微软雅黑" w:hAnsi="微软雅黑" w:eastAsia="微软雅黑" w:cs="微软雅黑"/>
                      <w:i/>
                      <w:iCs/>
                      <w:color w:val="000000"/>
                      <w:sz w:val="16"/>
                      <w:szCs w:val="16"/>
                      <w:u w:val="none"/>
                    </w:rPr>
                  </w:pPr>
                </w:p>
              </w:tc>
            </w:tr>
            <w:tr w14:paraId="5B8B8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EE96B">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192D2">
                  <w:pPr>
                    <w:jc w:val="center"/>
                    <w:rPr>
                      <w:rFonts w:hint="eastAsia" w:ascii="宋体" w:hAnsi="宋体" w:eastAsia="宋体" w:cs="宋体"/>
                      <w:i w:val="0"/>
                      <w:iCs w:val="0"/>
                      <w:color w:val="000000"/>
                      <w:sz w:val="18"/>
                      <w:szCs w:val="18"/>
                      <w:u w:val="none"/>
                    </w:rPr>
                  </w:pPr>
                </w:p>
              </w:tc>
              <w:tc>
                <w:tcPr>
                  <w:tcW w:w="17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46CC8">
                  <w:pPr>
                    <w:jc w:val="center"/>
                    <w:rPr>
                      <w:rFonts w:hint="eastAsia" w:ascii="宋体" w:hAnsi="宋体" w:eastAsia="宋体" w:cs="宋体"/>
                      <w:i w:val="0"/>
                      <w:iCs w:val="0"/>
                      <w:color w:val="000000"/>
                      <w:sz w:val="18"/>
                      <w:szCs w:val="18"/>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F2C4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业务处理速度加快</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1BA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2AB4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D742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4502C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96</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84EF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47D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ED7985">
                  <w:pPr>
                    <w:jc w:val="center"/>
                    <w:rPr>
                      <w:rFonts w:hint="eastAsia" w:ascii="微软雅黑" w:hAnsi="微软雅黑" w:eastAsia="微软雅黑" w:cs="微软雅黑"/>
                      <w:i/>
                      <w:iCs/>
                      <w:color w:val="000000"/>
                      <w:sz w:val="16"/>
                      <w:szCs w:val="16"/>
                      <w:u w:val="none"/>
                    </w:rPr>
                  </w:pPr>
                </w:p>
              </w:tc>
            </w:tr>
            <w:tr w14:paraId="30468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26C68">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8913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D7D4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BCC1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服务群众满意度</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E57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C6C1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1091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8A771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969A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9EF1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F064D9">
                  <w:pPr>
                    <w:jc w:val="center"/>
                    <w:rPr>
                      <w:rFonts w:hint="eastAsia" w:ascii="微软雅黑" w:hAnsi="微软雅黑" w:eastAsia="微软雅黑" w:cs="微软雅黑"/>
                      <w:i/>
                      <w:iCs/>
                      <w:color w:val="000000"/>
                      <w:sz w:val="16"/>
                      <w:szCs w:val="16"/>
                      <w:u w:val="none"/>
                    </w:rPr>
                  </w:pPr>
                </w:p>
              </w:tc>
            </w:tr>
            <w:tr w14:paraId="17AF7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DDFCF">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C3E9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4753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2AE2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购买办公设备经济成本</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9C8A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4CA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265750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1CF9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44D37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259500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F1A2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4F20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AB5F5">
                  <w:pPr>
                    <w:jc w:val="center"/>
                    <w:rPr>
                      <w:rFonts w:hint="eastAsia" w:ascii="微软雅黑" w:hAnsi="微软雅黑" w:eastAsia="微软雅黑" w:cs="微软雅黑"/>
                      <w:i/>
                      <w:iCs/>
                      <w:color w:val="000000"/>
                      <w:sz w:val="16"/>
                      <w:szCs w:val="16"/>
                      <w:u w:val="none"/>
                    </w:rPr>
                  </w:pPr>
                </w:p>
              </w:tc>
            </w:tr>
            <w:tr w14:paraId="3B72B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1060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5C8AA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05B3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C2FDE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8792ED">
                  <w:pPr>
                    <w:rPr>
                      <w:rFonts w:hint="eastAsia" w:ascii="宋体" w:hAnsi="宋体" w:eastAsia="宋体" w:cs="宋体"/>
                      <w:i w:val="0"/>
                      <w:iCs w:val="0"/>
                      <w:color w:val="000000"/>
                      <w:sz w:val="18"/>
                      <w:szCs w:val="18"/>
                      <w:u w:val="none"/>
                    </w:rPr>
                  </w:pPr>
                </w:p>
              </w:tc>
            </w:tr>
            <w:tr w14:paraId="36CBA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0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C17F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F61D1C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得分100分，通过更新办公设备，保障了单位工作的正常运转，有效提高办公效率。</w:t>
                  </w:r>
                </w:p>
              </w:tc>
            </w:tr>
            <w:tr w14:paraId="61CDD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7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6D9B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C4F893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3799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3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FF83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0C6B351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6F14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730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28B7B6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C6B204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31F9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85" w:hRule="atLeast"/>
              </w:trPr>
              <w:tc>
                <w:tcPr>
                  <w:tcW w:w="690" w:type="dxa"/>
                  <w:gridSpan w:val="2"/>
                  <w:tcBorders>
                    <w:top w:val="nil"/>
                    <w:left w:val="nil"/>
                    <w:bottom w:val="nil"/>
                    <w:right w:val="nil"/>
                  </w:tcBorders>
                  <w:shd w:val="clear" w:color="auto" w:fill="auto"/>
                  <w:vAlign w:val="center"/>
                </w:tcPr>
                <w:p w14:paraId="727DB83D">
                  <w:pPr>
                    <w:rPr>
                      <w:rFonts w:hint="eastAsia" w:ascii="宋体" w:hAnsi="宋体" w:eastAsia="宋体" w:cs="宋体"/>
                      <w:i w:val="0"/>
                      <w:iCs w:val="0"/>
                      <w:color w:val="000000"/>
                      <w:sz w:val="18"/>
                      <w:szCs w:val="18"/>
                      <w:u w:val="none"/>
                    </w:rPr>
                  </w:pPr>
                </w:p>
              </w:tc>
              <w:tc>
                <w:tcPr>
                  <w:tcW w:w="2055" w:type="dxa"/>
                  <w:gridSpan w:val="2"/>
                  <w:tcBorders>
                    <w:top w:val="nil"/>
                    <w:left w:val="nil"/>
                    <w:bottom w:val="nil"/>
                    <w:right w:val="nil"/>
                  </w:tcBorders>
                  <w:shd w:val="clear" w:color="auto" w:fill="auto"/>
                  <w:vAlign w:val="center"/>
                </w:tcPr>
                <w:p w14:paraId="61460F97">
                  <w:pPr>
                    <w:rPr>
                      <w:rFonts w:hint="eastAsia" w:ascii="宋体" w:hAnsi="宋体" w:eastAsia="宋体" w:cs="宋体"/>
                      <w:i w:val="0"/>
                      <w:iCs w:val="0"/>
                      <w:color w:val="000000"/>
                      <w:sz w:val="18"/>
                      <w:szCs w:val="18"/>
                      <w:u w:val="none"/>
                    </w:rPr>
                  </w:pPr>
                </w:p>
              </w:tc>
              <w:tc>
                <w:tcPr>
                  <w:tcW w:w="1770" w:type="dxa"/>
                  <w:gridSpan w:val="2"/>
                  <w:tcBorders>
                    <w:top w:val="nil"/>
                    <w:left w:val="nil"/>
                    <w:bottom w:val="nil"/>
                    <w:right w:val="nil"/>
                  </w:tcBorders>
                  <w:shd w:val="clear" w:color="auto" w:fill="auto"/>
                  <w:vAlign w:val="center"/>
                </w:tcPr>
                <w:p w14:paraId="78DF7641">
                  <w:pPr>
                    <w:rPr>
                      <w:rFonts w:hint="eastAsia" w:ascii="宋体" w:hAnsi="宋体" w:eastAsia="宋体" w:cs="宋体"/>
                      <w:i w:val="0"/>
                      <w:iCs w:val="0"/>
                      <w:color w:val="000000"/>
                      <w:sz w:val="18"/>
                      <w:szCs w:val="18"/>
                      <w:u w:val="none"/>
                    </w:rPr>
                  </w:pPr>
                </w:p>
              </w:tc>
              <w:tc>
                <w:tcPr>
                  <w:tcW w:w="2265" w:type="dxa"/>
                  <w:gridSpan w:val="2"/>
                  <w:tcBorders>
                    <w:top w:val="nil"/>
                    <w:left w:val="nil"/>
                    <w:bottom w:val="nil"/>
                    <w:right w:val="nil"/>
                  </w:tcBorders>
                  <w:shd w:val="clear" w:color="auto" w:fill="auto"/>
                  <w:vAlign w:val="center"/>
                </w:tcPr>
                <w:p w14:paraId="4FD89397">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2D84F3D3">
                  <w:pPr>
                    <w:rPr>
                      <w:rFonts w:hint="eastAsia" w:ascii="宋体" w:hAnsi="宋体" w:eastAsia="宋体" w:cs="宋体"/>
                      <w:i w:val="0"/>
                      <w:iCs w:val="0"/>
                      <w:color w:val="000000"/>
                      <w:sz w:val="18"/>
                      <w:szCs w:val="18"/>
                      <w:u w:val="none"/>
                    </w:rPr>
                  </w:pPr>
                </w:p>
              </w:tc>
              <w:tc>
                <w:tcPr>
                  <w:tcW w:w="1680" w:type="dxa"/>
                  <w:gridSpan w:val="2"/>
                  <w:tcBorders>
                    <w:top w:val="nil"/>
                    <w:left w:val="nil"/>
                    <w:bottom w:val="nil"/>
                    <w:right w:val="nil"/>
                  </w:tcBorders>
                  <w:shd w:val="clear" w:color="auto" w:fill="auto"/>
                  <w:vAlign w:val="center"/>
                </w:tcPr>
                <w:p w14:paraId="098770E5">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4533712E">
                  <w:pPr>
                    <w:rPr>
                      <w:rFonts w:hint="eastAsia" w:ascii="宋体" w:hAnsi="宋体" w:eastAsia="宋体" w:cs="宋体"/>
                      <w:i w:val="0"/>
                      <w:iCs w:val="0"/>
                      <w:color w:val="000000"/>
                      <w:sz w:val="18"/>
                      <w:szCs w:val="18"/>
                      <w:u w:val="none"/>
                    </w:rPr>
                  </w:pPr>
                </w:p>
              </w:tc>
              <w:tc>
                <w:tcPr>
                  <w:tcW w:w="1095" w:type="dxa"/>
                  <w:gridSpan w:val="2"/>
                  <w:tcBorders>
                    <w:top w:val="nil"/>
                    <w:left w:val="nil"/>
                    <w:bottom w:val="nil"/>
                    <w:right w:val="nil"/>
                  </w:tcBorders>
                  <w:shd w:val="clear" w:color="auto" w:fill="auto"/>
                  <w:vAlign w:val="center"/>
                </w:tcPr>
                <w:p w14:paraId="7F0B6BF8">
                  <w:pPr>
                    <w:rPr>
                      <w:rFonts w:hint="eastAsia" w:ascii="宋体" w:hAnsi="宋体" w:eastAsia="宋体" w:cs="宋体"/>
                      <w:i w:val="0"/>
                      <w:iCs w:val="0"/>
                      <w:color w:val="000000"/>
                      <w:sz w:val="18"/>
                      <w:szCs w:val="18"/>
                      <w:u w:val="none"/>
                    </w:rPr>
                  </w:pPr>
                </w:p>
              </w:tc>
              <w:tc>
                <w:tcPr>
                  <w:tcW w:w="510" w:type="dxa"/>
                  <w:gridSpan w:val="2"/>
                  <w:tcBorders>
                    <w:top w:val="nil"/>
                    <w:left w:val="nil"/>
                    <w:bottom w:val="nil"/>
                    <w:right w:val="nil"/>
                  </w:tcBorders>
                  <w:shd w:val="clear" w:color="auto" w:fill="auto"/>
                  <w:vAlign w:val="center"/>
                </w:tcPr>
                <w:p w14:paraId="4530A0F2">
                  <w:pPr>
                    <w:rPr>
                      <w:rFonts w:hint="eastAsia" w:ascii="宋体" w:hAnsi="宋体" w:eastAsia="宋体" w:cs="宋体"/>
                      <w:i w:val="0"/>
                      <w:iCs w:val="0"/>
                      <w:color w:val="000000"/>
                      <w:sz w:val="18"/>
                      <w:szCs w:val="18"/>
                      <w:u w:val="none"/>
                    </w:rPr>
                  </w:pPr>
                </w:p>
              </w:tc>
              <w:tc>
                <w:tcPr>
                  <w:tcW w:w="450" w:type="dxa"/>
                  <w:gridSpan w:val="2"/>
                  <w:tcBorders>
                    <w:top w:val="nil"/>
                    <w:left w:val="nil"/>
                    <w:bottom w:val="nil"/>
                    <w:right w:val="nil"/>
                  </w:tcBorders>
                  <w:shd w:val="clear" w:color="auto" w:fill="auto"/>
                  <w:vAlign w:val="center"/>
                </w:tcPr>
                <w:p w14:paraId="5AD2F5C2">
                  <w:pPr>
                    <w:rPr>
                      <w:rFonts w:hint="eastAsia" w:ascii="宋体" w:hAnsi="宋体" w:eastAsia="宋体" w:cs="宋体"/>
                      <w:i w:val="0"/>
                      <w:iCs w:val="0"/>
                      <w:color w:val="000000"/>
                      <w:sz w:val="18"/>
                      <w:szCs w:val="18"/>
                      <w:u w:val="none"/>
                    </w:rPr>
                  </w:pPr>
                </w:p>
              </w:tc>
              <w:tc>
                <w:tcPr>
                  <w:tcW w:w="2550" w:type="dxa"/>
                  <w:gridSpan w:val="2"/>
                  <w:tcBorders>
                    <w:top w:val="nil"/>
                    <w:left w:val="nil"/>
                    <w:bottom w:val="nil"/>
                    <w:right w:val="nil"/>
                  </w:tcBorders>
                  <w:shd w:val="clear" w:color="auto" w:fill="auto"/>
                  <w:vAlign w:val="center"/>
                </w:tcPr>
                <w:p w14:paraId="711A7BA9">
                  <w:pPr>
                    <w:rPr>
                      <w:rFonts w:hint="eastAsia" w:ascii="宋体" w:hAnsi="宋体" w:eastAsia="宋体" w:cs="宋体"/>
                      <w:i w:val="0"/>
                      <w:iCs w:val="0"/>
                      <w:color w:val="000000"/>
                      <w:sz w:val="18"/>
                      <w:szCs w:val="18"/>
                      <w:u w:val="none"/>
                    </w:rPr>
                  </w:pPr>
                </w:p>
              </w:tc>
            </w:tr>
            <w:tr w14:paraId="02F90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04" w:hRule="atLeast"/>
              </w:trPr>
              <w:tc>
                <w:tcPr>
                  <w:tcW w:w="14115"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3B92027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65CA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0DF6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4CDD1C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51320024T000010802791-阿坝州党政机关办公用房系统、公务用车系统、能耗监测系统、单位官方网站、公众号等运行维护费</w:t>
                  </w:r>
                </w:p>
              </w:tc>
            </w:tr>
            <w:tr w14:paraId="713EC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14"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0F8D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EFF5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州机关事务管理局部门</w:t>
                  </w:r>
                </w:p>
              </w:tc>
              <w:tc>
                <w:tcPr>
                  <w:tcW w:w="1095" w:type="dxa"/>
                  <w:gridSpan w:val="2"/>
                  <w:tcBorders>
                    <w:top w:val="nil"/>
                    <w:left w:val="nil"/>
                    <w:bottom w:val="nil"/>
                    <w:right w:val="nil"/>
                  </w:tcBorders>
                  <w:shd w:val="clear" w:color="auto" w:fill="auto"/>
                  <w:vAlign w:val="center"/>
                </w:tcPr>
                <w:p w14:paraId="78CD7F2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FEDE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w:t>
                  </w:r>
                </w:p>
              </w:tc>
            </w:tr>
            <w:tr w14:paraId="6809E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B6C7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F470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5EA7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A43BC2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1309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583"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9C3D2">
                  <w:pP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70948">
                  <w:pPr>
                    <w:rPr>
                      <w:rFonts w:hint="eastAsia" w:ascii="宋体" w:hAnsi="宋体" w:eastAsia="宋体" w:cs="宋体"/>
                      <w:i w:val="0"/>
                      <w:iCs w:val="0"/>
                      <w:color w:val="000000"/>
                      <w:sz w:val="18"/>
                      <w:szCs w:val="18"/>
                      <w:u w:val="none"/>
                    </w:rPr>
                  </w:pP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D13F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阿坝州党政机关办公用房管理信息系统目前登记了各机关单位的单位信息、土地信息、房产信息、房间信息、人员信息、领导信息、房产图纸、VR实景等基础信息，办公用房、租赁、调配、使用等日常业务数据。数据日常变更较大，系统使用率日益增加。为</w:t>
                  </w:r>
                  <w:r>
                    <w:rPr>
                      <w:rFonts w:hint="eastAsia" w:ascii="宋体" w:hAnsi="宋体" w:cs="宋体"/>
                      <w:i w:val="0"/>
                      <w:iCs w:val="0"/>
                      <w:color w:val="000000"/>
                      <w:kern w:val="0"/>
                      <w:sz w:val="18"/>
                      <w:szCs w:val="18"/>
                      <w:u w:val="none"/>
                      <w:lang w:val="en-US" w:eastAsia="zh-CN" w:bidi="ar"/>
                    </w:rPr>
                    <w:t>更好地服务</w:t>
                  </w:r>
                  <w:r>
                    <w:rPr>
                      <w:rFonts w:ascii="宋体" w:hAnsi="宋体" w:eastAsia="宋体" w:cs="宋体"/>
                      <w:i w:val="0"/>
                      <w:iCs w:val="0"/>
                      <w:color w:val="000000"/>
                      <w:kern w:val="0"/>
                      <w:sz w:val="18"/>
                      <w:szCs w:val="18"/>
                      <w:u w:val="none"/>
                      <w:lang w:val="en-US" w:eastAsia="zh-CN" w:bidi="ar"/>
                    </w:rPr>
                    <w:t>各党政机关，每年系统维护费5万元。能耗监测维护旨在进一步提高和保证分项计量能耗数据的正常率，同时加强公共机构对分项计量能耗监测系统的应用。每年系统运行维护费5万元。3.单位官方网站、公众号进行维护5万元.共计15万元。</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75B509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14:paraId="25711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9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50F57">
                  <w:pP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75BA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CB2DD05">
                  <w:pPr>
                    <w:rPr>
                      <w:rFonts w:hint="eastAsia" w:ascii="宋体" w:hAnsi="宋体" w:eastAsia="宋体" w:cs="宋体"/>
                      <w:i w:val="0"/>
                      <w:iCs w:val="0"/>
                      <w:color w:val="000000"/>
                      <w:sz w:val="18"/>
                      <w:szCs w:val="18"/>
                      <w:u w:val="none"/>
                    </w:rPr>
                  </w:pPr>
                </w:p>
              </w:tc>
            </w:tr>
            <w:tr w14:paraId="1FCFF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AAD3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F0F1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94B7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B8C0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CCC1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1C53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2D21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3B16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2571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4085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5"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51C28">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29A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344A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B050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36DF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3DA3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D1E4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FE30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BB3B1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165D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9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A30C3">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D644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8232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D475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17BF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CA36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28F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1D59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0C846">
                  <w:pPr>
                    <w:rPr>
                      <w:rFonts w:hint="eastAsia" w:ascii="黑体" w:hAnsi="黑体" w:eastAsia="黑体" w:cs="黑体"/>
                      <w:i/>
                      <w:iCs/>
                      <w:color w:val="000000"/>
                      <w:sz w:val="18"/>
                      <w:szCs w:val="18"/>
                      <w:u w:val="none"/>
                    </w:rPr>
                  </w:pPr>
                </w:p>
              </w:tc>
            </w:tr>
            <w:tr w14:paraId="7D61B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0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0F036">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6587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C435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71C5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8706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DD6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0337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E480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9009D">
                  <w:pPr>
                    <w:rPr>
                      <w:rFonts w:hint="eastAsia" w:ascii="黑体" w:hAnsi="黑体" w:eastAsia="黑体" w:cs="黑体"/>
                      <w:i/>
                      <w:iCs/>
                      <w:color w:val="000000"/>
                      <w:sz w:val="18"/>
                      <w:szCs w:val="18"/>
                      <w:u w:val="none"/>
                    </w:rPr>
                  </w:pPr>
                </w:p>
              </w:tc>
            </w:tr>
            <w:tr w14:paraId="292A4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16ABC">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DAB0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D2C0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F10A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D076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CF26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1726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FDD2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351F7">
                  <w:pPr>
                    <w:rPr>
                      <w:rFonts w:hint="eastAsia" w:ascii="黑体" w:hAnsi="黑体" w:eastAsia="黑体" w:cs="黑体"/>
                      <w:i/>
                      <w:iCs/>
                      <w:color w:val="000000"/>
                      <w:sz w:val="18"/>
                      <w:szCs w:val="18"/>
                      <w:u w:val="none"/>
                    </w:rPr>
                  </w:pPr>
                </w:p>
              </w:tc>
            </w:tr>
            <w:tr w14:paraId="7F98A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38F08">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1E6C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25BEE7">
                  <w:pPr>
                    <w:jc w:val="center"/>
                    <w:rPr>
                      <w:rFonts w:hint="eastAsia" w:ascii="微软雅黑" w:hAnsi="微软雅黑" w:eastAsia="微软雅黑" w:cs="微软雅黑"/>
                      <w:i/>
                      <w:iCs/>
                      <w:color w:val="000000"/>
                      <w:sz w:val="16"/>
                      <w:szCs w:val="16"/>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2976D4">
                  <w:pPr>
                    <w:jc w:val="center"/>
                    <w:rPr>
                      <w:rFonts w:hint="eastAsia" w:ascii="微软雅黑" w:hAnsi="微软雅黑" w:eastAsia="微软雅黑" w:cs="微软雅黑"/>
                      <w:i/>
                      <w:iCs/>
                      <w:color w:val="000000"/>
                      <w:sz w:val="16"/>
                      <w:szCs w:val="16"/>
                      <w:u w:val="none"/>
                    </w:rPr>
                  </w:pP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89FCFD">
                  <w:pPr>
                    <w:jc w:val="center"/>
                    <w:rPr>
                      <w:rFonts w:hint="eastAsia" w:ascii="微软雅黑" w:hAnsi="微软雅黑" w:eastAsia="微软雅黑" w:cs="微软雅黑"/>
                      <w:i/>
                      <w:iCs/>
                      <w:color w:val="000000"/>
                      <w:sz w:val="16"/>
                      <w:szCs w:val="16"/>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BD5438">
                  <w:pPr>
                    <w:jc w:val="center"/>
                    <w:rPr>
                      <w:rFonts w:hint="eastAsia" w:ascii="微软雅黑" w:hAnsi="微软雅黑" w:eastAsia="微软雅黑" w:cs="微软雅黑"/>
                      <w:i/>
                      <w:iCs/>
                      <w:color w:val="000000"/>
                      <w:sz w:val="16"/>
                      <w:szCs w:val="16"/>
                      <w:u w:val="none"/>
                    </w:rPr>
                  </w:pP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79F0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C280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8716C">
                  <w:pPr>
                    <w:rPr>
                      <w:rFonts w:hint="eastAsia" w:ascii="黑体" w:hAnsi="黑体" w:eastAsia="黑体" w:cs="黑体"/>
                      <w:i/>
                      <w:iCs/>
                      <w:color w:val="000000"/>
                      <w:sz w:val="18"/>
                      <w:szCs w:val="18"/>
                      <w:u w:val="none"/>
                    </w:rPr>
                  </w:pPr>
                </w:p>
              </w:tc>
            </w:tr>
            <w:tr w14:paraId="052A6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28A7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DCC5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3EA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08BA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E803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62D9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FB49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E945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5A61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ACA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DC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12CE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097EC">
                  <w:pPr>
                    <w:jc w:val="center"/>
                    <w:rPr>
                      <w:rFonts w:hint="eastAsia" w:ascii="宋体" w:hAnsi="宋体" w:eastAsia="宋体" w:cs="宋体"/>
                      <w:i w:val="0"/>
                      <w:iCs w:val="0"/>
                      <w:color w:val="000000"/>
                      <w:sz w:val="18"/>
                      <w:szCs w:val="18"/>
                      <w:u w:val="none"/>
                    </w:rPr>
                  </w:pP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AEE4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633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4284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系统的数量</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8365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04DD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3F40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个（套）</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D71C7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DC68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AA8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937906">
                  <w:pPr>
                    <w:jc w:val="center"/>
                    <w:rPr>
                      <w:rFonts w:hint="eastAsia" w:ascii="微软雅黑" w:hAnsi="微软雅黑" w:eastAsia="微软雅黑" w:cs="微软雅黑"/>
                      <w:i/>
                      <w:iCs/>
                      <w:color w:val="000000"/>
                      <w:sz w:val="16"/>
                      <w:szCs w:val="16"/>
                      <w:u w:val="none"/>
                    </w:rPr>
                  </w:pPr>
                </w:p>
              </w:tc>
            </w:tr>
            <w:tr w14:paraId="2F632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79E50">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AA385">
                  <w:pPr>
                    <w:jc w:val="center"/>
                    <w:rPr>
                      <w:rFonts w:hint="eastAsia" w:ascii="宋体" w:hAnsi="宋体" w:eastAsia="宋体" w:cs="宋体"/>
                      <w:i w:val="0"/>
                      <w:iCs w:val="0"/>
                      <w:color w:val="000000"/>
                      <w:sz w:val="18"/>
                      <w:szCs w:val="18"/>
                      <w:u w:val="none"/>
                    </w:rPr>
                  </w:pPr>
                </w:p>
              </w:tc>
              <w:tc>
                <w:tcPr>
                  <w:tcW w:w="17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FDA4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7CA1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预期提供的服务达到的标准</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E7B6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EC28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DE6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95C3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25DF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1643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C7C132">
                  <w:pPr>
                    <w:jc w:val="center"/>
                    <w:rPr>
                      <w:rFonts w:hint="eastAsia" w:ascii="微软雅黑" w:hAnsi="微软雅黑" w:eastAsia="微软雅黑" w:cs="微软雅黑"/>
                      <w:i/>
                      <w:iCs/>
                      <w:color w:val="000000"/>
                      <w:sz w:val="16"/>
                      <w:szCs w:val="16"/>
                      <w:u w:val="none"/>
                    </w:rPr>
                  </w:pPr>
                </w:p>
              </w:tc>
            </w:tr>
            <w:tr w14:paraId="16238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D1728">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18113">
                  <w:pPr>
                    <w:jc w:val="center"/>
                    <w:rPr>
                      <w:rFonts w:hint="eastAsia" w:ascii="宋体" w:hAnsi="宋体" w:eastAsia="宋体" w:cs="宋体"/>
                      <w:i w:val="0"/>
                      <w:iCs w:val="0"/>
                      <w:color w:val="000000"/>
                      <w:sz w:val="18"/>
                      <w:szCs w:val="18"/>
                      <w:u w:val="none"/>
                    </w:rPr>
                  </w:pPr>
                </w:p>
              </w:tc>
              <w:tc>
                <w:tcPr>
                  <w:tcW w:w="17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A56E0">
                  <w:pPr>
                    <w:jc w:val="center"/>
                    <w:rPr>
                      <w:rFonts w:hint="eastAsia" w:ascii="宋体" w:hAnsi="宋体" w:eastAsia="宋体" w:cs="宋体"/>
                      <w:i w:val="0"/>
                      <w:iCs w:val="0"/>
                      <w:color w:val="000000"/>
                      <w:sz w:val="18"/>
                      <w:szCs w:val="18"/>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9DC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更好地服务</w:t>
                  </w:r>
                  <w:r>
                    <w:rPr>
                      <w:rFonts w:ascii="宋体" w:hAnsi="宋体" w:eastAsia="宋体" w:cs="宋体"/>
                      <w:i w:val="0"/>
                      <w:iCs w:val="0"/>
                      <w:color w:val="000000"/>
                      <w:kern w:val="0"/>
                      <w:sz w:val="18"/>
                      <w:szCs w:val="18"/>
                      <w:u w:val="none"/>
                      <w:lang w:val="en-US" w:eastAsia="zh-CN" w:bidi="ar"/>
                    </w:rPr>
                    <w:t>各行政事业单位</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0417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F27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0C5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3C070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94</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9D27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76E7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DADC95">
                  <w:pPr>
                    <w:jc w:val="center"/>
                    <w:rPr>
                      <w:rFonts w:hint="eastAsia" w:ascii="微软雅黑" w:hAnsi="微软雅黑" w:eastAsia="微软雅黑" w:cs="微软雅黑"/>
                      <w:i/>
                      <w:iCs/>
                      <w:color w:val="000000"/>
                      <w:sz w:val="16"/>
                      <w:szCs w:val="16"/>
                      <w:u w:val="none"/>
                    </w:rPr>
                  </w:pPr>
                </w:p>
              </w:tc>
            </w:tr>
            <w:tr w14:paraId="2C032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B39BE">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4FD47">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EC12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CC2F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2B62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3A45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2024年12月底前完成</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B9A28A">
                  <w:pPr>
                    <w:jc w:val="center"/>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603F3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6BD9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F543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31AB67">
                  <w:pPr>
                    <w:jc w:val="center"/>
                    <w:rPr>
                      <w:rFonts w:hint="eastAsia" w:ascii="微软雅黑" w:hAnsi="微软雅黑" w:eastAsia="微软雅黑" w:cs="微软雅黑"/>
                      <w:i/>
                      <w:iCs/>
                      <w:color w:val="000000"/>
                      <w:sz w:val="16"/>
                      <w:szCs w:val="16"/>
                      <w:u w:val="none"/>
                    </w:rPr>
                  </w:pPr>
                </w:p>
              </w:tc>
            </w:tr>
            <w:tr w14:paraId="5FE45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71D48">
                  <w:pPr>
                    <w:jc w:val="center"/>
                    <w:rPr>
                      <w:rFonts w:hint="eastAsia" w:ascii="宋体" w:hAnsi="宋体" w:eastAsia="宋体" w:cs="宋体"/>
                      <w:i w:val="0"/>
                      <w:iCs w:val="0"/>
                      <w:color w:val="000000"/>
                      <w:sz w:val="18"/>
                      <w:szCs w:val="18"/>
                      <w:u w:val="none"/>
                    </w:rPr>
                  </w:pP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C13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BB67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5BA7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财政资金节约数</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DEF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5A1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54CA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1E860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1C04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E25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79857A">
                  <w:pPr>
                    <w:jc w:val="center"/>
                    <w:rPr>
                      <w:rFonts w:hint="eastAsia" w:ascii="微软雅黑" w:hAnsi="微软雅黑" w:eastAsia="微软雅黑" w:cs="微软雅黑"/>
                      <w:i/>
                      <w:iCs/>
                      <w:color w:val="000000"/>
                      <w:sz w:val="16"/>
                      <w:szCs w:val="16"/>
                      <w:u w:val="none"/>
                    </w:rPr>
                  </w:pPr>
                </w:p>
              </w:tc>
            </w:tr>
            <w:tr w14:paraId="34580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452C5">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E0FE7">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BB6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EDF4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更高效的办公</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A45E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B283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FD5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0F34F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96</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3F66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774B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30C68A">
                  <w:pPr>
                    <w:jc w:val="center"/>
                    <w:rPr>
                      <w:rFonts w:hint="eastAsia" w:ascii="微软雅黑" w:hAnsi="微软雅黑" w:eastAsia="微软雅黑" w:cs="微软雅黑"/>
                      <w:i/>
                      <w:iCs/>
                      <w:color w:val="000000"/>
                      <w:sz w:val="16"/>
                      <w:szCs w:val="16"/>
                      <w:u w:val="none"/>
                    </w:rPr>
                  </w:pPr>
                </w:p>
              </w:tc>
            </w:tr>
            <w:tr w14:paraId="3589A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47478">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A706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F18F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F485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各行政事业单位满意度</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3BA7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A08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846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0942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97</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62A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223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953D54">
                  <w:pPr>
                    <w:jc w:val="center"/>
                    <w:rPr>
                      <w:rFonts w:hint="eastAsia" w:ascii="微软雅黑" w:hAnsi="微软雅黑" w:eastAsia="微软雅黑" w:cs="微软雅黑"/>
                      <w:i/>
                      <w:iCs/>
                      <w:color w:val="000000"/>
                      <w:sz w:val="16"/>
                      <w:szCs w:val="16"/>
                      <w:u w:val="none"/>
                    </w:rPr>
                  </w:pPr>
                </w:p>
              </w:tc>
            </w:tr>
            <w:tr w14:paraId="287EB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2BCD4">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7184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FF34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B7E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3各系统全年维护的经济成本</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A802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29D9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91F9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C81DD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15</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D447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DF4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58C567">
                  <w:pPr>
                    <w:jc w:val="center"/>
                    <w:rPr>
                      <w:rFonts w:hint="eastAsia" w:ascii="微软雅黑" w:hAnsi="微软雅黑" w:eastAsia="微软雅黑" w:cs="微软雅黑"/>
                      <w:i/>
                      <w:iCs/>
                      <w:color w:val="000000"/>
                      <w:sz w:val="16"/>
                      <w:szCs w:val="16"/>
                      <w:u w:val="none"/>
                    </w:rPr>
                  </w:pPr>
                </w:p>
              </w:tc>
            </w:tr>
            <w:tr w14:paraId="1FADB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1060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F223F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5148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898E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CA3F23">
                  <w:pPr>
                    <w:rPr>
                      <w:rFonts w:hint="eastAsia" w:ascii="宋体" w:hAnsi="宋体" w:eastAsia="宋体" w:cs="宋体"/>
                      <w:i w:val="0"/>
                      <w:iCs w:val="0"/>
                      <w:color w:val="000000"/>
                      <w:sz w:val="18"/>
                      <w:szCs w:val="18"/>
                      <w:u w:val="none"/>
                    </w:rPr>
                  </w:pPr>
                </w:p>
              </w:tc>
            </w:tr>
            <w:tr w14:paraId="03D6C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0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4BE0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3F586B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自评得分100分。通过信息化系统的应用，有效提高工作效率，增加信息公开的渠道，各类信息的宣传。</w:t>
                  </w:r>
                </w:p>
              </w:tc>
            </w:tr>
            <w:tr w14:paraId="3E965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7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156B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882DC5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CD09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3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8F79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3FA4EFF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FD2A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730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94D59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608BF0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4EC0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85" w:hRule="atLeast"/>
              </w:trPr>
              <w:tc>
                <w:tcPr>
                  <w:tcW w:w="690" w:type="dxa"/>
                  <w:gridSpan w:val="2"/>
                  <w:tcBorders>
                    <w:top w:val="nil"/>
                    <w:left w:val="nil"/>
                    <w:bottom w:val="nil"/>
                    <w:right w:val="nil"/>
                  </w:tcBorders>
                  <w:shd w:val="clear" w:color="auto" w:fill="auto"/>
                  <w:vAlign w:val="center"/>
                </w:tcPr>
                <w:p w14:paraId="622A4CAA">
                  <w:pPr>
                    <w:rPr>
                      <w:rFonts w:hint="eastAsia" w:ascii="宋体" w:hAnsi="宋体" w:eastAsia="宋体" w:cs="宋体"/>
                      <w:i w:val="0"/>
                      <w:iCs w:val="0"/>
                      <w:color w:val="000000"/>
                      <w:sz w:val="18"/>
                      <w:szCs w:val="18"/>
                      <w:u w:val="none"/>
                    </w:rPr>
                  </w:pPr>
                </w:p>
              </w:tc>
              <w:tc>
                <w:tcPr>
                  <w:tcW w:w="2055" w:type="dxa"/>
                  <w:gridSpan w:val="2"/>
                  <w:tcBorders>
                    <w:top w:val="nil"/>
                    <w:left w:val="nil"/>
                    <w:bottom w:val="nil"/>
                    <w:right w:val="nil"/>
                  </w:tcBorders>
                  <w:shd w:val="clear" w:color="auto" w:fill="auto"/>
                  <w:vAlign w:val="center"/>
                </w:tcPr>
                <w:p w14:paraId="54BF28A3">
                  <w:pPr>
                    <w:rPr>
                      <w:rFonts w:hint="eastAsia" w:ascii="宋体" w:hAnsi="宋体" w:eastAsia="宋体" w:cs="宋体"/>
                      <w:i w:val="0"/>
                      <w:iCs w:val="0"/>
                      <w:color w:val="000000"/>
                      <w:sz w:val="18"/>
                      <w:szCs w:val="18"/>
                      <w:u w:val="none"/>
                    </w:rPr>
                  </w:pPr>
                </w:p>
              </w:tc>
              <w:tc>
                <w:tcPr>
                  <w:tcW w:w="1770" w:type="dxa"/>
                  <w:gridSpan w:val="2"/>
                  <w:tcBorders>
                    <w:top w:val="nil"/>
                    <w:left w:val="nil"/>
                    <w:bottom w:val="nil"/>
                    <w:right w:val="nil"/>
                  </w:tcBorders>
                  <w:shd w:val="clear" w:color="auto" w:fill="auto"/>
                  <w:vAlign w:val="center"/>
                </w:tcPr>
                <w:p w14:paraId="04E9EA3E">
                  <w:pPr>
                    <w:rPr>
                      <w:rFonts w:hint="eastAsia" w:ascii="宋体" w:hAnsi="宋体" w:eastAsia="宋体" w:cs="宋体"/>
                      <w:i w:val="0"/>
                      <w:iCs w:val="0"/>
                      <w:color w:val="000000"/>
                      <w:sz w:val="18"/>
                      <w:szCs w:val="18"/>
                      <w:u w:val="none"/>
                    </w:rPr>
                  </w:pPr>
                </w:p>
              </w:tc>
              <w:tc>
                <w:tcPr>
                  <w:tcW w:w="2265" w:type="dxa"/>
                  <w:gridSpan w:val="2"/>
                  <w:tcBorders>
                    <w:top w:val="nil"/>
                    <w:left w:val="nil"/>
                    <w:bottom w:val="nil"/>
                    <w:right w:val="nil"/>
                  </w:tcBorders>
                  <w:shd w:val="clear" w:color="auto" w:fill="auto"/>
                  <w:vAlign w:val="center"/>
                </w:tcPr>
                <w:p w14:paraId="0C42D36B">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233F38B3">
                  <w:pPr>
                    <w:rPr>
                      <w:rFonts w:hint="eastAsia" w:ascii="宋体" w:hAnsi="宋体" w:eastAsia="宋体" w:cs="宋体"/>
                      <w:i w:val="0"/>
                      <w:iCs w:val="0"/>
                      <w:color w:val="000000"/>
                      <w:sz w:val="18"/>
                      <w:szCs w:val="18"/>
                      <w:u w:val="none"/>
                    </w:rPr>
                  </w:pPr>
                </w:p>
              </w:tc>
              <w:tc>
                <w:tcPr>
                  <w:tcW w:w="1680" w:type="dxa"/>
                  <w:gridSpan w:val="2"/>
                  <w:tcBorders>
                    <w:top w:val="nil"/>
                    <w:left w:val="nil"/>
                    <w:bottom w:val="nil"/>
                    <w:right w:val="nil"/>
                  </w:tcBorders>
                  <w:shd w:val="clear" w:color="auto" w:fill="auto"/>
                  <w:vAlign w:val="center"/>
                </w:tcPr>
                <w:p w14:paraId="291A2747">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229C8725">
                  <w:pPr>
                    <w:rPr>
                      <w:rFonts w:hint="eastAsia" w:ascii="宋体" w:hAnsi="宋体" w:eastAsia="宋体" w:cs="宋体"/>
                      <w:i w:val="0"/>
                      <w:iCs w:val="0"/>
                      <w:color w:val="000000"/>
                      <w:sz w:val="18"/>
                      <w:szCs w:val="18"/>
                      <w:u w:val="none"/>
                    </w:rPr>
                  </w:pPr>
                </w:p>
              </w:tc>
              <w:tc>
                <w:tcPr>
                  <w:tcW w:w="1095" w:type="dxa"/>
                  <w:gridSpan w:val="2"/>
                  <w:tcBorders>
                    <w:top w:val="nil"/>
                    <w:left w:val="nil"/>
                    <w:bottom w:val="nil"/>
                    <w:right w:val="nil"/>
                  </w:tcBorders>
                  <w:shd w:val="clear" w:color="auto" w:fill="auto"/>
                  <w:vAlign w:val="center"/>
                </w:tcPr>
                <w:p w14:paraId="04E0AB0E">
                  <w:pPr>
                    <w:rPr>
                      <w:rFonts w:hint="eastAsia" w:ascii="宋体" w:hAnsi="宋体" w:eastAsia="宋体" w:cs="宋体"/>
                      <w:i w:val="0"/>
                      <w:iCs w:val="0"/>
                      <w:color w:val="000000"/>
                      <w:sz w:val="18"/>
                      <w:szCs w:val="18"/>
                      <w:u w:val="none"/>
                    </w:rPr>
                  </w:pPr>
                </w:p>
              </w:tc>
              <w:tc>
                <w:tcPr>
                  <w:tcW w:w="510" w:type="dxa"/>
                  <w:gridSpan w:val="2"/>
                  <w:tcBorders>
                    <w:top w:val="nil"/>
                    <w:left w:val="nil"/>
                    <w:bottom w:val="nil"/>
                    <w:right w:val="nil"/>
                  </w:tcBorders>
                  <w:shd w:val="clear" w:color="auto" w:fill="auto"/>
                  <w:vAlign w:val="center"/>
                </w:tcPr>
                <w:p w14:paraId="6C5C99DE">
                  <w:pPr>
                    <w:rPr>
                      <w:rFonts w:hint="eastAsia" w:ascii="宋体" w:hAnsi="宋体" w:eastAsia="宋体" w:cs="宋体"/>
                      <w:i w:val="0"/>
                      <w:iCs w:val="0"/>
                      <w:color w:val="000000"/>
                      <w:sz w:val="18"/>
                      <w:szCs w:val="18"/>
                      <w:u w:val="none"/>
                    </w:rPr>
                  </w:pPr>
                </w:p>
              </w:tc>
              <w:tc>
                <w:tcPr>
                  <w:tcW w:w="450" w:type="dxa"/>
                  <w:gridSpan w:val="2"/>
                  <w:tcBorders>
                    <w:top w:val="nil"/>
                    <w:left w:val="nil"/>
                    <w:bottom w:val="nil"/>
                    <w:right w:val="nil"/>
                  </w:tcBorders>
                  <w:shd w:val="clear" w:color="auto" w:fill="auto"/>
                  <w:vAlign w:val="center"/>
                </w:tcPr>
                <w:p w14:paraId="438F470A">
                  <w:pPr>
                    <w:rPr>
                      <w:rFonts w:hint="eastAsia" w:ascii="宋体" w:hAnsi="宋体" w:eastAsia="宋体" w:cs="宋体"/>
                      <w:i w:val="0"/>
                      <w:iCs w:val="0"/>
                      <w:color w:val="000000"/>
                      <w:sz w:val="18"/>
                      <w:szCs w:val="18"/>
                      <w:u w:val="none"/>
                    </w:rPr>
                  </w:pPr>
                </w:p>
              </w:tc>
              <w:tc>
                <w:tcPr>
                  <w:tcW w:w="2550" w:type="dxa"/>
                  <w:gridSpan w:val="2"/>
                  <w:tcBorders>
                    <w:top w:val="nil"/>
                    <w:left w:val="nil"/>
                    <w:bottom w:val="nil"/>
                    <w:right w:val="nil"/>
                  </w:tcBorders>
                  <w:shd w:val="clear" w:color="auto" w:fill="auto"/>
                  <w:vAlign w:val="center"/>
                </w:tcPr>
                <w:p w14:paraId="4417A3F0">
                  <w:pPr>
                    <w:rPr>
                      <w:rFonts w:hint="eastAsia" w:ascii="宋体" w:hAnsi="宋体" w:eastAsia="宋体" w:cs="宋体"/>
                      <w:i w:val="0"/>
                      <w:iCs w:val="0"/>
                      <w:color w:val="000000"/>
                      <w:sz w:val="18"/>
                      <w:szCs w:val="18"/>
                      <w:u w:val="none"/>
                    </w:rPr>
                  </w:pPr>
                </w:p>
              </w:tc>
            </w:tr>
            <w:tr w14:paraId="679FE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04" w:hRule="atLeast"/>
              </w:trPr>
              <w:tc>
                <w:tcPr>
                  <w:tcW w:w="14115"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0228070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B115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121D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DDAB4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51320024T000010810296-项目、文书档案整理经费</w:t>
                  </w:r>
                </w:p>
              </w:tc>
            </w:tr>
            <w:tr w14:paraId="4DB99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14"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5FFB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F55D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州机关事务管理局部门</w:t>
                  </w:r>
                </w:p>
              </w:tc>
              <w:tc>
                <w:tcPr>
                  <w:tcW w:w="1095" w:type="dxa"/>
                  <w:gridSpan w:val="2"/>
                  <w:tcBorders>
                    <w:top w:val="nil"/>
                    <w:left w:val="nil"/>
                    <w:bottom w:val="nil"/>
                    <w:right w:val="nil"/>
                  </w:tcBorders>
                  <w:shd w:val="clear" w:color="auto" w:fill="auto"/>
                  <w:vAlign w:val="center"/>
                </w:tcPr>
                <w:p w14:paraId="2FCA034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89F5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w:t>
                  </w:r>
                </w:p>
              </w:tc>
            </w:tr>
            <w:tr w14:paraId="195BC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C320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76AF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EB2B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C667E9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6ADC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0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87023">
                  <w:pP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8268E">
                  <w:pPr>
                    <w:rPr>
                      <w:rFonts w:hint="eastAsia" w:ascii="宋体" w:hAnsi="宋体" w:eastAsia="宋体" w:cs="宋体"/>
                      <w:i w:val="0"/>
                      <w:iCs w:val="0"/>
                      <w:color w:val="000000"/>
                      <w:sz w:val="18"/>
                      <w:szCs w:val="18"/>
                      <w:u w:val="none"/>
                    </w:rPr>
                  </w:pP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859E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建成数字档案，使档案信息化基础设施更加完备，档案质量加快提升。查找档案资料工作高效、优质、便捷。</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C2A2B6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14:paraId="76240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9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7AEE2">
                  <w:pP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E76D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D498397">
                  <w:pPr>
                    <w:rPr>
                      <w:rFonts w:hint="eastAsia" w:ascii="宋体" w:hAnsi="宋体" w:eastAsia="宋体" w:cs="宋体"/>
                      <w:i w:val="0"/>
                      <w:iCs w:val="0"/>
                      <w:color w:val="000000"/>
                      <w:sz w:val="18"/>
                      <w:szCs w:val="18"/>
                      <w:u w:val="none"/>
                    </w:rPr>
                  </w:pPr>
                </w:p>
              </w:tc>
            </w:tr>
            <w:tr w14:paraId="6E264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19A0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891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349C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A7E6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D8AB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B6A0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DA73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02F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103D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543C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5"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70A5B">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9B89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C145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3.78</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CC23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3.71</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BC8F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3.71</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964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C44C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4D10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66E3E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0A02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9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0014F">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37E7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50ED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3.78</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6961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3.71</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29E3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3.71</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A276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367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70D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429AE">
                  <w:pPr>
                    <w:rPr>
                      <w:rFonts w:hint="eastAsia" w:ascii="黑体" w:hAnsi="黑体" w:eastAsia="黑体" w:cs="黑体"/>
                      <w:i/>
                      <w:iCs/>
                      <w:color w:val="000000"/>
                      <w:sz w:val="18"/>
                      <w:szCs w:val="18"/>
                      <w:u w:val="none"/>
                    </w:rPr>
                  </w:pPr>
                </w:p>
              </w:tc>
            </w:tr>
            <w:tr w14:paraId="1313E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0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57E26">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06F8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A8F4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B6E5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E6B8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B3E3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EAE5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56C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79EF3">
                  <w:pPr>
                    <w:rPr>
                      <w:rFonts w:hint="eastAsia" w:ascii="黑体" w:hAnsi="黑体" w:eastAsia="黑体" w:cs="黑体"/>
                      <w:i/>
                      <w:iCs/>
                      <w:color w:val="000000"/>
                      <w:sz w:val="18"/>
                      <w:szCs w:val="18"/>
                      <w:u w:val="none"/>
                    </w:rPr>
                  </w:pPr>
                </w:p>
              </w:tc>
            </w:tr>
            <w:tr w14:paraId="06FD6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FB560">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0649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D100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6312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2AEE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F2CE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432C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BBF5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7CB0A">
                  <w:pPr>
                    <w:rPr>
                      <w:rFonts w:hint="eastAsia" w:ascii="黑体" w:hAnsi="黑体" w:eastAsia="黑体" w:cs="黑体"/>
                      <w:i/>
                      <w:iCs/>
                      <w:color w:val="000000"/>
                      <w:sz w:val="18"/>
                      <w:szCs w:val="18"/>
                      <w:u w:val="none"/>
                    </w:rPr>
                  </w:pPr>
                </w:p>
              </w:tc>
            </w:tr>
            <w:tr w14:paraId="56CCB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5D9C7">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225B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88B757">
                  <w:pPr>
                    <w:jc w:val="center"/>
                    <w:rPr>
                      <w:rFonts w:hint="eastAsia" w:ascii="微软雅黑" w:hAnsi="微软雅黑" w:eastAsia="微软雅黑" w:cs="微软雅黑"/>
                      <w:i/>
                      <w:iCs/>
                      <w:color w:val="000000"/>
                      <w:sz w:val="16"/>
                      <w:szCs w:val="16"/>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7D414E">
                  <w:pPr>
                    <w:jc w:val="center"/>
                    <w:rPr>
                      <w:rFonts w:hint="eastAsia" w:ascii="微软雅黑" w:hAnsi="微软雅黑" w:eastAsia="微软雅黑" w:cs="微软雅黑"/>
                      <w:i/>
                      <w:iCs/>
                      <w:color w:val="000000"/>
                      <w:sz w:val="16"/>
                      <w:szCs w:val="16"/>
                      <w:u w:val="none"/>
                    </w:rPr>
                  </w:pP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49C46F">
                  <w:pPr>
                    <w:jc w:val="center"/>
                    <w:rPr>
                      <w:rFonts w:hint="eastAsia" w:ascii="微软雅黑" w:hAnsi="微软雅黑" w:eastAsia="微软雅黑" w:cs="微软雅黑"/>
                      <w:i/>
                      <w:iCs/>
                      <w:color w:val="000000"/>
                      <w:sz w:val="16"/>
                      <w:szCs w:val="16"/>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A65DC0">
                  <w:pPr>
                    <w:jc w:val="center"/>
                    <w:rPr>
                      <w:rFonts w:hint="eastAsia" w:ascii="微软雅黑" w:hAnsi="微软雅黑" w:eastAsia="微软雅黑" w:cs="微软雅黑"/>
                      <w:i/>
                      <w:iCs/>
                      <w:color w:val="000000"/>
                      <w:sz w:val="16"/>
                      <w:szCs w:val="16"/>
                      <w:u w:val="none"/>
                    </w:rPr>
                  </w:pP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043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AC2F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72529">
                  <w:pPr>
                    <w:rPr>
                      <w:rFonts w:hint="eastAsia" w:ascii="黑体" w:hAnsi="黑体" w:eastAsia="黑体" w:cs="黑体"/>
                      <w:i/>
                      <w:iCs/>
                      <w:color w:val="000000"/>
                      <w:sz w:val="18"/>
                      <w:szCs w:val="18"/>
                      <w:u w:val="none"/>
                    </w:rPr>
                  </w:pPr>
                </w:p>
              </w:tc>
            </w:tr>
            <w:tr w14:paraId="64FD5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C9E0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5496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6112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6A0E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A25E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E3C4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C914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3A09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44A7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1E6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62E3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9496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078FD">
                  <w:pPr>
                    <w:jc w:val="center"/>
                    <w:rPr>
                      <w:rFonts w:hint="eastAsia" w:ascii="宋体" w:hAnsi="宋体" w:eastAsia="宋体" w:cs="宋体"/>
                      <w:i w:val="0"/>
                      <w:iCs w:val="0"/>
                      <w:color w:val="000000"/>
                      <w:sz w:val="18"/>
                      <w:szCs w:val="18"/>
                      <w:u w:val="none"/>
                    </w:rPr>
                  </w:pP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7208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F31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9AA5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档案数量</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1F8D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FE0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560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160A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盒</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9CF2D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620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8A63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63B8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FE5DE7">
                  <w:pPr>
                    <w:jc w:val="center"/>
                    <w:rPr>
                      <w:rFonts w:hint="eastAsia" w:ascii="微软雅黑" w:hAnsi="微软雅黑" w:eastAsia="微软雅黑" w:cs="微软雅黑"/>
                      <w:i/>
                      <w:iCs/>
                      <w:color w:val="000000"/>
                      <w:sz w:val="16"/>
                      <w:szCs w:val="16"/>
                      <w:u w:val="none"/>
                    </w:rPr>
                  </w:pPr>
                </w:p>
              </w:tc>
            </w:tr>
            <w:tr w14:paraId="3012E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B3267">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DFBF6">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A6A5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CC90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数字档案验收合格率</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018C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453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2F9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AC930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F740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597E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7E7569">
                  <w:pPr>
                    <w:jc w:val="center"/>
                    <w:rPr>
                      <w:rFonts w:hint="eastAsia" w:ascii="微软雅黑" w:hAnsi="微软雅黑" w:eastAsia="微软雅黑" w:cs="微软雅黑"/>
                      <w:i/>
                      <w:iCs/>
                      <w:color w:val="000000"/>
                      <w:sz w:val="16"/>
                      <w:szCs w:val="16"/>
                      <w:u w:val="none"/>
                    </w:rPr>
                  </w:pPr>
                </w:p>
              </w:tc>
            </w:tr>
            <w:tr w14:paraId="7A9A5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8015E">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55BEF">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FAF2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563D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4542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7248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2024年12月底完成</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D0F1B5">
                  <w:pPr>
                    <w:jc w:val="center"/>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C69FE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A06F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B00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E6F81">
                  <w:pPr>
                    <w:jc w:val="center"/>
                    <w:rPr>
                      <w:rFonts w:hint="eastAsia" w:ascii="微软雅黑" w:hAnsi="微软雅黑" w:eastAsia="微软雅黑" w:cs="微软雅黑"/>
                      <w:i/>
                      <w:iCs/>
                      <w:color w:val="000000"/>
                      <w:sz w:val="16"/>
                      <w:szCs w:val="16"/>
                      <w:u w:val="none"/>
                    </w:rPr>
                  </w:pPr>
                </w:p>
              </w:tc>
            </w:tr>
            <w:tr w14:paraId="55352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13821">
                  <w:pPr>
                    <w:jc w:val="center"/>
                    <w:rPr>
                      <w:rFonts w:hint="eastAsia" w:ascii="宋体" w:hAnsi="宋体" w:eastAsia="宋体" w:cs="宋体"/>
                      <w:i w:val="0"/>
                      <w:iCs w:val="0"/>
                      <w:color w:val="000000"/>
                      <w:sz w:val="18"/>
                      <w:szCs w:val="18"/>
                      <w:u w:val="none"/>
                    </w:rPr>
                  </w:pP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473B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4C8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255C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工作任务完成时间缩短，工作准确性提高</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2771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62D4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10B2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4CBAA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80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6B0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7A8E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715A06">
                  <w:pPr>
                    <w:jc w:val="center"/>
                    <w:rPr>
                      <w:rFonts w:hint="eastAsia" w:ascii="微软雅黑" w:hAnsi="微软雅黑" w:eastAsia="微软雅黑" w:cs="微软雅黑"/>
                      <w:i/>
                      <w:iCs/>
                      <w:color w:val="000000"/>
                      <w:sz w:val="16"/>
                      <w:szCs w:val="16"/>
                      <w:u w:val="none"/>
                    </w:rPr>
                  </w:pPr>
                </w:p>
              </w:tc>
            </w:tr>
            <w:tr w14:paraId="74106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BE87A">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4B6DF">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1AE5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7DDD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数字档案持续化应用年限</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71F9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E6C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E25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B2DF5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15</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F9C9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F3C8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2814CE">
                  <w:pPr>
                    <w:jc w:val="center"/>
                    <w:rPr>
                      <w:rFonts w:hint="eastAsia" w:ascii="微软雅黑" w:hAnsi="微软雅黑" w:eastAsia="微软雅黑" w:cs="微软雅黑"/>
                      <w:i/>
                      <w:iCs/>
                      <w:color w:val="000000"/>
                      <w:sz w:val="16"/>
                      <w:szCs w:val="16"/>
                      <w:u w:val="none"/>
                    </w:rPr>
                  </w:pPr>
                </w:p>
              </w:tc>
            </w:tr>
            <w:tr w14:paraId="53F08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A44E1">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8C93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8154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7507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干部职工满意度</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A7D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E3C9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2A4D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5D86A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96</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534E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80A3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61070C">
                  <w:pPr>
                    <w:jc w:val="center"/>
                    <w:rPr>
                      <w:rFonts w:hint="eastAsia" w:ascii="微软雅黑" w:hAnsi="微软雅黑" w:eastAsia="微软雅黑" w:cs="微软雅黑"/>
                      <w:i/>
                      <w:iCs/>
                      <w:color w:val="000000"/>
                      <w:sz w:val="16"/>
                      <w:szCs w:val="16"/>
                      <w:u w:val="none"/>
                    </w:rPr>
                  </w:pPr>
                </w:p>
              </w:tc>
            </w:tr>
            <w:tr w14:paraId="4CDEC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919FC">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9F27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ADC5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980D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档案整理需要的经济成本</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CBD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9026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37820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DAD9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元/年</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0CA03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37100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2601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0950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346017">
                  <w:pPr>
                    <w:jc w:val="center"/>
                    <w:rPr>
                      <w:rFonts w:hint="eastAsia" w:ascii="微软雅黑" w:hAnsi="微软雅黑" w:eastAsia="微软雅黑" w:cs="微软雅黑"/>
                      <w:i/>
                      <w:iCs/>
                      <w:color w:val="000000"/>
                      <w:sz w:val="16"/>
                      <w:szCs w:val="16"/>
                      <w:u w:val="none"/>
                    </w:rPr>
                  </w:pPr>
                </w:p>
              </w:tc>
            </w:tr>
            <w:tr w14:paraId="77EA0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1060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EAD4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9946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9520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668EC8">
                  <w:pPr>
                    <w:rPr>
                      <w:rFonts w:hint="eastAsia" w:ascii="宋体" w:hAnsi="宋体" w:eastAsia="宋体" w:cs="宋体"/>
                      <w:i w:val="0"/>
                      <w:iCs w:val="0"/>
                      <w:color w:val="000000"/>
                      <w:sz w:val="18"/>
                      <w:szCs w:val="18"/>
                      <w:u w:val="none"/>
                    </w:rPr>
                  </w:pPr>
                </w:p>
              </w:tc>
            </w:tr>
            <w:tr w14:paraId="6B981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0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4932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7875A23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自评100分。进一步规范了档案管理工作，在档案查阅、保管方面明显有质的提高。</w:t>
                  </w:r>
                </w:p>
              </w:tc>
            </w:tr>
            <w:tr w14:paraId="1FF6B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7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D089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E928CF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DFD0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3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946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23BC6E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213B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730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BA38A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12A2CD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AA3C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85" w:hRule="atLeast"/>
              </w:trPr>
              <w:tc>
                <w:tcPr>
                  <w:tcW w:w="690" w:type="dxa"/>
                  <w:gridSpan w:val="2"/>
                  <w:tcBorders>
                    <w:top w:val="nil"/>
                    <w:left w:val="nil"/>
                    <w:bottom w:val="nil"/>
                    <w:right w:val="nil"/>
                  </w:tcBorders>
                  <w:shd w:val="clear" w:color="auto" w:fill="auto"/>
                  <w:vAlign w:val="center"/>
                </w:tcPr>
                <w:p w14:paraId="1E5C65ED">
                  <w:pPr>
                    <w:rPr>
                      <w:rFonts w:hint="eastAsia" w:ascii="宋体" w:hAnsi="宋体" w:eastAsia="宋体" w:cs="宋体"/>
                      <w:i w:val="0"/>
                      <w:iCs w:val="0"/>
                      <w:color w:val="000000"/>
                      <w:sz w:val="18"/>
                      <w:szCs w:val="18"/>
                      <w:u w:val="none"/>
                    </w:rPr>
                  </w:pPr>
                </w:p>
              </w:tc>
              <w:tc>
                <w:tcPr>
                  <w:tcW w:w="2055" w:type="dxa"/>
                  <w:gridSpan w:val="2"/>
                  <w:tcBorders>
                    <w:top w:val="nil"/>
                    <w:left w:val="nil"/>
                    <w:bottom w:val="nil"/>
                    <w:right w:val="nil"/>
                  </w:tcBorders>
                  <w:shd w:val="clear" w:color="auto" w:fill="auto"/>
                  <w:vAlign w:val="center"/>
                </w:tcPr>
                <w:p w14:paraId="648F0ADC">
                  <w:pPr>
                    <w:rPr>
                      <w:rFonts w:hint="eastAsia" w:ascii="宋体" w:hAnsi="宋体" w:eastAsia="宋体" w:cs="宋体"/>
                      <w:i w:val="0"/>
                      <w:iCs w:val="0"/>
                      <w:color w:val="000000"/>
                      <w:sz w:val="18"/>
                      <w:szCs w:val="18"/>
                      <w:u w:val="none"/>
                    </w:rPr>
                  </w:pPr>
                </w:p>
              </w:tc>
              <w:tc>
                <w:tcPr>
                  <w:tcW w:w="1770" w:type="dxa"/>
                  <w:gridSpan w:val="2"/>
                  <w:tcBorders>
                    <w:top w:val="nil"/>
                    <w:left w:val="nil"/>
                    <w:bottom w:val="nil"/>
                    <w:right w:val="nil"/>
                  </w:tcBorders>
                  <w:shd w:val="clear" w:color="auto" w:fill="auto"/>
                  <w:vAlign w:val="center"/>
                </w:tcPr>
                <w:p w14:paraId="5E4038A4">
                  <w:pPr>
                    <w:rPr>
                      <w:rFonts w:hint="eastAsia" w:ascii="宋体" w:hAnsi="宋体" w:eastAsia="宋体" w:cs="宋体"/>
                      <w:i w:val="0"/>
                      <w:iCs w:val="0"/>
                      <w:color w:val="000000"/>
                      <w:sz w:val="18"/>
                      <w:szCs w:val="18"/>
                      <w:u w:val="none"/>
                    </w:rPr>
                  </w:pPr>
                </w:p>
              </w:tc>
              <w:tc>
                <w:tcPr>
                  <w:tcW w:w="2265" w:type="dxa"/>
                  <w:gridSpan w:val="2"/>
                  <w:tcBorders>
                    <w:top w:val="nil"/>
                    <w:left w:val="nil"/>
                    <w:bottom w:val="nil"/>
                    <w:right w:val="nil"/>
                  </w:tcBorders>
                  <w:shd w:val="clear" w:color="auto" w:fill="auto"/>
                  <w:vAlign w:val="center"/>
                </w:tcPr>
                <w:p w14:paraId="19273B85">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42E4DD10">
                  <w:pPr>
                    <w:rPr>
                      <w:rFonts w:hint="eastAsia" w:ascii="宋体" w:hAnsi="宋体" w:eastAsia="宋体" w:cs="宋体"/>
                      <w:i w:val="0"/>
                      <w:iCs w:val="0"/>
                      <w:color w:val="000000"/>
                      <w:sz w:val="18"/>
                      <w:szCs w:val="18"/>
                      <w:u w:val="none"/>
                    </w:rPr>
                  </w:pPr>
                </w:p>
              </w:tc>
              <w:tc>
                <w:tcPr>
                  <w:tcW w:w="1680" w:type="dxa"/>
                  <w:gridSpan w:val="2"/>
                  <w:tcBorders>
                    <w:top w:val="nil"/>
                    <w:left w:val="nil"/>
                    <w:bottom w:val="nil"/>
                    <w:right w:val="nil"/>
                  </w:tcBorders>
                  <w:shd w:val="clear" w:color="auto" w:fill="auto"/>
                  <w:vAlign w:val="center"/>
                </w:tcPr>
                <w:p w14:paraId="52A83F97">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27A810D1">
                  <w:pPr>
                    <w:rPr>
                      <w:rFonts w:hint="eastAsia" w:ascii="宋体" w:hAnsi="宋体" w:eastAsia="宋体" w:cs="宋体"/>
                      <w:i w:val="0"/>
                      <w:iCs w:val="0"/>
                      <w:color w:val="000000"/>
                      <w:sz w:val="18"/>
                      <w:szCs w:val="18"/>
                      <w:u w:val="none"/>
                    </w:rPr>
                  </w:pPr>
                </w:p>
              </w:tc>
              <w:tc>
                <w:tcPr>
                  <w:tcW w:w="1095" w:type="dxa"/>
                  <w:gridSpan w:val="2"/>
                  <w:tcBorders>
                    <w:top w:val="nil"/>
                    <w:left w:val="nil"/>
                    <w:bottom w:val="nil"/>
                    <w:right w:val="nil"/>
                  </w:tcBorders>
                  <w:shd w:val="clear" w:color="auto" w:fill="auto"/>
                  <w:vAlign w:val="center"/>
                </w:tcPr>
                <w:p w14:paraId="1B14C8E9">
                  <w:pPr>
                    <w:rPr>
                      <w:rFonts w:hint="eastAsia" w:ascii="宋体" w:hAnsi="宋体" w:eastAsia="宋体" w:cs="宋体"/>
                      <w:i w:val="0"/>
                      <w:iCs w:val="0"/>
                      <w:color w:val="000000"/>
                      <w:sz w:val="18"/>
                      <w:szCs w:val="18"/>
                      <w:u w:val="none"/>
                    </w:rPr>
                  </w:pPr>
                </w:p>
              </w:tc>
              <w:tc>
                <w:tcPr>
                  <w:tcW w:w="510" w:type="dxa"/>
                  <w:gridSpan w:val="2"/>
                  <w:tcBorders>
                    <w:top w:val="nil"/>
                    <w:left w:val="nil"/>
                    <w:bottom w:val="nil"/>
                    <w:right w:val="nil"/>
                  </w:tcBorders>
                  <w:shd w:val="clear" w:color="auto" w:fill="auto"/>
                  <w:vAlign w:val="center"/>
                </w:tcPr>
                <w:p w14:paraId="09A21078">
                  <w:pPr>
                    <w:rPr>
                      <w:rFonts w:hint="eastAsia" w:ascii="宋体" w:hAnsi="宋体" w:eastAsia="宋体" w:cs="宋体"/>
                      <w:i w:val="0"/>
                      <w:iCs w:val="0"/>
                      <w:color w:val="000000"/>
                      <w:sz w:val="18"/>
                      <w:szCs w:val="18"/>
                      <w:u w:val="none"/>
                    </w:rPr>
                  </w:pPr>
                </w:p>
              </w:tc>
              <w:tc>
                <w:tcPr>
                  <w:tcW w:w="450" w:type="dxa"/>
                  <w:gridSpan w:val="2"/>
                  <w:tcBorders>
                    <w:top w:val="nil"/>
                    <w:left w:val="nil"/>
                    <w:bottom w:val="nil"/>
                    <w:right w:val="nil"/>
                  </w:tcBorders>
                  <w:shd w:val="clear" w:color="auto" w:fill="auto"/>
                  <w:vAlign w:val="center"/>
                </w:tcPr>
                <w:p w14:paraId="10CE766C">
                  <w:pPr>
                    <w:rPr>
                      <w:rFonts w:hint="eastAsia" w:ascii="宋体" w:hAnsi="宋体" w:eastAsia="宋体" w:cs="宋体"/>
                      <w:i w:val="0"/>
                      <w:iCs w:val="0"/>
                      <w:color w:val="000000"/>
                      <w:sz w:val="18"/>
                      <w:szCs w:val="18"/>
                      <w:u w:val="none"/>
                    </w:rPr>
                  </w:pPr>
                </w:p>
              </w:tc>
              <w:tc>
                <w:tcPr>
                  <w:tcW w:w="2550" w:type="dxa"/>
                  <w:gridSpan w:val="2"/>
                  <w:tcBorders>
                    <w:top w:val="nil"/>
                    <w:left w:val="nil"/>
                    <w:bottom w:val="nil"/>
                    <w:right w:val="nil"/>
                  </w:tcBorders>
                  <w:shd w:val="clear" w:color="auto" w:fill="auto"/>
                  <w:vAlign w:val="center"/>
                </w:tcPr>
                <w:p w14:paraId="3A66C0CA">
                  <w:pPr>
                    <w:rPr>
                      <w:rFonts w:hint="eastAsia" w:ascii="宋体" w:hAnsi="宋体" w:eastAsia="宋体" w:cs="宋体"/>
                      <w:i w:val="0"/>
                      <w:iCs w:val="0"/>
                      <w:color w:val="000000"/>
                      <w:sz w:val="18"/>
                      <w:szCs w:val="18"/>
                      <w:u w:val="none"/>
                    </w:rPr>
                  </w:pPr>
                </w:p>
              </w:tc>
            </w:tr>
            <w:tr w14:paraId="68FBE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04" w:hRule="atLeast"/>
              </w:trPr>
              <w:tc>
                <w:tcPr>
                  <w:tcW w:w="14115"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0162505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8C2F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3E0B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A37C8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51320024T000011762220-州级机关单位办公用房租赁项目</w:t>
                  </w:r>
                </w:p>
              </w:tc>
            </w:tr>
            <w:tr w14:paraId="75EFD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14"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89F7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318A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州机关事务管理局部门</w:t>
                  </w:r>
                </w:p>
              </w:tc>
              <w:tc>
                <w:tcPr>
                  <w:tcW w:w="1095" w:type="dxa"/>
                  <w:gridSpan w:val="2"/>
                  <w:tcBorders>
                    <w:top w:val="nil"/>
                    <w:left w:val="nil"/>
                    <w:bottom w:val="nil"/>
                    <w:right w:val="nil"/>
                  </w:tcBorders>
                  <w:shd w:val="clear" w:color="auto" w:fill="auto"/>
                  <w:vAlign w:val="center"/>
                </w:tcPr>
                <w:p w14:paraId="1236E8A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C808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w:t>
                  </w:r>
                </w:p>
              </w:tc>
            </w:tr>
            <w:tr w14:paraId="16580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51C8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B768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E61D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6D3169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E54F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0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47801">
                  <w:pP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46A7C">
                  <w:pPr>
                    <w:rPr>
                      <w:rFonts w:hint="eastAsia" w:ascii="宋体" w:hAnsi="宋体" w:eastAsia="宋体" w:cs="宋体"/>
                      <w:i w:val="0"/>
                      <w:iCs w:val="0"/>
                      <w:color w:val="000000"/>
                      <w:sz w:val="18"/>
                      <w:szCs w:val="18"/>
                      <w:u w:val="none"/>
                    </w:rPr>
                  </w:pP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DACF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完成州级机关办公用房集中租赁项木的评审论证。</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AF189F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14:paraId="4A540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9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D6E7C">
                  <w:pP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5B25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9BBE4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集中统一租赁州级机关办公用房项目涉及资金量大，为了确认该项目的可行性，前期需进行州级机关办公用房集中租赁项目的评审论证。</w:t>
                  </w:r>
                </w:p>
              </w:tc>
            </w:tr>
            <w:tr w14:paraId="331E8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0725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1F83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261B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5369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3F43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A367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E105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57DA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5678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E1D6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5"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655C9">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26E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0E7C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556E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7574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DAC6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8FE9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209693">
                  <w:pPr>
                    <w:jc w:val="center"/>
                    <w:rPr>
                      <w:rFonts w:hint="eastAsia" w:ascii="宋体" w:hAnsi="宋体" w:eastAsia="宋体" w:cs="宋体"/>
                      <w:i w:val="0"/>
                      <w:iCs w:val="0"/>
                      <w:color w:val="000000"/>
                      <w:sz w:val="18"/>
                      <w:szCs w:val="18"/>
                      <w:u w:val="none"/>
                    </w:rPr>
                  </w:pPr>
                </w:p>
              </w:tc>
              <w:tc>
                <w:tcPr>
                  <w:tcW w:w="25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E6F8F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BDA9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9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3001D">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0AC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4871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781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4CCE4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E3BC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5D19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3D5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6ECAA">
                  <w:pPr>
                    <w:rPr>
                      <w:rFonts w:hint="eastAsia" w:ascii="黑体" w:hAnsi="黑体" w:eastAsia="黑体" w:cs="黑体"/>
                      <w:i/>
                      <w:iCs/>
                      <w:color w:val="000000"/>
                      <w:sz w:val="18"/>
                      <w:szCs w:val="18"/>
                      <w:u w:val="none"/>
                    </w:rPr>
                  </w:pPr>
                </w:p>
              </w:tc>
            </w:tr>
            <w:tr w14:paraId="1E727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0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19FA0">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7354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8698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FBBF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C970F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28AE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DA1B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50C4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288B2">
                  <w:pPr>
                    <w:rPr>
                      <w:rFonts w:hint="eastAsia" w:ascii="黑体" w:hAnsi="黑体" w:eastAsia="黑体" w:cs="黑体"/>
                      <w:i/>
                      <w:iCs/>
                      <w:color w:val="000000"/>
                      <w:sz w:val="18"/>
                      <w:szCs w:val="18"/>
                      <w:u w:val="none"/>
                    </w:rPr>
                  </w:pPr>
                </w:p>
              </w:tc>
            </w:tr>
            <w:tr w14:paraId="4FECA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3AC4E">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42AA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BD78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6E4B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7DE52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A87B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389A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BDA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E24C1">
                  <w:pPr>
                    <w:rPr>
                      <w:rFonts w:hint="eastAsia" w:ascii="黑体" w:hAnsi="黑体" w:eastAsia="黑体" w:cs="黑体"/>
                      <w:i/>
                      <w:iCs/>
                      <w:color w:val="000000"/>
                      <w:sz w:val="18"/>
                      <w:szCs w:val="18"/>
                      <w:u w:val="none"/>
                    </w:rPr>
                  </w:pPr>
                </w:p>
              </w:tc>
            </w:tr>
            <w:tr w14:paraId="24B93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5A1EA">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71BA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F6F112">
                  <w:pPr>
                    <w:jc w:val="center"/>
                    <w:rPr>
                      <w:rFonts w:hint="eastAsia" w:ascii="微软雅黑" w:hAnsi="微软雅黑" w:eastAsia="微软雅黑" w:cs="微软雅黑"/>
                      <w:i/>
                      <w:iCs/>
                      <w:color w:val="000000"/>
                      <w:sz w:val="16"/>
                      <w:szCs w:val="16"/>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D39AE9">
                  <w:pPr>
                    <w:jc w:val="center"/>
                    <w:rPr>
                      <w:rFonts w:hint="eastAsia" w:ascii="微软雅黑" w:hAnsi="微软雅黑" w:eastAsia="微软雅黑" w:cs="微软雅黑"/>
                      <w:i/>
                      <w:iCs/>
                      <w:color w:val="000000"/>
                      <w:sz w:val="16"/>
                      <w:szCs w:val="16"/>
                      <w:u w:val="none"/>
                    </w:rPr>
                  </w:pP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6F6F750">
                  <w:pPr>
                    <w:jc w:val="center"/>
                    <w:rPr>
                      <w:rFonts w:hint="eastAsia" w:ascii="微软雅黑" w:hAnsi="微软雅黑" w:eastAsia="微软雅黑" w:cs="微软雅黑"/>
                      <w:i/>
                      <w:iCs/>
                      <w:color w:val="000000"/>
                      <w:sz w:val="16"/>
                      <w:szCs w:val="16"/>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7C2E67">
                  <w:pPr>
                    <w:jc w:val="center"/>
                    <w:rPr>
                      <w:rFonts w:hint="eastAsia" w:ascii="微软雅黑" w:hAnsi="微软雅黑" w:eastAsia="微软雅黑" w:cs="微软雅黑"/>
                      <w:i/>
                      <w:iCs/>
                      <w:color w:val="000000"/>
                      <w:sz w:val="16"/>
                      <w:szCs w:val="16"/>
                      <w:u w:val="none"/>
                    </w:rPr>
                  </w:pP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DAAD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5E0E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93FCF">
                  <w:pPr>
                    <w:rPr>
                      <w:rFonts w:hint="eastAsia" w:ascii="黑体" w:hAnsi="黑体" w:eastAsia="黑体" w:cs="黑体"/>
                      <w:i/>
                      <w:iCs/>
                      <w:color w:val="000000"/>
                      <w:sz w:val="18"/>
                      <w:szCs w:val="18"/>
                      <w:u w:val="none"/>
                    </w:rPr>
                  </w:pPr>
                </w:p>
              </w:tc>
            </w:tr>
            <w:tr w14:paraId="1A55F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89ED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812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B32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5099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C032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B727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42F9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CE9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1207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B144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9C2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4647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38DFB">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A7E07">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76EE0D">
                  <w:pPr>
                    <w:jc w:val="center"/>
                    <w:rPr>
                      <w:rFonts w:hint="eastAsia" w:ascii="宋体" w:hAnsi="宋体" w:eastAsia="宋体" w:cs="宋体"/>
                      <w:i w:val="0"/>
                      <w:iCs w:val="0"/>
                      <w:color w:val="000000"/>
                      <w:sz w:val="18"/>
                      <w:szCs w:val="18"/>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45CAE6">
                  <w:pPr>
                    <w:jc w:val="center"/>
                    <w:rPr>
                      <w:rFonts w:hint="eastAsia" w:ascii="宋体" w:hAnsi="宋体" w:eastAsia="宋体" w:cs="宋体"/>
                      <w:i w:val="0"/>
                      <w:iCs w:val="0"/>
                      <w:color w:val="000000"/>
                      <w:sz w:val="18"/>
                      <w:szCs w:val="18"/>
                      <w:u w:val="none"/>
                    </w:rPr>
                  </w:pP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FE6B5A">
                  <w:pPr>
                    <w:jc w:val="center"/>
                    <w:rPr>
                      <w:rFonts w:hint="eastAsia" w:ascii="宋体" w:hAnsi="宋体" w:eastAsia="宋体" w:cs="宋体"/>
                      <w:i w:val="0"/>
                      <w:iCs w:val="0"/>
                      <w:color w:val="000000"/>
                      <w:sz w:val="18"/>
                      <w:szCs w:val="18"/>
                      <w:u w:val="none"/>
                    </w:rPr>
                  </w:pP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692027">
                  <w:pPr>
                    <w:jc w:val="center"/>
                    <w:rPr>
                      <w:rFonts w:hint="eastAsia" w:ascii="宋体" w:hAnsi="宋体" w:eastAsia="宋体" w:cs="宋体"/>
                      <w:i w:val="0"/>
                      <w:iCs w:val="0"/>
                      <w:color w:val="000000"/>
                      <w:sz w:val="18"/>
                      <w:szCs w:val="18"/>
                      <w:u w:val="none"/>
                    </w:rPr>
                  </w:pP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4E3ED5">
                  <w:pPr>
                    <w:jc w:val="center"/>
                    <w:rPr>
                      <w:rFonts w:hint="eastAsia" w:ascii="宋体" w:hAnsi="宋体" w:eastAsia="宋体" w:cs="宋体"/>
                      <w:i w:val="0"/>
                      <w:iCs w:val="0"/>
                      <w:color w:val="000000"/>
                      <w:sz w:val="18"/>
                      <w:szCs w:val="18"/>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399B2D">
                  <w:pPr>
                    <w:jc w:val="center"/>
                    <w:rPr>
                      <w:rFonts w:hint="eastAsia" w:ascii="微软雅黑" w:hAnsi="微软雅黑" w:eastAsia="微软雅黑" w:cs="微软雅黑"/>
                      <w:i/>
                      <w:iCs/>
                      <w:color w:val="000000"/>
                      <w:sz w:val="16"/>
                      <w:szCs w:val="16"/>
                      <w:u w:val="none"/>
                    </w:rPr>
                  </w:pP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88E7A2">
                  <w:pPr>
                    <w:jc w:val="center"/>
                    <w:rPr>
                      <w:rFonts w:hint="eastAsia" w:ascii="宋体" w:hAnsi="宋体" w:eastAsia="宋体" w:cs="宋体"/>
                      <w:i w:val="0"/>
                      <w:iCs w:val="0"/>
                      <w:color w:val="000000"/>
                      <w:sz w:val="18"/>
                      <w:szCs w:val="18"/>
                      <w:u w:val="none"/>
                    </w:rPr>
                  </w:pP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0AEAAB">
                  <w:pPr>
                    <w:jc w:val="center"/>
                    <w:rPr>
                      <w:rFonts w:hint="eastAsia" w:ascii="宋体" w:hAnsi="宋体" w:eastAsia="宋体" w:cs="宋体"/>
                      <w:i w:val="0"/>
                      <w:iCs w:val="0"/>
                      <w:color w:val="000000"/>
                      <w:sz w:val="18"/>
                      <w:szCs w:val="18"/>
                      <w:u w:val="none"/>
                    </w:rPr>
                  </w:pP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F731AE">
                  <w:pPr>
                    <w:jc w:val="center"/>
                    <w:rPr>
                      <w:rFonts w:hint="eastAsia" w:ascii="微软雅黑" w:hAnsi="微软雅黑" w:eastAsia="微软雅黑" w:cs="微软雅黑"/>
                      <w:i/>
                      <w:iCs/>
                      <w:color w:val="000000"/>
                      <w:sz w:val="16"/>
                      <w:szCs w:val="16"/>
                      <w:u w:val="none"/>
                    </w:rPr>
                  </w:pPr>
                </w:p>
              </w:tc>
            </w:tr>
            <w:tr w14:paraId="125B4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1060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1EF22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31D9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4BCCF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EEA524">
                  <w:pPr>
                    <w:rPr>
                      <w:rFonts w:hint="eastAsia" w:ascii="宋体" w:hAnsi="宋体" w:eastAsia="宋体" w:cs="宋体"/>
                      <w:i w:val="0"/>
                      <w:iCs w:val="0"/>
                      <w:color w:val="000000"/>
                      <w:sz w:val="18"/>
                      <w:szCs w:val="18"/>
                      <w:u w:val="none"/>
                    </w:rPr>
                  </w:pPr>
                </w:p>
              </w:tc>
            </w:tr>
            <w:tr w14:paraId="7C8E5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0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128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5DB569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集中统一租赁州级机关办公用房项目涉及资金量大，为了确认该项目实施的可行性，前期需进行州级机关办公用房集中租赁项目的评审论证。其中经济性评审费用9.2万，单一来源论证费用0.6万，合计9.8万。本次评审论证是集中统一租赁州级机关办公用房项目的有力保障。</w:t>
                  </w:r>
                </w:p>
              </w:tc>
            </w:tr>
            <w:tr w14:paraId="7C346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7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763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A401F4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714D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3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AEEB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0115572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FC62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730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3401C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C5B469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0E75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85" w:hRule="atLeast"/>
              </w:trPr>
              <w:tc>
                <w:tcPr>
                  <w:tcW w:w="690" w:type="dxa"/>
                  <w:gridSpan w:val="2"/>
                  <w:tcBorders>
                    <w:top w:val="nil"/>
                    <w:left w:val="nil"/>
                    <w:bottom w:val="nil"/>
                    <w:right w:val="nil"/>
                  </w:tcBorders>
                  <w:shd w:val="clear" w:color="auto" w:fill="auto"/>
                  <w:vAlign w:val="center"/>
                </w:tcPr>
                <w:p w14:paraId="629AD490">
                  <w:pPr>
                    <w:rPr>
                      <w:rFonts w:hint="eastAsia" w:ascii="宋体" w:hAnsi="宋体" w:eastAsia="宋体" w:cs="宋体"/>
                      <w:i w:val="0"/>
                      <w:iCs w:val="0"/>
                      <w:color w:val="000000"/>
                      <w:sz w:val="18"/>
                      <w:szCs w:val="18"/>
                      <w:u w:val="none"/>
                    </w:rPr>
                  </w:pPr>
                </w:p>
              </w:tc>
              <w:tc>
                <w:tcPr>
                  <w:tcW w:w="2055" w:type="dxa"/>
                  <w:gridSpan w:val="2"/>
                  <w:tcBorders>
                    <w:top w:val="nil"/>
                    <w:left w:val="nil"/>
                    <w:bottom w:val="nil"/>
                    <w:right w:val="nil"/>
                  </w:tcBorders>
                  <w:shd w:val="clear" w:color="auto" w:fill="auto"/>
                  <w:vAlign w:val="center"/>
                </w:tcPr>
                <w:p w14:paraId="0C16972F">
                  <w:pPr>
                    <w:rPr>
                      <w:rFonts w:hint="eastAsia" w:ascii="宋体" w:hAnsi="宋体" w:eastAsia="宋体" w:cs="宋体"/>
                      <w:i w:val="0"/>
                      <w:iCs w:val="0"/>
                      <w:color w:val="000000"/>
                      <w:sz w:val="18"/>
                      <w:szCs w:val="18"/>
                      <w:u w:val="none"/>
                    </w:rPr>
                  </w:pPr>
                </w:p>
              </w:tc>
              <w:tc>
                <w:tcPr>
                  <w:tcW w:w="1770" w:type="dxa"/>
                  <w:gridSpan w:val="2"/>
                  <w:tcBorders>
                    <w:top w:val="nil"/>
                    <w:left w:val="nil"/>
                    <w:bottom w:val="nil"/>
                    <w:right w:val="nil"/>
                  </w:tcBorders>
                  <w:shd w:val="clear" w:color="auto" w:fill="auto"/>
                  <w:vAlign w:val="center"/>
                </w:tcPr>
                <w:p w14:paraId="25924F82">
                  <w:pPr>
                    <w:rPr>
                      <w:rFonts w:hint="eastAsia" w:ascii="宋体" w:hAnsi="宋体" w:eastAsia="宋体" w:cs="宋体"/>
                      <w:i w:val="0"/>
                      <w:iCs w:val="0"/>
                      <w:color w:val="000000"/>
                      <w:sz w:val="18"/>
                      <w:szCs w:val="18"/>
                      <w:u w:val="none"/>
                    </w:rPr>
                  </w:pPr>
                </w:p>
              </w:tc>
              <w:tc>
                <w:tcPr>
                  <w:tcW w:w="2265" w:type="dxa"/>
                  <w:gridSpan w:val="2"/>
                  <w:tcBorders>
                    <w:top w:val="nil"/>
                    <w:left w:val="nil"/>
                    <w:bottom w:val="nil"/>
                    <w:right w:val="nil"/>
                  </w:tcBorders>
                  <w:shd w:val="clear" w:color="auto" w:fill="auto"/>
                  <w:vAlign w:val="center"/>
                </w:tcPr>
                <w:p w14:paraId="74B35B48">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1CD89E65">
                  <w:pPr>
                    <w:rPr>
                      <w:rFonts w:hint="eastAsia" w:ascii="宋体" w:hAnsi="宋体" w:eastAsia="宋体" w:cs="宋体"/>
                      <w:i w:val="0"/>
                      <w:iCs w:val="0"/>
                      <w:color w:val="000000"/>
                      <w:sz w:val="18"/>
                      <w:szCs w:val="18"/>
                      <w:u w:val="none"/>
                    </w:rPr>
                  </w:pPr>
                </w:p>
              </w:tc>
              <w:tc>
                <w:tcPr>
                  <w:tcW w:w="1680" w:type="dxa"/>
                  <w:gridSpan w:val="2"/>
                  <w:tcBorders>
                    <w:top w:val="nil"/>
                    <w:left w:val="nil"/>
                    <w:bottom w:val="nil"/>
                    <w:right w:val="nil"/>
                  </w:tcBorders>
                  <w:shd w:val="clear" w:color="auto" w:fill="auto"/>
                  <w:vAlign w:val="center"/>
                </w:tcPr>
                <w:p w14:paraId="4E1B306A">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3DE1AC11">
                  <w:pPr>
                    <w:rPr>
                      <w:rFonts w:hint="eastAsia" w:ascii="宋体" w:hAnsi="宋体" w:eastAsia="宋体" w:cs="宋体"/>
                      <w:i w:val="0"/>
                      <w:iCs w:val="0"/>
                      <w:color w:val="000000"/>
                      <w:sz w:val="18"/>
                      <w:szCs w:val="18"/>
                      <w:u w:val="none"/>
                    </w:rPr>
                  </w:pPr>
                </w:p>
              </w:tc>
              <w:tc>
                <w:tcPr>
                  <w:tcW w:w="1095" w:type="dxa"/>
                  <w:gridSpan w:val="2"/>
                  <w:tcBorders>
                    <w:top w:val="nil"/>
                    <w:left w:val="nil"/>
                    <w:bottom w:val="nil"/>
                    <w:right w:val="nil"/>
                  </w:tcBorders>
                  <w:shd w:val="clear" w:color="auto" w:fill="auto"/>
                  <w:vAlign w:val="center"/>
                </w:tcPr>
                <w:p w14:paraId="0810E170">
                  <w:pPr>
                    <w:rPr>
                      <w:rFonts w:hint="eastAsia" w:ascii="宋体" w:hAnsi="宋体" w:eastAsia="宋体" w:cs="宋体"/>
                      <w:i w:val="0"/>
                      <w:iCs w:val="0"/>
                      <w:color w:val="000000"/>
                      <w:sz w:val="18"/>
                      <w:szCs w:val="18"/>
                      <w:u w:val="none"/>
                    </w:rPr>
                  </w:pPr>
                </w:p>
              </w:tc>
              <w:tc>
                <w:tcPr>
                  <w:tcW w:w="510" w:type="dxa"/>
                  <w:gridSpan w:val="2"/>
                  <w:tcBorders>
                    <w:top w:val="nil"/>
                    <w:left w:val="nil"/>
                    <w:bottom w:val="nil"/>
                    <w:right w:val="nil"/>
                  </w:tcBorders>
                  <w:shd w:val="clear" w:color="auto" w:fill="auto"/>
                  <w:vAlign w:val="center"/>
                </w:tcPr>
                <w:p w14:paraId="11E816FE">
                  <w:pPr>
                    <w:rPr>
                      <w:rFonts w:hint="eastAsia" w:ascii="宋体" w:hAnsi="宋体" w:eastAsia="宋体" w:cs="宋体"/>
                      <w:i w:val="0"/>
                      <w:iCs w:val="0"/>
                      <w:color w:val="000000"/>
                      <w:sz w:val="18"/>
                      <w:szCs w:val="18"/>
                      <w:u w:val="none"/>
                    </w:rPr>
                  </w:pPr>
                </w:p>
              </w:tc>
              <w:tc>
                <w:tcPr>
                  <w:tcW w:w="450" w:type="dxa"/>
                  <w:gridSpan w:val="2"/>
                  <w:tcBorders>
                    <w:top w:val="nil"/>
                    <w:left w:val="nil"/>
                    <w:bottom w:val="nil"/>
                    <w:right w:val="nil"/>
                  </w:tcBorders>
                  <w:shd w:val="clear" w:color="auto" w:fill="auto"/>
                  <w:vAlign w:val="center"/>
                </w:tcPr>
                <w:p w14:paraId="5FE830CC">
                  <w:pPr>
                    <w:rPr>
                      <w:rFonts w:hint="eastAsia" w:ascii="宋体" w:hAnsi="宋体" w:eastAsia="宋体" w:cs="宋体"/>
                      <w:i w:val="0"/>
                      <w:iCs w:val="0"/>
                      <w:color w:val="000000"/>
                      <w:sz w:val="18"/>
                      <w:szCs w:val="18"/>
                      <w:u w:val="none"/>
                    </w:rPr>
                  </w:pPr>
                </w:p>
              </w:tc>
              <w:tc>
                <w:tcPr>
                  <w:tcW w:w="2550" w:type="dxa"/>
                  <w:gridSpan w:val="2"/>
                  <w:tcBorders>
                    <w:top w:val="nil"/>
                    <w:left w:val="nil"/>
                    <w:bottom w:val="nil"/>
                    <w:right w:val="nil"/>
                  </w:tcBorders>
                  <w:shd w:val="clear" w:color="auto" w:fill="auto"/>
                  <w:vAlign w:val="center"/>
                </w:tcPr>
                <w:p w14:paraId="6408E2F6">
                  <w:pPr>
                    <w:rPr>
                      <w:rFonts w:hint="eastAsia" w:ascii="宋体" w:hAnsi="宋体" w:eastAsia="宋体" w:cs="宋体"/>
                      <w:i w:val="0"/>
                      <w:iCs w:val="0"/>
                      <w:color w:val="000000"/>
                      <w:sz w:val="18"/>
                      <w:szCs w:val="18"/>
                      <w:u w:val="none"/>
                    </w:rPr>
                  </w:pPr>
                </w:p>
              </w:tc>
            </w:tr>
            <w:tr w14:paraId="67358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04" w:hRule="atLeast"/>
              </w:trPr>
              <w:tc>
                <w:tcPr>
                  <w:tcW w:w="14115"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5736697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DF87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0374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2A62F8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51320024T000011828920-临聘人员劳务费</w:t>
                  </w:r>
                </w:p>
              </w:tc>
            </w:tr>
            <w:tr w14:paraId="7B92A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14"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BD29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764E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州机关事务管理局部门</w:t>
                  </w:r>
                </w:p>
              </w:tc>
              <w:tc>
                <w:tcPr>
                  <w:tcW w:w="1095" w:type="dxa"/>
                  <w:gridSpan w:val="2"/>
                  <w:tcBorders>
                    <w:top w:val="nil"/>
                    <w:left w:val="nil"/>
                    <w:bottom w:val="nil"/>
                    <w:right w:val="nil"/>
                  </w:tcBorders>
                  <w:shd w:val="clear" w:color="auto" w:fill="auto"/>
                  <w:vAlign w:val="center"/>
                </w:tcPr>
                <w:p w14:paraId="6B51C5C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068D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w:t>
                  </w:r>
                </w:p>
              </w:tc>
            </w:tr>
            <w:tr w14:paraId="79082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57ED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6CC1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6046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8A640C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FBA7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12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55F32">
                  <w:pP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ECBE2">
                  <w:pPr>
                    <w:rPr>
                      <w:rFonts w:hint="eastAsia" w:ascii="宋体" w:hAnsi="宋体" w:eastAsia="宋体" w:cs="宋体"/>
                      <w:i w:val="0"/>
                      <w:iCs w:val="0"/>
                      <w:color w:val="000000"/>
                      <w:sz w:val="18"/>
                      <w:szCs w:val="18"/>
                      <w:u w:val="none"/>
                    </w:rPr>
                  </w:pP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4258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四川省机关事务管理局2023年机关事务标准化工作要点、州委、州政府工作安排，为切实做好机关事务三化建设:法治化”“标准化”“信息化”建设工作在机关事务领域得以全面开展并逐步强化。深入推动川渝合作，需不断完善川渝机关管理服务规范，推进“三化”建设在阿坝加快推进。根据机关事务管理局实际工作的需要，对外临聘人员11人，全年劳务费用839520元。</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99D2D5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14:paraId="4C6E0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9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C8701">
                  <w:pP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360A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51C62C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根据实际，外聘7人，按要求完成工作内容，按流程支付资金。</w:t>
                  </w:r>
                </w:p>
              </w:tc>
            </w:tr>
            <w:tr w14:paraId="15406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B629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6F12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7307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62E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50E31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8285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20C2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CC9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84C5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A2FA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5"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F3101">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0856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49BC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3D77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37.94</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E8C21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37.94</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E799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5DF5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3ECF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EA470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8062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9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CAE5B">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EECE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93F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40E8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37.94</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E1F8D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37.94</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2DDE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0848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B87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13F35">
                  <w:pPr>
                    <w:rPr>
                      <w:rFonts w:hint="eastAsia" w:ascii="黑体" w:hAnsi="黑体" w:eastAsia="黑体" w:cs="黑体"/>
                      <w:i/>
                      <w:iCs/>
                      <w:color w:val="000000"/>
                      <w:sz w:val="18"/>
                      <w:szCs w:val="18"/>
                      <w:u w:val="none"/>
                    </w:rPr>
                  </w:pPr>
                </w:p>
              </w:tc>
            </w:tr>
            <w:tr w14:paraId="3FDF9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0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59633">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D2BE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C54A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F6A2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D51C9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31E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86C6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D3AC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19E26">
                  <w:pPr>
                    <w:rPr>
                      <w:rFonts w:hint="eastAsia" w:ascii="黑体" w:hAnsi="黑体" w:eastAsia="黑体" w:cs="黑体"/>
                      <w:i/>
                      <w:iCs/>
                      <w:color w:val="000000"/>
                      <w:sz w:val="18"/>
                      <w:szCs w:val="18"/>
                      <w:u w:val="none"/>
                    </w:rPr>
                  </w:pPr>
                </w:p>
              </w:tc>
            </w:tr>
            <w:tr w14:paraId="08AA9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34F2F">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521A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3539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431A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F7C5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2010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8D76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0A0D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FF54F">
                  <w:pPr>
                    <w:rPr>
                      <w:rFonts w:hint="eastAsia" w:ascii="黑体" w:hAnsi="黑体" w:eastAsia="黑体" w:cs="黑体"/>
                      <w:i/>
                      <w:iCs/>
                      <w:color w:val="000000"/>
                      <w:sz w:val="18"/>
                      <w:szCs w:val="18"/>
                      <w:u w:val="none"/>
                    </w:rPr>
                  </w:pPr>
                </w:p>
              </w:tc>
            </w:tr>
            <w:tr w14:paraId="3ADD1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88B11">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BC61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5BD74F">
                  <w:pPr>
                    <w:jc w:val="center"/>
                    <w:rPr>
                      <w:rFonts w:hint="eastAsia" w:ascii="微软雅黑" w:hAnsi="微软雅黑" w:eastAsia="微软雅黑" w:cs="微软雅黑"/>
                      <w:i/>
                      <w:iCs/>
                      <w:color w:val="000000"/>
                      <w:sz w:val="16"/>
                      <w:szCs w:val="16"/>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EAA8DF">
                  <w:pPr>
                    <w:jc w:val="center"/>
                    <w:rPr>
                      <w:rFonts w:hint="eastAsia" w:ascii="微软雅黑" w:hAnsi="微软雅黑" w:eastAsia="微软雅黑" w:cs="微软雅黑"/>
                      <w:i/>
                      <w:iCs/>
                      <w:color w:val="000000"/>
                      <w:sz w:val="16"/>
                      <w:szCs w:val="16"/>
                      <w:u w:val="none"/>
                    </w:rPr>
                  </w:pP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BA8345">
                  <w:pPr>
                    <w:jc w:val="center"/>
                    <w:rPr>
                      <w:rFonts w:hint="eastAsia" w:ascii="微软雅黑" w:hAnsi="微软雅黑" w:eastAsia="微软雅黑" w:cs="微软雅黑"/>
                      <w:i/>
                      <w:iCs/>
                      <w:color w:val="000000"/>
                      <w:sz w:val="16"/>
                      <w:szCs w:val="16"/>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E2CDBD">
                  <w:pPr>
                    <w:jc w:val="center"/>
                    <w:rPr>
                      <w:rFonts w:hint="eastAsia" w:ascii="微软雅黑" w:hAnsi="微软雅黑" w:eastAsia="微软雅黑" w:cs="微软雅黑"/>
                      <w:i/>
                      <w:iCs/>
                      <w:color w:val="000000"/>
                      <w:sz w:val="16"/>
                      <w:szCs w:val="16"/>
                      <w:u w:val="none"/>
                    </w:rPr>
                  </w:pP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CAA1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9BB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CF27B">
                  <w:pPr>
                    <w:rPr>
                      <w:rFonts w:hint="eastAsia" w:ascii="黑体" w:hAnsi="黑体" w:eastAsia="黑体" w:cs="黑体"/>
                      <w:i/>
                      <w:iCs/>
                      <w:color w:val="000000"/>
                      <w:sz w:val="18"/>
                      <w:szCs w:val="18"/>
                      <w:u w:val="none"/>
                    </w:rPr>
                  </w:pPr>
                </w:p>
              </w:tc>
            </w:tr>
            <w:tr w14:paraId="32946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6D48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423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C2C1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BB5B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E4E2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24EB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271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D0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B538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051C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61A8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34DB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55A45">
                  <w:pPr>
                    <w:jc w:val="center"/>
                    <w:rPr>
                      <w:rFonts w:hint="eastAsia" w:ascii="宋体" w:hAnsi="宋体" w:eastAsia="宋体" w:cs="宋体"/>
                      <w:i w:val="0"/>
                      <w:iCs w:val="0"/>
                      <w:color w:val="000000"/>
                      <w:sz w:val="18"/>
                      <w:szCs w:val="18"/>
                      <w:u w:val="none"/>
                    </w:rPr>
                  </w:pP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9891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47C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85F7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临聘人员数量</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24C3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7D88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79DF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人/月</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02FDA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7</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D33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FF96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70EE1B">
                  <w:pPr>
                    <w:jc w:val="center"/>
                    <w:rPr>
                      <w:rFonts w:hint="eastAsia" w:ascii="微软雅黑" w:hAnsi="微软雅黑" w:eastAsia="微软雅黑" w:cs="微软雅黑"/>
                      <w:i/>
                      <w:iCs/>
                      <w:color w:val="000000"/>
                      <w:sz w:val="16"/>
                      <w:szCs w:val="16"/>
                      <w:u w:val="none"/>
                    </w:rPr>
                  </w:pPr>
                </w:p>
              </w:tc>
            </w:tr>
            <w:tr w14:paraId="26F48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C1014">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A5E3D">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D41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BC7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机关事务三化建设:的质量</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2CB3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EC6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F41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5106E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2A4E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C249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DA9E2C">
                  <w:pPr>
                    <w:jc w:val="center"/>
                    <w:rPr>
                      <w:rFonts w:hint="eastAsia" w:ascii="微软雅黑" w:hAnsi="微软雅黑" w:eastAsia="微软雅黑" w:cs="微软雅黑"/>
                      <w:i/>
                      <w:iCs/>
                      <w:color w:val="000000"/>
                      <w:sz w:val="16"/>
                      <w:szCs w:val="16"/>
                      <w:u w:val="none"/>
                    </w:rPr>
                  </w:pPr>
                </w:p>
              </w:tc>
            </w:tr>
            <w:tr w14:paraId="4CE5E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D8E3D">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E7FB5">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04CA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4A82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2024年12月31日</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B082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CBA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BE3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6ADB4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12</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4174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5398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11D12C">
                  <w:pPr>
                    <w:jc w:val="center"/>
                    <w:rPr>
                      <w:rFonts w:hint="eastAsia" w:ascii="微软雅黑" w:hAnsi="微软雅黑" w:eastAsia="微软雅黑" w:cs="微软雅黑"/>
                      <w:i/>
                      <w:iCs/>
                      <w:color w:val="000000"/>
                      <w:sz w:val="16"/>
                      <w:szCs w:val="16"/>
                      <w:u w:val="none"/>
                    </w:rPr>
                  </w:pPr>
                </w:p>
              </w:tc>
            </w:tr>
            <w:tr w14:paraId="7BBAA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50B11">
                  <w:pPr>
                    <w:jc w:val="center"/>
                    <w:rPr>
                      <w:rFonts w:hint="eastAsia" w:ascii="宋体" w:hAnsi="宋体" w:eastAsia="宋体" w:cs="宋体"/>
                      <w:i w:val="0"/>
                      <w:iCs w:val="0"/>
                      <w:color w:val="000000"/>
                      <w:sz w:val="18"/>
                      <w:szCs w:val="18"/>
                      <w:u w:val="none"/>
                    </w:rPr>
                  </w:pP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7D2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C290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D934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年度节约财政资金</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836C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6102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94F5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3E1D4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4D29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9FA5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BBECFC">
                  <w:pPr>
                    <w:jc w:val="center"/>
                    <w:rPr>
                      <w:rFonts w:hint="eastAsia" w:ascii="微软雅黑" w:hAnsi="微软雅黑" w:eastAsia="微软雅黑" w:cs="微软雅黑"/>
                      <w:i/>
                      <w:iCs/>
                      <w:color w:val="000000"/>
                      <w:sz w:val="16"/>
                      <w:szCs w:val="16"/>
                      <w:u w:val="none"/>
                    </w:rPr>
                  </w:pPr>
                </w:p>
              </w:tc>
            </w:tr>
            <w:tr w14:paraId="5F2DB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5692C">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F0E6E">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F677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D34D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机关事务三化工作社会效益情况</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9168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D1E9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9D97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36326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C6A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321B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FFBEBB">
                  <w:pPr>
                    <w:jc w:val="center"/>
                    <w:rPr>
                      <w:rFonts w:hint="eastAsia" w:ascii="微软雅黑" w:hAnsi="微软雅黑" w:eastAsia="微软雅黑" w:cs="微软雅黑"/>
                      <w:i/>
                      <w:iCs/>
                      <w:color w:val="000000"/>
                      <w:sz w:val="16"/>
                      <w:szCs w:val="16"/>
                      <w:u w:val="none"/>
                    </w:rPr>
                  </w:pPr>
                </w:p>
              </w:tc>
            </w:tr>
            <w:tr w14:paraId="0451B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CC656">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0182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2DF8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AFEE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三化”建设在阿坝推进满意度</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3E33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513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838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AEF57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92BA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2F6D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854B4">
                  <w:pPr>
                    <w:jc w:val="center"/>
                    <w:rPr>
                      <w:rFonts w:hint="eastAsia" w:ascii="微软雅黑" w:hAnsi="微软雅黑" w:eastAsia="微软雅黑" w:cs="微软雅黑"/>
                      <w:i/>
                      <w:iCs/>
                      <w:color w:val="000000"/>
                      <w:sz w:val="16"/>
                      <w:szCs w:val="16"/>
                      <w:u w:val="none"/>
                    </w:rPr>
                  </w:pPr>
                </w:p>
              </w:tc>
            </w:tr>
            <w:tr w14:paraId="5A320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455BD">
                  <w:pPr>
                    <w:jc w:val="center"/>
                    <w:rPr>
                      <w:rFonts w:hint="eastAsia" w:ascii="宋体" w:hAnsi="宋体" w:eastAsia="宋体" w:cs="宋体"/>
                      <w:i w:val="0"/>
                      <w:iCs w:val="0"/>
                      <w:color w:val="000000"/>
                      <w:sz w:val="18"/>
                      <w:szCs w:val="18"/>
                      <w:u w:val="none"/>
                    </w:rPr>
                  </w:pP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1150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A13E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2B75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全年临聘人元劳务费经济成本</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E5C0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C797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839520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BAD6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元/年</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2ECE2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378400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C92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944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EC1D92">
                  <w:pPr>
                    <w:jc w:val="center"/>
                    <w:rPr>
                      <w:rFonts w:hint="eastAsia" w:ascii="微软雅黑" w:hAnsi="微软雅黑" w:eastAsia="微软雅黑" w:cs="微软雅黑"/>
                      <w:i/>
                      <w:iCs/>
                      <w:color w:val="000000"/>
                      <w:sz w:val="16"/>
                      <w:szCs w:val="16"/>
                      <w:u w:val="none"/>
                    </w:rPr>
                  </w:pPr>
                </w:p>
              </w:tc>
            </w:tr>
            <w:tr w14:paraId="3B17B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0CC66">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8C783">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3CD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C0D6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机关事务三化建设社会成本</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E910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0463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84</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76FA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3BF82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37.94</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F12E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40CE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0A763B">
                  <w:pPr>
                    <w:jc w:val="center"/>
                    <w:rPr>
                      <w:rFonts w:hint="eastAsia" w:ascii="微软雅黑" w:hAnsi="微软雅黑" w:eastAsia="微软雅黑" w:cs="微软雅黑"/>
                      <w:i/>
                      <w:iCs/>
                      <w:color w:val="000000"/>
                      <w:sz w:val="16"/>
                      <w:szCs w:val="16"/>
                      <w:u w:val="none"/>
                    </w:rPr>
                  </w:pPr>
                </w:p>
              </w:tc>
            </w:tr>
            <w:tr w14:paraId="565DD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1060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E0AE5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0EC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0A55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361153">
                  <w:pPr>
                    <w:rPr>
                      <w:rFonts w:hint="eastAsia" w:ascii="宋体" w:hAnsi="宋体" w:eastAsia="宋体" w:cs="宋体"/>
                      <w:i w:val="0"/>
                      <w:iCs w:val="0"/>
                      <w:color w:val="000000"/>
                      <w:sz w:val="18"/>
                      <w:szCs w:val="18"/>
                      <w:u w:val="none"/>
                    </w:rPr>
                  </w:pPr>
                </w:p>
              </w:tc>
            </w:tr>
            <w:tr w14:paraId="24F6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0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2640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6D4EC0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自评100分。严格执行相关政策，保障临聘人员工资及时、足额发放，社保及时、足额缴纳，预算编制科学合理，减少结余资金。</w:t>
                  </w:r>
                </w:p>
              </w:tc>
            </w:tr>
            <w:tr w14:paraId="4E830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7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4119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47D5A8E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E6C9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3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D31F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595D92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D35B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730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5A52D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88AE6D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18C1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85" w:hRule="atLeast"/>
              </w:trPr>
              <w:tc>
                <w:tcPr>
                  <w:tcW w:w="690" w:type="dxa"/>
                  <w:gridSpan w:val="2"/>
                  <w:tcBorders>
                    <w:top w:val="nil"/>
                    <w:left w:val="nil"/>
                    <w:bottom w:val="nil"/>
                    <w:right w:val="nil"/>
                  </w:tcBorders>
                  <w:shd w:val="clear" w:color="auto" w:fill="auto"/>
                  <w:vAlign w:val="center"/>
                </w:tcPr>
                <w:p w14:paraId="28DAE286">
                  <w:pPr>
                    <w:rPr>
                      <w:rFonts w:hint="eastAsia" w:ascii="宋体" w:hAnsi="宋体" w:eastAsia="宋体" w:cs="宋体"/>
                      <w:i w:val="0"/>
                      <w:iCs w:val="0"/>
                      <w:color w:val="000000"/>
                      <w:sz w:val="18"/>
                      <w:szCs w:val="18"/>
                      <w:u w:val="none"/>
                    </w:rPr>
                  </w:pPr>
                </w:p>
              </w:tc>
              <w:tc>
                <w:tcPr>
                  <w:tcW w:w="2055" w:type="dxa"/>
                  <w:gridSpan w:val="2"/>
                  <w:tcBorders>
                    <w:top w:val="nil"/>
                    <w:left w:val="nil"/>
                    <w:bottom w:val="nil"/>
                    <w:right w:val="nil"/>
                  </w:tcBorders>
                  <w:shd w:val="clear" w:color="auto" w:fill="auto"/>
                  <w:vAlign w:val="center"/>
                </w:tcPr>
                <w:p w14:paraId="2DFCDC83">
                  <w:pPr>
                    <w:rPr>
                      <w:rFonts w:hint="eastAsia" w:ascii="宋体" w:hAnsi="宋体" w:eastAsia="宋体" w:cs="宋体"/>
                      <w:i w:val="0"/>
                      <w:iCs w:val="0"/>
                      <w:color w:val="000000"/>
                      <w:sz w:val="18"/>
                      <w:szCs w:val="18"/>
                      <w:u w:val="none"/>
                    </w:rPr>
                  </w:pPr>
                </w:p>
              </w:tc>
              <w:tc>
                <w:tcPr>
                  <w:tcW w:w="1770" w:type="dxa"/>
                  <w:gridSpan w:val="2"/>
                  <w:tcBorders>
                    <w:top w:val="nil"/>
                    <w:left w:val="nil"/>
                    <w:bottom w:val="nil"/>
                    <w:right w:val="nil"/>
                  </w:tcBorders>
                  <w:shd w:val="clear" w:color="auto" w:fill="auto"/>
                  <w:vAlign w:val="center"/>
                </w:tcPr>
                <w:p w14:paraId="059DEFDA">
                  <w:pPr>
                    <w:rPr>
                      <w:rFonts w:hint="eastAsia" w:ascii="宋体" w:hAnsi="宋体" w:eastAsia="宋体" w:cs="宋体"/>
                      <w:i w:val="0"/>
                      <w:iCs w:val="0"/>
                      <w:color w:val="000000"/>
                      <w:sz w:val="18"/>
                      <w:szCs w:val="18"/>
                      <w:u w:val="none"/>
                    </w:rPr>
                  </w:pPr>
                </w:p>
              </w:tc>
              <w:tc>
                <w:tcPr>
                  <w:tcW w:w="2265" w:type="dxa"/>
                  <w:gridSpan w:val="2"/>
                  <w:tcBorders>
                    <w:top w:val="nil"/>
                    <w:left w:val="nil"/>
                    <w:bottom w:val="nil"/>
                    <w:right w:val="nil"/>
                  </w:tcBorders>
                  <w:shd w:val="clear" w:color="auto" w:fill="auto"/>
                  <w:vAlign w:val="center"/>
                </w:tcPr>
                <w:p w14:paraId="6FA5B0A2">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2165C8AE">
                  <w:pPr>
                    <w:rPr>
                      <w:rFonts w:hint="eastAsia" w:ascii="宋体" w:hAnsi="宋体" w:eastAsia="宋体" w:cs="宋体"/>
                      <w:i w:val="0"/>
                      <w:iCs w:val="0"/>
                      <w:color w:val="000000"/>
                      <w:sz w:val="18"/>
                      <w:szCs w:val="18"/>
                      <w:u w:val="none"/>
                    </w:rPr>
                  </w:pPr>
                </w:p>
              </w:tc>
              <w:tc>
                <w:tcPr>
                  <w:tcW w:w="1680" w:type="dxa"/>
                  <w:gridSpan w:val="2"/>
                  <w:tcBorders>
                    <w:top w:val="nil"/>
                    <w:left w:val="nil"/>
                    <w:bottom w:val="nil"/>
                    <w:right w:val="nil"/>
                  </w:tcBorders>
                  <w:shd w:val="clear" w:color="auto" w:fill="auto"/>
                  <w:vAlign w:val="center"/>
                </w:tcPr>
                <w:p w14:paraId="72B92066">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56A5793E">
                  <w:pPr>
                    <w:rPr>
                      <w:rFonts w:hint="eastAsia" w:ascii="宋体" w:hAnsi="宋体" w:eastAsia="宋体" w:cs="宋体"/>
                      <w:i w:val="0"/>
                      <w:iCs w:val="0"/>
                      <w:color w:val="000000"/>
                      <w:sz w:val="18"/>
                      <w:szCs w:val="18"/>
                      <w:u w:val="none"/>
                    </w:rPr>
                  </w:pPr>
                </w:p>
              </w:tc>
              <w:tc>
                <w:tcPr>
                  <w:tcW w:w="1095" w:type="dxa"/>
                  <w:gridSpan w:val="2"/>
                  <w:tcBorders>
                    <w:top w:val="nil"/>
                    <w:left w:val="nil"/>
                    <w:bottom w:val="nil"/>
                    <w:right w:val="nil"/>
                  </w:tcBorders>
                  <w:shd w:val="clear" w:color="auto" w:fill="auto"/>
                  <w:vAlign w:val="center"/>
                </w:tcPr>
                <w:p w14:paraId="70F213EB">
                  <w:pPr>
                    <w:rPr>
                      <w:rFonts w:hint="eastAsia" w:ascii="宋体" w:hAnsi="宋体" w:eastAsia="宋体" w:cs="宋体"/>
                      <w:i w:val="0"/>
                      <w:iCs w:val="0"/>
                      <w:color w:val="000000"/>
                      <w:sz w:val="18"/>
                      <w:szCs w:val="18"/>
                      <w:u w:val="none"/>
                    </w:rPr>
                  </w:pPr>
                </w:p>
              </w:tc>
              <w:tc>
                <w:tcPr>
                  <w:tcW w:w="510" w:type="dxa"/>
                  <w:gridSpan w:val="2"/>
                  <w:tcBorders>
                    <w:top w:val="nil"/>
                    <w:left w:val="nil"/>
                    <w:bottom w:val="nil"/>
                    <w:right w:val="nil"/>
                  </w:tcBorders>
                  <w:shd w:val="clear" w:color="auto" w:fill="auto"/>
                  <w:vAlign w:val="center"/>
                </w:tcPr>
                <w:p w14:paraId="00C7F7A9">
                  <w:pPr>
                    <w:rPr>
                      <w:rFonts w:hint="eastAsia" w:ascii="宋体" w:hAnsi="宋体" w:eastAsia="宋体" w:cs="宋体"/>
                      <w:i w:val="0"/>
                      <w:iCs w:val="0"/>
                      <w:color w:val="000000"/>
                      <w:sz w:val="18"/>
                      <w:szCs w:val="18"/>
                      <w:u w:val="none"/>
                    </w:rPr>
                  </w:pPr>
                </w:p>
              </w:tc>
              <w:tc>
                <w:tcPr>
                  <w:tcW w:w="450" w:type="dxa"/>
                  <w:gridSpan w:val="2"/>
                  <w:tcBorders>
                    <w:top w:val="nil"/>
                    <w:left w:val="nil"/>
                    <w:bottom w:val="nil"/>
                    <w:right w:val="nil"/>
                  </w:tcBorders>
                  <w:shd w:val="clear" w:color="auto" w:fill="auto"/>
                  <w:vAlign w:val="center"/>
                </w:tcPr>
                <w:p w14:paraId="7634746A">
                  <w:pPr>
                    <w:rPr>
                      <w:rFonts w:hint="eastAsia" w:ascii="宋体" w:hAnsi="宋体" w:eastAsia="宋体" w:cs="宋体"/>
                      <w:i w:val="0"/>
                      <w:iCs w:val="0"/>
                      <w:color w:val="000000"/>
                      <w:sz w:val="18"/>
                      <w:szCs w:val="18"/>
                      <w:u w:val="none"/>
                    </w:rPr>
                  </w:pPr>
                </w:p>
              </w:tc>
              <w:tc>
                <w:tcPr>
                  <w:tcW w:w="2550" w:type="dxa"/>
                  <w:gridSpan w:val="2"/>
                  <w:tcBorders>
                    <w:top w:val="nil"/>
                    <w:left w:val="nil"/>
                    <w:bottom w:val="nil"/>
                    <w:right w:val="nil"/>
                  </w:tcBorders>
                  <w:shd w:val="clear" w:color="auto" w:fill="auto"/>
                  <w:vAlign w:val="center"/>
                </w:tcPr>
                <w:p w14:paraId="332A301E">
                  <w:pPr>
                    <w:rPr>
                      <w:rFonts w:hint="eastAsia" w:ascii="宋体" w:hAnsi="宋体" w:eastAsia="宋体" w:cs="宋体"/>
                      <w:i w:val="0"/>
                      <w:iCs w:val="0"/>
                      <w:color w:val="000000"/>
                      <w:sz w:val="18"/>
                      <w:szCs w:val="18"/>
                      <w:u w:val="none"/>
                    </w:rPr>
                  </w:pPr>
                </w:p>
              </w:tc>
            </w:tr>
            <w:tr w14:paraId="20303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04" w:hRule="atLeast"/>
              </w:trPr>
              <w:tc>
                <w:tcPr>
                  <w:tcW w:w="14115"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33CADA8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D001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672E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02602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51320024T000011831262-州级机关人才公寓(第五期周转房)设施设备采购</w:t>
                  </w:r>
                </w:p>
              </w:tc>
            </w:tr>
            <w:tr w14:paraId="21A16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14"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E494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052F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州机关事务管理局部门</w:t>
                  </w:r>
                </w:p>
              </w:tc>
              <w:tc>
                <w:tcPr>
                  <w:tcW w:w="1095" w:type="dxa"/>
                  <w:gridSpan w:val="2"/>
                  <w:tcBorders>
                    <w:top w:val="nil"/>
                    <w:left w:val="nil"/>
                    <w:bottom w:val="nil"/>
                    <w:right w:val="nil"/>
                  </w:tcBorders>
                  <w:shd w:val="clear" w:color="auto" w:fill="auto"/>
                  <w:vAlign w:val="center"/>
                </w:tcPr>
                <w:p w14:paraId="6DF810A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E08E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w:t>
                  </w:r>
                </w:p>
              </w:tc>
            </w:tr>
            <w:tr w14:paraId="3E57B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E1F0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5968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4BD6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71AF07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EBC1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0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126D8">
                  <w:pP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685EC">
                  <w:pPr>
                    <w:rPr>
                      <w:rFonts w:hint="eastAsia" w:ascii="宋体" w:hAnsi="宋体" w:eastAsia="宋体" w:cs="宋体"/>
                      <w:i w:val="0"/>
                      <w:iCs w:val="0"/>
                      <w:color w:val="000000"/>
                      <w:sz w:val="18"/>
                      <w:szCs w:val="18"/>
                      <w:u w:val="none"/>
                    </w:rPr>
                  </w:pP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D072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按照标准为30套人才公寓配置设施设备，2024年底已完成州级机关单位办公用房租赁项目。</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90F714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完成情况较好</w:t>
                  </w:r>
                </w:p>
              </w:tc>
            </w:tr>
            <w:tr w14:paraId="6DD00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9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35574">
                  <w:pP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BCA59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047128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按照中共阿坝州委组织部关于委托购置人才公寓设施设备的函，由州委组织部向州财政局提出资金申请后将资金划转给我局，委托我局牵头负责统一招标采购。</w:t>
                  </w:r>
                </w:p>
              </w:tc>
            </w:tr>
            <w:tr w14:paraId="64F0C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0468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12D8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8F6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F242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EE2F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B1A1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64F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FBC9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11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7DAF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5"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17E3B">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269D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BB6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D155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58.96</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F8FD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58.96</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8102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D9FA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3B7E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AA2EC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C5A8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9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3C91E">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3DD9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2893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92F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58.96</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183A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58.96</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31EF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E71E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308E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04D69">
                  <w:pPr>
                    <w:rPr>
                      <w:rFonts w:hint="eastAsia" w:ascii="黑体" w:hAnsi="黑体" w:eastAsia="黑体" w:cs="黑体"/>
                      <w:i/>
                      <w:iCs/>
                      <w:color w:val="000000"/>
                      <w:sz w:val="18"/>
                      <w:szCs w:val="18"/>
                      <w:u w:val="none"/>
                    </w:rPr>
                  </w:pPr>
                </w:p>
              </w:tc>
            </w:tr>
            <w:tr w14:paraId="672BD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0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EEA07">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402F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AF1A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B65B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D1340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16D1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F694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39C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3BA77">
                  <w:pPr>
                    <w:rPr>
                      <w:rFonts w:hint="eastAsia" w:ascii="黑体" w:hAnsi="黑体" w:eastAsia="黑体" w:cs="黑体"/>
                      <w:i/>
                      <w:iCs/>
                      <w:color w:val="000000"/>
                      <w:sz w:val="18"/>
                      <w:szCs w:val="18"/>
                      <w:u w:val="none"/>
                    </w:rPr>
                  </w:pPr>
                </w:p>
              </w:tc>
            </w:tr>
            <w:tr w14:paraId="79586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78EED">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A6EF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64A9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EDA6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CBA6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B11C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8122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4B08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DF0C5">
                  <w:pPr>
                    <w:rPr>
                      <w:rFonts w:hint="eastAsia" w:ascii="黑体" w:hAnsi="黑体" w:eastAsia="黑体" w:cs="黑体"/>
                      <w:i/>
                      <w:iCs/>
                      <w:color w:val="000000"/>
                      <w:sz w:val="18"/>
                      <w:szCs w:val="18"/>
                      <w:u w:val="none"/>
                    </w:rPr>
                  </w:pPr>
                </w:p>
              </w:tc>
            </w:tr>
            <w:tr w14:paraId="6034B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F1209">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D2E8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569BEB">
                  <w:pPr>
                    <w:jc w:val="center"/>
                    <w:rPr>
                      <w:rFonts w:hint="eastAsia" w:ascii="微软雅黑" w:hAnsi="微软雅黑" w:eastAsia="微软雅黑" w:cs="微软雅黑"/>
                      <w:i/>
                      <w:iCs/>
                      <w:color w:val="000000"/>
                      <w:sz w:val="16"/>
                      <w:szCs w:val="16"/>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C9C48">
                  <w:pPr>
                    <w:jc w:val="center"/>
                    <w:rPr>
                      <w:rFonts w:hint="eastAsia" w:ascii="微软雅黑" w:hAnsi="微软雅黑" w:eastAsia="微软雅黑" w:cs="微软雅黑"/>
                      <w:i/>
                      <w:iCs/>
                      <w:color w:val="000000"/>
                      <w:sz w:val="16"/>
                      <w:szCs w:val="16"/>
                      <w:u w:val="none"/>
                    </w:rPr>
                  </w:pP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AF84E5">
                  <w:pPr>
                    <w:jc w:val="center"/>
                    <w:rPr>
                      <w:rFonts w:hint="eastAsia" w:ascii="微软雅黑" w:hAnsi="微软雅黑" w:eastAsia="微软雅黑" w:cs="微软雅黑"/>
                      <w:i/>
                      <w:iCs/>
                      <w:color w:val="000000"/>
                      <w:sz w:val="16"/>
                      <w:szCs w:val="16"/>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1F3456">
                  <w:pPr>
                    <w:jc w:val="center"/>
                    <w:rPr>
                      <w:rFonts w:hint="eastAsia" w:ascii="微软雅黑" w:hAnsi="微软雅黑" w:eastAsia="微软雅黑" w:cs="微软雅黑"/>
                      <w:i/>
                      <w:iCs/>
                      <w:color w:val="000000"/>
                      <w:sz w:val="16"/>
                      <w:szCs w:val="16"/>
                      <w:u w:val="none"/>
                    </w:rPr>
                  </w:pP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945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2E87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8D2E2">
                  <w:pPr>
                    <w:rPr>
                      <w:rFonts w:hint="eastAsia" w:ascii="黑体" w:hAnsi="黑体" w:eastAsia="黑体" w:cs="黑体"/>
                      <w:i/>
                      <w:iCs/>
                      <w:color w:val="000000"/>
                      <w:sz w:val="18"/>
                      <w:szCs w:val="18"/>
                      <w:u w:val="none"/>
                    </w:rPr>
                  </w:pPr>
                </w:p>
              </w:tc>
            </w:tr>
            <w:tr w14:paraId="13438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8D29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F941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7927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CD2D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181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1EE8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FD01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9882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99B0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D16F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76B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EB81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38BEA">
                  <w:pPr>
                    <w:jc w:val="center"/>
                    <w:rPr>
                      <w:rFonts w:hint="eastAsia" w:ascii="宋体" w:hAnsi="宋体" w:eastAsia="宋体" w:cs="宋体"/>
                      <w:i w:val="0"/>
                      <w:iCs w:val="0"/>
                      <w:color w:val="000000"/>
                      <w:sz w:val="18"/>
                      <w:szCs w:val="18"/>
                      <w:u w:val="none"/>
                    </w:rPr>
                  </w:pP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9036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6DFF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EA0F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30套人才公寓</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85EC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4CF3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6DB9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B051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19F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4F0D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45D255">
                  <w:pPr>
                    <w:jc w:val="center"/>
                    <w:rPr>
                      <w:rFonts w:hint="eastAsia" w:ascii="宋体" w:hAnsi="宋体" w:eastAsia="宋体" w:cs="宋体"/>
                      <w:i w:val="0"/>
                      <w:iCs w:val="0"/>
                      <w:color w:val="000000"/>
                      <w:sz w:val="18"/>
                      <w:szCs w:val="18"/>
                      <w:u w:val="none"/>
                    </w:rPr>
                  </w:pPr>
                </w:p>
              </w:tc>
            </w:tr>
            <w:tr w14:paraId="0A6D2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45150">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2E566">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87B6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E9B3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设备合格</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8F6B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6663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C323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C5B68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EE84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4627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290DC6">
                  <w:pPr>
                    <w:jc w:val="center"/>
                    <w:rPr>
                      <w:rFonts w:hint="eastAsia" w:ascii="宋体" w:hAnsi="宋体" w:eastAsia="宋体" w:cs="宋体"/>
                      <w:i w:val="0"/>
                      <w:iCs w:val="0"/>
                      <w:color w:val="000000"/>
                      <w:sz w:val="18"/>
                      <w:szCs w:val="18"/>
                      <w:u w:val="none"/>
                    </w:rPr>
                  </w:pPr>
                </w:p>
              </w:tc>
            </w:tr>
            <w:tr w14:paraId="70179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78FD9">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522D3">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3F22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A46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2024年12月31日</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DAD5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EDCE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0607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786A2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12</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C1D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9697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E1B873">
                  <w:pPr>
                    <w:jc w:val="center"/>
                    <w:rPr>
                      <w:rFonts w:hint="eastAsia" w:ascii="宋体" w:hAnsi="宋体" w:eastAsia="宋体" w:cs="宋体"/>
                      <w:i w:val="0"/>
                      <w:iCs w:val="0"/>
                      <w:color w:val="000000"/>
                      <w:sz w:val="18"/>
                      <w:szCs w:val="18"/>
                      <w:u w:val="none"/>
                    </w:rPr>
                  </w:pPr>
                </w:p>
              </w:tc>
            </w:tr>
            <w:tr w14:paraId="1DCB7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1A61D">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DF3A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91A7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55F5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年度节约财政资金</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086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1B95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4718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CB192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4F11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000B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D37ECB">
                  <w:pPr>
                    <w:jc w:val="center"/>
                    <w:rPr>
                      <w:rFonts w:hint="eastAsia" w:ascii="宋体" w:hAnsi="宋体" w:eastAsia="宋体" w:cs="宋体"/>
                      <w:i w:val="0"/>
                      <w:iCs w:val="0"/>
                      <w:color w:val="000000"/>
                      <w:sz w:val="18"/>
                      <w:szCs w:val="18"/>
                      <w:u w:val="none"/>
                    </w:rPr>
                  </w:pPr>
                </w:p>
              </w:tc>
            </w:tr>
            <w:tr w14:paraId="3323B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DC19C">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40F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3677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EDA9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入住干部满意度</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2E0E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DC37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E267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D72F6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50E3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4A3F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DE6BA4">
                  <w:pPr>
                    <w:jc w:val="center"/>
                    <w:rPr>
                      <w:rFonts w:hint="eastAsia" w:ascii="微软雅黑" w:hAnsi="微软雅黑" w:eastAsia="微软雅黑" w:cs="微软雅黑"/>
                      <w:i/>
                      <w:iCs/>
                      <w:color w:val="000000"/>
                      <w:sz w:val="16"/>
                      <w:szCs w:val="16"/>
                      <w:u w:val="none"/>
                    </w:rPr>
                  </w:pPr>
                </w:p>
              </w:tc>
            </w:tr>
            <w:tr w14:paraId="4034B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1060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16E1F9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EB6E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BB18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481162">
                  <w:pPr>
                    <w:rPr>
                      <w:rFonts w:hint="eastAsia" w:ascii="宋体" w:hAnsi="宋体" w:eastAsia="宋体" w:cs="宋体"/>
                      <w:i w:val="0"/>
                      <w:iCs w:val="0"/>
                      <w:color w:val="000000"/>
                      <w:sz w:val="18"/>
                      <w:szCs w:val="18"/>
                      <w:u w:val="none"/>
                    </w:rPr>
                  </w:pPr>
                </w:p>
              </w:tc>
            </w:tr>
            <w:tr w14:paraId="1CD84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0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DC4A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5440925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得分100分。该项目切实加强了人才引进住房保障，强化州级机关人才公寓建设，提供优质的后勤保障。整个项目的运行完全按照单位内部管理制度，单位内部不定期进行抽查，各个项目资金使用与具体项目实施内容相符，按照计划时限完成，未逾期。</w:t>
                  </w:r>
                </w:p>
              </w:tc>
            </w:tr>
            <w:tr w14:paraId="550AF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7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0467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6A6541A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76EC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3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7F7F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013996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CC19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730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FC080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64ED66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50AD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285" w:hRule="atLeast"/>
              </w:trPr>
              <w:tc>
                <w:tcPr>
                  <w:tcW w:w="690" w:type="dxa"/>
                  <w:gridSpan w:val="2"/>
                  <w:tcBorders>
                    <w:top w:val="nil"/>
                    <w:left w:val="nil"/>
                    <w:bottom w:val="nil"/>
                    <w:right w:val="nil"/>
                  </w:tcBorders>
                  <w:shd w:val="clear" w:color="auto" w:fill="auto"/>
                  <w:vAlign w:val="center"/>
                </w:tcPr>
                <w:p w14:paraId="038E53F5">
                  <w:pPr>
                    <w:rPr>
                      <w:rFonts w:hint="eastAsia" w:ascii="宋体" w:hAnsi="宋体" w:eastAsia="宋体" w:cs="宋体"/>
                      <w:i w:val="0"/>
                      <w:iCs w:val="0"/>
                      <w:color w:val="000000"/>
                      <w:sz w:val="18"/>
                      <w:szCs w:val="18"/>
                      <w:u w:val="none"/>
                    </w:rPr>
                  </w:pPr>
                </w:p>
              </w:tc>
              <w:tc>
                <w:tcPr>
                  <w:tcW w:w="2055" w:type="dxa"/>
                  <w:gridSpan w:val="2"/>
                  <w:tcBorders>
                    <w:top w:val="nil"/>
                    <w:left w:val="nil"/>
                    <w:bottom w:val="nil"/>
                    <w:right w:val="nil"/>
                  </w:tcBorders>
                  <w:shd w:val="clear" w:color="auto" w:fill="auto"/>
                  <w:vAlign w:val="center"/>
                </w:tcPr>
                <w:p w14:paraId="27E371B4">
                  <w:pPr>
                    <w:rPr>
                      <w:rFonts w:hint="eastAsia" w:ascii="宋体" w:hAnsi="宋体" w:eastAsia="宋体" w:cs="宋体"/>
                      <w:i w:val="0"/>
                      <w:iCs w:val="0"/>
                      <w:color w:val="000000"/>
                      <w:sz w:val="18"/>
                      <w:szCs w:val="18"/>
                      <w:u w:val="none"/>
                    </w:rPr>
                  </w:pPr>
                </w:p>
              </w:tc>
              <w:tc>
                <w:tcPr>
                  <w:tcW w:w="1770" w:type="dxa"/>
                  <w:gridSpan w:val="2"/>
                  <w:tcBorders>
                    <w:top w:val="nil"/>
                    <w:left w:val="nil"/>
                    <w:bottom w:val="nil"/>
                    <w:right w:val="nil"/>
                  </w:tcBorders>
                  <w:shd w:val="clear" w:color="auto" w:fill="auto"/>
                  <w:vAlign w:val="center"/>
                </w:tcPr>
                <w:p w14:paraId="3BE4A434">
                  <w:pPr>
                    <w:rPr>
                      <w:rFonts w:hint="eastAsia" w:ascii="宋体" w:hAnsi="宋体" w:eastAsia="宋体" w:cs="宋体"/>
                      <w:i w:val="0"/>
                      <w:iCs w:val="0"/>
                      <w:color w:val="000000"/>
                      <w:sz w:val="18"/>
                      <w:szCs w:val="18"/>
                      <w:u w:val="none"/>
                    </w:rPr>
                  </w:pPr>
                </w:p>
              </w:tc>
              <w:tc>
                <w:tcPr>
                  <w:tcW w:w="2265" w:type="dxa"/>
                  <w:gridSpan w:val="2"/>
                  <w:tcBorders>
                    <w:top w:val="nil"/>
                    <w:left w:val="nil"/>
                    <w:bottom w:val="nil"/>
                    <w:right w:val="nil"/>
                  </w:tcBorders>
                  <w:shd w:val="clear" w:color="auto" w:fill="auto"/>
                  <w:vAlign w:val="center"/>
                </w:tcPr>
                <w:p w14:paraId="05D61918">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516F3F61">
                  <w:pPr>
                    <w:rPr>
                      <w:rFonts w:hint="eastAsia" w:ascii="宋体" w:hAnsi="宋体" w:eastAsia="宋体" w:cs="宋体"/>
                      <w:i w:val="0"/>
                      <w:iCs w:val="0"/>
                      <w:color w:val="000000"/>
                      <w:sz w:val="18"/>
                      <w:szCs w:val="18"/>
                      <w:u w:val="none"/>
                    </w:rPr>
                  </w:pPr>
                </w:p>
              </w:tc>
              <w:tc>
                <w:tcPr>
                  <w:tcW w:w="1680" w:type="dxa"/>
                  <w:gridSpan w:val="2"/>
                  <w:tcBorders>
                    <w:top w:val="nil"/>
                    <w:left w:val="nil"/>
                    <w:bottom w:val="nil"/>
                    <w:right w:val="nil"/>
                  </w:tcBorders>
                  <w:shd w:val="clear" w:color="auto" w:fill="auto"/>
                  <w:vAlign w:val="center"/>
                </w:tcPr>
                <w:p w14:paraId="6EF9444F">
                  <w:pPr>
                    <w:rPr>
                      <w:rFonts w:hint="eastAsia" w:ascii="宋体" w:hAnsi="宋体" w:eastAsia="宋体" w:cs="宋体"/>
                      <w:i w:val="0"/>
                      <w:iCs w:val="0"/>
                      <w:color w:val="000000"/>
                      <w:sz w:val="18"/>
                      <w:szCs w:val="18"/>
                      <w:u w:val="none"/>
                    </w:rPr>
                  </w:pPr>
                </w:p>
              </w:tc>
              <w:tc>
                <w:tcPr>
                  <w:tcW w:w="525" w:type="dxa"/>
                  <w:gridSpan w:val="2"/>
                  <w:tcBorders>
                    <w:top w:val="nil"/>
                    <w:left w:val="nil"/>
                    <w:bottom w:val="nil"/>
                    <w:right w:val="nil"/>
                  </w:tcBorders>
                  <w:shd w:val="clear" w:color="auto" w:fill="auto"/>
                  <w:vAlign w:val="center"/>
                </w:tcPr>
                <w:p w14:paraId="0884AB8A">
                  <w:pPr>
                    <w:rPr>
                      <w:rFonts w:hint="eastAsia" w:ascii="宋体" w:hAnsi="宋体" w:eastAsia="宋体" w:cs="宋体"/>
                      <w:i w:val="0"/>
                      <w:iCs w:val="0"/>
                      <w:color w:val="000000"/>
                      <w:sz w:val="18"/>
                      <w:szCs w:val="18"/>
                      <w:u w:val="none"/>
                    </w:rPr>
                  </w:pPr>
                </w:p>
              </w:tc>
              <w:tc>
                <w:tcPr>
                  <w:tcW w:w="1095" w:type="dxa"/>
                  <w:gridSpan w:val="2"/>
                  <w:tcBorders>
                    <w:top w:val="nil"/>
                    <w:left w:val="nil"/>
                    <w:bottom w:val="nil"/>
                    <w:right w:val="nil"/>
                  </w:tcBorders>
                  <w:shd w:val="clear" w:color="auto" w:fill="auto"/>
                  <w:vAlign w:val="center"/>
                </w:tcPr>
                <w:p w14:paraId="7B65F7C0">
                  <w:pPr>
                    <w:rPr>
                      <w:rFonts w:hint="eastAsia" w:ascii="宋体" w:hAnsi="宋体" w:eastAsia="宋体" w:cs="宋体"/>
                      <w:i w:val="0"/>
                      <w:iCs w:val="0"/>
                      <w:color w:val="000000"/>
                      <w:sz w:val="18"/>
                      <w:szCs w:val="18"/>
                      <w:u w:val="none"/>
                    </w:rPr>
                  </w:pPr>
                </w:p>
              </w:tc>
              <w:tc>
                <w:tcPr>
                  <w:tcW w:w="510" w:type="dxa"/>
                  <w:gridSpan w:val="2"/>
                  <w:tcBorders>
                    <w:top w:val="nil"/>
                    <w:left w:val="nil"/>
                    <w:bottom w:val="nil"/>
                    <w:right w:val="nil"/>
                  </w:tcBorders>
                  <w:shd w:val="clear" w:color="auto" w:fill="auto"/>
                  <w:vAlign w:val="center"/>
                </w:tcPr>
                <w:p w14:paraId="745A247A">
                  <w:pPr>
                    <w:rPr>
                      <w:rFonts w:hint="eastAsia" w:ascii="宋体" w:hAnsi="宋体" w:eastAsia="宋体" w:cs="宋体"/>
                      <w:i w:val="0"/>
                      <w:iCs w:val="0"/>
                      <w:color w:val="000000"/>
                      <w:sz w:val="18"/>
                      <w:szCs w:val="18"/>
                      <w:u w:val="none"/>
                    </w:rPr>
                  </w:pPr>
                </w:p>
              </w:tc>
              <w:tc>
                <w:tcPr>
                  <w:tcW w:w="450" w:type="dxa"/>
                  <w:gridSpan w:val="2"/>
                  <w:tcBorders>
                    <w:top w:val="nil"/>
                    <w:left w:val="nil"/>
                    <w:bottom w:val="nil"/>
                    <w:right w:val="nil"/>
                  </w:tcBorders>
                  <w:shd w:val="clear" w:color="auto" w:fill="auto"/>
                  <w:vAlign w:val="center"/>
                </w:tcPr>
                <w:p w14:paraId="521B3C0C">
                  <w:pPr>
                    <w:rPr>
                      <w:rFonts w:hint="eastAsia" w:ascii="宋体" w:hAnsi="宋体" w:eastAsia="宋体" w:cs="宋体"/>
                      <w:i w:val="0"/>
                      <w:iCs w:val="0"/>
                      <w:color w:val="000000"/>
                      <w:sz w:val="18"/>
                      <w:szCs w:val="18"/>
                      <w:u w:val="none"/>
                    </w:rPr>
                  </w:pPr>
                </w:p>
              </w:tc>
              <w:tc>
                <w:tcPr>
                  <w:tcW w:w="2550" w:type="dxa"/>
                  <w:gridSpan w:val="2"/>
                  <w:tcBorders>
                    <w:top w:val="nil"/>
                    <w:left w:val="nil"/>
                    <w:bottom w:val="nil"/>
                    <w:right w:val="nil"/>
                  </w:tcBorders>
                  <w:shd w:val="clear" w:color="auto" w:fill="auto"/>
                  <w:vAlign w:val="center"/>
                </w:tcPr>
                <w:p w14:paraId="79953BCE">
                  <w:pPr>
                    <w:rPr>
                      <w:rFonts w:hint="eastAsia" w:ascii="宋体" w:hAnsi="宋体" w:eastAsia="宋体" w:cs="宋体"/>
                      <w:i w:val="0"/>
                      <w:iCs w:val="0"/>
                      <w:color w:val="000000"/>
                      <w:sz w:val="18"/>
                      <w:szCs w:val="18"/>
                      <w:u w:val="none"/>
                    </w:rPr>
                  </w:pPr>
                </w:p>
              </w:tc>
            </w:tr>
            <w:tr w14:paraId="17BDB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04" w:hRule="atLeast"/>
              </w:trPr>
              <w:tc>
                <w:tcPr>
                  <w:tcW w:w="14115"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14:paraId="101423A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368A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E6D6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6DFB57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51320025T000012132535-阿坝州公务用车集中采购项目</w:t>
                  </w:r>
                </w:p>
              </w:tc>
            </w:tr>
            <w:tr w14:paraId="203B2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14" w:hRule="atLeast"/>
              </w:trPr>
              <w:tc>
                <w:tcPr>
                  <w:tcW w:w="27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8D5D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3683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州机关事务管理局部门</w:t>
                  </w:r>
                </w:p>
              </w:tc>
              <w:tc>
                <w:tcPr>
                  <w:tcW w:w="1095" w:type="dxa"/>
                  <w:gridSpan w:val="2"/>
                  <w:tcBorders>
                    <w:top w:val="nil"/>
                    <w:left w:val="nil"/>
                    <w:bottom w:val="nil"/>
                    <w:right w:val="nil"/>
                  </w:tcBorders>
                  <w:shd w:val="clear" w:color="auto" w:fill="auto"/>
                  <w:vAlign w:val="center"/>
                </w:tcPr>
                <w:p w14:paraId="769B8C2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99FB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w:t>
                  </w:r>
                </w:p>
              </w:tc>
            </w:tr>
            <w:tr w14:paraId="6FD4F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8EE9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F200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4BED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0534F5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43B8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583"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7D51C">
                  <w:pP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D53F5">
                  <w:pPr>
                    <w:rPr>
                      <w:rFonts w:hint="eastAsia" w:ascii="宋体" w:hAnsi="宋体" w:eastAsia="宋体" w:cs="宋体"/>
                      <w:i w:val="0"/>
                      <w:iCs w:val="0"/>
                      <w:color w:val="000000"/>
                      <w:sz w:val="18"/>
                      <w:szCs w:val="18"/>
                      <w:u w:val="none"/>
                    </w:rPr>
                  </w:pPr>
                </w:p>
              </w:tc>
              <w:tc>
                <w:tcPr>
                  <w:tcW w:w="676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1975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坚持以习近平新时代中国特色社会主义思想为指导，深入学习贯彻习近平总书记对机关事务工作提出“两个重大”职能定位、“一个表率”作风和“两个更好服务”目标方向的重要指示精神，以机关事务治理现代化和高质量发展为目标，以高效保障机关运行和严格控制机关运行成本为主线，牢固树立新发展理念，落实“过紧日子”要求，加强以国有资产为基础的集中统一管理，科学统筹配置国有资产要素保障，推进全州公务用车配置集约高效建设，有效推动公务用车“四统一”管理落地落实。。</w:t>
                  </w:r>
                </w:p>
              </w:tc>
              <w:tc>
                <w:tcPr>
                  <w:tcW w:w="4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999C1E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按照工作安排年度已完成全州公务用车集采工作</w:t>
                  </w:r>
                </w:p>
              </w:tc>
            </w:tr>
            <w:tr w14:paraId="76556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9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14DA9">
                  <w:pP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A6FD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188AE8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该项目是通过政府采购招投标实施的，7月30日按照政府采购法规定对222台车辆，预算金额8338万元的公务用车集中采购项目发布了招标公告。9月24日，在州公共资源交易中心进行了公开招投标，后按照合同约定内容完成了车辆交付等事宜。</w:t>
                  </w:r>
                </w:p>
              </w:tc>
            </w:tr>
            <w:tr w14:paraId="79DAD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13CA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7416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430C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AC48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223F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9DA5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4EAB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BB58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CF85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8B0E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45"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84F12">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6B65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89C9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DA6F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7,194.20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4559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7,194.20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D77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768B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7008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01059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65E9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9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39331">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F6BA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532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704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246.90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2B38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246.90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4EF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13F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0475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2530F">
                  <w:pPr>
                    <w:rPr>
                      <w:rFonts w:hint="eastAsia" w:ascii="黑体" w:hAnsi="黑体" w:eastAsia="黑体" w:cs="黑体"/>
                      <w:i/>
                      <w:iCs/>
                      <w:color w:val="000000"/>
                      <w:sz w:val="18"/>
                      <w:szCs w:val="18"/>
                      <w:u w:val="none"/>
                    </w:rPr>
                  </w:pPr>
                </w:p>
              </w:tc>
            </w:tr>
            <w:tr w14:paraId="54873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09"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93397">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00EB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4815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AAF9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7A6A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CD31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4172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1840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65DFA">
                  <w:pPr>
                    <w:rPr>
                      <w:rFonts w:hint="eastAsia" w:ascii="黑体" w:hAnsi="黑体" w:eastAsia="黑体" w:cs="黑体"/>
                      <w:i/>
                      <w:iCs/>
                      <w:color w:val="000000"/>
                      <w:sz w:val="18"/>
                      <w:szCs w:val="18"/>
                      <w:u w:val="none"/>
                    </w:rPr>
                  </w:pPr>
                </w:p>
              </w:tc>
            </w:tr>
            <w:tr w14:paraId="5F037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0"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4F57B">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D58D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8547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D5ED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6,947.30</w:t>
                  </w: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CA72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6,947.30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6425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452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5B81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86CAA">
                  <w:pPr>
                    <w:rPr>
                      <w:rFonts w:hint="eastAsia" w:ascii="黑体" w:hAnsi="黑体" w:eastAsia="黑体" w:cs="黑体"/>
                      <w:i/>
                      <w:iCs/>
                      <w:color w:val="000000"/>
                      <w:sz w:val="18"/>
                      <w:szCs w:val="18"/>
                      <w:u w:val="none"/>
                    </w:rPr>
                  </w:pPr>
                </w:p>
              </w:tc>
            </w:tr>
            <w:tr w14:paraId="4702E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9C6C8">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7695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1859AF">
                  <w:pPr>
                    <w:jc w:val="center"/>
                    <w:rPr>
                      <w:rFonts w:hint="eastAsia" w:ascii="微软雅黑" w:hAnsi="微软雅黑" w:eastAsia="微软雅黑" w:cs="微软雅黑"/>
                      <w:i/>
                      <w:iCs/>
                      <w:color w:val="000000"/>
                      <w:sz w:val="16"/>
                      <w:szCs w:val="16"/>
                      <w:u w:val="none"/>
                    </w:rPr>
                  </w:pP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77592E">
                  <w:pPr>
                    <w:jc w:val="center"/>
                    <w:rPr>
                      <w:rFonts w:hint="eastAsia" w:ascii="微软雅黑" w:hAnsi="微软雅黑" w:eastAsia="微软雅黑" w:cs="微软雅黑"/>
                      <w:i/>
                      <w:iCs/>
                      <w:color w:val="000000"/>
                      <w:sz w:val="16"/>
                      <w:szCs w:val="16"/>
                      <w:u w:val="none"/>
                    </w:rPr>
                  </w:pPr>
                </w:p>
              </w:tc>
              <w:tc>
                <w:tcPr>
                  <w:tcW w:w="27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0C5502">
                  <w:pPr>
                    <w:jc w:val="center"/>
                    <w:rPr>
                      <w:rFonts w:hint="eastAsia" w:ascii="微软雅黑" w:hAnsi="微软雅黑" w:eastAsia="微软雅黑" w:cs="微软雅黑"/>
                      <w:i/>
                      <w:iCs/>
                      <w:color w:val="000000"/>
                      <w:sz w:val="16"/>
                      <w:szCs w:val="16"/>
                      <w:u w:val="none"/>
                    </w:rPr>
                  </w:pP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4071CB">
                  <w:pPr>
                    <w:jc w:val="center"/>
                    <w:rPr>
                      <w:rFonts w:hint="eastAsia" w:ascii="微软雅黑" w:hAnsi="微软雅黑" w:eastAsia="微软雅黑" w:cs="微软雅黑"/>
                      <w:i/>
                      <w:iCs/>
                      <w:color w:val="000000"/>
                      <w:sz w:val="16"/>
                      <w:szCs w:val="16"/>
                      <w:u w:val="none"/>
                    </w:rPr>
                  </w:pP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35F9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6D3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9DF99">
                  <w:pPr>
                    <w:rPr>
                      <w:rFonts w:hint="eastAsia" w:ascii="黑体" w:hAnsi="黑体" w:eastAsia="黑体" w:cs="黑体"/>
                      <w:i/>
                      <w:iCs/>
                      <w:color w:val="000000"/>
                      <w:sz w:val="18"/>
                      <w:szCs w:val="18"/>
                      <w:u w:val="none"/>
                    </w:rPr>
                  </w:pPr>
                </w:p>
              </w:tc>
            </w:tr>
            <w:tr w14:paraId="45743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B803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3FF8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682F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DECA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AE4F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52F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822D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1FB7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5227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EA40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47AA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6AB6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CA6D6">
                  <w:pPr>
                    <w:jc w:val="center"/>
                    <w:rPr>
                      <w:rFonts w:hint="eastAsia" w:ascii="宋体" w:hAnsi="宋体" w:eastAsia="宋体" w:cs="宋体"/>
                      <w:i w:val="0"/>
                      <w:iCs w:val="0"/>
                      <w:color w:val="000000"/>
                      <w:sz w:val="18"/>
                      <w:szCs w:val="18"/>
                      <w:u w:val="none"/>
                    </w:rPr>
                  </w:pP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B2C4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91BD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B3F8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全年采购公车的数量</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15A0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988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EE6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台</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03F43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FAE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FBFB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5E437A">
                  <w:pPr>
                    <w:jc w:val="center"/>
                    <w:rPr>
                      <w:rFonts w:hint="eastAsia" w:ascii="微软雅黑" w:hAnsi="微软雅黑" w:eastAsia="微软雅黑" w:cs="微软雅黑"/>
                      <w:i/>
                      <w:iCs/>
                      <w:color w:val="000000"/>
                      <w:sz w:val="16"/>
                      <w:szCs w:val="16"/>
                      <w:u w:val="none"/>
                    </w:rPr>
                  </w:pPr>
                </w:p>
              </w:tc>
            </w:tr>
            <w:tr w14:paraId="28C17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34283">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9E17D">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854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1460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公务用车采购的车辆质量指标为合格</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A1C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2440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0DF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B4E6F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50A1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F3B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49A28">
                  <w:pPr>
                    <w:jc w:val="center"/>
                    <w:rPr>
                      <w:rFonts w:hint="eastAsia" w:ascii="微软雅黑" w:hAnsi="微软雅黑" w:eastAsia="微软雅黑" w:cs="微软雅黑"/>
                      <w:i/>
                      <w:iCs/>
                      <w:color w:val="000000"/>
                      <w:sz w:val="16"/>
                      <w:szCs w:val="16"/>
                      <w:u w:val="none"/>
                    </w:rPr>
                  </w:pPr>
                </w:p>
              </w:tc>
            </w:tr>
            <w:tr w14:paraId="0E795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38"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B1300">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0739F">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BDCE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A2A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2024年12月31日</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5017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FE88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BF00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B639D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12</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DD54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4E93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46BCD1">
                  <w:pPr>
                    <w:jc w:val="center"/>
                    <w:rPr>
                      <w:rFonts w:hint="eastAsia" w:ascii="微软雅黑" w:hAnsi="微软雅黑" w:eastAsia="微软雅黑" w:cs="微软雅黑"/>
                      <w:i/>
                      <w:iCs/>
                      <w:color w:val="000000"/>
                      <w:sz w:val="16"/>
                      <w:szCs w:val="16"/>
                      <w:u w:val="none"/>
                    </w:rPr>
                  </w:pPr>
                </w:p>
              </w:tc>
            </w:tr>
            <w:tr w14:paraId="11F4C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5A423">
                  <w:pPr>
                    <w:jc w:val="center"/>
                    <w:rPr>
                      <w:rFonts w:hint="eastAsia" w:ascii="宋体" w:hAnsi="宋体" w:eastAsia="宋体" w:cs="宋体"/>
                      <w:i w:val="0"/>
                      <w:iCs w:val="0"/>
                      <w:color w:val="000000"/>
                      <w:sz w:val="18"/>
                      <w:szCs w:val="18"/>
                      <w:u w:val="none"/>
                    </w:rPr>
                  </w:pP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38F9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EC1E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DFEC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有效推动公务用车“四统一”管理落地落实</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3BC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452F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CAB2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14F0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85EF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798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C2283">
                  <w:pPr>
                    <w:jc w:val="center"/>
                    <w:rPr>
                      <w:rFonts w:hint="eastAsia" w:ascii="微软雅黑" w:hAnsi="微软雅黑" w:eastAsia="微软雅黑" w:cs="微软雅黑"/>
                      <w:i/>
                      <w:iCs/>
                      <w:color w:val="000000"/>
                      <w:sz w:val="16"/>
                      <w:szCs w:val="16"/>
                      <w:u w:val="none"/>
                    </w:rPr>
                  </w:pPr>
                </w:p>
              </w:tc>
            </w:tr>
            <w:tr w14:paraId="1BA15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C6A6F">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34F8B">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4F56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F5E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落实“过紧日子”要求，最大限度的节约财政资金</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EF3C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774A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C991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058BA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200</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123C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51C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54B301">
                  <w:pPr>
                    <w:jc w:val="center"/>
                    <w:rPr>
                      <w:rFonts w:hint="eastAsia" w:ascii="微软雅黑" w:hAnsi="微软雅黑" w:eastAsia="微软雅黑" w:cs="微软雅黑"/>
                      <w:i/>
                      <w:iCs/>
                      <w:color w:val="000000"/>
                      <w:sz w:val="16"/>
                      <w:szCs w:val="16"/>
                      <w:u w:val="none"/>
                    </w:rPr>
                  </w:pPr>
                </w:p>
              </w:tc>
            </w:tr>
            <w:tr w14:paraId="6C834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A71A2">
                  <w:pPr>
                    <w:jc w:val="center"/>
                    <w:rPr>
                      <w:rFonts w:hint="eastAsia" w:ascii="宋体" w:hAnsi="宋体" w:eastAsia="宋体" w:cs="宋体"/>
                      <w:i w:val="0"/>
                      <w:iCs w:val="0"/>
                      <w:color w:val="000000"/>
                      <w:sz w:val="18"/>
                      <w:szCs w:val="18"/>
                      <w:u w:val="none"/>
                    </w:rPr>
                  </w:pP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1E1D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8DE0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7BF9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反映车辆采购单位对集中采购事项处理的认可情况</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621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8D2D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C7DB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4175A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92</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6741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CC9E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2B3E21">
                  <w:pPr>
                    <w:jc w:val="center"/>
                    <w:rPr>
                      <w:rFonts w:hint="eastAsia" w:ascii="微软雅黑" w:hAnsi="微软雅黑" w:eastAsia="微软雅黑" w:cs="微软雅黑"/>
                      <w:i/>
                      <w:iCs/>
                      <w:color w:val="000000"/>
                      <w:sz w:val="16"/>
                      <w:szCs w:val="16"/>
                      <w:u w:val="none"/>
                    </w:rPr>
                  </w:pPr>
                </w:p>
              </w:tc>
            </w:tr>
            <w:tr w14:paraId="6F35F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A03E5">
                  <w:pPr>
                    <w:jc w:val="center"/>
                    <w:rPr>
                      <w:rFonts w:hint="eastAsia" w:ascii="宋体" w:hAnsi="宋体" w:eastAsia="宋体" w:cs="宋体"/>
                      <w:i w:val="0"/>
                      <w:iCs w:val="0"/>
                      <w:color w:val="000000"/>
                      <w:sz w:val="18"/>
                      <w:szCs w:val="18"/>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685C0">
                  <w:pPr>
                    <w:jc w:val="center"/>
                    <w:rPr>
                      <w:rFonts w:hint="eastAsia" w:ascii="宋体" w:hAnsi="宋体" w:eastAsia="宋体" w:cs="宋体"/>
                      <w:i w:val="0"/>
                      <w:iCs w:val="0"/>
                      <w:color w:val="000000"/>
                      <w:sz w:val="18"/>
                      <w:szCs w:val="18"/>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A055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D94A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反映干部职工对集中采购事项处理的认可情况</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4272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E14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2AB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5CBB0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96</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CFB8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2A4B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6C4A76">
                  <w:pPr>
                    <w:jc w:val="center"/>
                    <w:rPr>
                      <w:rFonts w:hint="eastAsia" w:ascii="微软雅黑" w:hAnsi="微软雅黑" w:eastAsia="微软雅黑" w:cs="微软雅黑"/>
                      <w:i/>
                      <w:iCs/>
                      <w:color w:val="000000"/>
                      <w:sz w:val="16"/>
                      <w:szCs w:val="16"/>
                      <w:u w:val="none"/>
                    </w:rPr>
                  </w:pPr>
                </w:p>
              </w:tc>
            </w:tr>
            <w:tr w14:paraId="3CB2B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4" w:hRule="atLeast"/>
              </w:trPr>
              <w:tc>
                <w:tcPr>
                  <w:tcW w:w="6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5664A">
                  <w:pPr>
                    <w:jc w:val="center"/>
                    <w:rPr>
                      <w:rFonts w:hint="eastAsia" w:ascii="宋体" w:hAnsi="宋体" w:eastAsia="宋体" w:cs="宋体"/>
                      <w:i w:val="0"/>
                      <w:iCs w:val="0"/>
                      <w:color w:val="000000"/>
                      <w:sz w:val="18"/>
                      <w:szCs w:val="18"/>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AA46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EE53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0EC4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公务用车集中采购的经济成本</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253F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484E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7544.2</w:t>
                  </w:r>
                </w:p>
              </w:tc>
              <w:tc>
                <w:tcPr>
                  <w:tcW w:w="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DBF6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EFB876">
                  <w:pPr>
                    <w:jc w:val="center"/>
                    <w:rPr>
                      <w:rFonts w:hint="eastAsia" w:ascii="微软雅黑" w:hAnsi="微软雅黑" w:eastAsia="微软雅黑" w:cs="微软雅黑"/>
                      <w:i/>
                      <w:iCs/>
                      <w:color w:val="000000"/>
                      <w:sz w:val="16"/>
                      <w:szCs w:val="16"/>
                      <w:u w:val="none"/>
                    </w:rPr>
                  </w:pP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4877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5C25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D8CA1F">
                  <w:pPr>
                    <w:jc w:val="center"/>
                    <w:rPr>
                      <w:rFonts w:hint="eastAsia" w:ascii="微软雅黑" w:hAnsi="微软雅黑" w:eastAsia="微软雅黑" w:cs="微软雅黑"/>
                      <w:i/>
                      <w:iCs/>
                      <w:color w:val="000000"/>
                      <w:sz w:val="16"/>
                      <w:szCs w:val="16"/>
                      <w:u w:val="none"/>
                    </w:rPr>
                  </w:pPr>
                </w:p>
              </w:tc>
            </w:tr>
            <w:tr w14:paraId="09BF7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1060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012A2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4B28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F2D2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25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430053">
                  <w:pPr>
                    <w:rPr>
                      <w:rFonts w:hint="eastAsia" w:ascii="宋体" w:hAnsi="宋体" w:eastAsia="宋体" w:cs="宋体"/>
                      <w:i w:val="0"/>
                      <w:iCs w:val="0"/>
                      <w:color w:val="000000"/>
                      <w:sz w:val="18"/>
                      <w:szCs w:val="18"/>
                      <w:u w:val="none"/>
                    </w:rPr>
                  </w:pPr>
                </w:p>
              </w:tc>
            </w:tr>
            <w:tr w14:paraId="32715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0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291E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DD6867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落实“过紧日子”要求，加强以国有资产为基础的集中统一管理，科学统筹配置国有资产要素保障，推进全州公务用车配置集约高效建设，有效推动公务用车“四统一”管理落地落实。</w:t>
                  </w:r>
                </w:p>
              </w:tc>
            </w:tr>
            <w:tr w14:paraId="55CD8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7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8C1E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203DB32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此次集中采购采用综合评分法评标，价格控制不是唯一评分因素，导致部分车型因为商品紧俏、采购量大、交付时间紧等原因，中标价高于市场指导价情况。</w:t>
                  </w:r>
                </w:p>
              </w:tc>
            </w:tr>
            <w:tr w14:paraId="1B498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34" w:hRule="atLeast"/>
              </w:trPr>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663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ED54F0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A4C1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5" w:hRule="atLeast"/>
              </w:trPr>
              <w:tc>
                <w:tcPr>
                  <w:tcW w:w="730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EE0A8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1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7E901C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0E0DC3C7">
            <w:pPr>
              <w:keepNext w:val="0"/>
              <w:keepLines w:val="0"/>
              <w:widowControl/>
              <w:suppressLineNumbers w:val="0"/>
              <w:jc w:val="center"/>
              <w:textAlignment w:val="center"/>
              <w:rPr>
                <w:rFonts w:ascii="方正黑体_GBK" w:hAnsi="方正黑体_GBK" w:eastAsia="方正黑体_GBK" w:cs="方正黑体_GBK"/>
                <w:b/>
                <w:bCs/>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2F4F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512" w:hRule="atLeast"/>
        </w:trPr>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E77EFA">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27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562652E">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51320022T000000309401-阿坝州公务用车管理平台建设</w:t>
            </w:r>
          </w:p>
        </w:tc>
      </w:tr>
      <w:tr w14:paraId="2FC7C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487" w:hRule="atLeast"/>
        </w:trPr>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9AE376">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DD03AD">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州机关事务管理局部门</w:t>
            </w:r>
          </w:p>
        </w:tc>
        <w:tc>
          <w:tcPr>
            <w:tcW w:w="1225" w:type="dxa"/>
            <w:tcBorders>
              <w:top w:val="nil"/>
              <w:left w:val="nil"/>
              <w:bottom w:val="nil"/>
              <w:right w:val="nil"/>
            </w:tcBorders>
            <w:shd w:val="clear" w:color="auto" w:fill="auto"/>
            <w:vAlign w:val="center"/>
          </w:tcPr>
          <w:p w14:paraId="07E41847">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929" w:type="dxa"/>
            <w:gridSpan w:val="3"/>
            <w:tcBorders>
              <w:top w:val="nil"/>
              <w:left w:val="nil"/>
              <w:bottom w:val="nil"/>
              <w:right w:val="nil"/>
            </w:tcBorders>
            <w:shd w:val="clear" w:color="auto" w:fill="auto"/>
            <w:vAlign w:val="center"/>
          </w:tcPr>
          <w:p w14:paraId="5E18141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w:t>
            </w:r>
          </w:p>
        </w:tc>
      </w:tr>
      <w:tr w14:paraId="41263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497"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99A258">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FD7BAB">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63355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5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EE0A0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821F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4199"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7DFEF">
            <w:pP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4652A">
            <w:pPr>
              <w:rPr>
                <w:rFonts w:hint="eastAsia" w:ascii="方正黑体_GBK" w:hAnsi="方正黑体_GBK" w:eastAsia="方正黑体_GBK" w:cs="方正黑体_GBK"/>
                <w:i w:val="0"/>
                <w:iCs w:val="0"/>
                <w:color w:val="000000"/>
                <w:sz w:val="18"/>
                <w:szCs w:val="18"/>
                <w:u w:val="none"/>
              </w:rPr>
            </w:pP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0790F8">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党风廉政建设、厉行节约反对浪费，全省一张网统一监管。为贯彻落实《中共四川省委办公厅、四川省人民政府办公厅关于印发&lt;四川省全面推进公务用车制度改革总体方案&gt;的通知》（川委办〔2015〕45号）精神。</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2016年12月22日，中央车改办下发了《关于进一步加强地方公务用车平台建设的通知》（发改电〔2016〕756号），要求“通过车辆管理平台建设，实现公车管理平台化、平台信息化，省、市、县三级信息互联互通，公车管理实现全省一张网”。2017年6月30日，省车改办制定《四川省公务用车管理平台建设方案》（川车改办函〔2017〕15号），明确了全省总体目标、建设要求及方式。省机关事务管理局要市、州完成各级公车管理平台建设，并与省级公务用车管理平台实现对接。</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2018年12月，省车改办组织会议，要求甘孜阿坝两州尽快开始车改，并明确车改同时必须建设州公务用车管理平台，平台建设完成且平台数据能够接入到省级公务用车管理平台，即拨付车改补贴。</w:t>
            </w:r>
          </w:p>
        </w:tc>
        <w:tc>
          <w:tcPr>
            <w:tcW w:w="5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5EA442">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14:paraId="19D39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1169"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01884">
            <w:pP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AF9AB">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27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0046CC3">
            <w:pPr>
              <w:rPr>
                <w:rFonts w:hint="eastAsia" w:ascii="方正黑体_GBK" w:hAnsi="方正黑体_GBK" w:eastAsia="方正黑体_GBK" w:cs="方正黑体_GBK"/>
                <w:i w:val="0"/>
                <w:iCs w:val="0"/>
                <w:color w:val="000000"/>
                <w:sz w:val="18"/>
                <w:szCs w:val="18"/>
                <w:u w:val="none"/>
              </w:rPr>
            </w:pPr>
          </w:p>
        </w:tc>
      </w:tr>
      <w:tr w14:paraId="7EC4D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557"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F821E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1F8D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2918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8259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06DA1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D4E4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4D50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F68A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8539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7E84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532"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A8DC7">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A98D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18D9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3CB6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4B0DC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DCE2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E25F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101A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425446">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7836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482"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3CFDC">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2565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4B0C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68F8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76B87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1BBE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6130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A729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96676">
            <w:pPr>
              <w:rPr>
                <w:rFonts w:hint="eastAsia" w:ascii="方正黑体_GBK" w:hAnsi="方正黑体_GBK" w:eastAsia="方正黑体_GBK" w:cs="方正黑体_GBK"/>
                <w:i w:val="0"/>
                <w:iCs w:val="0"/>
                <w:color w:val="000000"/>
                <w:sz w:val="18"/>
                <w:szCs w:val="18"/>
                <w:u w:val="none"/>
              </w:rPr>
            </w:pPr>
          </w:p>
        </w:tc>
      </w:tr>
      <w:tr w14:paraId="67DFB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392"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71550">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1070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5299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905D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BE6B0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751F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A33A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E985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6DB18">
            <w:pPr>
              <w:rPr>
                <w:rFonts w:hint="eastAsia" w:ascii="方正黑体_GBK" w:hAnsi="方正黑体_GBK" w:eastAsia="方正黑体_GBK" w:cs="方正黑体_GBK"/>
                <w:i w:val="0"/>
                <w:iCs w:val="0"/>
                <w:color w:val="000000"/>
                <w:sz w:val="18"/>
                <w:szCs w:val="18"/>
                <w:u w:val="none"/>
              </w:rPr>
            </w:pPr>
          </w:p>
        </w:tc>
      </w:tr>
      <w:tr w14:paraId="6EEA6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46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D36EE">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AC1D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A120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6E1D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E27D0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D37F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0BD7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9C36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D43B4">
            <w:pPr>
              <w:rPr>
                <w:rFonts w:hint="eastAsia" w:ascii="方正黑体_GBK" w:hAnsi="方正黑体_GBK" w:eastAsia="方正黑体_GBK" w:cs="方正黑体_GBK"/>
                <w:i w:val="0"/>
                <w:iCs w:val="0"/>
                <w:color w:val="000000"/>
                <w:sz w:val="18"/>
                <w:szCs w:val="18"/>
                <w:u w:val="none"/>
              </w:rPr>
            </w:pPr>
          </w:p>
        </w:tc>
      </w:tr>
      <w:tr w14:paraId="147CA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452"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154B9">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05E3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BA055">
            <w:pPr>
              <w:jc w:val="center"/>
              <w:rPr>
                <w:rFonts w:hint="eastAsia" w:ascii="方正黑体_GBK" w:hAnsi="方正黑体_GBK" w:eastAsia="方正黑体_GBK" w:cs="方正黑体_GBK"/>
                <w:i/>
                <w:iCs/>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3F0F2">
            <w:pPr>
              <w:jc w:val="center"/>
              <w:rPr>
                <w:rFonts w:hint="eastAsia" w:ascii="方正黑体_GBK" w:hAnsi="方正黑体_GBK" w:eastAsia="方正黑体_GBK" w:cs="方正黑体_GBK"/>
                <w:i/>
                <w:iCs/>
                <w:color w:val="000000"/>
                <w:sz w:val="18"/>
                <w:szCs w:val="18"/>
                <w:u w:val="none"/>
              </w:rPr>
            </w:pP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3475CE">
            <w:pPr>
              <w:jc w:val="center"/>
              <w:rPr>
                <w:rFonts w:hint="eastAsia" w:ascii="方正黑体_GBK" w:hAnsi="方正黑体_GBK" w:eastAsia="方正黑体_GBK" w:cs="方正黑体_GBK"/>
                <w:i/>
                <w:iCs/>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B1AAF">
            <w:pPr>
              <w:jc w:val="center"/>
              <w:rPr>
                <w:rFonts w:hint="eastAsia" w:ascii="方正黑体_GBK" w:hAnsi="方正黑体_GBK" w:eastAsia="方正黑体_GBK" w:cs="方正黑体_GBK"/>
                <w:i/>
                <w:iCs/>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0C16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18F2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7D8CF">
            <w:pPr>
              <w:rPr>
                <w:rFonts w:hint="eastAsia" w:ascii="方正黑体_GBK" w:hAnsi="方正黑体_GBK" w:eastAsia="方正黑体_GBK" w:cs="方正黑体_GBK"/>
                <w:i w:val="0"/>
                <w:iCs w:val="0"/>
                <w:color w:val="000000"/>
                <w:sz w:val="18"/>
                <w:szCs w:val="18"/>
                <w:u w:val="none"/>
              </w:rPr>
            </w:pPr>
          </w:p>
        </w:tc>
      </w:tr>
      <w:tr w14:paraId="087DB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DA45D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B14A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5858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50BA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BEBA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87BB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6F22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3851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EC62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B8F4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48D8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D2F0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E47F0">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1CD98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A2A1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DF9D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国产定位系统安装率，计算方法为：（车载定位系统安装车辆/州级机关车辆）×100%</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E8F2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31EA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22.14</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0B93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9EBAC">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25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8767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A2B4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29472">
            <w:pPr>
              <w:jc w:val="center"/>
              <w:rPr>
                <w:rFonts w:hint="eastAsia" w:ascii="方正黑体_GBK" w:hAnsi="方正黑体_GBK" w:eastAsia="方正黑体_GBK" w:cs="方正黑体_GBK"/>
                <w:i w:val="0"/>
                <w:iCs w:val="0"/>
                <w:color w:val="000000"/>
                <w:sz w:val="18"/>
                <w:szCs w:val="18"/>
                <w:u w:val="none"/>
              </w:rPr>
            </w:pPr>
          </w:p>
        </w:tc>
      </w:tr>
      <w:tr w14:paraId="1D26D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41195">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BFB06">
            <w:pPr>
              <w:jc w:val="center"/>
              <w:rPr>
                <w:rFonts w:hint="eastAsia" w:ascii="方正黑体_GBK" w:hAnsi="方正黑体_GBK" w:eastAsia="方正黑体_GBK" w:cs="方正黑体_GBK"/>
                <w:i w:val="0"/>
                <w:iCs w:val="0"/>
                <w:color w:val="000000"/>
                <w:sz w:val="18"/>
                <w:szCs w:val="18"/>
                <w:u w:val="none"/>
              </w:rPr>
            </w:pP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4A597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201F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达标率</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BF05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F52A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F08D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29947">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D799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A941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40AD6">
            <w:pPr>
              <w:jc w:val="center"/>
              <w:rPr>
                <w:rFonts w:hint="eastAsia" w:ascii="方正黑体_GBK" w:hAnsi="方正黑体_GBK" w:eastAsia="方正黑体_GBK" w:cs="方正黑体_GBK"/>
                <w:i w:val="0"/>
                <w:iCs w:val="0"/>
                <w:color w:val="000000"/>
                <w:sz w:val="18"/>
                <w:szCs w:val="18"/>
                <w:u w:val="none"/>
              </w:rPr>
            </w:pPr>
          </w:p>
        </w:tc>
      </w:tr>
      <w:tr w14:paraId="10A33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A947F">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A7033">
            <w:pPr>
              <w:jc w:val="center"/>
              <w:rPr>
                <w:rFonts w:hint="eastAsia" w:ascii="方正黑体_GBK" w:hAnsi="方正黑体_GBK" w:eastAsia="方正黑体_GBK" w:cs="方正黑体_GBK"/>
                <w:i w:val="0"/>
                <w:iCs w:val="0"/>
                <w:color w:val="000000"/>
                <w:sz w:val="18"/>
                <w:szCs w:val="18"/>
                <w:u w:val="none"/>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6EFAC">
            <w:pPr>
              <w:jc w:val="center"/>
              <w:rPr>
                <w:rFonts w:hint="eastAsia" w:ascii="方正黑体_GBK" w:hAnsi="方正黑体_GBK" w:eastAsia="方正黑体_GBK" w:cs="方正黑体_GBK"/>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B338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群众满意度指标，计算方法：（满意数/总数）×100%</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D89F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2C86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421F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94541">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A82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11B1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65391">
            <w:pPr>
              <w:jc w:val="center"/>
              <w:rPr>
                <w:rFonts w:hint="eastAsia" w:ascii="方正黑体_GBK" w:hAnsi="方正黑体_GBK" w:eastAsia="方正黑体_GBK" w:cs="方正黑体_GBK"/>
                <w:i w:val="0"/>
                <w:iCs w:val="0"/>
                <w:color w:val="000000"/>
                <w:sz w:val="18"/>
                <w:szCs w:val="18"/>
                <w:u w:val="none"/>
              </w:rPr>
            </w:pPr>
          </w:p>
        </w:tc>
      </w:tr>
      <w:tr w14:paraId="1B940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784C0">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626E3">
            <w:pPr>
              <w:jc w:val="center"/>
              <w:rPr>
                <w:rFonts w:hint="eastAsia" w:ascii="方正黑体_GBK" w:hAnsi="方正黑体_GBK" w:eastAsia="方正黑体_GBK" w:cs="方正黑体_GBK"/>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B92E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BB33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452B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5517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2024年12月底前完成</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2E10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F1228">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8F69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3255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D173">
            <w:pPr>
              <w:jc w:val="center"/>
              <w:rPr>
                <w:rFonts w:hint="eastAsia" w:ascii="方正黑体_GBK" w:hAnsi="方正黑体_GBK" w:eastAsia="方正黑体_GBK" w:cs="方正黑体_GBK"/>
                <w:i w:val="0"/>
                <w:iCs w:val="0"/>
                <w:color w:val="000000"/>
                <w:sz w:val="18"/>
                <w:szCs w:val="18"/>
                <w:u w:val="none"/>
              </w:rPr>
            </w:pPr>
          </w:p>
        </w:tc>
      </w:tr>
      <w:tr w14:paraId="1F21F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63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8AF5D">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561CF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效益指标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90B1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经济效益指标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04A9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年度节约财政资金</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6F46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8360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C9DB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万元</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F2C9">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F53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C6BE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BD22C">
            <w:pPr>
              <w:jc w:val="center"/>
              <w:rPr>
                <w:rFonts w:hint="eastAsia" w:ascii="方正黑体_GBK" w:hAnsi="方正黑体_GBK" w:eastAsia="方正黑体_GBK" w:cs="方正黑体_GBK"/>
                <w:i w:val="0"/>
                <w:iCs w:val="0"/>
                <w:color w:val="000000"/>
                <w:sz w:val="18"/>
                <w:szCs w:val="18"/>
                <w:u w:val="none"/>
              </w:rPr>
            </w:pPr>
          </w:p>
        </w:tc>
      </w:tr>
      <w:tr w14:paraId="62D07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63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113BE">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61123">
            <w:pPr>
              <w:jc w:val="center"/>
              <w:rPr>
                <w:rFonts w:hint="eastAsia" w:ascii="方正黑体_GBK" w:hAnsi="方正黑体_GBK" w:eastAsia="方正黑体_GBK" w:cs="方正黑体_GBK"/>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017C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社会效益指标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AE69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社会效益情况</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A82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56FE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9C2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6117D">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95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AB9C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3856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CB45">
            <w:pPr>
              <w:jc w:val="center"/>
            </w:pPr>
          </w:p>
        </w:tc>
      </w:tr>
      <w:tr w14:paraId="740BF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60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1D9BB">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BC66A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019AE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服务对象满意度指标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1323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满意度</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9205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1576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95</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D5D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4A7EE">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96</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E3BD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11E1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D4BB">
            <w:pPr>
              <w:jc w:val="center"/>
            </w:pPr>
          </w:p>
        </w:tc>
      </w:tr>
      <w:tr w14:paraId="3E58F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89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D950E">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AFAA6">
            <w:pPr>
              <w:jc w:val="center"/>
              <w:rPr>
                <w:rFonts w:hint="eastAsia" w:ascii="方正黑体_GBK" w:hAnsi="方正黑体_GBK" w:eastAsia="方正黑体_GBK" w:cs="方正黑体_GBK"/>
                <w:i w:val="0"/>
                <w:iCs w:val="0"/>
                <w:color w:val="000000"/>
                <w:sz w:val="18"/>
                <w:szCs w:val="18"/>
                <w:u w:val="none"/>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A7E0D">
            <w:pPr>
              <w:jc w:val="cente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AB5A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平台使用人满意度</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C77E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BCA7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95</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0DE5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A036D">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95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BD92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04DE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35A85">
            <w:pPr>
              <w:jc w:val="center"/>
            </w:pPr>
          </w:p>
        </w:tc>
      </w:tr>
      <w:tr w14:paraId="288DA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613"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C6AC5">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A92C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成本指标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A33D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经济成本指标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6031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公车定位系统经济成本</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4181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66490">
            <w:pPr>
              <w:keepNext w:val="0"/>
              <w:keepLines w:val="0"/>
              <w:widowControl/>
              <w:suppressLineNumbers w:val="0"/>
              <w:jc w:val="center"/>
              <w:textAlignment w:val="center"/>
              <w:rPr>
                <w:rFonts w:hint="eastAsia"/>
              </w:rPr>
            </w:pPr>
            <w:r>
              <w:rPr>
                <w:rFonts w:ascii="宋体" w:hAnsi="宋体" w:eastAsia="宋体" w:cs="宋体"/>
                <w:i w:val="0"/>
                <w:iCs w:val="0"/>
                <w:color w:val="000000"/>
                <w:kern w:val="0"/>
                <w:sz w:val="18"/>
                <w:szCs w:val="18"/>
                <w:u w:val="none"/>
                <w:lang w:val="en-US" w:eastAsia="zh-CN" w:bidi="ar"/>
              </w:rPr>
              <w:t>59</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2914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万元</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3546B">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28.63</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2C06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904A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45E13">
            <w:pPr>
              <w:jc w:val="center"/>
            </w:pPr>
          </w:p>
        </w:tc>
      </w:tr>
      <w:tr w14:paraId="4C021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491" w:hRule="atLeast"/>
        </w:trPr>
        <w:tc>
          <w:tcPr>
            <w:tcW w:w="1186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EF53F22">
            <w:pPr>
              <w:keepNext w:val="0"/>
              <w:keepLines w:val="0"/>
              <w:widowControl/>
              <w:suppressLineNumbers w:val="0"/>
              <w:jc w:val="center"/>
              <w:textAlignment w:val="center"/>
              <w:rPr>
                <w:rFonts w:hint="eastAsia" w:ascii="方正黑体_GBK" w:hAnsi="方正黑体_GBK" w:eastAsia="方正黑体_GBK" w:cs="方正黑体_GBK"/>
                <w:b/>
                <w:bCs/>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5C65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460BA">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100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979DC"/>
        </w:tc>
      </w:tr>
      <w:tr w14:paraId="13F13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467"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0860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C715C4">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该项目顺利实施，为我州的车改工作奠定了基础，公车实现全省一张网统一监管，系统模块可查询车辆动态，油耗监测等，方便数据统计。</w:t>
            </w:r>
          </w:p>
        </w:tc>
      </w:tr>
      <w:tr w14:paraId="5B44A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412"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E099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56268A">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该项目试点已完成，全州推广还需加大力度。</w:t>
            </w:r>
          </w:p>
        </w:tc>
      </w:tr>
      <w:tr w14:paraId="24AE8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467"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0900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C366B5">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4956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452" w:hRule="atLeast"/>
        </w:trPr>
        <w:tc>
          <w:tcPr>
            <w:tcW w:w="81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32C09F">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2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869E90">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22F3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1079"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B51E">
            <w:pP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99B60">
            <w:pPr>
              <w:rPr>
                <w:rFonts w:hint="eastAsia" w:ascii="方正黑体_GBK" w:hAnsi="方正黑体_GBK" w:eastAsia="方正黑体_GBK" w:cs="方正黑体_GBK"/>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A4D54">
            <w:pPr>
              <w:rPr>
                <w:rFonts w:hint="eastAsia" w:ascii="方正黑体_GBK" w:hAnsi="方正黑体_GBK" w:eastAsia="方正黑体_GBK" w:cs="方正黑体_GBK"/>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0C7D0"/>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F038C"/>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8E76"/>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37FAD"/>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3EA20"/>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0F444"/>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1439A"/>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51A0D"/>
        </w:tc>
      </w:tr>
      <w:tr w14:paraId="3C457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467" w:hRule="atLeast"/>
        </w:trPr>
        <w:tc>
          <w:tcPr>
            <w:tcW w:w="1579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C713A0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C8C7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5A58A">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27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A4D7D53">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51320022T000000309401-阿坝州公务用车管理平台建设</w:t>
            </w:r>
          </w:p>
        </w:tc>
      </w:tr>
      <w:tr w14:paraId="4856F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49C5F4">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2BE878">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州机关事务管理局部门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F2DED">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02B76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w:t>
            </w:r>
          </w:p>
        </w:tc>
      </w:tr>
      <w:tr w14:paraId="45980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11205D">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9C225E">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822B0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5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20BFD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E916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63CBF">
            <w:pP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CDCE5">
            <w:pPr>
              <w:rPr>
                <w:rFonts w:hint="eastAsia" w:ascii="方正黑体_GBK" w:hAnsi="方正黑体_GBK" w:eastAsia="方正黑体_GBK" w:cs="方正黑体_GBK"/>
                <w:i w:val="0"/>
                <w:iCs w:val="0"/>
                <w:color w:val="000000"/>
                <w:sz w:val="18"/>
                <w:szCs w:val="18"/>
                <w:u w:val="none"/>
              </w:rPr>
            </w:pP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C62687">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党风廉政建设、厉行节约反对浪费，全省一张网统一监管。为贯彻落实《中共四川省委办公厅、四川省人民政府办公厅关于印发&lt;四川省全面推进公务用车制度改革总体方案&gt;的通知》（川委办〔2015〕45号）精神。</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2016年12月22日，中央车改办下发了《关于进一步加强地方公务用车平台建设的通知》（发改电〔2016〕756号），要求“通过车辆管理平台建设，实现公车管理平台化、平台信息化，省、市、县三级信息互联互通，公车管理实现全省一张网”。2017年6月30日，省车改办制定《四川省公务用车管理平台建设方案》（川车改办函〔2017〕15号），明确了全省总体目标、建设要求及方式。省机关事务管理局要市、州完成各级公车管理平台建设，并与省级公务用车管理平台实现对接。</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2018年12月，省车改办组织会议，要求甘孜阿坝两州尽快开始车改，并明确车改同时必须建设州公务用车管理平台，平台建设完成且平台数据能够接入到省级公务用车管理平台，即拨付车改补贴。</w:t>
            </w:r>
          </w:p>
        </w:tc>
        <w:tc>
          <w:tcPr>
            <w:tcW w:w="5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57C8C4">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14:paraId="6F53A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5227F">
            <w:pP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0938E">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27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030DA66">
            <w:pPr>
              <w:rPr>
                <w:rFonts w:hint="eastAsia" w:ascii="方正黑体_GBK" w:hAnsi="方正黑体_GBK" w:eastAsia="方正黑体_GBK" w:cs="方正黑体_GBK"/>
                <w:i w:val="0"/>
                <w:iCs w:val="0"/>
                <w:color w:val="000000"/>
                <w:sz w:val="18"/>
                <w:szCs w:val="18"/>
                <w:u w:val="none"/>
              </w:rPr>
            </w:pPr>
          </w:p>
        </w:tc>
      </w:tr>
      <w:tr w14:paraId="7340F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B2DF4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AB7E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D2A4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5AC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A5BF5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0075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A8A0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5D2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E451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CC84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49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DE7C3">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94B3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303B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B5A0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4F8BD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E30B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F1F03">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C00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C8CFAF">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40F1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452"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34EC1">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84C3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其中：财政资金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D6A8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59.00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8845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28.63</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20F11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28.63</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D68C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9978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07F0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BF68F">
            <w:pPr>
              <w:rPr>
                <w:rFonts w:hint="eastAsia" w:ascii="方正黑体_GBK" w:hAnsi="方正黑体_GBK" w:eastAsia="方正黑体_GBK" w:cs="方正黑体_GBK"/>
                <w:i w:val="0"/>
                <w:iCs w:val="0"/>
                <w:color w:val="000000"/>
                <w:sz w:val="18"/>
                <w:szCs w:val="18"/>
                <w:u w:val="none"/>
              </w:rPr>
            </w:pPr>
          </w:p>
        </w:tc>
      </w:tr>
      <w:tr w14:paraId="4DD66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422"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EE078">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11D2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DD82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F905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6D21B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AF38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1646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4B2E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19D9C"/>
        </w:tc>
      </w:tr>
      <w:tr w14:paraId="5E581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39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57D99">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7154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F1B5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6A47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AB084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A8D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9AFD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92AE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013A7"/>
        </w:tc>
      </w:tr>
      <w:tr w14:paraId="2ED1A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422"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A970E">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42D1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67B95">
            <w:pPr>
              <w:jc w:val="cente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C4479">
            <w:pPr>
              <w:jc w:val="center"/>
            </w:pP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04870D">
            <w:pPr>
              <w:jc w:val="cente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94BD2">
            <w:pPr>
              <w:jc w:val="cente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B4B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AE81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FEC8E"/>
        </w:tc>
      </w:tr>
      <w:tr w14:paraId="2F533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557"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70680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8F00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一级指标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7093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3360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BAD8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43AB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E81E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60A3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9511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C18D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DDDC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5B7C0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nil"/>
              <w:left w:val="nil"/>
              <w:bottom w:val="nil"/>
              <w:right w:val="nil"/>
            </w:tcBorders>
            <w:shd w:val="clear" w:color="auto" w:fill="auto"/>
            <w:vAlign w:val="center"/>
          </w:tcPr>
          <w:p w14:paraId="528A17E4">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nil"/>
              <w:left w:val="nil"/>
              <w:bottom w:val="nil"/>
              <w:right w:val="nil"/>
            </w:tcBorders>
            <w:shd w:val="clear" w:color="auto" w:fill="auto"/>
            <w:vAlign w:val="center"/>
          </w:tcPr>
          <w:p w14:paraId="4D7B09A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980" w:type="dxa"/>
            <w:tcBorders>
              <w:top w:val="nil"/>
              <w:left w:val="nil"/>
              <w:bottom w:val="nil"/>
              <w:right w:val="nil"/>
            </w:tcBorders>
            <w:shd w:val="clear" w:color="auto" w:fill="auto"/>
            <w:vAlign w:val="center"/>
          </w:tcPr>
          <w:p w14:paraId="73F3E78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534" w:type="dxa"/>
            <w:tcBorders>
              <w:top w:val="nil"/>
              <w:left w:val="nil"/>
              <w:bottom w:val="nil"/>
              <w:right w:val="nil"/>
            </w:tcBorders>
            <w:shd w:val="clear" w:color="auto" w:fill="auto"/>
            <w:vAlign w:val="center"/>
          </w:tcPr>
          <w:p w14:paraId="2BCCBF2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国产定位系统安装率，计算方法为：（车载定位系统安装车辆/州级机关车辆）×100%</w:t>
            </w:r>
          </w:p>
        </w:tc>
        <w:tc>
          <w:tcPr>
            <w:tcW w:w="587" w:type="dxa"/>
            <w:tcBorders>
              <w:top w:val="nil"/>
              <w:left w:val="nil"/>
              <w:bottom w:val="nil"/>
              <w:right w:val="nil"/>
            </w:tcBorders>
            <w:shd w:val="clear" w:color="auto" w:fill="auto"/>
            <w:vAlign w:val="center"/>
          </w:tcPr>
          <w:p w14:paraId="65823BF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nil"/>
              <w:left w:val="nil"/>
              <w:bottom w:val="nil"/>
              <w:right w:val="nil"/>
            </w:tcBorders>
            <w:shd w:val="clear" w:color="auto" w:fill="auto"/>
            <w:vAlign w:val="center"/>
          </w:tcPr>
          <w:p w14:paraId="560235F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22.14</w:t>
            </w:r>
          </w:p>
        </w:tc>
        <w:tc>
          <w:tcPr>
            <w:tcW w:w="588" w:type="dxa"/>
            <w:tcBorders>
              <w:top w:val="nil"/>
              <w:left w:val="nil"/>
              <w:bottom w:val="nil"/>
              <w:right w:val="nil"/>
            </w:tcBorders>
            <w:shd w:val="clear" w:color="auto" w:fill="auto"/>
            <w:vAlign w:val="center"/>
          </w:tcPr>
          <w:p w14:paraId="1C83A6B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25" w:type="dxa"/>
            <w:tcBorders>
              <w:top w:val="nil"/>
              <w:left w:val="nil"/>
              <w:bottom w:val="nil"/>
              <w:right w:val="nil"/>
            </w:tcBorders>
            <w:shd w:val="clear" w:color="auto" w:fill="auto"/>
            <w:vAlign w:val="center"/>
          </w:tcPr>
          <w:p w14:paraId="03D4C67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25</w:t>
            </w:r>
          </w:p>
        </w:tc>
        <w:tc>
          <w:tcPr>
            <w:tcW w:w="570" w:type="dxa"/>
            <w:tcBorders>
              <w:top w:val="nil"/>
              <w:left w:val="nil"/>
              <w:bottom w:val="nil"/>
              <w:right w:val="nil"/>
            </w:tcBorders>
            <w:shd w:val="clear" w:color="auto" w:fill="auto"/>
            <w:vAlign w:val="center"/>
          </w:tcPr>
          <w:p w14:paraId="289495B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nil"/>
              <w:left w:val="nil"/>
              <w:bottom w:val="nil"/>
              <w:right w:val="nil"/>
            </w:tcBorders>
            <w:shd w:val="clear" w:color="auto" w:fill="auto"/>
            <w:vAlign w:val="center"/>
          </w:tcPr>
          <w:p w14:paraId="1613887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nil"/>
              <w:left w:val="nil"/>
              <w:bottom w:val="nil"/>
              <w:right w:val="nil"/>
            </w:tcBorders>
            <w:shd w:val="clear" w:color="auto" w:fill="auto"/>
            <w:vAlign w:val="center"/>
          </w:tcPr>
          <w:p w14:paraId="3CFEE192">
            <w:pPr>
              <w:jc w:val="center"/>
              <w:rPr>
                <w:rFonts w:hint="eastAsia" w:ascii="方正黑体_GBK" w:hAnsi="方正黑体_GBK" w:eastAsia="方正黑体_GBK" w:cs="方正黑体_GBK"/>
                <w:i w:val="0"/>
                <w:iCs w:val="0"/>
                <w:color w:val="000000"/>
                <w:sz w:val="18"/>
                <w:szCs w:val="18"/>
                <w:u w:val="none"/>
              </w:rPr>
            </w:pPr>
          </w:p>
        </w:tc>
      </w:tr>
      <w:tr w14:paraId="53345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482"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E848A">
            <w:pPr>
              <w:jc w:val="center"/>
              <w:rPr>
                <w:rFonts w:hint="eastAsia" w:ascii="方正黑体_GBK" w:hAnsi="方正黑体_GBK" w:eastAsia="方正黑体_GBK" w:cs="方正黑体_GBK"/>
                <w:b/>
                <w:bCs/>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82F0B">
            <w:pPr>
              <w:jc w:val="center"/>
            </w:pP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98EDB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质量指标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7AC1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达标率</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2993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6324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99</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6120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B2987">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E2AD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6884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29AD3">
            <w:pPr>
              <w:jc w:val="center"/>
            </w:pPr>
          </w:p>
        </w:tc>
      </w:tr>
      <w:tr w14:paraId="259FC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412"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90B80">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16D2A">
            <w:pPr>
              <w:jc w:val="cente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9FD05">
            <w:pPr>
              <w:jc w:val="center"/>
              <w:rPr>
                <w:rFonts w:hint="eastAsia" w:ascii="方正黑体_GBK" w:hAnsi="方正黑体_GBK" w:eastAsia="方正黑体_GBK" w:cs="方正黑体_GBK"/>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9382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群众满意度指标，计算方法：（满意数/总数）×100%</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26C9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EB4F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C44F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F010A">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1A1C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DBDF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2EAB">
            <w:pPr>
              <w:jc w:val="center"/>
            </w:pPr>
          </w:p>
        </w:tc>
      </w:tr>
      <w:tr w14:paraId="1624F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342"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38171">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A1708">
            <w:pPr>
              <w:jc w:val="cente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6916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014B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项目完成时间</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11EC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定性</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B566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2024年12月底前完成</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3E7B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w:t>
            </w:r>
          </w:p>
        </w:tc>
        <w:tc>
          <w:tcPr>
            <w:tcW w:w="1225" w:type="dxa"/>
            <w:tcBorders>
              <w:top w:val="nil"/>
              <w:left w:val="nil"/>
              <w:bottom w:val="nil"/>
              <w:right w:val="nil"/>
            </w:tcBorders>
            <w:shd w:val="clear" w:color="auto" w:fill="auto"/>
            <w:vAlign w:val="center"/>
          </w:tcPr>
          <w:p w14:paraId="5DB95FA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70" w:type="dxa"/>
            <w:tcBorders>
              <w:top w:val="nil"/>
              <w:left w:val="nil"/>
              <w:bottom w:val="nil"/>
              <w:right w:val="nil"/>
            </w:tcBorders>
            <w:shd w:val="clear" w:color="auto" w:fill="auto"/>
            <w:vAlign w:val="center"/>
          </w:tcPr>
          <w:p w14:paraId="513B0A0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nil"/>
              <w:left w:val="nil"/>
              <w:bottom w:val="nil"/>
              <w:right w:val="nil"/>
            </w:tcBorders>
            <w:shd w:val="clear" w:color="auto" w:fill="auto"/>
            <w:vAlign w:val="center"/>
          </w:tcPr>
          <w:p w14:paraId="47A2B0D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96461">
            <w:pPr>
              <w:jc w:val="center"/>
              <w:rPr>
                <w:rFonts w:hint="eastAsia" w:ascii="方正黑体_GBK" w:hAnsi="方正黑体_GBK" w:eastAsia="方正黑体_GBK" w:cs="方正黑体_GBK"/>
                <w:i w:val="0"/>
                <w:iCs w:val="0"/>
                <w:color w:val="000000"/>
                <w:sz w:val="18"/>
                <w:szCs w:val="18"/>
                <w:u w:val="none"/>
              </w:rPr>
            </w:pPr>
          </w:p>
        </w:tc>
      </w:tr>
      <w:tr w14:paraId="552EA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33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4A2E3">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D1797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16F1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508C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年度节约财政资金</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B6CE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9B12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573D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万元</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BB88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A7E2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FC28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26CD0">
            <w:pPr>
              <w:jc w:val="center"/>
            </w:pPr>
          </w:p>
        </w:tc>
      </w:tr>
      <w:tr w14:paraId="4B3BD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36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FD582">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DCB8E">
            <w:pPr>
              <w:jc w:val="center"/>
              <w:rPr>
                <w:rFonts w:hint="eastAsia" w:ascii="方正黑体_GBK" w:hAnsi="方正黑体_GBK" w:eastAsia="方正黑体_GBK" w:cs="方正黑体_GBK"/>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7C1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40C1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社会效益情况</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E4BF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B33C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AE73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156D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E9FE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5CD5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DD82D">
            <w:pPr>
              <w:jc w:val="center"/>
            </w:pPr>
          </w:p>
        </w:tc>
      </w:tr>
      <w:tr w14:paraId="234EA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9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C71E9">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93357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90B62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37BE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满意度</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01F9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E3A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95</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0644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C6497">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96</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9F80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7784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F0F68">
            <w:pPr>
              <w:jc w:val="center"/>
            </w:pPr>
          </w:p>
        </w:tc>
      </w:tr>
      <w:tr w14:paraId="23317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DE0E4">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DFC1F">
            <w:pPr>
              <w:jc w:val="center"/>
              <w:rPr>
                <w:rFonts w:hint="eastAsia" w:ascii="方正黑体_GBK" w:hAnsi="方正黑体_GBK" w:eastAsia="方正黑体_GBK" w:cs="方正黑体_GBK"/>
                <w:i w:val="0"/>
                <w:iCs w:val="0"/>
                <w:color w:val="000000"/>
                <w:sz w:val="18"/>
                <w:szCs w:val="18"/>
                <w:u w:val="none"/>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51116">
            <w:pPr>
              <w:jc w:val="center"/>
              <w:rPr>
                <w:rFonts w:hint="eastAsia" w:ascii="方正黑体_GBK" w:hAnsi="方正黑体_GBK" w:eastAsia="方正黑体_GBK" w:cs="方正黑体_GBK"/>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418D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平台使用人满意度</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567C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0BB5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95</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11E0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6967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2E7E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7A84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3BF43">
            <w:pPr>
              <w:jc w:val="center"/>
              <w:rPr>
                <w:rFonts w:hint="eastAsia" w:ascii="方正黑体_GBK" w:hAnsi="方正黑体_GBK" w:eastAsia="方正黑体_GBK" w:cs="方正黑体_GBK"/>
                <w:i w:val="0"/>
                <w:iCs w:val="0"/>
                <w:color w:val="000000"/>
                <w:sz w:val="18"/>
                <w:szCs w:val="18"/>
                <w:u w:val="none"/>
              </w:rPr>
            </w:pPr>
          </w:p>
        </w:tc>
      </w:tr>
      <w:tr w14:paraId="69361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2400F">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2204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6ADF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B70A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公车定位系统经济成本</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857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68DF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59</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2420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万元</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A93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28.63</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4698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C753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F9AB">
            <w:pPr>
              <w:jc w:val="center"/>
              <w:rPr>
                <w:rFonts w:hint="eastAsia" w:ascii="方正黑体_GBK" w:hAnsi="方正黑体_GBK" w:eastAsia="方正黑体_GBK" w:cs="方正黑体_GBK"/>
                <w:i w:val="0"/>
                <w:iCs w:val="0"/>
                <w:color w:val="000000"/>
                <w:sz w:val="18"/>
                <w:szCs w:val="18"/>
                <w:u w:val="none"/>
              </w:rPr>
            </w:pPr>
          </w:p>
        </w:tc>
      </w:tr>
      <w:tr w14:paraId="03072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1186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B7AFF6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8C55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13AFE">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100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141D7">
            <w:pPr>
              <w:rPr>
                <w:rFonts w:hint="eastAsia" w:ascii="方正黑体_GBK" w:hAnsi="方正黑体_GBK" w:eastAsia="方正黑体_GBK" w:cs="方正黑体_GBK"/>
                <w:i w:val="0"/>
                <w:iCs w:val="0"/>
                <w:color w:val="000000"/>
                <w:sz w:val="18"/>
                <w:szCs w:val="18"/>
                <w:u w:val="none"/>
              </w:rPr>
            </w:pPr>
          </w:p>
        </w:tc>
      </w:tr>
      <w:tr w14:paraId="68F8D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51C8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D9F83F">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该项目顺利实施，为我州的车改工作奠定了基础，公车实现全省一张网统一监管，系统模块可查询车辆动态，油耗监测等，方便数据统计。</w:t>
            </w:r>
          </w:p>
        </w:tc>
      </w:tr>
      <w:tr w14:paraId="2EE36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141B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39F134">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该项目试点已完成，全州推广还需加大力度。</w:t>
            </w:r>
          </w:p>
        </w:tc>
      </w:tr>
      <w:tr w14:paraId="3F9F0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1FB1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F9F894">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376C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599" w:hRule="atLeast"/>
        </w:trPr>
        <w:tc>
          <w:tcPr>
            <w:tcW w:w="81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4160F8">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2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CB79A8">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DB82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91BE4">
            <w:pP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4EF14">
            <w:pPr>
              <w:rPr>
                <w:rFonts w:hint="eastAsia" w:ascii="方正黑体_GBK" w:hAnsi="方正黑体_GBK" w:eastAsia="方正黑体_GBK" w:cs="方正黑体_GBK"/>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8166B">
            <w:pPr>
              <w:rPr>
                <w:rFonts w:hint="eastAsia" w:ascii="方正黑体_GBK" w:hAnsi="方正黑体_GBK" w:eastAsia="方正黑体_GBK" w:cs="方正黑体_GBK"/>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2F659">
            <w:pPr>
              <w:rPr>
                <w:rFonts w:hint="eastAsia" w:ascii="方正黑体_GBK" w:hAnsi="方正黑体_GBK" w:eastAsia="方正黑体_GBK" w:cs="方正黑体_GBK"/>
                <w:i w:val="0"/>
                <w:iCs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0CADA">
            <w:pPr>
              <w:rPr>
                <w:rFonts w:hint="eastAsia" w:ascii="方正黑体_GBK" w:hAnsi="方正黑体_GBK" w:eastAsia="方正黑体_GBK" w:cs="方正黑体_GBK"/>
                <w:i w:val="0"/>
                <w:iCs w:val="0"/>
                <w:color w:val="000000"/>
                <w:sz w:val="18"/>
                <w:szCs w:val="18"/>
                <w:u w:val="none"/>
              </w:rPr>
            </w:pP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81EB5">
            <w:pPr>
              <w:rPr>
                <w:rFonts w:hint="eastAsia" w:ascii="方正黑体_GBK" w:hAnsi="方正黑体_GBK" w:eastAsia="方正黑体_GBK" w:cs="方正黑体_GBK"/>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AB343">
            <w:pPr>
              <w:rPr>
                <w:rFonts w:hint="eastAsia" w:ascii="方正黑体_GBK" w:hAnsi="方正黑体_GBK" w:eastAsia="方正黑体_GBK" w:cs="方正黑体_GBK"/>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AE05F">
            <w:pPr>
              <w:rPr>
                <w:rFonts w:hint="eastAsia" w:ascii="方正黑体_GBK" w:hAnsi="方正黑体_GBK" w:eastAsia="方正黑体_GBK" w:cs="方正黑体_GBK"/>
                <w:i/>
                <w:iCs/>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90454"/>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10000"/>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DA7B6">
            <w:pPr>
              <w:rPr>
                <w:rFonts w:hint="eastAsia" w:ascii="方正黑体_GBK" w:hAnsi="方正黑体_GBK" w:eastAsia="方正黑体_GBK" w:cs="方正黑体_GBK"/>
                <w:i/>
                <w:iCs/>
                <w:color w:val="000000"/>
                <w:sz w:val="18"/>
                <w:szCs w:val="18"/>
                <w:u w:val="none"/>
              </w:rPr>
            </w:pPr>
          </w:p>
        </w:tc>
      </w:tr>
      <w:tr w14:paraId="2452B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1579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53D0ED1">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4027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4BC757">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27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3AD7A51">
            <w:pPr>
              <w:keepNext w:val="0"/>
              <w:keepLines w:val="0"/>
              <w:widowControl/>
              <w:suppressLineNumbers w:val="0"/>
              <w:jc w:val="left"/>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51320022T000000309401-阿坝州公务用车管理平台建设</w:t>
            </w:r>
          </w:p>
        </w:tc>
      </w:tr>
      <w:tr w14:paraId="5CA32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831170">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706EEE">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州机关事务管理局部门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E8E02">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实施单位 （盖章）</w:t>
            </w:r>
          </w:p>
        </w:tc>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3A04A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w:t>
            </w:r>
          </w:p>
        </w:tc>
      </w:tr>
      <w:tr w14:paraId="3C7DB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779"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5B1CF0">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451E8C">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E8650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项目年度目标</w:t>
            </w:r>
          </w:p>
        </w:tc>
        <w:tc>
          <w:tcPr>
            <w:tcW w:w="5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F2E574">
            <w:pPr>
              <w:keepNext w:val="0"/>
              <w:keepLines w:val="0"/>
              <w:widowControl/>
              <w:suppressLineNumbers w:val="0"/>
              <w:jc w:val="center"/>
              <w:textAlignment w:val="center"/>
            </w:pPr>
            <w:r>
              <w:rPr>
                <w:rFonts w:hint="eastAsia" w:ascii="黑体" w:hAnsi="黑体" w:eastAsia="黑体" w:cs="黑体"/>
                <w:i w:val="0"/>
                <w:iCs w:val="0"/>
                <w:color w:val="000000"/>
                <w:kern w:val="0"/>
                <w:sz w:val="18"/>
                <w:szCs w:val="18"/>
                <w:u w:val="none"/>
                <w:lang w:val="en-US" w:eastAsia="zh-CN" w:bidi="ar"/>
              </w:rPr>
              <w:t>年度目标完成情况</w:t>
            </w:r>
          </w:p>
        </w:tc>
      </w:tr>
      <w:tr w14:paraId="551A6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914F6">
            <w:pP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A3177">
            <w:pPr>
              <w:rPr>
                <w:rFonts w:hint="eastAsia" w:ascii="方正黑体_GBK" w:hAnsi="方正黑体_GBK" w:eastAsia="方正黑体_GBK" w:cs="方正黑体_GBK"/>
                <w:i w:val="0"/>
                <w:iCs w:val="0"/>
                <w:color w:val="000000"/>
                <w:sz w:val="18"/>
                <w:szCs w:val="18"/>
                <w:u w:val="none"/>
              </w:rPr>
            </w:pP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3B5F97">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加强党风廉政建设、厉行节约反对浪费，全省一张网统一监管。为贯彻落实《中共四川省委办公厅、四川省人民政府办公厅关于印发&lt;四川省全面推进公务用车制度改革总体方案&gt;的通知》（川委办〔2015〕45号）精神。</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2016年12月22日，中央车改办下发了《关于进一步加强地方公务用车平台建设的通知》（发改电〔2016〕756号），要求“通过车辆管理平台建设，实现公车管理平台化、平台信息化，省、市、县三级信息互联互通，公车管理实现全省一张网”。2017年6月30日，省车改办制定《四川省公务用车管理平台建设方案》（川车改办函〔2017〕15号），明确了全省总体目标、建设要求及方式。省机关事务管理局要市、州完成各级公车管理平台建设，并与省级公务用车管理平台实现对接。</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2018年12月，省车改办组织会议，要求甘孜阿坝两州尽快开始车改，并明确车改同时必须建设州公务用车管理平台，平台建设完成且平台数据能够接入到省级公务用车管理平台，即拨付车改补贴。</w:t>
            </w:r>
          </w:p>
        </w:tc>
        <w:tc>
          <w:tcPr>
            <w:tcW w:w="5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1F3604">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已完成</w:t>
            </w:r>
          </w:p>
        </w:tc>
      </w:tr>
      <w:tr w14:paraId="5072C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59C34">
            <w:pP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1AE90">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27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4D855DD"/>
        </w:tc>
      </w:tr>
      <w:tr w14:paraId="67EB7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4AA58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B425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年度预算数（万元）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2A3F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C2EF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2552D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8CAC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430B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C53C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404A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33990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nil"/>
              <w:left w:val="nil"/>
              <w:bottom w:val="nil"/>
              <w:right w:val="nil"/>
            </w:tcBorders>
            <w:shd w:val="clear" w:color="auto" w:fill="auto"/>
            <w:vAlign w:val="center"/>
          </w:tcPr>
          <w:p w14:paraId="32F43A56">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nil"/>
              <w:left w:val="nil"/>
              <w:bottom w:val="nil"/>
              <w:right w:val="nil"/>
            </w:tcBorders>
            <w:shd w:val="clear" w:color="auto" w:fill="auto"/>
            <w:vAlign w:val="center"/>
          </w:tcPr>
          <w:p w14:paraId="34C6F66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980" w:type="dxa"/>
            <w:tcBorders>
              <w:top w:val="nil"/>
              <w:left w:val="nil"/>
              <w:bottom w:val="nil"/>
              <w:right w:val="nil"/>
            </w:tcBorders>
            <w:shd w:val="clear" w:color="auto" w:fill="auto"/>
            <w:vAlign w:val="center"/>
          </w:tcPr>
          <w:p w14:paraId="506ED07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59.00</w:t>
            </w:r>
          </w:p>
        </w:tc>
        <w:tc>
          <w:tcPr>
            <w:tcW w:w="2534" w:type="dxa"/>
            <w:tcBorders>
              <w:top w:val="nil"/>
              <w:left w:val="nil"/>
              <w:bottom w:val="nil"/>
              <w:right w:val="nil"/>
            </w:tcBorders>
            <w:shd w:val="clear" w:color="auto" w:fill="auto"/>
            <w:vAlign w:val="center"/>
          </w:tcPr>
          <w:p w14:paraId="55EE9FB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3056" w:type="dxa"/>
            <w:gridSpan w:val="3"/>
            <w:tcBorders>
              <w:top w:val="nil"/>
              <w:left w:val="nil"/>
              <w:bottom w:val="nil"/>
              <w:right w:val="nil"/>
            </w:tcBorders>
            <w:shd w:val="clear" w:color="auto" w:fill="auto"/>
            <w:vAlign w:val="center"/>
          </w:tcPr>
          <w:p w14:paraId="47E4593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1225" w:type="dxa"/>
            <w:tcBorders>
              <w:top w:val="nil"/>
              <w:left w:val="nil"/>
              <w:bottom w:val="nil"/>
              <w:right w:val="nil"/>
            </w:tcBorders>
            <w:shd w:val="clear" w:color="auto" w:fill="auto"/>
            <w:vAlign w:val="center"/>
          </w:tcPr>
          <w:p w14:paraId="63FD5AC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70" w:type="dxa"/>
            <w:tcBorders>
              <w:top w:val="nil"/>
              <w:left w:val="nil"/>
              <w:bottom w:val="nil"/>
              <w:right w:val="nil"/>
            </w:tcBorders>
            <w:shd w:val="clear" w:color="auto" w:fill="auto"/>
            <w:vAlign w:val="center"/>
          </w:tcPr>
          <w:p w14:paraId="47E44D4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03" w:type="dxa"/>
            <w:tcBorders>
              <w:top w:val="nil"/>
              <w:left w:val="nil"/>
              <w:bottom w:val="nil"/>
              <w:right w:val="nil"/>
            </w:tcBorders>
            <w:shd w:val="clear" w:color="auto" w:fill="auto"/>
            <w:vAlign w:val="center"/>
          </w:tcPr>
          <w:p w14:paraId="455C7AC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vMerge w:val="restart"/>
            <w:tcBorders>
              <w:top w:val="nil"/>
              <w:left w:val="nil"/>
              <w:bottom w:val="nil"/>
              <w:right w:val="nil"/>
            </w:tcBorders>
            <w:shd w:val="clear" w:color="auto" w:fill="auto"/>
            <w:vAlign w:val="center"/>
          </w:tcPr>
          <w:p w14:paraId="0E9ED1C5">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CDD0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8502B">
            <w:pPr>
              <w:jc w:val="center"/>
              <w:rPr>
                <w:rFonts w:hint="eastAsia" w:ascii="方正黑体_GBK" w:hAnsi="方正黑体_GBK" w:eastAsia="方正黑体_GBK" w:cs="方正黑体_GBK"/>
                <w:b/>
                <w:bCs/>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8AF7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其中：财政资金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9BD9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59.00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8AE8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28.63</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A8332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28.63</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A607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7434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AFA1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F0AEA"/>
        </w:tc>
      </w:tr>
      <w:tr w14:paraId="118F4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CA39C">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DDDB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财政专户管理资金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F065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5C66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F6745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4B19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55B9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1113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947DB"/>
        </w:tc>
      </w:tr>
      <w:tr w14:paraId="19C3A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DBE38">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5A76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单位资金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B768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5D98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5527B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25" w:type="dxa"/>
            <w:tcBorders>
              <w:top w:val="nil"/>
              <w:left w:val="nil"/>
              <w:bottom w:val="nil"/>
              <w:right w:val="nil"/>
            </w:tcBorders>
            <w:shd w:val="clear" w:color="auto" w:fill="auto"/>
            <w:vAlign w:val="center"/>
          </w:tcPr>
          <w:p w14:paraId="475155C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0" w:type="dxa"/>
            <w:tcBorders>
              <w:top w:val="nil"/>
              <w:left w:val="nil"/>
              <w:bottom w:val="nil"/>
              <w:right w:val="nil"/>
            </w:tcBorders>
            <w:shd w:val="clear" w:color="auto" w:fill="auto"/>
            <w:vAlign w:val="center"/>
          </w:tcPr>
          <w:p w14:paraId="57036EE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nil"/>
              <w:left w:val="nil"/>
              <w:bottom w:val="nil"/>
              <w:right w:val="nil"/>
            </w:tcBorders>
            <w:shd w:val="clear" w:color="auto" w:fill="auto"/>
            <w:vAlign w:val="center"/>
          </w:tcPr>
          <w:p w14:paraId="1CCF7E2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8CF76">
            <w:pPr>
              <w:rPr>
                <w:rFonts w:hint="eastAsia" w:ascii="方正黑体_GBK" w:hAnsi="方正黑体_GBK" w:eastAsia="方正黑体_GBK" w:cs="方正黑体_GBK"/>
                <w:i w:val="0"/>
                <w:iCs w:val="0"/>
                <w:color w:val="000000"/>
                <w:sz w:val="18"/>
                <w:szCs w:val="18"/>
                <w:u w:val="none"/>
              </w:rPr>
            </w:pPr>
          </w:p>
        </w:tc>
      </w:tr>
      <w:tr w14:paraId="15539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F0B97">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3DE4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25D46">
            <w:pPr>
              <w:jc w:val="center"/>
              <w:rPr>
                <w:rFonts w:hint="eastAsia" w:ascii="方正黑体_GBK" w:hAnsi="方正黑体_GBK" w:eastAsia="方正黑体_GBK" w:cs="方正黑体_GBK"/>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A0E23">
            <w:pPr>
              <w:jc w:val="center"/>
            </w:pP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7B8869">
            <w:pPr>
              <w:jc w:val="cente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F0009">
            <w:pPr>
              <w:jc w:val="center"/>
              <w:rPr>
                <w:rFonts w:hint="eastAsia" w:ascii="方正黑体_GBK" w:hAnsi="方正黑体_GBK" w:eastAsia="方正黑体_GBK" w:cs="方正黑体_GBK"/>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FDBA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D279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3C008"/>
        </w:tc>
      </w:tr>
      <w:tr w14:paraId="3C092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1168"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070CF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D4D4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72BF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3CA1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215F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9F62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0AA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B37E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4996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7C15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DF9E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52118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D0143">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4AC82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25C1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71AD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国产定位系统安装率，计算方法为：（车载定位系统安装车辆/州级机关车辆）×100%</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2EA9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BFCB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22.14</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C09C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5873">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25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7595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3D10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1E1CC">
            <w:pPr>
              <w:jc w:val="center"/>
            </w:pPr>
          </w:p>
        </w:tc>
      </w:tr>
      <w:tr w14:paraId="011EA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44126">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03763">
            <w:pPr>
              <w:jc w:val="center"/>
              <w:rPr>
                <w:rFonts w:hint="eastAsia" w:ascii="方正黑体_GBK" w:hAnsi="方正黑体_GBK" w:eastAsia="方正黑体_GBK" w:cs="方正黑体_GBK"/>
                <w:i w:val="0"/>
                <w:iCs w:val="0"/>
                <w:color w:val="000000"/>
                <w:sz w:val="18"/>
                <w:szCs w:val="18"/>
                <w:u w:val="none"/>
              </w:rPr>
            </w:pP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31969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6471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达标率</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FB0F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6178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99</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7B82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8BC7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4F34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A48D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BD722">
            <w:pPr>
              <w:jc w:val="center"/>
              <w:rPr>
                <w:rFonts w:hint="eastAsia" w:ascii="方正黑体_GBK" w:hAnsi="方正黑体_GBK" w:eastAsia="方正黑体_GBK" w:cs="方正黑体_GBK"/>
                <w:i w:val="0"/>
                <w:iCs w:val="0"/>
                <w:color w:val="000000"/>
                <w:sz w:val="18"/>
                <w:szCs w:val="18"/>
                <w:u w:val="none"/>
              </w:rPr>
            </w:pPr>
          </w:p>
        </w:tc>
      </w:tr>
      <w:tr w14:paraId="3DC7B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6C385">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4B048">
            <w:pPr>
              <w:jc w:val="center"/>
              <w:rPr>
                <w:rFonts w:hint="eastAsia" w:ascii="方正黑体_GBK" w:hAnsi="方正黑体_GBK" w:eastAsia="方正黑体_GBK" w:cs="方正黑体_GBK"/>
                <w:i w:val="0"/>
                <w:iCs w:val="0"/>
                <w:color w:val="000000"/>
                <w:sz w:val="18"/>
                <w:szCs w:val="18"/>
                <w:u w:val="none"/>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C8D30">
            <w:pPr>
              <w:jc w:val="center"/>
              <w:rPr>
                <w:rFonts w:hint="eastAsia" w:ascii="方正黑体_GBK" w:hAnsi="方正黑体_GBK" w:eastAsia="方正黑体_GBK" w:cs="方正黑体_GBK"/>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C5FF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群众满意度指标，计算方法：（满意数/总数）×100%</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C440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B7D9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E407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EBE9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02E7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A5C9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1DE16">
            <w:pPr>
              <w:jc w:val="center"/>
              <w:rPr>
                <w:rFonts w:hint="eastAsia" w:ascii="方正黑体_GBK" w:hAnsi="方正黑体_GBK" w:eastAsia="方正黑体_GBK" w:cs="方正黑体_GBK"/>
                <w:i w:val="0"/>
                <w:iCs w:val="0"/>
                <w:color w:val="000000"/>
                <w:sz w:val="18"/>
                <w:szCs w:val="18"/>
                <w:u w:val="none"/>
              </w:rPr>
            </w:pPr>
          </w:p>
        </w:tc>
      </w:tr>
      <w:tr w14:paraId="1CBD8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BD595">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7FE4D">
            <w:pPr>
              <w:jc w:val="center"/>
              <w:rPr>
                <w:rFonts w:hint="eastAsia" w:ascii="方正黑体_GBK" w:hAnsi="方正黑体_GBK" w:eastAsia="方正黑体_GBK" w:cs="方正黑体_GBK"/>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7D52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BCB5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20D6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FA76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2024年12月底前完成</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8507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BCB0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3AD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DD2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9B432">
            <w:pPr>
              <w:jc w:val="center"/>
              <w:rPr>
                <w:rFonts w:hint="eastAsia" w:ascii="方正黑体_GBK" w:hAnsi="方正黑体_GBK" w:eastAsia="方正黑体_GBK" w:cs="方正黑体_GBK"/>
                <w:i w:val="0"/>
                <w:iCs w:val="0"/>
                <w:color w:val="000000"/>
                <w:sz w:val="18"/>
                <w:szCs w:val="18"/>
                <w:u w:val="none"/>
              </w:rPr>
            </w:pPr>
          </w:p>
        </w:tc>
      </w:tr>
      <w:tr w14:paraId="65CB2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4E716">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320E2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FE91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D489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年度节约财政资金</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F431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AC1B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FC43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万元</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48AD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25F3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B577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DC365">
            <w:pPr>
              <w:jc w:val="center"/>
              <w:rPr>
                <w:rFonts w:hint="eastAsia" w:ascii="方正黑体_GBK" w:hAnsi="方正黑体_GBK" w:eastAsia="方正黑体_GBK" w:cs="方正黑体_GBK"/>
                <w:i w:val="0"/>
                <w:iCs w:val="0"/>
                <w:color w:val="000000"/>
                <w:sz w:val="18"/>
                <w:szCs w:val="18"/>
                <w:u w:val="none"/>
              </w:rPr>
            </w:pPr>
          </w:p>
        </w:tc>
      </w:tr>
      <w:tr w14:paraId="3E03C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65BFC">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FD58C">
            <w:pPr>
              <w:jc w:val="center"/>
              <w:rPr>
                <w:rFonts w:hint="eastAsia" w:ascii="方正黑体_GBK" w:hAnsi="方正黑体_GBK" w:eastAsia="方正黑体_GBK" w:cs="方正黑体_GBK"/>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AC2D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B17F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社会效益情况</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1662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4384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0745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B49B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AC85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7202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409C">
            <w:pPr>
              <w:jc w:val="center"/>
              <w:rPr>
                <w:rFonts w:hint="eastAsia" w:ascii="方正黑体_GBK" w:hAnsi="方正黑体_GBK" w:eastAsia="方正黑体_GBK" w:cs="方正黑体_GBK"/>
                <w:i w:val="0"/>
                <w:iCs w:val="0"/>
                <w:color w:val="000000"/>
                <w:sz w:val="18"/>
                <w:szCs w:val="18"/>
                <w:u w:val="none"/>
              </w:rPr>
            </w:pPr>
          </w:p>
        </w:tc>
      </w:tr>
      <w:tr w14:paraId="5D676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E8290">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FD187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6DA13F">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7EDDF">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满意度</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3A01C">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3E87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95</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9D4F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30872">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96</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FFA0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5A51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0A05C">
            <w:pPr>
              <w:jc w:val="center"/>
              <w:rPr>
                <w:rFonts w:hint="eastAsia" w:ascii="方正黑体_GBK" w:hAnsi="方正黑体_GBK" w:eastAsia="方正黑体_GBK" w:cs="方正黑体_GBK"/>
                <w:i w:val="0"/>
                <w:iCs w:val="0"/>
                <w:color w:val="000000"/>
                <w:sz w:val="18"/>
                <w:szCs w:val="18"/>
                <w:u w:val="none"/>
              </w:rPr>
            </w:pPr>
          </w:p>
        </w:tc>
      </w:tr>
      <w:tr w14:paraId="1BAA5C5C">
        <w:tblPrEx>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5A1C9">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9340B">
            <w:pPr>
              <w:jc w:val="center"/>
              <w:rPr>
                <w:rFonts w:hint="eastAsia" w:ascii="方正黑体_GBK" w:hAnsi="方正黑体_GBK" w:eastAsia="方正黑体_GBK" w:cs="方正黑体_GBK"/>
                <w:i w:val="0"/>
                <w:iCs w:val="0"/>
                <w:color w:val="000000"/>
                <w:sz w:val="18"/>
                <w:szCs w:val="18"/>
                <w:u w:val="none"/>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45564">
            <w:pPr>
              <w:jc w:val="center"/>
              <w:rPr>
                <w:rFonts w:hint="eastAsia" w:ascii="方正黑体_GBK" w:hAnsi="方正黑体_GBK" w:eastAsia="方正黑体_GBK" w:cs="方正黑体_GBK"/>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CC77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平台使用人满意度</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60F5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5C10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E3BE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15A3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64E6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3C5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E4BF2">
            <w:pPr>
              <w:jc w:val="center"/>
              <w:rPr>
                <w:rFonts w:hint="eastAsia" w:ascii="方正黑体_GBK" w:hAnsi="方正黑体_GBK" w:eastAsia="方正黑体_GBK" w:cs="方正黑体_GBK"/>
                <w:i w:val="0"/>
                <w:iCs w:val="0"/>
                <w:color w:val="000000"/>
                <w:sz w:val="18"/>
                <w:szCs w:val="18"/>
                <w:u w:val="none"/>
              </w:rPr>
            </w:pPr>
          </w:p>
        </w:tc>
      </w:tr>
      <w:tr w14:paraId="74DCF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78303">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C51F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4BB1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0267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公车定位系统经济成本</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C8AF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4A3E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32DC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474B1">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28.63</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D12E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8CB8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16699">
            <w:pPr>
              <w:jc w:val="center"/>
              <w:rPr>
                <w:rFonts w:hint="eastAsia" w:ascii="方正黑体_GBK" w:hAnsi="方正黑体_GBK" w:eastAsia="方正黑体_GBK" w:cs="方正黑体_GBK"/>
                <w:i/>
                <w:iCs/>
                <w:color w:val="000000"/>
                <w:sz w:val="18"/>
                <w:szCs w:val="18"/>
                <w:u w:val="none"/>
              </w:rPr>
            </w:pPr>
          </w:p>
        </w:tc>
      </w:tr>
      <w:tr w14:paraId="1FD4B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1186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E88862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6EAB">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5641F">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100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384A5">
            <w:pPr>
              <w:rPr>
                <w:rFonts w:hint="eastAsia" w:ascii="方正黑体_GBK" w:hAnsi="方正黑体_GBK" w:eastAsia="方正黑体_GBK" w:cs="方正黑体_GBK"/>
                <w:i/>
                <w:iCs/>
                <w:color w:val="000000"/>
                <w:sz w:val="18"/>
                <w:szCs w:val="18"/>
                <w:u w:val="none"/>
              </w:rPr>
            </w:pPr>
          </w:p>
        </w:tc>
      </w:tr>
      <w:tr w14:paraId="7D62A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2EC5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1A0950">
            <w:pPr>
              <w:keepNext w:val="0"/>
              <w:keepLines w:val="0"/>
              <w:widowControl/>
              <w:suppressLineNumbers w:val="0"/>
              <w:jc w:val="left"/>
              <w:textAlignment w:val="center"/>
              <w:rPr>
                <w:rFonts w:hint="eastAsia" w:ascii="方正黑体_GBK" w:hAnsi="方正黑体_GBK" w:eastAsia="方正黑体_GBK" w:cs="方正黑体_GBK"/>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该项目顺利实施，为我州的车改工作奠定了基础，公车实现全省一张网统一监管，系统模块可查询车辆动态，油耗监测等，方便数据统计。</w:t>
            </w:r>
          </w:p>
        </w:tc>
      </w:tr>
      <w:tr w14:paraId="689C5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9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8C46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25D26C">
            <w:pPr>
              <w:keepNext w:val="0"/>
              <w:keepLines w:val="0"/>
              <w:widowControl/>
              <w:suppressLineNumbers w:val="0"/>
              <w:jc w:val="left"/>
              <w:textAlignment w:val="center"/>
              <w:rPr>
                <w:rFonts w:hint="eastAsia" w:ascii="方正黑体_GBK" w:hAnsi="方正黑体_GBK" w:eastAsia="方正黑体_GBK" w:cs="方正黑体_GBK"/>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该项目试点已完成，全州推广还需加大力度。</w:t>
            </w:r>
          </w:p>
        </w:tc>
      </w:tr>
      <w:tr w14:paraId="0186E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2EC2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2832A0">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1663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81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538644">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2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95351F">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C29B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FF4D">
            <w:pP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31253">
            <w:pPr>
              <w:rPr>
                <w:rFonts w:hint="eastAsia" w:ascii="方正黑体_GBK" w:hAnsi="方正黑体_GBK" w:eastAsia="方正黑体_GBK" w:cs="方正黑体_GBK"/>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47ED4"/>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9BD65"/>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70534"/>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053EF"/>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A7535"/>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3F2A"/>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7DCA7"/>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FCD45"/>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18D2C"/>
        </w:tc>
      </w:tr>
      <w:tr w14:paraId="5DBFA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1579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28BD22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B978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366" w:hRule="atLeast"/>
        </w:trPr>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44F678">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27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D584468">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51320022T000000309401-阿坝州公务用车管理平台建设</w:t>
            </w:r>
          </w:p>
        </w:tc>
      </w:tr>
      <w:tr w14:paraId="0D2E7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57" w:hRule="atLeast"/>
        </w:trPr>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4596CD">
            <w:pPr>
              <w:keepNext w:val="0"/>
              <w:keepLines w:val="0"/>
              <w:widowControl/>
              <w:suppressLineNumbers w:val="0"/>
              <w:jc w:val="left"/>
              <w:textAlignment w:val="center"/>
              <w:rPr>
                <w:rFonts w:hint="eastAsia" w:ascii="方正黑体_GBK" w:hAnsi="方正黑体_GBK" w:eastAsia="方正黑体_GBK" w:cs="方正黑体_GBK"/>
                <w:b/>
                <w:bCs/>
                <w:i w:val="0"/>
                <w:iCs w:val="0"/>
                <w:color w:val="000000"/>
                <w:sz w:val="15"/>
                <w:szCs w:val="15"/>
                <w:u w:val="none"/>
              </w:rPr>
            </w:pPr>
            <w:r>
              <w:rPr>
                <w:rFonts w:ascii="宋体" w:hAnsi="宋体" w:eastAsia="宋体" w:cs="宋体"/>
                <w:i w:val="0"/>
                <w:iCs w:val="0"/>
                <w:color w:val="000000"/>
                <w:kern w:val="0"/>
                <w:sz w:val="18"/>
                <w:szCs w:val="18"/>
                <w:u w:val="none"/>
                <w:lang w:val="en-US" w:eastAsia="zh-CN" w:bidi="ar"/>
              </w:rPr>
              <w:t>主管部门</w:t>
            </w: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ADB233">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州机关事务管理局部门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C4C92">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实施单位 （盖章）</w:t>
            </w:r>
          </w:p>
        </w:tc>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41CE0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州机关事务管理局</w:t>
            </w:r>
          </w:p>
        </w:tc>
      </w:tr>
      <w:tr w14:paraId="1966E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57"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C9D282">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项目基本情况</w:t>
            </w: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5355E0">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1.项目年度目标完成情况</w:t>
            </w: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4B221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项目年度目标</w:t>
            </w:r>
          </w:p>
        </w:tc>
        <w:tc>
          <w:tcPr>
            <w:tcW w:w="5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022E55">
            <w:pPr>
              <w:keepNext w:val="0"/>
              <w:keepLines w:val="0"/>
              <w:widowControl/>
              <w:suppressLineNumbers w:val="0"/>
              <w:jc w:val="center"/>
              <w:textAlignment w:val="center"/>
            </w:pPr>
            <w:r>
              <w:rPr>
                <w:rFonts w:hint="eastAsia" w:ascii="黑体" w:hAnsi="黑体" w:eastAsia="黑体" w:cs="黑体"/>
                <w:i w:val="0"/>
                <w:iCs w:val="0"/>
                <w:color w:val="000000"/>
                <w:kern w:val="0"/>
                <w:sz w:val="18"/>
                <w:szCs w:val="18"/>
                <w:u w:val="none"/>
                <w:lang w:val="en-US" w:eastAsia="zh-CN" w:bidi="ar"/>
              </w:rPr>
              <w:t>年度目标完成情况</w:t>
            </w:r>
          </w:p>
        </w:tc>
      </w:tr>
      <w:tr w14:paraId="3C64F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19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08D20">
            <w:pPr>
              <w:rPr>
                <w:rFonts w:hint="eastAsia" w:ascii="方正黑体_GBK" w:hAnsi="方正黑体_GBK" w:eastAsia="方正黑体_GBK" w:cs="方正黑体_GBK"/>
                <w:i w:val="0"/>
                <w:iCs w:val="0"/>
                <w:color w:val="000000"/>
                <w:sz w:val="11"/>
                <w:szCs w:val="11"/>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C0271"/>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F86D1E">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加强党风廉政建设、厉行节约反对浪费，全省一张网统一监管。为贯彻落实《中共四川省委办公厅、四川省人民政府办公厅关于印发&lt;四川省全面推进公务用车制度改革总体方案&gt;的通知》（川委办〔2015〕45号）精神。</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2016年12月22日，中央车改办下发了《关于进一步加强地方公务用车平台建设的通知》（发改电〔2016〕756号），要求“通过车辆管理平台建设，实现公车管理平台化、平台信息化，省、市、县三级信息互联互通，公车管理实现全省一张网”。2017年6月30日，省车改办制定《四川省公务用车管理平台建设方案》（川车改办函〔2017〕15号），明确了全省总体目标、建设要求及方式。省机关事务管理局要市、州完成各级公车管理平台建设，并与省级公务用车管理平台实现对接。</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2018年12月，省车改办组织会议，要求甘孜阿坝两州尽快开始车改，并明确车改同时必须建设州公务用车管理平台，平台建设完成且平台数据能够接入到省级公务用车管理平台，即拨付车改补贴。</w:t>
            </w:r>
          </w:p>
        </w:tc>
        <w:tc>
          <w:tcPr>
            <w:tcW w:w="5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2B3814">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1"/>
                <w:szCs w:val="11"/>
                <w:u w:val="none"/>
              </w:rPr>
            </w:pPr>
            <w:r>
              <w:rPr>
                <w:rFonts w:hint="eastAsia" w:ascii="黑体" w:hAnsi="黑体" w:eastAsia="黑体" w:cs="黑体"/>
                <w:i w:val="0"/>
                <w:iCs w:val="0"/>
                <w:color w:val="000000"/>
                <w:kern w:val="0"/>
                <w:sz w:val="18"/>
                <w:szCs w:val="18"/>
                <w:u w:val="none"/>
                <w:lang w:val="en-US" w:eastAsia="zh-CN" w:bidi="ar"/>
              </w:rPr>
              <w:t>已完成</w:t>
            </w:r>
          </w:p>
        </w:tc>
      </w:tr>
      <w:tr w14:paraId="79E10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2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A01B7">
            <w:pPr>
              <w:rPr>
                <w:rFonts w:hint="eastAsia" w:ascii="方正黑体_GBK" w:hAnsi="方正黑体_GBK" w:eastAsia="方正黑体_GBK" w:cs="方正黑体_GBK"/>
                <w:i w:val="0"/>
                <w:iCs w:val="0"/>
                <w:color w:val="000000"/>
                <w:sz w:val="11"/>
                <w:szCs w:val="11"/>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F1AF3">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27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48498FE">
            <w:pPr>
              <w:rPr>
                <w:rFonts w:hint="eastAsia" w:ascii="方正黑体_GBK" w:hAnsi="方正黑体_GBK" w:eastAsia="方正黑体_GBK" w:cs="方正黑体_GBK"/>
                <w:i w:val="0"/>
                <w:iCs w:val="0"/>
                <w:color w:val="000000"/>
                <w:sz w:val="11"/>
                <w:szCs w:val="11"/>
                <w:u w:val="none"/>
              </w:rPr>
            </w:pPr>
          </w:p>
        </w:tc>
      </w:tr>
      <w:tr w14:paraId="21EEB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601"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A38E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预算执行情况（10分）</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22C0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年度预算数（万元）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2896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年初预算</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BAD2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F51D8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2975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预算执行率</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395D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9C3E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6AC8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409F8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51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02D58">
            <w:pPr>
              <w:jc w:val="center"/>
              <w:rPr>
                <w:rFonts w:hint="eastAsia" w:ascii="方正黑体_GBK" w:hAnsi="方正黑体_GBK" w:eastAsia="方正黑体_GBK" w:cs="方正黑体_GBK"/>
                <w:i w:val="0"/>
                <w:iCs w:val="0"/>
                <w:color w:val="000000"/>
                <w:sz w:val="11"/>
                <w:szCs w:val="11"/>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4FF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总额</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1410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59.00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6D9F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28.63</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5C1B4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28.63</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B07F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44AF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D6D4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D36DD8">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C0F6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2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7BC7C">
            <w:pPr>
              <w:jc w:val="center"/>
              <w:rPr>
                <w:rFonts w:hint="eastAsia" w:ascii="方正黑体_GBK" w:hAnsi="方正黑体_GBK" w:eastAsia="方正黑体_GBK" w:cs="方正黑体_GBK"/>
                <w:i w:val="0"/>
                <w:iCs w:val="0"/>
                <w:color w:val="000000"/>
                <w:sz w:val="11"/>
                <w:szCs w:val="11"/>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9807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其中：财政资金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E600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59.00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FB4C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28.63</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89E55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28.63</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4826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100.00%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74E3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E243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F6B0B">
            <w:pPr>
              <w:rPr>
                <w:rFonts w:hint="eastAsia" w:ascii="方正黑体_GBK" w:hAnsi="方正黑体_GBK" w:eastAsia="方正黑体_GBK" w:cs="方正黑体_GBK"/>
                <w:i w:val="0"/>
                <w:iCs w:val="0"/>
                <w:color w:val="000000"/>
                <w:sz w:val="11"/>
                <w:szCs w:val="11"/>
                <w:u w:val="none"/>
              </w:rPr>
            </w:pPr>
          </w:p>
        </w:tc>
      </w:tr>
      <w:tr w14:paraId="05CF6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19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E2E0A">
            <w:pPr>
              <w:jc w:val="center"/>
              <w:rPr>
                <w:rFonts w:hint="eastAsia" w:ascii="方正黑体_GBK" w:hAnsi="方正黑体_GBK" w:eastAsia="方正黑体_GBK" w:cs="方正黑体_GBK"/>
                <w:i w:val="0"/>
                <w:iCs w:val="0"/>
                <w:color w:val="000000"/>
                <w:sz w:val="11"/>
                <w:szCs w:val="11"/>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B8B0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财政专户管理资金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213E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0.00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0B4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0.00</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86181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0.00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9BFD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BC85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97AD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E2A59">
            <w:pPr>
              <w:rPr>
                <w:rFonts w:hint="eastAsia" w:ascii="方正黑体_GBK" w:hAnsi="方正黑体_GBK" w:eastAsia="方正黑体_GBK" w:cs="方正黑体_GBK"/>
                <w:i w:val="0"/>
                <w:iCs w:val="0"/>
                <w:color w:val="000000"/>
                <w:sz w:val="11"/>
                <w:szCs w:val="11"/>
                <w:u w:val="none"/>
              </w:rPr>
            </w:pPr>
          </w:p>
        </w:tc>
      </w:tr>
      <w:tr w14:paraId="22786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2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4DE1F">
            <w:pPr>
              <w:jc w:val="center"/>
              <w:rPr>
                <w:rFonts w:hint="eastAsia" w:ascii="方正黑体_GBK" w:hAnsi="方正黑体_GBK" w:eastAsia="方正黑体_GBK" w:cs="方正黑体_GBK"/>
                <w:i w:val="0"/>
                <w:iCs w:val="0"/>
                <w:color w:val="000000"/>
                <w:sz w:val="11"/>
                <w:szCs w:val="11"/>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F291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单位资金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1026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0.00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962E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0.00</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654BB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0.00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4803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850C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34AE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4A5DB">
            <w:pPr>
              <w:rPr>
                <w:rFonts w:hint="eastAsia" w:ascii="方正黑体_GBK" w:hAnsi="方正黑体_GBK" w:eastAsia="方正黑体_GBK" w:cs="方正黑体_GBK"/>
                <w:i w:val="0"/>
                <w:iCs w:val="0"/>
                <w:color w:val="000000"/>
                <w:sz w:val="11"/>
                <w:szCs w:val="11"/>
                <w:u w:val="none"/>
              </w:rPr>
            </w:pPr>
          </w:p>
        </w:tc>
      </w:tr>
      <w:tr w14:paraId="015A7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182"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72B3D">
            <w:pPr>
              <w:jc w:val="center"/>
              <w:rPr>
                <w:rFonts w:hint="eastAsia" w:ascii="方正黑体_GBK" w:hAnsi="方正黑体_GBK" w:eastAsia="方正黑体_GBK" w:cs="方正黑体_GBK"/>
                <w:i w:val="0"/>
                <w:iCs w:val="0"/>
                <w:color w:val="000000"/>
                <w:sz w:val="11"/>
                <w:szCs w:val="11"/>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CC00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其他资金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EF10E">
            <w:pPr>
              <w:jc w:val="center"/>
              <w:rPr>
                <w:rFonts w:hint="eastAsia" w:ascii="方正黑体_GBK" w:hAnsi="方正黑体_GBK" w:eastAsia="方正黑体_GBK" w:cs="方正黑体_GBK"/>
                <w:i w:val="0"/>
                <w:iCs w:val="0"/>
                <w:color w:val="000000"/>
                <w:sz w:val="11"/>
                <w:szCs w:val="11"/>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32A84">
            <w:pPr>
              <w:jc w:val="center"/>
              <w:rPr>
                <w:rFonts w:hint="eastAsia" w:ascii="方正黑体_GBK" w:hAnsi="方正黑体_GBK" w:eastAsia="方正黑体_GBK" w:cs="方正黑体_GBK"/>
                <w:i w:val="0"/>
                <w:iCs w:val="0"/>
                <w:color w:val="000000"/>
                <w:sz w:val="11"/>
                <w:szCs w:val="11"/>
                <w:u w:val="none"/>
              </w:rPr>
            </w:pP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6C78A9">
            <w:pPr>
              <w:jc w:val="center"/>
              <w:rPr>
                <w:rFonts w:hint="eastAsia" w:ascii="方正黑体_GBK" w:hAnsi="方正黑体_GBK" w:eastAsia="方正黑体_GBK" w:cs="方正黑体_GBK"/>
                <w:i w:val="0"/>
                <w:iCs w:val="0"/>
                <w:color w:val="000000"/>
                <w:sz w:val="11"/>
                <w:szCs w:val="11"/>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0E771">
            <w:pPr>
              <w:jc w:val="center"/>
              <w:rPr>
                <w:rFonts w:hint="eastAsia" w:ascii="方正黑体_GBK" w:hAnsi="方正黑体_GBK" w:eastAsia="方正黑体_GBK" w:cs="方正黑体_GBK"/>
                <w:i w:val="0"/>
                <w:iCs w:val="0"/>
                <w:color w:val="000000"/>
                <w:sz w:val="11"/>
                <w:szCs w:val="1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28FF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856F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E845B">
            <w:pPr>
              <w:rPr>
                <w:rFonts w:hint="eastAsia" w:ascii="方正黑体_GBK" w:hAnsi="方正黑体_GBK" w:eastAsia="方正黑体_GBK" w:cs="方正黑体_GBK"/>
                <w:i w:val="0"/>
                <w:iCs w:val="0"/>
                <w:color w:val="000000"/>
                <w:sz w:val="11"/>
                <w:szCs w:val="11"/>
                <w:u w:val="none"/>
              </w:rPr>
            </w:pPr>
          </w:p>
        </w:tc>
      </w:tr>
      <w:tr w14:paraId="7FCB0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182"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3A8CB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绩效指标（90分）</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E1FA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一级指标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5CFF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二级指标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6662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三级指标</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AD05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指标性质</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CD21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EEE4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5753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完成值</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A86A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C7BD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5868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未完成原因分析</w:t>
            </w:r>
          </w:p>
        </w:tc>
      </w:tr>
      <w:tr w14:paraId="63715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16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8D8EF">
            <w:pPr>
              <w:jc w:val="center"/>
              <w:rPr>
                <w:rFonts w:hint="eastAsia" w:ascii="方正黑体_GBK" w:hAnsi="方正黑体_GBK" w:eastAsia="方正黑体_GBK" w:cs="方正黑体_GBK"/>
                <w:i w:val="0"/>
                <w:iCs w:val="0"/>
                <w:color w:val="000000"/>
                <w:sz w:val="11"/>
                <w:szCs w:val="11"/>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2D2A1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产出指标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97048">
            <w:pPr>
              <w:keepNext w:val="0"/>
              <w:keepLines w:val="0"/>
              <w:widowControl/>
              <w:suppressLineNumbers w:val="0"/>
              <w:jc w:val="center"/>
              <w:textAlignment w:val="center"/>
              <w:rPr>
                <w:rFonts w:hint="eastAsia" w:ascii="方正黑体_GBK" w:hAnsi="方正黑体_GBK" w:eastAsia="方正黑体_GBK" w:cs="方正黑体_GBK"/>
                <w:i/>
                <w:iCs/>
                <w:color w:val="000000"/>
                <w:sz w:val="11"/>
                <w:szCs w:val="11"/>
                <w:u w:val="none"/>
              </w:rPr>
            </w:pPr>
            <w:r>
              <w:rPr>
                <w:rFonts w:ascii="宋体" w:hAnsi="宋体" w:eastAsia="宋体" w:cs="宋体"/>
                <w:i w:val="0"/>
                <w:iCs w:val="0"/>
                <w:color w:val="000000"/>
                <w:kern w:val="0"/>
                <w:sz w:val="18"/>
                <w:szCs w:val="18"/>
                <w:u w:val="none"/>
                <w:lang w:val="en-US" w:eastAsia="zh-CN" w:bidi="ar"/>
              </w:rPr>
              <w:t>数量指标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0CFEF">
            <w:pPr>
              <w:keepNext w:val="0"/>
              <w:keepLines w:val="0"/>
              <w:widowControl/>
              <w:suppressLineNumbers w:val="0"/>
              <w:jc w:val="center"/>
              <w:textAlignment w:val="center"/>
              <w:rPr>
                <w:rFonts w:hint="eastAsia" w:ascii="方正黑体_GBK" w:hAnsi="方正黑体_GBK" w:eastAsia="方正黑体_GBK" w:cs="方正黑体_GBK"/>
                <w:i/>
                <w:iCs/>
                <w:color w:val="000000"/>
                <w:sz w:val="11"/>
                <w:szCs w:val="11"/>
                <w:u w:val="none"/>
              </w:rPr>
            </w:pPr>
            <w:r>
              <w:rPr>
                <w:rFonts w:ascii="宋体" w:hAnsi="宋体" w:eastAsia="宋体" w:cs="宋体"/>
                <w:i w:val="0"/>
                <w:iCs w:val="0"/>
                <w:color w:val="000000"/>
                <w:kern w:val="0"/>
                <w:sz w:val="18"/>
                <w:szCs w:val="18"/>
                <w:u w:val="none"/>
                <w:lang w:val="en-US" w:eastAsia="zh-CN" w:bidi="ar"/>
              </w:rPr>
              <w:t>国产定位系统安装率，计算方法为：（车载定位系统安装车辆/州级机关车辆）×100%</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57DD7">
            <w:pPr>
              <w:keepNext w:val="0"/>
              <w:keepLines w:val="0"/>
              <w:widowControl/>
              <w:suppressLineNumbers w:val="0"/>
              <w:jc w:val="center"/>
              <w:textAlignment w:val="center"/>
              <w:rPr>
                <w:rFonts w:hint="eastAsia" w:ascii="方正黑体_GBK" w:hAnsi="方正黑体_GBK" w:eastAsia="方正黑体_GBK" w:cs="方正黑体_GBK"/>
                <w:i/>
                <w:iCs/>
                <w:color w:val="000000"/>
                <w:sz w:val="11"/>
                <w:szCs w:val="11"/>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86C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22.14</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82C2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B67DD">
            <w:pPr>
              <w:keepNext w:val="0"/>
              <w:keepLines w:val="0"/>
              <w:widowControl/>
              <w:suppressLineNumbers w:val="0"/>
              <w:jc w:val="center"/>
              <w:textAlignment w:val="center"/>
              <w:rPr>
                <w:rFonts w:hint="eastAsia" w:ascii="方正黑体_GBK" w:hAnsi="方正黑体_GBK" w:eastAsia="方正黑体_GBK" w:cs="方正黑体_GBK"/>
                <w:i/>
                <w:iCs/>
                <w:color w:val="000000"/>
                <w:sz w:val="11"/>
                <w:szCs w:val="11"/>
                <w:u w:val="none"/>
              </w:rPr>
            </w:pPr>
            <w:r>
              <w:rPr>
                <w:rFonts w:hint="eastAsia" w:ascii="微软雅黑" w:hAnsi="微软雅黑" w:eastAsia="微软雅黑" w:cs="微软雅黑"/>
                <w:i/>
                <w:iCs/>
                <w:color w:val="000000"/>
                <w:kern w:val="0"/>
                <w:sz w:val="16"/>
                <w:szCs w:val="16"/>
                <w:u w:val="none"/>
                <w:lang w:val="en-US" w:eastAsia="zh-CN" w:bidi="ar"/>
              </w:rPr>
              <w:t>25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D32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5793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345F1">
            <w:pPr>
              <w:jc w:val="center"/>
              <w:rPr>
                <w:rFonts w:hint="eastAsia" w:ascii="方正黑体_GBK" w:hAnsi="方正黑体_GBK" w:eastAsia="方正黑体_GBK" w:cs="方正黑体_GBK"/>
                <w:i w:val="0"/>
                <w:iCs w:val="0"/>
                <w:color w:val="000000"/>
                <w:sz w:val="11"/>
                <w:szCs w:val="11"/>
                <w:u w:val="none"/>
              </w:rPr>
            </w:pPr>
          </w:p>
        </w:tc>
      </w:tr>
      <w:tr w14:paraId="666E1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12"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606A3">
            <w:pPr>
              <w:jc w:val="center"/>
              <w:rPr>
                <w:rFonts w:hint="eastAsia" w:ascii="方正黑体_GBK" w:hAnsi="方正黑体_GBK" w:eastAsia="方正黑体_GBK" w:cs="方正黑体_GBK"/>
                <w:i w:val="0"/>
                <w:iCs w:val="0"/>
                <w:color w:val="000000"/>
                <w:sz w:val="11"/>
                <w:szCs w:val="11"/>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C5800">
            <w:pPr>
              <w:jc w:val="center"/>
              <w:rPr>
                <w:rFonts w:hint="eastAsia" w:ascii="方正黑体_GBK" w:hAnsi="方正黑体_GBK" w:eastAsia="方正黑体_GBK" w:cs="方正黑体_GBK"/>
                <w:i w:val="0"/>
                <w:iCs w:val="0"/>
                <w:color w:val="000000"/>
                <w:sz w:val="11"/>
                <w:szCs w:val="11"/>
                <w:u w:val="none"/>
              </w:rPr>
            </w:pP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13A05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质量指标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BE47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达标率</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1B4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795F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99</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22C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CB08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6A3B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74FE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A7CD">
            <w:pPr>
              <w:jc w:val="center"/>
              <w:rPr>
                <w:rFonts w:hint="eastAsia" w:ascii="方正黑体_GBK" w:hAnsi="方正黑体_GBK" w:eastAsia="方正黑体_GBK" w:cs="方正黑体_GBK"/>
                <w:i w:val="0"/>
                <w:iCs w:val="0"/>
                <w:color w:val="000000"/>
                <w:sz w:val="11"/>
                <w:szCs w:val="11"/>
                <w:u w:val="none"/>
              </w:rPr>
            </w:pPr>
          </w:p>
        </w:tc>
      </w:tr>
      <w:tr w14:paraId="3DD73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19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DEA3F">
            <w:pPr>
              <w:jc w:val="center"/>
              <w:rPr>
                <w:rFonts w:hint="eastAsia" w:ascii="方正黑体_GBK" w:hAnsi="方正黑体_GBK" w:eastAsia="方正黑体_GBK" w:cs="方正黑体_GBK"/>
                <w:i w:val="0"/>
                <w:iCs w:val="0"/>
                <w:color w:val="000000"/>
                <w:sz w:val="11"/>
                <w:szCs w:val="11"/>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86002">
            <w:pPr>
              <w:jc w:val="center"/>
              <w:rPr>
                <w:rFonts w:hint="eastAsia" w:ascii="方正黑体_GBK" w:hAnsi="方正黑体_GBK" w:eastAsia="方正黑体_GBK" w:cs="方正黑体_GBK"/>
                <w:i w:val="0"/>
                <w:iCs w:val="0"/>
                <w:color w:val="000000"/>
                <w:sz w:val="11"/>
                <w:szCs w:val="11"/>
                <w:u w:val="none"/>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D3CAD">
            <w:pPr>
              <w:jc w:val="center"/>
              <w:rPr>
                <w:rFonts w:hint="eastAsia" w:ascii="方正黑体_GBK" w:hAnsi="方正黑体_GBK" w:eastAsia="方正黑体_GBK" w:cs="方正黑体_GBK"/>
                <w:i w:val="0"/>
                <w:iCs w:val="0"/>
                <w:color w:val="000000"/>
                <w:sz w:val="11"/>
                <w:szCs w:val="11"/>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27A3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群众满意度指标，计算方法：（满意数/总数）×100%</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A939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ABD6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100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0CA6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0C6B">
            <w:pPr>
              <w:keepNext w:val="0"/>
              <w:keepLines w:val="0"/>
              <w:widowControl/>
              <w:suppressLineNumbers w:val="0"/>
              <w:jc w:val="center"/>
              <w:textAlignment w:val="center"/>
              <w:rPr>
                <w:rFonts w:hint="eastAsia" w:ascii="方正黑体_GBK" w:hAnsi="方正黑体_GBK" w:eastAsia="方正黑体_GBK" w:cs="方正黑体_GBK"/>
                <w:i/>
                <w:iCs/>
                <w:color w:val="000000"/>
                <w:sz w:val="11"/>
                <w:szCs w:val="11"/>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428B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D03A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A8DA6">
            <w:pPr>
              <w:jc w:val="center"/>
              <w:rPr>
                <w:rFonts w:hint="eastAsia" w:ascii="方正黑体_GBK" w:hAnsi="方正黑体_GBK" w:eastAsia="方正黑体_GBK" w:cs="方正黑体_GBK"/>
                <w:i/>
                <w:iCs/>
                <w:color w:val="000000"/>
                <w:sz w:val="11"/>
                <w:szCs w:val="11"/>
                <w:u w:val="none"/>
              </w:rPr>
            </w:pPr>
          </w:p>
        </w:tc>
      </w:tr>
      <w:tr w14:paraId="3055A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464"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78E6E">
            <w:pPr>
              <w:jc w:val="center"/>
              <w:rPr>
                <w:rFonts w:hint="eastAsia" w:ascii="方正黑体_GBK" w:hAnsi="方正黑体_GBK" w:eastAsia="方正黑体_GBK" w:cs="方正黑体_GBK"/>
                <w:i w:val="0"/>
                <w:iCs w:val="0"/>
                <w:color w:val="000000"/>
                <w:sz w:val="11"/>
                <w:szCs w:val="11"/>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2C94F">
            <w:pPr>
              <w:jc w:val="center"/>
              <w:rPr>
                <w:rFonts w:hint="eastAsia" w:ascii="方正黑体_GBK" w:hAnsi="方正黑体_GBK" w:eastAsia="方正黑体_GBK" w:cs="方正黑体_GBK"/>
                <w:i w:val="0"/>
                <w:iCs w:val="0"/>
                <w:color w:val="000000"/>
                <w:sz w:val="11"/>
                <w:szCs w:val="11"/>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DE78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时效指标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D63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项目完成时间</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3A37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定性</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CC32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2024年12月底前完成</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1D47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年</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6070E">
            <w:pPr>
              <w:keepNext w:val="0"/>
              <w:keepLines w:val="0"/>
              <w:widowControl/>
              <w:suppressLineNumbers w:val="0"/>
              <w:jc w:val="center"/>
              <w:textAlignment w:val="center"/>
              <w:rPr>
                <w:rFonts w:hint="eastAsia" w:ascii="方正黑体_GBK" w:hAnsi="方正黑体_GBK" w:eastAsia="方正黑体_GBK" w:cs="方正黑体_GBK"/>
                <w:i/>
                <w:iCs/>
                <w:color w:val="000000"/>
                <w:sz w:val="11"/>
                <w:szCs w:val="11"/>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C2DC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671A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84699">
            <w:pPr>
              <w:jc w:val="center"/>
              <w:rPr>
                <w:rFonts w:hint="eastAsia" w:ascii="方正黑体_GBK" w:hAnsi="方正黑体_GBK" w:eastAsia="方正黑体_GBK" w:cs="方正黑体_GBK"/>
                <w:i/>
                <w:iCs/>
                <w:color w:val="000000"/>
                <w:sz w:val="11"/>
                <w:szCs w:val="11"/>
                <w:u w:val="none"/>
              </w:rPr>
            </w:pPr>
          </w:p>
        </w:tc>
      </w:tr>
      <w:tr w14:paraId="78217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16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426D4">
            <w:pPr>
              <w:jc w:val="center"/>
              <w:rPr>
                <w:rFonts w:hint="eastAsia" w:ascii="方正黑体_GBK" w:hAnsi="方正黑体_GBK" w:eastAsia="方正黑体_GBK" w:cs="方正黑体_GBK"/>
                <w:i w:val="0"/>
                <w:iCs w:val="0"/>
                <w:color w:val="000000"/>
                <w:sz w:val="11"/>
                <w:szCs w:val="11"/>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77BA4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效益指标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F4DE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经济效益指标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A6D5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年度节约财政资金</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7F6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67DB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100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5AB7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万元</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C7AAE">
            <w:pPr>
              <w:keepNext w:val="0"/>
              <w:keepLines w:val="0"/>
              <w:widowControl/>
              <w:suppressLineNumbers w:val="0"/>
              <w:jc w:val="center"/>
              <w:textAlignment w:val="center"/>
              <w:rPr>
                <w:rFonts w:hint="eastAsia" w:ascii="方正黑体_GBK" w:hAnsi="方正黑体_GBK" w:eastAsia="方正黑体_GBK" w:cs="方正黑体_GBK"/>
                <w:i/>
                <w:iCs/>
                <w:color w:val="000000"/>
                <w:sz w:val="11"/>
                <w:szCs w:val="11"/>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8992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0C34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216EF">
            <w:pPr>
              <w:jc w:val="center"/>
              <w:rPr>
                <w:rFonts w:hint="eastAsia" w:ascii="方正黑体_GBK" w:hAnsi="方正黑体_GBK" w:eastAsia="方正黑体_GBK" w:cs="方正黑体_GBK"/>
                <w:i/>
                <w:iCs/>
                <w:color w:val="000000"/>
                <w:sz w:val="11"/>
                <w:szCs w:val="11"/>
                <w:u w:val="none"/>
              </w:rPr>
            </w:pPr>
          </w:p>
        </w:tc>
      </w:tr>
      <w:tr w14:paraId="0E32B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374"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F44AF">
            <w:pPr>
              <w:jc w:val="center"/>
              <w:rPr>
                <w:rFonts w:hint="eastAsia" w:ascii="方正黑体_GBK" w:hAnsi="方正黑体_GBK" w:eastAsia="方正黑体_GBK" w:cs="方正黑体_GBK"/>
                <w:i w:val="0"/>
                <w:iCs w:val="0"/>
                <w:color w:val="000000"/>
                <w:sz w:val="11"/>
                <w:szCs w:val="11"/>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953D7">
            <w:pPr>
              <w:jc w:val="center"/>
              <w:rPr>
                <w:rFonts w:hint="eastAsia" w:ascii="方正黑体_GBK" w:hAnsi="方正黑体_GBK" w:eastAsia="方正黑体_GBK" w:cs="方正黑体_GBK"/>
                <w:i w:val="0"/>
                <w:iCs w:val="0"/>
                <w:color w:val="000000"/>
                <w:sz w:val="11"/>
                <w:szCs w:val="11"/>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7E89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社会效益指标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534D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社会效益情况</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C1A1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E518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90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2D7C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4037">
            <w:pPr>
              <w:keepNext w:val="0"/>
              <w:keepLines w:val="0"/>
              <w:widowControl/>
              <w:suppressLineNumbers w:val="0"/>
              <w:jc w:val="center"/>
              <w:textAlignment w:val="center"/>
              <w:rPr>
                <w:rFonts w:hint="eastAsia" w:ascii="方正黑体_GBK" w:hAnsi="方正黑体_GBK" w:eastAsia="方正黑体_GBK" w:cs="方正黑体_GBK"/>
                <w:i/>
                <w:iCs/>
                <w:color w:val="000000"/>
                <w:sz w:val="11"/>
                <w:szCs w:val="11"/>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7193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4BE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DE4CD">
            <w:pPr>
              <w:jc w:val="center"/>
              <w:rPr>
                <w:rFonts w:hint="eastAsia" w:ascii="方正黑体_GBK" w:hAnsi="方正黑体_GBK" w:eastAsia="方正黑体_GBK" w:cs="方正黑体_GBK"/>
                <w:i/>
                <w:iCs/>
                <w:color w:val="000000"/>
                <w:sz w:val="11"/>
                <w:szCs w:val="11"/>
                <w:u w:val="none"/>
              </w:rPr>
            </w:pPr>
          </w:p>
        </w:tc>
      </w:tr>
      <w:tr w14:paraId="52F74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494"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29672">
            <w:pPr>
              <w:jc w:val="center"/>
              <w:rPr>
                <w:rFonts w:hint="eastAsia" w:ascii="方正黑体_GBK" w:hAnsi="方正黑体_GBK" w:eastAsia="方正黑体_GBK" w:cs="方正黑体_GBK"/>
                <w:i w:val="0"/>
                <w:iCs w:val="0"/>
                <w:color w:val="000000"/>
                <w:sz w:val="11"/>
                <w:szCs w:val="11"/>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72B3C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满意度指标</w:t>
            </w: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C7EF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服务对象满意度指标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E3CD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满意度</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B105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F519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95</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4FAD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C2699">
            <w:pPr>
              <w:keepNext w:val="0"/>
              <w:keepLines w:val="0"/>
              <w:widowControl/>
              <w:suppressLineNumbers w:val="0"/>
              <w:jc w:val="center"/>
              <w:textAlignment w:val="center"/>
              <w:rPr>
                <w:rFonts w:hint="eastAsia" w:ascii="方正黑体_GBK" w:hAnsi="方正黑体_GBK" w:eastAsia="方正黑体_GBK" w:cs="方正黑体_GBK"/>
                <w:i/>
                <w:iCs/>
                <w:color w:val="000000"/>
                <w:sz w:val="11"/>
                <w:szCs w:val="11"/>
                <w:u w:val="none"/>
              </w:rPr>
            </w:pPr>
            <w:r>
              <w:rPr>
                <w:rFonts w:hint="eastAsia" w:ascii="微软雅黑" w:hAnsi="微软雅黑" w:eastAsia="微软雅黑" w:cs="微软雅黑"/>
                <w:i/>
                <w:iCs/>
                <w:color w:val="000000"/>
                <w:kern w:val="0"/>
                <w:sz w:val="16"/>
                <w:szCs w:val="16"/>
                <w:u w:val="none"/>
                <w:lang w:val="en-US" w:eastAsia="zh-CN" w:bidi="ar"/>
              </w:rPr>
              <w:t>96</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26B1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73AA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92042">
            <w:pPr>
              <w:jc w:val="center"/>
              <w:rPr>
                <w:rFonts w:hint="eastAsia" w:ascii="方正黑体_GBK" w:hAnsi="方正黑体_GBK" w:eastAsia="方正黑体_GBK" w:cs="方正黑体_GBK"/>
                <w:i/>
                <w:iCs/>
                <w:color w:val="000000"/>
                <w:sz w:val="11"/>
                <w:szCs w:val="11"/>
                <w:u w:val="none"/>
              </w:rPr>
            </w:pPr>
          </w:p>
        </w:tc>
      </w:tr>
      <w:tr w14:paraId="73202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16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F6FC1">
            <w:pPr>
              <w:jc w:val="center"/>
              <w:rPr>
                <w:rFonts w:hint="eastAsia" w:ascii="方正黑体_GBK" w:hAnsi="方正黑体_GBK" w:eastAsia="方正黑体_GBK" w:cs="方正黑体_GBK"/>
                <w:i w:val="0"/>
                <w:iCs w:val="0"/>
                <w:color w:val="000000"/>
                <w:sz w:val="11"/>
                <w:szCs w:val="11"/>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AD149">
            <w:pPr>
              <w:jc w:val="center"/>
              <w:rPr>
                <w:rFonts w:hint="eastAsia" w:ascii="方正黑体_GBK" w:hAnsi="方正黑体_GBK" w:eastAsia="方正黑体_GBK" w:cs="方正黑体_GBK"/>
                <w:i w:val="0"/>
                <w:iCs w:val="0"/>
                <w:color w:val="000000"/>
                <w:sz w:val="11"/>
                <w:szCs w:val="11"/>
                <w:u w:val="none"/>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91B2C">
            <w:pPr>
              <w:jc w:val="center"/>
              <w:rPr>
                <w:rFonts w:hint="eastAsia" w:ascii="方正黑体_GBK" w:hAnsi="方正黑体_GBK" w:eastAsia="方正黑体_GBK" w:cs="方正黑体_GBK"/>
                <w:i w:val="0"/>
                <w:iCs w:val="0"/>
                <w:color w:val="000000"/>
                <w:sz w:val="11"/>
                <w:szCs w:val="11"/>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52CE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平台使用人满意度</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E5BF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C0F2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95</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D148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D1E01">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95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7A19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33D3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5541F">
            <w:pPr>
              <w:jc w:val="center"/>
              <w:rPr>
                <w:rFonts w:hint="eastAsia" w:ascii="方正黑体_GBK" w:hAnsi="方正黑体_GBK" w:eastAsia="方正黑体_GBK" w:cs="方正黑体_GBK"/>
                <w:i w:val="0"/>
                <w:iCs w:val="0"/>
                <w:color w:val="000000"/>
                <w:sz w:val="11"/>
                <w:szCs w:val="11"/>
                <w:u w:val="none"/>
              </w:rPr>
            </w:pPr>
          </w:p>
        </w:tc>
      </w:tr>
      <w:tr w14:paraId="2AEDB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404"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4F358">
            <w:pPr>
              <w:jc w:val="center"/>
              <w:rPr>
                <w:rFonts w:hint="eastAsia" w:ascii="方正黑体_GBK" w:hAnsi="方正黑体_GBK" w:eastAsia="方正黑体_GBK" w:cs="方正黑体_GBK"/>
                <w:i w:val="0"/>
                <w:iCs w:val="0"/>
                <w:color w:val="000000"/>
                <w:sz w:val="11"/>
                <w:szCs w:val="11"/>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E628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成本指标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7E3D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经济成本指标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C7DF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公车定位系统经济成本</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9FB9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CEAC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59</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9FA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万元</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046D5">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28.63</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3AA3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6B01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393FA">
            <w:pPr>
              <w:jc w:val="center"/>
            </w:pPr>
          </w:p>
        </w:tc>
      </w:tr>
      <w:tr w14:paraId="5C829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197" w:hRule="atLeast"/>
        </w:trPr>
        <w:tc>
          <w:tcPr>
            <w:tcW w:w="1186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947401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合计</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275B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100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795C0">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100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D3B55"/>
        </w:tc>
      </w:tr>
      <w:tr w14:paraId="19FE9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107"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9B4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评价结论</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3EE659">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1"/>
                <w:szCs w:val="11"/>
                <w:u w:val="none"/>
              </w:rPr>
            </w:pPr>
            <w:r>
              <w:rPr>
                <w:rFonts w:hint="eastAsia" w:ascii="微软雅黑" w:hAnsi="微软雅黑" w:eastAsia="微软雅黑" w:cs="微软雅黑"/>
                <w:i/>
                <w:iCs/>
                <w:color w:val="000000"/>
                <w:kern w:val="0"/>
                <w:sz w:val="16"/>
                <w:szCs w:val="16"/>
                <w:u w:val="none"/>
                <w:lang w:val="en-US" w:eastAsia="zh-CN" w:bidi="ar"/>
              </w:rPr>
              <w:t>该项目顺利实施，为我州的车改工作奠定了基础，公车实现全省一张网统一监管，系统模块可查询车辆动态，油耗监测等，方便数据统计。</w:t>
            </w:r>
          </w:p>
        </w:tc>
      </w:tr>
      <w:tr w14:paraId="6C990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42"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B135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1"/>
                <w:szCs w:val="11"/>
                <w:u w:val="none"/>
              </w:rPr>
            </w:pPr>
            <w:r>
              <w:rPr>
                <w:rFonts w:ascii="宋体" w:hAnsi="宋体" w:eastAsia="宋体" w:cs="宋体"/>
                <w:i w:val="0"/>
                <w:iCs w:val="0"/>
                <w:color w:val="000000"/>
                <w:kern w:val="0"/>
                <w:sz w:val="18"/>
                <w:szCs w:val="18"/>
                <w:u w:val="none"/>
                <w:lang w:val="en-US" w:eastAsia="zh-CN" w:bidi="ar"/>
              </w:rPr>
              <w:t>存在问题</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0E064D">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1"/>
                <w:szCs w:val="11"/>
                <w:u w:val="none"/>
              </w:rPr>
            </w:pPr>
            <w:r>
              <w:rPr>
                <w:rFonts w:hint="eastAsia" w:ascii="微软雅黑" w:hAnsi="微软雅黑" w:eastAsia="微软雅黑" w:cs="微软雅黑"/>
                <w:i/>
                <w:iCs/>
                <w:color w:val="000000"/>
                <w:kern w:val="0"/>
                <w:sz w:val="16"/>
                <w:szCs w:val="16"/>
                <w:u w:val="none"/>
                <w:lang w:val="en-US" w:eastAsia="zh-CN" w:bidi="ar"/>
              </w:rPr>
              <w:t>该项目试点已完成，全州推广还需加大力度。</w:t>
            </w:r>
          </w:p>
        </w:tc>
      </w:tr>
      <w:tr w14:paraId="5CDA0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557"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BCB3">
            <w:pPr>
              <w:keepNext w:val="0"/>
              <w:keepLines w:val="0"/>
              <w:widowControl/>
              <w:suppressLineNumbers w:val="0"/>
              <w:jc w:val="center"/>
              <w:textAlignment w:val="center"/>
              <w:rPr>
                <w:rFonts w:hint="eastAsia" w:ascii="方正黑体_GBK" w:hAnsi="方正黑体_GBK" w:eastAsia="方正黑体_GBK" w:cs="方正黑体_GBK"/>
                <w:b/>
                <w:bCs/>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951527">
            <w:pPr>
              <w:keepNext w:val="0"/>
              <w:keepLines w:val="0"/>
              <w:widowControl/>
              <w:suppressLineNumbers w:val="0"/>
              <w:jc w:val="left"/>
              <w:textAlignment w:val="center"/>
            </w:pPr>
            <w:r>
              <w:rPr>
                <w:rFonts w:hint="eastAsia" w:ascii="微软雅黑" w:hAnsi="微软雅黑" w:eastAsia="微软雅黑" w:cs="微软雅黑"/>
                <w:i/>
                <w:iCs/>
                <w:color w:val="000000"/>
                <w:kern w:val="0"/>
                <w:sz w:val="16"/>
                <w:szCs w:val="16"/>
                <w:u w:val="none"/>
                <w:lang w:val="en-US" w:eastAsia="zh-CN" w:bidi="ar"/>
              </w:rPr>
              <w:t>无</w:t>
            </w:r>
          </w:p>
        </w:tc>
      </w:tr>
      <w:tr w14:paraId="44225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437" w:hRule="atLeast"/>
        </w:trPr>
        <w:tc>
          <w:tcPr>
            <w:tcW w:w="81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04B741">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2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64555E">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6EFA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442"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C8175">
            <w:pP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D0217">
            <w:pPr>
              <w:rPr>
                <w:rFonts w:hint="eastAsia" w:ascii="方正黑体_GBK" w:hAnsi="方正黑体_GBK" w:eastAsia="方正黑体_GBK" w:cs="方正黑体_GBK"/>
                <w:i w:val="0"/>
                <w:iCs w:val="0"/>
                <w:color w:val="000000"/>
                <w:sz w:val="18"/>
                <w:szCs w:val="18"/>
                <w:u w:val="none"/>
              </w:rPr>
            </w:pPr>
          </w:p>
        </w:tc>
        <w:tc>
          <w:tcPr>
            <w:tcW w:w="1980" w:type="dxa"/>
            <w:tcBorders>
              <w:top w:val="nil"/>
              <w:left w:val="nil"/>
              <w:bottom w:val="nil"/>
              <w:right w:val="nil"/>
            </w:tcBorders>
            <w:shd w:val="clear" w:color="auto" w:fill="auto"/>
            <w:vAlign w:val="center"/>
          </w:tcPr>
          <w:p w14:paraId="1B789B10">
            <w:pPr>
              <w:rPr>
                <w:rFonts w:hint="eastAsia" w:ascii="方正黑体_GBK" w:hAnsi="方正黑体_GBK" w:eastAsia="方正黑体_GBK" w:cs="方正黑体_GBK"/>
                <w:i w:val="0"/>
                <w:iCs w:val="0"/>
                <w:color w:val="000000"/>
                <w:sz w:val="18"/>
                <w:szCs w:val="18"/>
                <w:u w:val="none"/>
              </w:rPr>
            </w:pPr>
          </w:p>
        </w:tc>
        <w:tc>
          <w:tcPr>
            <w:tcW w:w="2534" w:type="dxa"/>
            <w:tcBorders>
              <w:top w:val="nil"/>
              <w:left w:val="nil"/>
              <w:bottom w:val="nil"/>
              <w:right w:val="nil"/>
            </w:tcBorders>
            <w:shd w:val="clear" w:color="auto" w:fill="auto"/>
            <w:vAlign w:val="center"/>
          </w:tcPr>
          <w:p w14:paraId="7C4D6479"/>
        </w:tc>
        <w:tc>
          <w:tcPr>
            <w:tcW w:w="587" w:type="dxa"/>
            <w:tcBorders>
              <w:top w:val="nil"/>
              <w:left w:val="nil"/>
              <w:bottom w:val="nil"/>
              <w:right w:val="nil"/>
            </w:tcBorders>
            <w:shd w:val="clear" w:color="auto" w:fill="auto"/>
            <w:vAlign w:val="center"/>
          </w:tcPr>
          <w:p w14:paraId="66487108"/>
        </w:tc>
        <w:tc>
          <w:tcPr>
            <w:tcW w:w="1881" w:type="dxa"/>
            <w:tcBorders>
              <w:top w:val="nil"/>
              <w:left w:val="nil"/>
              <w:bottom w:val="nil"/>
              <w:right w:val="nil"/>
            </w:tcBorders>
            <w:shd w:val="clear" w:color="auto" w:fill="auto"/>
            <w:vAlign w:val="center"/>
          </w:tcPr>
          <w:p w14:paraId="4DF983DD"/>
        </w:tc>
        <w:tc>
          <w:tcPr>
            <w:tcW w:w="588" w:type="dxa"/>
            <w:tcBorders>
              <w:top w:val="nil"/>
              <w:left w:val="nil"/>
              <w:bottom w:val="nil"/>
              <w:right w:val="nil"/>
            </w:tcBorders>
            <w:shd w:val="clear" w:color="auto" w:fill="auto"/>
            <w:vAlign w:val="center"/>
          </w:tcPr>
          <w:p w14:paraId="2E60B88C"/>
        </w:tc>
        <w:tc>
          <w:tcPr>
            <w:tcW w:w="1225" w:type="dxa"/>
            <w:tcBorders>
              <w:top w:val="nil"/>
              <w:left w:val="nil"/>
              <w:bottom w:val="nil"/>
              <w:right w:val="nil"/>
            </w:tcBorders>
            <w:shd w:val="clear" w:color="auto" w:fill="auto"/>
            <w:vAlign w:val="center"/>
          </w:tcPr>
          <w:p w14:paraId="50DB1B58"/>
        </w:tc>
        <w:tc>
          <w:tcPr>
            <w:tcW w:w="570" w:type="dxa"/>
            <w:tcBorders>
              <w:top w:val="nil"/>
              <w:left w:val="nil"/>
              <w:bottom w:val="nil"/>
              <w:right w:val="nil"/>
            </w:tcBorders>
            <w:shd w:val="clear" w:color="auto" w:fill="auto"/>
            <w:vAlign w:val="center"/>
          </w:tcPr>
          <w:p w14:paraId="3DE4DBFE"/>
        </w:tc>
        <w:tc>
          <w:tcPr>
            <w:tcW w:w="503" w:type="dxa"/>
            <w:tcBorders>
              <w:top w:val="nil"/>
              <w:left w:val="nil"/>
              <w:bottom w:val="nil"/>
              <w:right w:val="nil"/>
            </w:tcBorders>
            <w:shd w:val="clear" w:color="auto" w:fill="auto"/>
            <w:vAlign w:val="center"/>
          </w:tcPr>
          <w:p w14:paraId="476A841E"/>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28579">
            <w:pPr>
              <w:rPr>
                <w:rFonts w:hint="eastAsia" w:ascii="方正黑体_GBK" w:hAnsi="方正黑体_GBK" w:eastAsia="方正黑体_GBK" w:cs="方正黑体_GBK"/>
                <w:i w:val="0"/>
                <w:iCs w:val="0"/>
                <w:color w:val="000000"/>
                <w:sz w:val="18"/>
                <w:szCs w:val="18"/>
                <w:u w:val="none"/>
              </w:rPr>
            </w:pPr>
          </w:p>
        </w:tc>
      </w:tr>
      <w:tr w14:paraId="02626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1579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6A6EBD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C80C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7331" w:hRule="atLeast"/>
        </w:trPr>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A3DD0C">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27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5DB366A">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51320022T000000309401-阿坝州公务用车管理平台建设</w:t>
            </w:r>
          </w:p>
        </w:tc>
      </w:tr>
      <w:tr w14:paraId="0DCA5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809" w:hRule="atLeast"/>
        </w:trPr>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F32B39">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8BAFB4">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州机关事务管理局部门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D478E">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9E0BC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州机关事务管理局</w:t>
            </w:r>
          </w:p>
        </w:tc>
      </w:tr>
      <w:tr w14:paraId="38B2F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97E89A">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D854E0">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FD670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5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9FCED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E1F8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C37B2">
            <w:pP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95E92">
            <w:pPr>
              <w:rPr>
                <w:rFonts w:hint="eastAsia" w:ascii="方正黑体_GBK" w:hAnsi="方正黑体_GBK" w:eastAsia="方正黑体_GBK" w:cs="方正黑体_GBK"/>
                <w:i w:val="0"/>
                <w:iCs w:val="0"/>
                <w:color w:val="000000"/>
                <w:sz w:val="18"/>
                <w:szCs w:val="18"/>
                <w:u w:val="none"/>
              </w:rPr>
            </w:pP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23CC5D">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党风廉政建设、厉行节约反对浪费，全省一张网统一监管。为贯彻落实《中共四川省委办公厅、四川省人民政府办公厅关于印发&lt;四川省全面推进公务用车制度改革总体方案&gt;的通知》（川委办〔2015〕45号）精神。</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2016年12月22日，中央车改办下发了《关于进一步加强地方公务用车平台建设的通知》（发改电〔2016〕756号），要求“通过车辆管理平台建设，实现公车管理平台化、平台信息化，省、市、县三级信息互联互通，公车管理实现全省一张网”。2017年6月30日，省车改办制定《四川省公务用车管理平台建设方案》（川车改办函〔2017〕15号），明确了全省总体目标、建设要求及方式。省机关事务管理局要市、州完成各级公车管理平台建设，并与省级公务用车管理平台实现对接。</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2018年12月，省车改办组织会议，要求甘孜阿坝两州尽快开始车改，并明确车改同时必须建设州公务用车管理平台，平台建设完成且平台数据能够接入到省级公务用车管理平台，即拨付车改补贴。</w:t>
            </w:r>
          </w:p>
        </w:tc>
        <w:tc>
          <w:tcPr>
            <w:tcW w:w="5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C2FEF1">
            <w:pPr>
              <w:keepNext w:val="0"/>
              <w:keepLines w:val="0"/>
              <w:widowControl/>
              <w:suppressLineNumbers w:val="0"/>
              <w:jc w:val="left"/>
              <w:textAlignment w:val="center"/>
              <w:rPr>
                <w:rFonts w:hint="eastAsia" w:ascii="方正黑体_GBK" w:hAnsi="方正黑体_GBK" w:eastAsia="方正黑体_GBK" w:cs="方正黑体_GBK"/>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14:paraId="2D05E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54BCD">
            <w:pP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EFD6E">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27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ED02D5A">
            <w:pPr>
              <w:rPr>
                <w:rFonts w:hint="eastAsia" w:ascii="方正黑体_GBK" w:hAnsi="方正黑体_GBK" w:eastAsia="方正黑体_GBK" w:cs="方正黑体_GBK"/>
                <w:i/>
                <w:iCs/>
                <w:color w:val="000000"/>
                <w:sz w:val="18"/>
                <w:szCs w:val="18"/>
                <w:u w:val="none"/>
              </w:rPr>
            </w:pPr>
          </w:p>
        </w:tc>
      </w:tr>
      <w:tr w14:paraId="1C26B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579D6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75FD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254B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C341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47BC0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B22C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336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8185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88264">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932E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70F01">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9EEA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9538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EBC3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3CE89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FBB2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7930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B3DE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B52688">
            <w:pPr>
              <w:keepNext w:val="0"/>
              <w:keepLines w:val="0"/>
              <w:widowControl/>
              <w:suppressLineNumbers w:val="0"/>
              <w:jc w:val="left"/>
              <w:textAlignment w:val="center"/>
              <w:rPr>
                <w:rFonts w:hint="eastAsia" w:ascii="方正黑体_GBK" w:hAnsi="方正黑体_GBK" w:eastAsia="方正黑体_GBK" w:cs="方正黑体_GBK"/>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D21A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3AFDC">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B3EC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43CA6">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59.00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1DC32">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A7B3BA">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B0491">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4B45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E204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E76CA">
            <w:pPr>
              <w:rPr>
                <w:rFonts w:hint="eastAsia" w:ascii="方正黑体_GBK" w:hAnsi="方正黑体_GBK" w:eastAsia="方正黑体_GBK" w:cs="方正黑体_GBK"/>
                <w:i/>
                <w:iCs/>
                <w:color w:val="000000"/>
                <w:sz w:val="18"/>
                <w:szCs w:val="18"/>
                <w:u w:val="none"/>
              </w:rPr>
            </w:pPr>
          </w:p>
        </w:tc>
      </w:tr>
      <w:tr w14:paraId="60995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31DB8">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4A6E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D4F8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E3E4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86E6E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8FA8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A2B1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5B7A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AB3FC">
            <w:pPr>
              <w:rPr>
                <w:rFonts w:hint="eastAsia" w:ascii="方正黑体_GBK" w:hAnsi="方正黑体_GBK" w:eastAsia="方正黑体_GBK" w:cs="方正黑体_GBK"/>
                <w:i w:val="0"/>
                <w:iCs w:val="0"/>
                <w:color w:val="000000"/>
                <w:sz w:val="18"/>
                <w:szCs w:val="18"/>
                <w:u w:val="none"/>
              </w:rPr>
            </w:pPr>
          </w:p>
        </w:tc>
      </w:tr>
      <w:tr w14:paraId="56AB7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CEB59">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72E9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BD8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5777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352E1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042A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BB7FA">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CA84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DEC0B">
            <w:pPr>
              <w:rPr>
                <w:rFonts w:hint="eastAsia" w:ascii="方正黑体_GBK" w:hAnsi="方正黑体_GBK" w:eastAsia="方正黑体_GBK" w:cs="方正黑体_GBK"/>
                <w:i/>
                <w:iCs/>
                <w:color w:val="000000"/>
                <w:sz w:val="18"/>
                <w:szCs w:val="18"/>
                <w:u w:val="none"/>
              </w:rPr>
            </w:pPr>
          </w:p>
        </w:tc>
      </w:tr>
      <w:tr w14:paraId="3B774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DF9BB">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17E9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4659E">
            <w:pPr>
              <w:jc w:val="center"/>
              <w:rPr>
                <w:rFonts w:hint="eastAsia" w:ascii="方正黑体_GBK" w:hAnsi="方正黑体_GBK" w:eastAsia="方正黑体_GBK" w:cs="方正黑体_GBK"/>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B4545">
            <w:pPr>
              <w:jc w:val="center"/>
              <w:rPr>
                <w:rFonts w:hint="eastAsia" w:ascii="方正黑体_GBK" w:hAnsi="方正黑体_GBK" w:eastAsia="方正黑体_GBK" w:cs="方正黑体_GBK"/>
                <w:i w:val="0"/>
                <w:iCs w:val="0"/>
                <w:color w:val="000000"/>
                <w:sz w:val="18"/>
                <w:szCs w:val="18"/>
                <w:u w:val="none"/>
              </w:rPr>
            </w:pP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B03C09">
            <w:pPr>
              <w:jc w:val="center"/>
              <w:rPr>
                <w:rFonts w:hint="eastAsia" w:ascii="方正黑体_GBK" w:hAnsi="方正黑体_GBK" w:eastAsia="方正黑体_GBK" w:cs="方正黑体_GBK"/>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467DB">
            <w:pPr>
              <w:jc w:val="center"/>
              <w:rPr>
                <w:rFonts w:hint="eastAsia" w:ascii="方正黑体_GBK" w:hAnsi="方正黑体_GBK" w:eastAsia="方正黑体_GBK" w:cs="方正黑体_GBK"/>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D5E9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B39B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B1A94">
            <w:pPr>
              <w:rPr>
                <w:rFonts w:hint="eastAsia" w:ascii="方正黑体_GBK" w:hAnsi="方正黑体_GBK" w:eastAsia="方正黑体_GBK" w:cs="方正黑体_GBK"/>
                <w:i/>
                <w:iCs/>
                <w:color w:val="000000"/>
                <w:sz w:val="18"/>
                <w:szCs w:val="18"/>
                <w:u w:val="none"/>
              </w:rPr>
            </w:pPr>
          </w:p>
        </w:tc>
      </w:tr>
      <w:tr w14:paraId="3D6CC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062E6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B93E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517A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14C6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D395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6809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1DB6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8290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DBEC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AB56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386E7">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8C0D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28AF2">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67E39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06C3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0F38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国产定位系统安装率，计算方法为：（车载定位系统安装车辆/州级机关车辆）×100%</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1784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327C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22.14</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90FF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9851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25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7D94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2F43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AAB9C">
            <w:pPr>
              <w:jc w:val="center"/>
              <w:rPr>
                <w:rFonts w:hint="eastAsia" w:ascii="方正黑体_GBK" w:hAnsi="方正黑体_GBK" w:eastAsia="方正黑体_GBK" w:cs="方正黑体_GBK"/>
                <w:i/>
                <w:iCs/>
                <w:color w:val="000000"/>
                <w:sz w:val="18"/>
                <w:szCs w:val="18"/>
                <w:u w:val="none"/>
              </w:rPr>
            </w:pPr>
          </w:p>
        </w:tc>
      </w:tr>
      <w:tr w14:paraId="0B678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0B56E">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8C2DA">
            <w:pPr>
              <w:jc w:val="center"/>
              <w:rPr>
                <w:rFonts w:hint="eastAsia" w:ascii="方正黑体_GBK" w:hAnsi="方正黑体_GBK" w:eastAsia="方正黑体_GBK" w:cs="方正黑体_GBK"/>
                <w:i w:val="0"/>
                <w:iCs w:val="0"/>
                <w:color w:val="000000"/>
                <w:sz w:val="18"/>
                <w:szCs w:val="18"/>
                <w:u w:val="none"/>
              </w:rPr>
            </w:pP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0CAE8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21B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达标率</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DA67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A2B0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99</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094F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58996">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B03B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8F79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9F67A">
            <w:pPr>
              <w:jc w:val="center"/>
              <w:rPr>
                <w:rFonts w:hint="eastAsia" w:ascii="方正黑体_GBK" w:hAnsi="方正黑体_GBK" w:eastAsia="方正黑体_GBK" w:cs="方正黑体_GBK"/>
                <w:i w:val="0"/>
                <w:iCs w:val="0"/>
                <w:color w:val="000000"/>
                <w:sz w:val="18"/>
                <w:szCs w:val="18"/>
                <w:u w:val="none"/>
              </w:rPr>
            </w:pPr>
          </w:p>
        </w:tc>
      </w:tr>
      <w:tr w14:paraId="25115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8E3C8">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31511">
            <w:pPr>
              <w:jc w:val="center"/>
              <w:rPr>
                <w:rFonts w:hint="eastAsia" w:ascii="方正黑体_GBK" w:hAnsi="方正黑体_GBK" w:eastAsia="方正黑体_GBK" w:cs="方正黑体_GBK"/>
                <w:i w:val="0"/>
                <w:iCs w:val="0"/>
                <w:color w:val="000000"/>
                <w:sz w:val="18"/>
                <w:szCs w:val="18"/>
                <w:u w:val="none"/>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3282F">
            <w:pPr>
              <w:jc w:val="cente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2411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群众满意度指标，计算方法：（满意数/总数）×100%</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B72E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5481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AD08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CCBBA">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85F9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6483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89365">
            <w:pPr>
              <w:jc w:val="center"/>
            </w:pPr>
          </w:p>
        </w:tc>
      </w:tr>
      <w:tr w14:paraId="33C21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75FB2">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C49EA">
            <w:pPr>
              <w:jc w:val="center"/>
              <w:rPr>
                <w:rFonts w:hint="eastAsia" w:ascii="方正黑体_GBK" w:hAnsi="方正黑体_GBK" w:eastAsia="方正黑体_GBK" w:cs="方正黑体_GBK"/>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C19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时效指标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CE57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项目完成时间</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1144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定性</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83FE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2024年12月底前完成</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B54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F046F">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完成</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CA2F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E5C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56A68">
            <w:pPr>
              <w:jc w:val="center"/>
            </w:pPr>
          </w:p>
        </w:tc>
      </w:tr>
      <w:tr w14:paraId="72E75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E3052">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21A75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2E19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经济效益指标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1245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年度节约财政资金</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C745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3268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5497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万元</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25A8">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0A61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81B7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DBFF0">
            <w:pPr>
              <w:jc w:val="center"/>
            </w:pPr>
          </w:p>
        </w:tc>
      </w:tr>
      <w:tr w14:paraId="5166A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308CB">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73B8A">
            <w:pPr>
              <w:jc w:val="cente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93CA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社会效益指标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EBE3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社会效益情况</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C7A6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C9F8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87C2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B763">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95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1608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15BB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3BBA9">
            <w:pPr>
              <w:jc w:val="center"/>
            </w:pPr>
          </w:p>
        </w:tc>
      </w:tr>
      <w:tr w14:paraId="0D7E9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71" w:type="dxa"/>
            <w:vMerge w:val="continue"/>
            <w:tcBorders>
              <w:top w:val="nil"/>
              <w:left w:val="nil"/>
              <w:bottom w:val="nil"/>
              <w:right w:val="nil"/>
            </w:tcBorders>
            <w:shd w:val="clear" w:color="auto" w:fill="auto"/>
            <w:vAlign w:val="center"/>
          </w:tcPr>
          <w:p w14:paraId="535B4F88">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nil"/>
              <w:left w:val="nil"/>
              <w:bottom w:val="nil"/>
              <w:right w:val="nil"/>
            </w:tcBorders>
            <w:shd w:val="clear" w:color="auto" w:fill="auto"/>
            <w:vAlign w:val="center"/>
          </w:tcPr>
          <w:p w14:paraId="535D372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980" w:type="dxa"/>
            <w:vMerge w:val="restart"/>
            <w:tcBorders>
              <w:top w:val="nil"/>
              <w:left w:val="nil"/>
              <w:bottom w:val="nil"/>
              <w:right w:val="nil"/>
            </w:tcBorders>
            <w:shd w:val="clear" w:color="auto" w:fill="auto"/>
            <w:vAlign w:val="center"/>
          </w:tcPr>
          <w:p w14:paraId="50BBABF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534" w:type="dxa"/>
            <w:tcBorders>
              <w:top w:val="nil"/>
              <w:left w:val="nil"/>
              <w:bottom w:val="nil"/>
              <w:right w:val="nil"/>
            </w:tcBorders>
            <w:shd w:val="clear" w:color="auto" w:fill="auto"/>
            <w:vAlign w:val="center"/>
          </w:tcPr>
          <w:p w14:paraId="34A9D23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w:t>
            </w:r>
          </w:p>
        </w:tc>
        <w:tc>
          <w:tcPr>
            <w:tcW w:w="587" w:type="dxa"/>
            <w:tcBorders>
              <w:top w:val="nil"/>
              <w:left w:val="nil"/>
              <w:bottom w:val="nil"/>
              <w:right w:val="nil"/>
            </w:tcBorders>
            <w:shd w:val="clear" w:color="auto" w:fill="auto"/>
            <w:vAlign w:val="center"/>
          </w:tcPr>
          <w:p w14:paraId="254B031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nil"/>
              <w:left w:val="nil"/>
              <w:bottom w:val="nil"/>
              <w:right w:val="nil"/>
            </w:tcBorders>
            <w:shd w:val="clear" w:color="auto" w:fill="auto"/>
            <w:vAlign w:val="center"/>
          </w:tcPr>
          <w:p w14:paraId="2520C77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88" w:type="dxa"/>
            <w:tcBorders>
              <w:top w:val="nil"/>
              <w:left w:val="nil"/>
              <w:bottom w:val="nil"/>
              <w:right w:val="nil"/>
            </w:tcBorders>
            <w:shd w:val="clear" w:color="auto" w:fill="auto"/>
            <w:vAlign w:val="center"/>
          </w:tcPr>
          <w:p w14:paraId="61AFF00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25" w:type="dxa"/>
            <w:tcBorders>
              <w:top w:val="nil"/>
              <w:left w:val="nil"/>
              <w:bottom w:val="nil"/>
              <w:right w:val="nil"/>
            </w:tcBorders>
            <w:shd w:val="clear" w:color="auto" w:fill="auto"/>
            <w:vAlign w:val="center"/>
          </w:tcPr>
          <w:p w14:paraId="6492D64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96</w:t>
            </w:r>
          </w:p>
        </w:tc>
        <w:tc>
          <w:tcPr>
            <w:tcW w:w="570" w:type="dxa"/>
            <w:tcBorders>
              <w:top w:val="nil"/>
              <w:left w:val="nil"/>
              <w:bottom w:val="nil"/>
              <w:right w:val="nil"/>
            </w:tcBorders>
            <w:shd w:val="clear" w:color="auto" w:fill="auto"/>
            <w:vAlign w:val="center"/>
          </w:tcPr>
          <w:p w14:paraId="71361BA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03" w:type="dxa"/>
            <w:tcBorders>
              <w:top w:val="nil"/>
              <w:left w:val="nil"/>
              <w:bottom w:val="nil"/>
              <w:right w:val="nil"/>
            </w:tcBorders>
            <w:shd w:val="clear" w:color="auto" w:fill="auto"/>
            <w:vAlign w:val="center"/>
          </w:tcPr>
          <w:p w14:paraId="4B37171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2856" w:type="dxa"/>
            <w:tcBorders>
              <w:top w:val="nil"/>
              <w:left w:val="nil"/>
              <w:bottom w:val="nil"/>
              <w:right w:val="nil"/>
            </w:tcBorders>
            <w:shd w:val="clear" w:color="auto" w:fill="auto"/>
            <w:vAlign w:val="center"/>
          </w:tcPr>
          <w:p w14:paraId="472C1A67">
            <w:pPr>
              <w:jc w:val="center"/>
            </w:pPr>
          </w:p>
        </w:tc>
        <w:tc>
          <w:tcPr>
            <w:tcW w:w="506" w:type="dxa"/>
            <w:vMerge w:val="continue"/>
            <w:tcBorders>
              <w:top w:val="nil"/>
              <w:left w:val="nil"/>
              <w:bottom w:val="nil"/>
              <w:right w:val="nil"/>
            </w:tcBorders>
            <w:shd w:val="clear" w:color="auto" w:fill="auto"/>
            <w:vAlign w:val="center"/>
          </w:tcPr>
          <w:p w14:paraId="5C2CE730">
            <w:pPr>
              <w:jc w:val="center"/>
            </w:pPr>
          </w:p>
        </w:tc>
        <w:tc>
          <w:tcPr>
            <w:tcW w:w="1507" w:type="dxa"/>
            <w:tcBorders>
              <w:top w:val="nil"/>
              <w:left w:val="nil"/>
              <w:bottom w:val="nil"/>
              <w:right w:val="nil"/>
            </w:tcBorders>
            <w:shd w:val="clear" w:color="auto" w:fill="auto"/>
            <w:vAlign w:val="center"/>
          </w:tcPr>
          <w:p w14:paraId="791DFE0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满意度指标</w:t>
            </w:r>
          </w:p>
        </w:tc>
        <w:tc>
          <w:tcPr>
            <w:tcW w:w="1298" w:type="dxa"/>
            <w:tcBorders>
              <w:top w:val="nil"/>
              <w:left w:val="nil"/>
              <w:bottom w:val="nil"/>
              <w:right w:val="nil"/>
            </w:tcBorders>
            <w:shd w:val="clear" w:color="auto" w:fill="auto"/>
            <w:vAlign w:val="center"/>
          </w:tcPr>
          <w:p w14:paraId="4BCA6C1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服务对象满意度指标</w:t>
            </w:r>
          </w:p>
        </w:tc>
        <w:tc>
          <w:tcPr>
            <w:tcW w:w="1661" w:type="dxa"/>
            <w:tcBorders>
              <w:top w:val="nil"/>
              <w:left w:val="nil"/>
              <w:bottom w:val="nil"/>
              <w:right w:val="nil"/>
            </w:tcBorders>
            <w:shd w:val="clear" w:color="auto" w:fill="auto"/>
            <w:vAlign w:val="center"/>
          </w:tcPr>
          <w:p w14:paraId="4B8DA21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满意度</w:t>
            </w:r>
          </w:p>
        </w:tc>
        <w:tc>
          <w:tcPr>
            <w:tcW w:w="385" w:type="dxa"/>
            <w:tcBorders>
              <w:top w:val="nil"/>
              <w:left w:val="nil"/>
              <w:bottom w:val="nil"/>
              <w:right w:val="nil"/>
            </w:tcBorders>
            <w:shd w:val="clear" w:color="auto" w:fill="auto"/>
            <w:vAlign w:val="center"/>
          </w:tcPr>
          <w:p w14:paraId="0523D50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33" w:type="dxa"/>
            <w:tcBorders>
              <w:top w:val="nil"/>
              <w:left w:val="nil"/>
              <w:bottom w:val="nil"/>
              <w:right w:val="nil"/>
            </w:tcBorders>
            <w:shd w:val="clear" w:color="auto" w:fill="auto"/>
            <w:vAlign w:val="center"/>
          </w:tcPr>
          <w:p w14:paraId="6C93BD1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95</w:t>
            </w:r>
          </w:p>
        </w:tc>
        <w:tc>
          <w:tcPr>
            <w:tcW w:w="386" w:type="dxa"/>
            <w:tcBorders>
              <w:top w:val="nil"/>
              <w:left w:val="nil"/>
              <w:bottom w:val="nil"/>
              <w:right w:val="nil"/>
            </w:tcBorders>
            <w:shd w:val="clear" w:color="auto" w:fill="auto"/>
            <w:vAlign w:val="center"/>
          </w:tcPr>
          <w:p w14:paraId="0487678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803" w:type="dxa"/>
            <w:tcBorders>
              <w:top w:val="nil"/>
              <w:left w:val="nil"/>
              <w:bottom w:val="nil"/>
              <w:right w:val="nil"/>
            </w:tcBorders>
            <w:shd w:val="clear" w:color="auto" w:fill="auto"/>
            <w:vAlign w:val="center"/>
          </w:tcPr>
          <w:p w14:paraId="4E0C78F3">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96</w:t>
            </w:r>
          </w:p>
        </w:tc>
        <w:tc>
          <w:tcPr>
            <w:tcW w:w="374" w:type="dxa"/>
            <w:tcBorders>
              <w:top w:val="nil"/>
              <w:left w:val="nil"/>
              <w:bottom w:val="nil"/>
              <w:right w:val="nil"/>
            </w:tcBorders>
            <w:shd w:val="clear" w:color="auto" w:fill="auto"/>
            <w:vAlign w:val="center"/>
          </w:tcPr>
          <w:p w14:paraId="28F2F30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330" w:type="dxa"/>
            <w:tcBorders>
              <w:top w:val="nil"/>
              <w:left w:val="nil"/>
              <w:bottom w:val="nil"/>
              <w:right w:val="nil"/>
            </w:tcBorders>
            <w:shd w:val="clear" w:color="auto" w:fill="auto"/>
            <w:vAlign w:val="center"/>
          </w:tcPr>
          <w:p w14:paraId="2ADC3EF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873" w:type="dxa"/>
            <w:tcBorders>
              <w:top w:val="nil"/>
              <w:left w:val="nil"/>
              <w:bottom w:val="nil"/>
              <w:right w:val="nil"/>
            </w:tcBorders>
            <w:shd w:val="clear" w:color="auto" w:fill="auto"/>
            <w:vAlign w:val="center"/>
          </w:tcPr>
          <w:p w14:paraId="57CA6C90">
            <w:pPr>
              <w:jc w:val="center"/>
              <w:rPr>
                <w:rFonts w:hint="eastAsia" w:ascii="方正黑体_GBK" w:hAnsi="方正黑体_GBK" w:eastAsia="方正黑体_GBK" w:cs="方正黑体_GBK"/>
                <w:i w:val="0"/>
                <w:iCs w:val="0"/>
                <w:color w:val="000000"/>
                <w:sz w:val="18"/>
                <w:szCs w:val="18"/>
                <w:u w:val="none"/>
              </w:rPr>
            </w:pPr>
          </w:p>
        </w:tc>
      </w:tr>
      <w:tr w14:paraId="3876C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9C71A">
            <w:pPr>
              <w:jc w:val="center"/>
              <w:rPr>
                <w:rFonts w:hint="eastAsia" w:ascii="方正黑体_GBK" w:hAnsi="方正黑体_GBK" w:eastAsia="方正黑体_GBK" w:cs="方正黑体_GBK"/>
                <w:b/>
                <w:bCs/>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A89A4">
            <w:pPr>
              <w:jc w:val="cente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2C913">
            <w:pPr>
              <w:jc w:val="cente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5C89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平台使用人满意度</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EB4B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A394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95</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4CC2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0D7A2">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95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2317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C225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54CBB">
            <w:pPr>
              <w:jc w:val="center"/>
            </w:pPr>
          </w:p>
        </w:tc>
      </w:tr>
      <w:tr w14:paraId="5ABFC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F0E65">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8CC3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成本指标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82A0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AB1F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公车定位系统经济成本</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ED34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4CD9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59</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A7C4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万元</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B642C">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28.63</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0780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E5E6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C59B0">
            <w:pPr>
              <w:jc w:val="center"/>
            </w:pPr>
          </w:p>
        </w:tc>
      </w:tr>
      <w:tr w14:paraId="6F22A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1186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BB26CB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70" w:type="dxa"/>
            <w:tcBorders>
              <w:top w:val="nil"/>
              <w:left w:val="nil"/>
              <w:bottom w:val="nil"/>
              <w:right w:val="nil"/>
            </w:tcBorders>
            <w:shd w:val="clear" w:color="auto" w:fill="auto"/>
            <w:vAlign w:val="center"/>
          </w:tcPr>
          <w:p w14:paraId="1AE0C4D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3" w:type="dxa"/>
            <w:tcBorders>
              <w:top w:val="nil"/>
              <w:left w:val="nil"/>
              <w:bottom w:val="nil"/>
              <w:right w:val="nil"/>
            </w:tcBorders>
            <w:shd w:val="clear" w:color="auto" w:fill="auto"/>
            <w:vAlign w:val="center"/>
          </w:tcPr>
          <w:p w14:paraId="2CB2E60A">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100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A486C">
            <w:pPr>
              <w:rPr>
                <w:rFonts w:hint="eastAsia" w:ascii="方正黑体_GBK" w:hAnsi="方正黑体_GBK" w:eastAsia="方正黑体_GBK" w:cs="方正黑体_GBK"/>
                <w:i w:val="0"/>
                <w:iCs w:val="0"/>
                <w:color w:val="000000"/>
                <w:sz w:val="18"/>
                <w:szCs w:val="18"/>
                <w:u w:val="none"/>
              </w:rPr>
            </w:pPr>
          </w:p>
        </w:tc>
      </w:tr>
      <w:tr w14:paraId="71896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919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D1D028">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该项目顺利实施，为我州的车改工作奠定了基础，公车实现全省一张网统一监管，系统模块可查询车辆动态，油耗监测等，方便数据统计。</w:t>
            </w:r>
          </w:p>
        </w:tc>
      </w:tr>
      <w:tr w14:paraId="57B07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F78C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3320FF">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该项目试点已完成，全州推广还需加大力度。</w:t>
            </w:r>
          </w:p>
        </w:tc>
      </w:tr>
      <w:tr w14:paraId="1A26C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152"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9747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DD8471">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D0C3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81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FB3F99">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2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0C0FC4F">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6436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5E044">
            <w:pP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C374C">
            <w:pPr>
              <w:rPr>
                <w:rFonts w:hint="eastAsia" w:ascii="方正黑体_GBK" w:hAnsi="方正黑体_GBK" w:eastAsia="方正黑体_GBK" w:cs="方正黑体_GBK"/>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A032C">
            <w:pPr>
              <w:rPr>
                <w:rFonts w:hint="eastAsia" w:ascii="方正黑体_GBK" w:hAnsi="方正黑体_GBK" w:eastAsia="方正黑体_GBK" w:cs="方正黑体_GBK"/>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624D6">
            <w:pPr>
              <w:rPr>
                <w:rFonts w:hint="eastAsia" w:ascii="方正黑体_GBK" w:hAnsi="方正黑体_GBK" w:eastAsia="方正黑体_GBK" w:cs="方正黑体_GBK"/>
                <w:i w:val="0"/>
                <w:iCs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584E2">
            <w:pPr>
              <w:rPr>
                <w:rFonts w:hint="eastAsia" w:ascii="方正黑体_GBK" w:hAnsi="方正黑体_GBK" w:eastAsia="方正黑体_GBK" w:cs="方正黑体_GBK"/>
                <w:i w:val="0"/>
                <w:iCs w:val="0"/>
                <w:color w:val="000000"/>
                <w:sz w:val="18"/>
                <w:szCs w:val="18"/>
                <w:u w:val="none"/>
              </w:rPr>
            </w:pP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15442"/>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DE18"/>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97293">
            <w:pPr>
              <w:rPr>
                <w:rFonts w:hint="eastAsia" w:ascii="方正黑体_GBK" w:hAnsi="方正黑体_GBK" w:eastAsia="方正黑体_GBK" w:cs="方正黑体_GBK"/>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A32FC"/>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3C506"/>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815DE">
            <w:pPr>
              <w:rPr>
                <w:rFonts w:hint="eastAsia" w:ascii="方正黑体_GBK" w:hAnsi="方正黑体_GBK" w:eastAsia="方正黑体_GBK" w:cs="方正黑体_GBK"/>
                <w:i/>
                <w:iCs/>
                <w:color w:val="000000"/>
                <w:sz w:val="18"/>
                <w:szCs w:val="18"/>
                <w:u w:val="none"/>
              </w:rPr>
            </w:pPr>
          </w:p>
        </w:tc>
      </w:tr>
      <w:tr w14:paraId="5C646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1579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B556E44">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E7B3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7BAD33">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27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F83725C">
            <w:pPr>
              <w:keepNext w:val="0"/>
              <w:keepLines w:val="0"/>
              <w:widowControl/>
              <w:suppressLineNumbers w:val="0"/>
              <w:jc w:val="left"/>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51320022T000000309401-阿坝州公务用车管理平台建设</w:t>
            </w:r>
          </w:p>
        </w:tc>
      </w:tr>
      <w:tr w14:paraId="20987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1E1F06">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744BAB">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州机关事务管理局部门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532C">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C7D676">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w:t>
            </w:r>
          </w:p>
        </w:tc>
      </w:tr>
      <w:tr w14:paraId="085CD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4DE991">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0AE466">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139DC8">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5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50B24B">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A349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6DEE3">
            <w:pP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79D69">
            <w:pPr>
              <w:rPr>
                <w:rFonts w:hint="eastAsia" w:ascii="方正黑体_GBK" w:hAnsi="方正黑体_GBK" w:eastAsia="方正黑体_GBK" w:cs="方正黑体_GBK"/>
                <w:i w:val="0"/>
                <w:iCs w:val="0"/>
                <w:color w:val="000000"/>
                <w:sz w:val="18"/>
                <w:szCs w:val="18"/>
                <w:u w:val="none"/>
              </w:rPr>
            </w:pP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B45E88">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党风廉政建设、厉行节约反对浪费，全省一张网统一监管。为贯彻落实《中共四川省委办公厅、四川省人民政府办公厅关于印发&lt;四川省全面推进公务用车制度改革总体方案&gt;的通知》（川委办〔2015〕45号）精神。</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2016年12月22日，中央车改办下发了《关于进一步加强地方公务用车平台建设的通知》（发改电〔2016〕756号），要求“通过车辆管理平台建设，实现公车管理平台化、平台信息化，省、市、县三级信息互联互通，公车管理实现全省一张网”。2017年6月30日，省车改办制定《四川省公务用车管理平台建设方案》（川车改办函〔2017〕15号），明确了全省总体目标、建设要求及方式。省机关事务管理局要市、州完成各级公车管理平台建设，并与省级公务用车管理平台实现对接。</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2018年12月，省车改办组织会议，要求甘孜阿坝两州尽快开始车改，并明确车改同时必须建设州公务用车管理平台，平台建设完成且平台数据能够接入到省级公务用车管理平台，即拨付车改补贴。</w:t>
            </w:r>
          </w:p>
        </w:tc>
        <w:tc>
          <w:tcPr>
            <w:tcW w:w="5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432E2F">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14:paraId="449B1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E2255">
            <w:pP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82701">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27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4FF9271">
            <w:pPr>
              <w:rPr>
                <w:rFonts w:hint="eastAsia" w:ascii="方正黑体_GBK" w:hAnsi="方正黑体_GBK" w:eastAsia="方正黑体_GBK" w:cs="方正黑体_GBK"/>
                <w:i/>
                <w:iCs/>
                <w:color w:val="000000"/>
                <w:sz w:val="18"/>
                <w:szCs w:val="18"/>
                <w:u w:val="none"/>
              </w:rPr>
            </w:pPr>
          </w:p>
        </w:tc>
      </w:tr>
      <w:tr w14:paraId="7CE49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201C0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48BF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DA52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1A0B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EB0B7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7488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DF63A">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E0C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AC77B">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D828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D23C8">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644A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6260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769F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E230E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ABCE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EF712">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2060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BADE17">
            <w:pPr>
              <w:keepNext w:val="0"/>
              <w:keepLines w:val="0"/>
              <w:widowControl/>
              <w:suppressLineNumbers w:val="0"/>
              <w:jc w:val="left"/>
              <w:textAlignment w:val="center"/>
              <w:rPr>
                <w:rFonts w:hint="eastAsia" w:ascii="方正黑体_GBK" w:hAnsi="方正黑体_GBK" w:eastAsia="方正黑体_GBK" w:cs="方正黑体_GBK"/>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E69B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3F9A4">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C8DC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2040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2021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D4FB8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036E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46F4C">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D5F3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E9903">
            <w:pPr>
              <w:rPr>
                <w:rFonts w:hint="eastAsia" w:ascii="方正黑体_GBK" w:hAnsi="方正黑体_GBK" w:eastAsia="方正黑体_GBK" w:cs="方正黑体_GBK"/>
                <w:i/>
                <w:iCs/>
                <w:color w:val="000000"/>
                <w:sz w:val="18"/>
                <w:szCs w:val="18"/>
                <w:u w:val="none"/>
              </w:rPr>
            </w:pPr>
          </w:p>
        </w:tc>
      </w:tr>
      <w:tr w14:paraId="139F2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58721">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C602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51CB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F40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B9847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E202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AC3E4">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6AD7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2D4B2">
            <w:pPr>
              <w:rPr>
                <w:rFonts w:hint="eastAsia" w:ascii="方正黑体_GBK" w:hAnsi="方正黑体_GBK" w:eastAsia="方正黑体_GBK" w:cs="方正黑体_GBK"/>
                <w:i/>
                <w:iCs/>
                <w:color w:val="000000"/>
                <w:sz w:val="18"/>
                <w:szCs w:val="18"/>
                <w:u w:val="none"/>
              </w:rPr>
            </w:pPr>
          </w:p>
        </w:tc>
      </w:tr>
      <w:tr w14:paraId="11A4C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2EC38">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1B2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B017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AB21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F6E53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AEDD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6493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848D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E5B2F">
            <w:pPr>
              <w:rPr>
                <w:rFonts w:hint="eastAsia" w:ascii="方正黑体_GBK" w:hAnsi="方正黑体_GBK" w:eastAsia="方正黑体_GBK" w:cs="方正黑体_GBK"/>
                <w:i w:val="0"/>
                <w:iCs w:val="0"/>
                <w:color w:val="000000"/>
                <w:sz w:val="18"/>
                <w:szCs w:val="18"/>
                <w:u w:val="none"/>
              </w:rPr>
            </w:pPr>
          </w:p>
        </w:tc>
      </w:tr>
      <w:tr w14:paraId="5EEB3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6F6C6">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BD0D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B4A20">
            <w:pPr>
              <w:jc w:val="cente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39641">
            <w:pPr>
              <w:jc w:val="center"/>
            </w:pP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F9E726">
            <w:pPr>
              <w:jc w:val="cente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5EC0C">
            <w:pPr>
              <w:jc w:val="cente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46FF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F452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854A3"/>
        </w:tc>
      </w:tr>
      <w:tr w14:paraId="68F5A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17190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0A4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B061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二级指标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7224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9793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0266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D972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12AA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CC4F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2EE6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AF20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57F37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F03F3">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655B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324E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数量指标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A2B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国产定位系统安装率，计算方法为：（车载定位系统安装车辆/州级机关车辆）×100%</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2A2C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0B2E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22.14</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191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28719">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25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89C5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8D98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C88D">
            <w:pPr>
              <w:jc w:val="center"/>
            </w:pPr>
          </w:p>
        </w:tc>
      </w:tr>
      <w:tr w14:paraId="4852C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5D198">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90671">
            <w:pPr>
              <w:jc w:val="center"/>
            </w:pP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FA205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质量指标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E733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达标率</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45BE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9E3D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A0F5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6EA2">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A29B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23A4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B182B">
            <w:pPr>
              <w:jc w:val="center"/>
            </w:pPr>
          </w:p>
        </w:tc>
      </w:tr>
      <w:tr w14:paraId="4B678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771" w:type="dxa"/>
            <w:vMerge w:val="continue"/>
            <w:tcBorders>
              <w:top w:val="nil"/>
              <w:left w:val="nil"/>
              <w:bottom w:val="nil"/>
              <w:right w:val="nil"/>
            </w:tcBorders>
            <w:shd w:val="clear" w:color="auto" w:fill="auto"/>
            <w:vAlign w:val="center"/>
          </w:tcPr>
          <w:p w14:paraId="0E6BA551">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nil"/>
              <w:left w:val="nil"/>
              <w:bottom w:val="nil"/>
              <w:right w:val="nil"/>
            </w:tcBorders>
            <w:shd w:val="clear" w:color="auto" w:fill="auto"/>
            <w:vAlign w:val="center"/>
          </w:tcPr>
          <w:p w14:paraId="7120E325">
            <w:pPr>
              <w:jc w:val="center"/>
              <w:rPr>
                <w:rFonts w:hint="eastAsia" w:ascii="方正黑体_GBK" w:hAnsi="方正黑体_GBK" w:eastAsia="方正黑体_GBK" w:cs="方正黑体_GBK"/>
                <w:i w:val="0"/>
                <w:iCs w:val="0"/>
                <w:color w:val="000000"/>
                <w:sz w:val="18"/>
                <w:szCs w:val="18"/>
                <w:u w:val="none"/>
              </w:rPr>
            </w:pPr>
          </w:p>
        </w:tc>
        <w:tc>
          <w:tcPr>
            <w:tcW w:w="1980" w:type="dxa"/>
            <w:vMerge w:val="continue"/>
            <w:tcBorders>
              <w:top w:val="nil"/>
              <w:left w:val="nil"/>
              <w:bottom w:val="nil"/>
              <w:right w:val="nil"/>
            </w:tcBorders>
            <w:shd w:val="clear" w:color="auto" w:fill="auto"/>
            <w:vAlign w:val="center"/>
          </w:tcPr>
          <w:p w14:paraId="0E8F8BB0">
            <w:pPr>
              <w:jc w:val="center"/>
              <w:rPr>
                <w:rFonts w:hint="eastAsia" w:ascii="方正黑体_GBK" w:hAnsi="方正黑体_GBK" w:eastAsia="方正黑体_GBK" w:cs="方正黑体_GBK"/>
                <w:i w:val="0"/>
                <w:iCs w:val="0"/>
                <w:color w:val="000000"/>
                <w:sz w:val="18"/>
                <w:szCs w:val="18"/>
                <w:u w:val="none"/>
              </w:rPr>
            </w:pPr>
          </w:p>
        </w:tc>
        <w:tc>
          <w:tcPr>
            <w:tcW w:w="2534" w:type="dxa"/>
            <w:tcBorders>
              <w:top w:val="nil"/>
              <w:left w:val="nil"/>
              <w:bottom w:val="nil"/>
              <w:right w:val="nil"/>
            </w:tcBorders>
            <w:shd w:val="clear" w:color="auto" w:fill="auto"/>
            <w:vAlign w:val="center"/>
          </w:tcPr>
          <w:p w14:paraId="1F11D42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群众满意度指标，计算方法：（满意数/总数）×100%</w:t>
            </w:r>
          </w:p>
        </w:tc>
        <w:tc>
          <w:tcPr>
            <w:tcW w:w="587" w:type="dxa"/>
            <w:tcBorders>
              <w:top w:val="nil"/>
              <w:left w:val="nil"/>
              <w:bottom w:val="nil"/>
              <w:right w:val="nil"/>
            </w:tcBorders>
            <w:shd w:val="clear" w:color="auto" w:fill="auto"/>
            <w:vAlign w:val="center"/>
          </w:tcPr>
          <w:p w14:paraId="52C251A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nil"/>
              <w:left w:val="nil"/>
              <w:bottom w:val="nil"/>
              <w:right w:val="nil"/>
            </w:tcBorders>
            <w:shd w:val="clear" w:color="auto" w:fill="auto"/>
            <w:vAlign w:val="center"/>
          </w:tcPr>
          <w:p w14:paraId="441DADF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88" w:type="dxa"/>
            <w:tcBorders>
              <w:top w:val="nil"/>
              <w:left w:val="nil"/>
              <w:bottom w:val="nil"/>
              <w:right w:val="nil"/>
            </w:tcBorders>
            <w:shd w:val="clear" w:color="auto" w:fill="auto"/>
            <w:vAlign w:val="center"/>
          </w:tcPr>
          <w:p w14:paraId="67E6BCE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25" w:type="dxa"/>
            <w:tcBorders>
              <w:top w:val="nil"/>
              <w:left w:val="nil"/>
              <w:bottom w:val="nil"/>
              <w:right w:val="nil"/>
            </w:tcBorders>
            <w:shd w:val="clear" w:color="auto" w:fill="auto"/>
            <w:vAlign w:val="center"/>
          </w:tcPr>
          <w:p w14:paraId="339EDC3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nil"/>
              <w:left w:val="nil"/>
              <w:bottom w:val="nil"/>
              <w:right w:val="nil"/>
            </w:tcBorders>
            <w:shd w:val="clear" w:color="auto" w:fill="auto"/>
            <w:vAlign w:val="center"/>
          </w:tcPr>
          <w:p w14:paraId="300C024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03" w:type="dxa"/>
            <w:tcBorders>
              <w:top w:val="nil"/>
              <w:left w:val="nil"/>
              <w:bottom w:val="nil"/>
              <w:right w:val="nil"/>
            </w:tcBorders>
            <w:shd w:val="clear" w:color="auto" w:fill="auto"/>
            <w:vAlign w:val="center"/>
          </w:tcPr>
          <w:p w14:paraId="68DD460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nil"/>
              <w:left w:val="nil"/>
              <w:bottom w:val="nil"/>
              <w:right w:val="nil"/>
            </w:tcBorders>
            <w:shd w:val="clear" w:color="auto" w:fill="auto"/>
            <w:vAlign w:val="center"/>
          </w:tcPr>
          <w:p w14:paraId="0D5EDD74">
            <w:pPr>
              <w:jc w:val="center"/>
            </w:pPr>
          </w:p>
        </w:tc>
        <w:tc>
          <w:tcPr>
            <w:tcW w:w="506" w:type="dxa"/>
            <w:vMerge w:val="continue"/>
            <w:tcBorders>
              <w:top w:val="nil"/>
              <w:left w:val="nil"/>
              <w:bottom w:val="nil"/>
              <w:right w:val="nil"/>
            </w:tcBorders>
            <w:shd w:val="clear" w:color="auto" w:fill="auto"/>
            <w:vAlign w:val="center"/>
          </w:tcPr>
          <w:p w14:paraId="0E5A420A">
            <w:pPr>
              <w:jc w:val="center"/>
            </w:pPr>
          </w:p>
        </w:tc>
        <w:tc>
          <w:tcPr>
            <w:tcW w:w="1507" w:type="dxa"/>
            <w:vMerge w:val="continue"/>
            <w:tcBorders>
              <w:top w:val="nil"/>
              <w:left w:val="nil"/>
              <w:bottom w:val="nil"/>
              <w:right w:val="nil"/>
            </w:tcBorders>
            <w:shd w:val="clear" w:color="auto" w:fill="auto"/>
            <w:vAlign w:val="center"/>
          </w:tcPr>
          <w:p w14:paraId="78F034BB">
            <w:pPr>
              <w:jc w:val="center"/>
            </w:pPr>
          </w:p>
        </w:tc>
        <w:tc>
          <w:tcPr>
            <w:tcW w:w="1298" w:type="dxa"/>
            <w:vMerge w:val="continue"/>
            <w:tcBorders>
              <w:top w:val="nil"/>
              <w:left w:val="nil"/>
              <w:bottom w:val="nil"/>
              <w:right w:val="nil"/>
            </w:tcBorders>
            <w:shd w:val="clear" w:color="auto" w:fill="auto"/>
            <w:vAlign w:val="center"/>
          </w:tcPr>
          <w:p w14:paraId="53A637A3">
            <w:pPr>
              <w:jc w:val="center"/>
            </w:pPr>
          </w:p>
        </w:tc>
        <w:tc>
          <w:tcPr>
            <w:tcW w:w="1661" w:type="dxa"/>
            <w:tcBorders>
              <w:top w:val="nil"/>
              <w:left w:val="nil"/>
              <w:bottom w:val="nil"/>
              <w:right w:val="nil"/>
            </w:tcBorders>
            <w:shd w:val="clear" w:color="auto" w:fill="auto"/>
            <w:vAlign w:val="center"/>
          </w:tcPr>
          <w:p w14:paraId="0235BEF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群众满意度指标，计算方法：（满意数/总数）×100%</w:t>
            </w:r>
          </w:p>
        </w:tc>
        <w:tc>
          <w:tcPr>
            <w:tcW w:w="385" w:type="dxa"/>
            <w:tcBorders>
              <w:top w:val="nil"/>
              <w:left w:val="nil"/>
              <w:bottom w:val="nil"/>
              <w:right w:val="nil"/>
            </w:tcBorders>
            <w:shd w:val="clear" w:color="auto" w:fill="auto"/>
            <w:vAlign w:val="center"/>
          </w:tcPr>
          <w:p w14:paraId="5B60975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33" w:type="dxa"/>
            <w:tcBorders>
              <w:top w:val="nil"/>
              <w:left w:val="nil"/>
              <w:bottom w:val="nil"/>
              <w:right w:val="nil"/>
            </w:tcBorders>
            <w:shd w:val="clear" w:color="auto" w:fill="auto"/>
            <w:vAlign w:val="center"/>
          </w:tcPr>
          <w:p w14:paraId="488EB63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386" w:type="dxa"/>
            <w:tcBorders>
              <w:top w:val="nil"/>
              <w:left w:val="nil"/>
              <w:bottom w:val="nil"/>
              <w:right w:val="nil"/>
            </w:tcBorders>
            <w:shd w:val="clear" w:color="auto" w:fill="auto"/>
            <w:vAlign w:val="center"/>
          </w:tcPr>
          <w:p w14:paraId="13F7F4C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803" w:type="dxa"/>
            <w:tcBorders>
              <w:top w:val="nil"/>
              <w:left w:val="nil"/>
              <w:bottom w:val="nil"/>
              <w:right w:val="nil"/>
            </w:tcBorders>
            <w:shd w:val="clear" w:color="auto" w:fill="auto"/>
            <w:vAlign w:val="center"/>
          </w:tcPr>
          <w:p w14:paraId="7C678046">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100</w:t>
            </w:r>
          </w:p>
        </w:tc>
        <w:tc>
          <w:tcPr>
            <w:tcW w:w="374" w:type="dxa"/>
            <w:tcBorders>
              <w:top w:val="nil"/>
              <w:left w:val="nil"/>
              <w:bottom w:val="nil"/>
              <w:right w:val="nil"/>
            </w:tcBorders>
            <w:shd w:val="clear" w:color="auto" w:fill="auto"/>
            <w:vAlign w:val="center"/>
          </w:tcPr>
          <w:p w14:paraId="0E2DD2B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330" w:type="dxa"/>
            <w:tcBorders>
              <w:top w:val="nil"/>
              <w:left w:val="nil"/>
              <w:bottom w:val="nil"/>
              <w:right w:val="nil"/>
            </w:tcBorders>
            <w:shd w:val="clear" w:color="auto" w:fill="auto"/>
            <w:vAlign w:val="center"/>
          </w:tcPr>
          <w:p w14:paraId="28BB36C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873" w:type="dxa"/>
            <w:tcBorders>
              <w:top w:val="nil"/>
              <w:left w:val="nil"/>
              <w:bottom w:val="nil"/>
              <w:right w:val="nil"/>
            </w:tcBorders>
            <w:shd w:val="clear" w:color="auto" w:fill="auto"/>
            <w:vAlign w:val="center"/>
          </w:tcPr>
          <w:p w14:paraId="015974F4">
            <w:pPr>
              <w:jc w:val="center"/>
              <w:rPr>
                <w:rFonts w:hint="eastAsia" w:ascii="方正黑体_GBK" w:hAnsi="方正黑体_GBK" w:eastAsia="方正黑体_GBK" w:cs="方正黑体_GBK"/>
                <w:i w:val="0"/>
                <w:iCs w:val="0"/>
                <w:color w:val="000000"/>
                <w:sz w:val="18"/>
                <w:szCs w:val="18"/>
                <w:u w:val="none"/>
              </w:rPr>
            </w:pPr>
          </w:p>
        </w:tc>
      </w:tr>
      <w:tr w14:paraId="2436E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55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93FF7">
            <w:pPr>
              <w:jc w:val="center"/>
              <w:rPr>
                <w:rFonts w:hint="eastAsia" w:ascii="方正黑体_GBK" w:hAnsi="方正黑体_GBK" w:eastAsia="方正黑体_GBK" w:cs="方正黑体_GBK"/>
                <w:b/>
                <w:bCs/>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4FDFD">
            <w:pPr>
              <w:jc w:val="cente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E154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时效指标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136F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项目完成时间</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DB6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定性</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DA8F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2024年12月底前完成</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F085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FC084">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完成</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A462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58A3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9412A">
            <w:pPr>
              <w:jc w:val="center"/>
            </w:pPr>
          </w:p>
        </w:tc>
      </w:tr>
      <w:tr w14:paraId="1FA2F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57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7AB05">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53AC5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效益指标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FBC5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10EC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年度节约财政资金</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AF6B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B4D2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83D0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万元</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03CA7">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F7DE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499B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55554">
            <w:pPr>
              <w:jc w:val="center"/>
            </w:pPr>
          </w:p>
        </w:tc>
      </w:tr>
      <w:tr w14:paraId="6DF5B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622"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B802B">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B5372">
            <w:pPr>
              <w:jc w:val="center"/>
              <w:rPr>
                <w:rFonts w:hint="eastAsia" w:ascii="方正黑体_GBK" w:hAnsi="方正黑体_GBK" w:eastAsia="方正黑体_GBK" w:cs="方正黑体_GBK"/>
                <w:i w:val="0"/>
                <w:iCs w:val="0"/>
                <w:color w:val="000000"/>
                <w:sz w:val="18"/>
                <w:szCs w:val="18"/>
                <w:u w:val="none"/>
              </w:rPr>
            </w:pPr>
          </w:p>
        </w:tc>
        <w:tc>
          <w:tcPr>
            <w:tcW w:w="1980" w:type="dxa"/>
            <w:tcBorders>
              <w:top w:val="nil"/>
              <w:left w:val="nil"/>
              <w:bottom w:val="nil"/>
              <w:right w:val="nil"/>
            </w:tcBorders>
            <w:shd w:val="clear" w:color="auto" w:fill="auto"/>
            <w:vAlign w:val="center"/>
          </w:tcPr>
          <w:p w14:paraId="40E55C9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534" w:type="dxa"/>
            <w:tcBorders>
              <w:top w:val="nil"/>
              <w:left w:val="nil"/>
              <w:bottom w:val="nil"/>
              <w:right w:val="nil"/>
            </w:tcBorders>
            <w:shd w:val="clear" w:color="auto" w:fill="auto"/>
            <w:vAlign w:val="center"/>
          </w:tcPr>
          <w:p w14:paraId="06A4DD2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社会效益情况</w:t>
            </w:r>
          </w:p>
        </w:tc>
        <w:tc>
          <w:tcPr>
            <w:tcW w:w="587" w:type="dxa"/>
            <w:tcBorders>
              <w:top w:val="nil"/>
              <w:left w:val="nil"/>
              <w:bottom w:val="nil"/>
              <w:right w:val="nil"/>
            </w:tcBorders>
            <w:shd w:val="clear" w:color="auto" w:fill="auto"/>
            <w:vAlign w:val="center"/>
          </w:tcPr>
          <w:p w14:paraId="0EC3561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nil"/>
              <w:left w:val="nil"/>
              <w:bottom w:val="nil"/>
              <w:right w:val="nil"/>
            </w:tcBorders>
            <w:shd w:val="clear" w:color="auto" w:fill="auto"/>
            <w:vAlign w:val="center"/>
          </w:tcPr>
          <w:p w14:paraId="310167D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90</w:t>
            </w:r>
          </w:p>
        </w:tc>
        <w:tc>
          <w:tcPr>
            <w:tcW w:w="588" w:type="dxa"/>
            <w:tcBorders>
              <w:top w:val="nil"/>
              <w:left w:val="nil"/>
              <w:bottom w:val="nil"/>
              <w:right w:val="nil"/>
            </w:tcBorders>
            <w:shd w:val="clear" w:color="auto" w:fill="auto"/>
            <w:vAlign w:val="center"/>
          </w:tcPr>
          <w:p w14:paraId="1CA1465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nil"/>
              <w:left w:val="nil"/>
              <w:bottom w:val="nil"/>
              <w:right w:val="nil"/>
            </w:tcBorders>
            <w:shd w:val="clear" w:color="auto" w:fill="auto"/>
            <w:vAlign w:val="center"/>
          </w:tcPr>
          <w:p w14:paraId="25BBF47A">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95</w:t>
            </w:r>
          </w:p>
        </w:tc>
        <w:tc>
          <w:tcPr>
            <w:tcW w:w="570" w:type="dxa"/>
            <w:tcBorders>
              <w:top w:val="nil"/>
              <w:left w:val="nil"/>
              <w:bottom w:val="nil"/>
              <w:right w:val="nil"/>
            </w:tcBorders>
            <w:shd w:val="clear" w:color="auto" w:fill="auto"/>
            <w:vAlign w:val="center"/>
          </w:tcPr>
          <w:p w14:paraId="6D5AA95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nil"/>
              <w:left w:val="nil"/>
              <w:bottom w:val="nil"/>
              <w:right w:val="nil"/>
            </w:tcBorders>
            <w:shd w:val="clear" w:color="auto" w:fill="auto"/>
            <w:vAlign w:val="center"/>
          </w:tcPr>
          <w:p w14:paraId="6100CBB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DD26D">
            <w:pPr>
              <w:jc w:val="center"/>
              <w:rPr>
                <w:rFonts w:hint="eastAsia" w:ascii="方正黑体_GBK" w:hAnsi="方正黑体_GBK" w:eastAsia="方正黑体_GBK" w:cs="方正黑体_GBK"/>
                <w:i w:val="0"/>
                <w:iCs w:val="0"/>
                <w:color w:val="000000"/>
                <w:sz w:val="18"/>
                <w:szCs w:val="18"/>
                <w:u w:val="none"/>
              </w:rPr>
            </w:pPr>
          </w:p>
        </w:tc>
      </w:tr>
      <w:tr w14:paraId="7BE04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55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16A5B">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BA45D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9B9D1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825B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满意度</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D9D8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A343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95</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00F6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25C2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96</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62C6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DD9B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F1FE1">
            <w:pPr>
              <w:jc w:val="center"/>
            </w:pPr>
          </w:p>
        </w:tc>
      </w:tr>
      <w:tr w14:paraId="4B9A4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133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F3F4E">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24B83">
            <w:pPr>
              <w:jc w:val="center"/>
              <w:rPr>
                <w:rFonts w:hint="eastAsia" w:ascii="方正黑体_GBK" w:hAnsi="方正黑体_GBK" w:eastAsia="方正黑体_GBK" w:cs="方正黑体_GBK"/>
                <w:i w:val="0"/>
                <w:iCs w:val="0"/>
                <w:color w:val="000000"/>
                <w:sz w:val="18"/>
                <w:szCs w:val="18"/>
                <w:u w:val="none"/>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FE9FD">
            <w:pPr>
              <w:jc w:val="center"/>
              <w:rPr>
                <w:rFonts w:hint="eastAsia" w:ascii="方正黑体_GBK" w:hAnsi="方正黑体_GBK" w:eastAsia="方正黑体_GBK" w:cs="方正黑体_GBK"/>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216E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平台使用人满意度</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62D3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C8CA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95</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A2C5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110E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1484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EB56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D6267">
            <w:pPr>
              <w:jc w:val="center"/>
            </w:pPr>
          </w:p>
        </w:tc>
      </w:tr>
      <w:tr w14:paraId="6F846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542"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C63B0">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7971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F578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1DEF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公车定位系统经济成本</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C515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6B86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59</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43F5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万元</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68D32">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28.63</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2022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F158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706EF">
            <w:pPr>
              <w:jc w:val="center"/>
            </w:pPr>
          </w:p>
        </w:tc>
      </w:tr>
      <w:tr w14:paraId="21EE1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1186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A08A26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6D1E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CB5F">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100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6F8A8">
            <w:pPr>
              <w:rPr>
                <w:rFonts w:hint="eastAsia" w:ascii="方正黑体_GBK" w:hAnsi="方正黑体_GBK" w:eastAsia="方正黑体_GBK" w:cs="方正黑体_GBK"/>
                <w:i w:val="0"/>
                <w:iCs w:val="0"/>
                <w:color w:val="000000"/>
                <w:sz w:val="18"/>
                <w:szCs w:val="18"/>
                <w:u w:val="none"/>
              </w:rPr>
            </w:pPr>
          </w:p>
        </w:tc>
      </w:tr>
      <w:tr w14:paraId="73D98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4779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C2533C">
            <w:pPr>
              <w:keepNext w:val="0"/>
              <w:keepLines w:val="0"/>
              <w:widowControl/>
              <w:suppressLineNumbers w:val="0"/>
              <w:jc w:val="left"/>
              <w:textAlignment w:val="center"/>
              <w:rPr>
                <w:rFonts w:hint="eastAsia" w:ascii="方正黑体_GBK" w:hAnsi="方正黑体_GBK" w:eastAsia="方正黑体_GBK" w:cs="方正黑体_GBK"/>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该项目顺利实施，为我州的车改工作奠定了基础，公车实现全省一张网统一监管，系统模块可查询车辆动态，油耗监测等，方便数据统计。</w:t>
            </w:r>
          </w:p>
        </w:tc>
      </w:tr>
      <w:tr w14:paraId="1CE5B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D9A2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04F604">
            <w:pPr>
              <w:keepNext w:val="0"/>
              <w:keepLines w:val="0"/>
              <w:widowControl/>
              <w:suppressLineNumbers w:val="0"/>
              <w:jc w:val="left"/>
              <w:textAlignment w:val="center"/>
              <w:rPr>
                <w:rFonts w:hint="eastAsia" w:ascii="方正黑体_GBK" w:hAnsi="方正黑体_GBK" w:eastAsia="方正黑体_GBK" w:cs="方正黑体_GBK"/>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该项目试点已完成，全州推广还需加大力度。</w:t>
            </w:r>
          </w:p>
        </w:tc>
      </w:tr>
      <w:tr w14:paraId="3D897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C8A0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9C63D9">
            <w:pPr>
              <w:keepNext w:val="0"/>
              <w:keepLines w:val="0"/>
              <w:widowControl/>
              <w:suppressLineNumbers w:val="0"/>
              <w:jc w:val="left"/>
              <w:textAlignment w:val="center"/>
              <w:rPr>
                <w:rFonts w:hint="eastAsia" w:ascii="方正黑体_GBK" w:hAnsi="方正黑体_GBK" w:eastAsia="方正黑体_GBK" w:cs="方正黑体_GBK"/>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ADC7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81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079ECD">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2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26C9D7">
            <w:pPr>
              <w:keepNext w:val="0"/>
              <w:keepLines w:val="0"/>
              <w:widowControl/>
              <w:suppressLineNumbers w:val="0"/>
              <w:jc w:val="left"/>
              <w:textAlignment w:val="center"/>
              <w:rPr>
                <w:rFonts w:hint="eastAsia" w:ascii="方正黑体_GBK" w:hAnsi="方正黑体_GBK" w:eastAsia="方正黑体_GBK" w:cs="方正黑体_GBK"/>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FF79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EAB89">
            <w:pP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E1595">
            <w:pPr>
              <w:rPr>
                <w:rFonts w:hint="eastAsia" w:ascii="方正黑体_GBK" w:hAnsi="方正黑体_GBK" w:eastAsia="方正黑体_GBK" w:cs="方正黑体_GBK"/>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2F159">
            <w:pPr>
              <w:rPr>
                <w:rFonts w:hint="eastAsia" w:ascii="方正黑体_GBK" w:hAnsi="方正黑体_GBK" w:eastAsia="方正黑体_GBK" w:cs="方正黑体_GBK"/>
                <w:i/>
                <w:iCs/>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6D32">
            <w:pPr>
              <w:rPr>
                <w:rFonts w:hint="eastAsia" w:ascii="方正黑体_GBK" w:hAnsi="方正黑体_GBK" w:eastAsia="方正黑体_GBK" w:cs="方正黑体_GBK"/>
                <w:i/>
                <w:iCs/>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4F535">
            <w:pPr>
              <w:rPr>
                <w:rFonts w:hint="eastAsia" w:ascii="方正黑体_GBK" w:hAnsi="方正黑体_GBK" w:eastAsia="方正黑体_GBK" w:cs="方正黑体_GBK"/>
                <w:i/>
                <w:iCs/>
                <w:color w:val="000000"/>
                <w:sz w:val="18"/>
                <w:szCs w:val="18"/>
                <w:u w:val="none"/>
              </w:rPr>
            </w:pP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BE982"/>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8533A"/>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DA14E">
            <w:pPr>
              <w:rPr>
                <w:rFonts w:hint="eastAsia" w:ascii="方正黑体_GBK" w:hAnsi="方正黑体_GBK" w:eastAsia="方正黑体_GBK" w:cs="方正黑体_GBK"/>
                <w:i/>
                <w:iCs/>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62F8E"/>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79A4"/>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B0AFD">
            <w:pPr>
              <w:rPr>
                <w:rFonts w:hint="eastAsia" w:ascii="方正黑体_GBK" w:hAnsi="方正黑体_GBK" w:eastAsia="方正黑体_GBK" w:cs="方正黑体_GBK"/>
                <w:i/>
                <w:iCs/>
                <w:color w:val="000000"/>
                <w:sz w:val="18"/>
                <w:szCs w:val="18"/>
                <w:u w:val="none"/>
              </w:rPr>
            </w:pPr>
          </w:p>
        </w:tc>
      </w:tr>
      <w:tr w14:paraId="21646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1579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F2F199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DD08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452" w:hRule="atLeast"/>
        </w:trPr>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466AA5">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27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A56CDE7">
            <w:pPr>
              <w:keepNext w:val="0"/>
              <w:keepLines w:val="0"/>
              <w:widowControl/>
              <w:suppressLineNumbers w:val="0"/>
              <w:jc w:val="left"/>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51320022T000000309401-阿坝州公务用车管理平台建设</w:t>
            </w:r>
          </w:p>
        </w:tc>
      </w:tr>
      <w:tr w14:paraId="7A9BB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C833E0">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727868">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州机关事务管理局部门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506CF">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51C53A">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w:t>
            </w:r>
          </w:p>
        </w:tc>
      </w:tr>
      <w:tr w14:paraId="34247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734"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2A8FCE">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B8C51B">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FC801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5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D79FFB">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22C7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1136"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1A88F">
            <w:pP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14357">
            <w:pPr>
              <w:rPr>
                <w:rFonts w:hint="eastAsia" w:ascii="方正黑体_GBK" w:hAnsi="方正黑体_GBK" w:eastAsia="方正黑体_GBK" w:cs="方正黑体_GBK"/>
                <w:i w:val="0"/>
                <w:iCs w:val="0"/>
                <w:color w:val="000000"/>
                <w:sz w:val="18"/>
                <w:szCs w:val="18"/>
                <w:u w:val="none"/>
              </w:rPr>
            </w:pP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C66813">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党风廉政建设、厉行节约反对浪费，全省一张网统一监管。为贯彻落实《中共四川省委办公厅、四川省人民政府办公厅关于印发&lt;四川省全面推进公务用车制度改革总体方案&gt;的通知》（川委办〔2015〕45号）精神。</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2016年12月22日，中央车改办下发了《关于进一步加强地方公务用车平台建设的通知》（发改电〔2016〕756号），要求“通过车辆管理平台建设，实现公车管理平台化、平台信息化，省、市、县三级信息互联互通，公车管理实现全省一张网”。2017年6月30日，省车改办制定《四川省公务用车管理平台建设方案》（川车改办函〔2017〕15号），明确了全省总体目标、建设要求及方式。省机关事务管理局要市、州完成各级公车管理平台建设，并与省级公务用车管理平台实现对接。</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2018年12月，省车改办组织会议，要求甘孜阿坝两州尽快开始车改，并明确车改同时必须建设州公务用车管理平台，平台建设完成且平台数据能够接入到省级公务用车管理平台，即拨付车改补贴。</w:t>
            </w:r>
          </w:p>
        </w:tc>
        <w:tc>
          <w:tcPr>
            <w:tcW w:w="5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63894B">
            <w:pPr>
              <w:keepNext w:val="0"/>
              <w:keepLines w:val="0"/>
              <w:widowControl/>
              <w:suppressLineNumbers w:val="0"/>
              <w:jc w:val="left"/>
              <w:textAlignment w:val="center"/>
              <w:rPr>
                <w:rFonts w:hint="eastAsia" w:ascii="方正黑体_GBK" w:hAnsi="方正黑体_GBK" w:eastAsia="方正黑体_GBK" w:cs="方正黑体_GBK"/>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14:paraId="670C8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328A5">
            <w:pP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F8081">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27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AE21A81">
            <w:pPr>
              <w:rPr>
                <w:rFonts w:hint="eastAsia" w:ascii="方正黑体_GBK" w:hAnsi="方正黑体_GBK" w:eastAsia="方正黑体_GBK" w:cs="方正黑体_GBK"/>
                <w:i w:val="0"/>
                <w:iCs w:val="0"/>
                <w:color w:val="000000"/>
                <w:sz w:val="18"/>
                <w:szCs w:val="18"/>
                <w:u w:val="none"/>
              </w:rPr>
            </w:pPr>
          </w:p>
        </w:tc>
      </w:tr>
      <w:tr w14:paraId="04A06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497"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05F82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F503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16FE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年初预算</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E363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133ED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EF49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预算执行率</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4553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D2D0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528C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3C384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ECBC5">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13D9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8190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59.00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6039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28.63</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C243B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28.63</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6FAA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B34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036D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E3089A">
            <w:pPr>
              <w:keepNext w:val="0"/>
              <w:keepLines w:val="0"/>
              <w:widowControl/>
              <w:suppressLineNumbers w:val="0"/>
              <w:jc w:val="left"/>
              <w:textAlignment w:val="cente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70D4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36E03">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B517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A0BE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59.00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A6EA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28.63</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6CFB9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28.63</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C0D9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0950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37FE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5CFBA"/>
        </w:tc>
      </w:tr>
      <w:tr w14:paraId="3B69F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9EFF2">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0DCD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财政专户管理资金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DA49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9764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B25F1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1277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7AF5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4E71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45E4C"/>
        </w:tc>
      </w:tr>
      <w:tr w14:paraId="3378C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71" w:type="dxa"/>
            <w:vMerge w:val="continue"/>
            <w:tcBorders>
              <w:top w:val="nil"/>
              <w:left w:val="nil"/>
              <w:bottom w:val="nil"/>
              <w:right w:val="nil"/>
            </w:tcBorders>
            <w:shd w:val="clear" w:color="auto" w:fill="auto"/>
            <w:vAlign w:val="center"/>
          </w:tcPr>
          <w:p w14:paraId="77DE570B">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nil"/>
              <w:left w:val="nil"/>
              <w:bottom w:val="nil"/>
              <w:right w:val="nil"/>
            </w:tcBorders>
            <w:shd w:val="clear" w:color="auto" w:fill="auto"/>
            <w:vAlign w:val="center"/>
          </w:tcPr>
          <w:p w14:paraId="50702E7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980" w:type="dxa"/>
            <w:tcBorders>
              <w:top w:val="nil"/>
              <w:left w:val="nil"/>
              <w:bottom w:val="nil"/>
              <w:right w:val="nil"/>
            </w:tcBorders>
            <w:shd w:val="clear" w:color="auto" w:fill="auto"/>
            <w:vAlign w:val="center"/>
          </w:tcPr>
          <w:p w14:paraId="72A73B0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534" w:type="dxa"/>
            <w:tcBorders>
              <w:top w:val="nil"/>
              <w:left w:val="nil"/>
              <w:bottom w:val="nil"/>
              <w:right w:val="nil"/>
            </w:tcBorders>
            <w:shd w:val="clear" w:color="auto" w:fill="auto"/>
            <w:vAlign w:val="center"/>
          </w:tcPr>
          <w:p w14:paraId="2298A00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56" w:type="dxa"/>
            <w:gridSpan w:val="3"/>
            <w:tcBorders>
              <w:top w:val="nil"/>
              <w:left w:val="nil"/>
              <w:bottom w:val="nil"/>
              <w:right w:val="nil"/>
            </w:tcBorders>
            <w:shd w:val="clear" w:color="auto" w:fill="auto"/>
            <w:vAlign w:val="center"/>
          </w:tcPr>
          <w:p w14:paraId="29587DC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25" w:type="dxa"/>
            <w:tcBorders>
              <w:top w:val="nil"/>
              <w:left w:val="nil"/>
              <w:bottom w:val="nil"/>
              <w:right w:val="nil"/>
            </w:tcBorders>
            <w:shd w:val="clear" w:color="auto" w:fill="auto"/>
            <w:vAlign w:val="center"/>
          </w:tcPr>
          <w:p w14:paraId="011C2F4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0" w:type="dxa"/>
            <w:tcBorders>
              <w:top w:val="nil"/>
              <w:left w:val="nil"/>
              <w:bottom w:val="nil"/>
              <w:right w:val="nil"/>
            </w:tcBorders>
            <w:shd w:val="clear" w:color="auto" w:fill="auto"/>
            <w:vAlign w:val="center"/>
          </w:tcPr>
          <w:p w14:paraId="656DCBB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03" w:type="dxa"/>
            <w:tcBorders>
              <w:top w:val="nil"/>
              <w:left w:val="nil"/>
              <w:bottom w:val="nil"/>
              <w:right w:val="nil"/>
            </w:tcBorders>
            <w:shd w:val="clear" w:color="auto" w:fill="auto"/>
            <w:vAlign w:val="center"/>
          </w:tcPr>
          <w:p w14:paraId="3E47CE7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nil"/>
              <w:left w:val="nil"/>
              <w:bottom w:val="nil"/>
              <w:right w:val="nil"/>
            </w:tcBorders>
            <w:shd w:val="clear" w:color="auto" w:fill="auto"/>
            <w:vAlign w:val="center"/>
          </w:tcPr>
          <w:p w14:paraId="6EA25AA3"/>
        </w:tc>
        <w:tc>
          <w:tcPr>
            <w:tcW w:w="506" w:type="dxa"/>
            <w:vMerge w:val="continue"/>
            <w:tcBorders>
              <w:top w:val="nil"/>
              <w:left w:val="nil"/>
              <w:bottom w:val="nil"/>
              <w:right w:val="nil"/>
            </w:tcBorders>
            <w:shd w:val="clear" w:color="auto" w:fill="auto"/>
            <w:vAlign w:val="center"/>
          </w:tcPr>
          <w:p w14:paraId="3A94DCB4">
            <w:pPr>
              <w:jc w:val="center"/>
            </w:pPr>
          </w:p>
        </w:tc>
        <w:tc>
          <w:tcPr>
            <w:tcW w:w="1507" w:type="dxa"/>
            <w:tcBorders>
              <w:top w:val="nil"/>
              <w:left w:val="nil"/>
              <w:bottom w:val="nil"/>
              <w:right w:val="nil"/>
            </w:tcBorders>
            <w:shd w:val="clear" w:color="auto" w:fill="auto"/>
            <w:vAlign w:val="center"/>
          </w:tcPr>
          <w:p w14:paraId="01C478D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单位资金</w:t>
            </w:r>
          </w:p>
        </w:tc>
        <w:tc>
          <w:tcPr>
            <w:tcW w:w="1298" w:type="dxa"/>
            <w:tcBorders>
              <w:top w:val="nil"/>
              <w:left w:val="nil"/>
              <w:bottom w:val="nil"/>
              <w:right w:val="nil"/>
            </w:tcBorders>
            <w:shd w:val="clear" w:color="auto" w:fill="auto"/>
            <w:vAlign w:val="center"/>
          </w:tcPr>
          <w:p w14:paraId="4F4538D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661" w:type="dxa"/>
            <w:tcBorders>
              <w:top w:val="nil"/>
              <w:left w:val="nil"/>
              <w:bottom w:val="nil"/>
              <w:right w:val="nil"/>
            </w:tcBorders>
            <w:shd w:val="clear" w:color="auto" w:fill="auto"/>
            <w:vAlign w:val="center"/>
          </w:tcPr>
          <w:p w14:paraId="6815FBC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2004" w:type="dxa"/>
            <w:gridSpan w:val="3"/>
            <w:tcBorders>
              <w:top w:val="nil"/>
              <w:left w:val="nil"/>
              <w:bottom w:val="nil"/>
              <w:right w:val="nil"/>
            </w:tcBorders>
            <w:shd w:val="clear" w:color="auto" w:fill="auto"/>
            <w:vAlign w:val="center"/>
          </w:tcPr>
          <w:p w14:paraId="1E071DE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803" w:type="dxa"/>
            <w:tcBorders>
              <w:top w:val="nil"/>
              <w:left w:val="nil"/>
              <w:bottom w:val="nil"/>
              <w:right w:val="nil"/>
            </w:tcBorders>
            <w:shd w:val="clear" w:color="auto" w:fill="auto"/>
            <w:vAlign w:val="center"/>
          </w:tcPr>
          <w:p w14:paraId="45341C8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374" w:type="dxa"/>
            <w:tcBorders>
              <w:top w:val="nil"/>
              <w:left w:val="nil"/>
              <w:bottom w:val="nil"/>
              <w:right w:val="nil"/>
            </w:tcBorders>
            <w:shd w:val="clear" w:color="auto" w:fill="auto"/>
            <w:vAlign w:val="center"/>
          </w:tcPr>
          <w:p w14:paraId="4068198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330" w:type="dxa"/>
            <w:tcBorders>
              <w:top w:val="nil"/>
              <w:left w:val="nil"/>
              <w:bottom w:val="nil"/>
              <w:right w:val="nil"/>
            </w:tcBorders>
            <w:shd w:val="clear" w:color="auto" w:fill="auto"/>
            <w:vAlign w:val="center"/>
          </w:tcPr>
          <w:p w14:paraId="5C1A243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73" w:type="dxa"/>
            <w:vMerge w:val="continue"/>
            <w:tcBorders>
              <w:top w:val="nil"/>
              <w:left w:val="nil"/>
              <w:bottom w:val="nil"/>
              <w:right w:val="nil"/>
            </w:tcBorders>
            <w:shd w:val="clear" w:color="auto" w:fill="auto"/>
            <w:vAlign w:val="center"/>
          </w:tcPr>
          <w:p w14:paraId="518E1F46">
            <w:pPr>
              <w:rPr>
                <w:rFonts w:hint="eastAsia" w:ascii="方正黑体_GBK" w:hAnsi="方正黑体_GBK" w:eastAsia="方正黑体_GBK" w:cs="方正黑体_GBK"/>
                <w:i w:val="0"/>
                <w:iCs w:val="0"/>
                <w:color w:val="000000"/>
                <w:sz w:val="18"/>
                <w:szCs w:val="18"/>
                <w:u w:val="none"/>
              </w:rPr>
            </w:pPr>
          </w:p>
        </w:tc>
      </w:tr>
      <w:tr w14:paraId="09789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C4250">
            <w:pPr>
              <w:jc w:val="center"/>
              <w:rPr>
                <w:rFonts w:hint="eastAsia" w:ascii="方正黑体_GBK" w:hAnsi="方正黑体_GBK" w:eastAsia="方正黑体_GBK" w:cs="方正黑体_GBK"/>
                <w:b/>
                <w:bCs/>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F815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其他资金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20A2D">
            <w:pPr>
              <w:jc w:val="cente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BFCC2">
            <w:pPr>
              <w:jc w:val="center"/>
            </w:pP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140438">
            <w:pPr>
              <w:jc w:val="cente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3945D">
            <w:pPr>
              <w:jc w:val="cente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7071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B70B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49386"/>
        </w:tc>
      </w:tr>
      <w:tr w14:paraId="3226D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C215E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2EE0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一级指标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B35C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65B5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三级指标</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02C5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指标性质</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A242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9C81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D689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完成值</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BE3F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4029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2CE8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未完成原因分析</w:t>
            </w:r>
          </w:p>
        </w:tc>
      </w:tr>
      <w:tr w14:paraId="25239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5DB3E">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60645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980" w:type="dxa"/>
            <w:tcBorders>
              <w:top w:val="nil"/>
              <w:left w:val="nil"/>
              <w:bottom w:val="nil"/>
              <w:right w:val="nil"/>
            </w:tcBorders>
            <w:shd w:val="clear" w:color="auto" w:fill="auto"/>
            <w:vAlign w:val="center"/>
          </w:tcPr>
          <w:p w14:paraId="068054C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534" w:type="dxa"/>
            <w:tcBorders>
              <w:top w:val="nil"/>
              <w:left w:val="nil"/>
              <w:bottom w:val="nil"/>
              <w:right w:val="nil"/>
            </w:tcBorders>
            <w:shd w:val="clear" w:color="auto" w:fill="auto"/>
            <w:vAlign w:val="center"/>
          </w:tcPr>
          <w:p w14:paraId="3D876C5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国产定位系统安装率，计算方法为：（车载定位系统安装车辆/州级机关车辆）×100%</w:t>
            </w:r>
          </w:p>
        </w:tc>
        <w:tc>
          <w:tcPr>
            <w:tcW w:w="587" w:type="dxa"/>
            <w:tcBorders>
              <w:top w:val="nil"/>
              <w:left w:val="nil"/>
              <w:bottom w:val="nil"/>
              <w:right w:val="nil"/>
            </w:tcBorders>
            <w:shd w:val="clear" w:color="auto" w:fill="auto"/>
            <w:vAlign w:val="center"/>
          </w:tcPr>
          <w:p w14:paraId="479EE5D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nil"/>
              <w:left w:val="nil"/>
              <w:bottom w:val="nil"/>
              <w:right w:val="nil"/>
            </w:tcBorders>
            <w:shd w:val="clear" w:color="auto" w:fill="auto"/>
            <w:vAlign w:val="center"/>
          </w:tcPr>
          <w:p w14:paraId="40BDFB4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22.14</w:t>
            </w:r>
          </w:p>
        </w:tc>
        <w:tc>
          <w:tcPr>
            <w:tcW w:w="588" w:type="dxa"/>
            <w:tcBorders>
              <w:top w:val="nil"/>
              <w:left w:val="nil"/>
              <w:bottom w:val="nil"/>
              <w:right w:val="nil"/>
            </w:tcBorders>
            <w:shd w:val="clear" w:color="auto" w:fill="auto"/>
            <w:vAlign w:val="center"/>
          </w:tcPr>
          <w:p w14:paraId="3B1D64F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nil"/>
              <w:left w:val="nil"/>
              <w:bottom w:val="nil"/>
              <w:right w:val="nil"/>
            </w:tcBorders>
            <w:shd w:val="clear" w:color="auto" w:fill="auto"/>
            <w:vAlign w:val="center"/>
          </w:tcPr>
          <w:p w14:paraId="1815E6D7">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25</w:t>
            </w:r>
          </w:p>
        </w:tc>
        <w:tc>
          <w:tcPr>
            <w:tcW w:w="570" w:type="dxa"/>
            <w:tcBorders>
              <w:top w:val="nil"/>
              <w:left w:val="nil"/>
              <w:bottom w:val="nil"/>
              <w:right w:val="nil"/>
            </w:tcBorders>
            <w:shd w:val="clear" w:color="auto" w:fill="auto"/>
            <w:vAlign w:val="center"/>
          </w:tcPr>
          <w:p w14:paraId="0D11F50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nil"/>
              <w:left w:val="nil"/>
              <w:bottom w:val="nil"/>
              <w:right w:val="nil"/>
            </w:tcBorders>
            <w:shd w:val="clear" w:color="auto" w:fill="auto"/>
            <w:vAlign w:val="center"/>
          </w:tcPr>
          <w:p w14:paraId="76C16DD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5F157">
            <w:pPr>
              <w:jc w:val="center"/>
              <w:rPr>
                <w:rFonts w:hint="eastAsia" w:ascii="方正黑体_GBK" w:hAnsi="方正黑体_GBK" w:eastAsia="方正黑体_GBK" w:cs="方正黑体_GBK"/>
                <w:i w:val="0"/>
                <w:iCs w:val="0"/>
                <w:color w:val="000000"/>
                <w:sz w:val="18"/>
                <w:szCs w:val="18"/>
                <w:u w:val="none"/>
              </w:rPr>
            </w:pPr>
          </w:p>
        </w:tc>
      </w:tr>
      <w:tr w14:paraId="45248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01E51">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C064F">
            <w:pPr>
              <w:jc w:val="center"/>
              <w:rPr>
                <w:rFonts w:hint="eastAsia" w:ascii="方正黑体_GBK" w:hAnsi="方正黑体_GBK" w:eastAsia="方正黑体_GBK" w:cs="方正黑体_GBK"/>
                <w:i w:val="0"/>
                <w:iCs w:val="0"/>
                <w:color w:val="000000"/>
                <w:sz w:val="18"/>
                <w:szCs w:val="18"/>
                <w:u w:val="none"/>
              </w:rPr>
            </w:pP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913F9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915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达标率</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F81E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BC3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99</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DB6F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1B34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C64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2795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3832D">
            <w:pPr>
              <w:jc w:val="center"/>
            </w:pPr>
          </w:p>
        </w:tc>
      </w:tr>
      <w:tr w14:paraId="26092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F29F8">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32998">
            <w:pPr>
              <w:jc w:val="center"/>
              <w:rPr>
                <w:rFonts w:hint="eastAsia" w:ascii="方正黑体_GBK" w:hAnsi="方正黑体_GBK" w:eastAsia="方正黑体_GBK" w:cs="方正黑体_GBK"/>
                <w:i w:val="0"/>
                <w:iCs w:val="0"/>
                <w:color w:val="000000"/>
                <w:sz w:val="18"/>
                <w:szCs w:val="18"/>
                <w:u w:val="none"/>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971D4">
            <w:pPr>
              <w:jc w:val="center"/>
              <w:rPr>
                <w:rFonts w:hint="eastAsia" w:ascii="方正黑体_GBK" w:hAnsi="方正黑体_GBK" w:eastAsia="方正黑体_GBK" w:cs="方正黑体_GBK"/>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F571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群众满意度指标，计算方法：（满意数/总数）×100%</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D338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7B1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C139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377C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0EC1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F3B2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DFD13">
            <w:pPr>
              <w:jc w:val="center"/>
            </w:pPr>
          </w:p>
        </w:tc>
      </w:tr>
      <w:tr w14:paraId="7A4E1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687E5">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E0F51">
            <w:pPr>
              <w:jc w:val="center"/>
              <w:rPr>
                <w:rFonts w:hint="eastAsia" w:ascii="方正黑体_GBK" w:hAnsi="方正黑体_GBK" w:eastAsia="方正黑体_GBK" w:cs="方正黑体_GBK"/>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F72B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460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项目完成时间</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808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定性</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EF81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2024年12月底前完成</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1CF9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9FEB8">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完成</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CC59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2030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086D2">
            <w:pPr>
              <w:jc w:val="center"/>
            </w:pPr>
          </w:p>
        </w:tc>
      </w:tr>
      <w:tr w14:paraId="3BCD0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23561">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D12B7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596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8AC9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年度节约财政资金</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314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B549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03B8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万元</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493A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49A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C871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4F47F">
            <w:pPr>
              <w:jc w:val="center"/>
              <w:rPr>
                <w:rFonts w:hint="eastAsia" w:ascii="方正黑体_GBK" w:hAnsi="方正黑体_GBK" w:eastAsia="方正黑体_GBK" w:cs="方正黑体_GBK"/>
                <w:i w:val="0"/>
                <w:iCs w:val="0"/>
                <w:color w:val="000000"/>
                <w:sz w:val="18"/>
                <w:szCs w:val="18"/>
                <w:u w:val="none"/>
              </w:rPr>
            </w:pPr>
          </w:p>
        </w:tc>
      </w:tr>
      <w:tr w14:paraId="11EF9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60BE7">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A9A28">
            <w:pPr>
              <w:jc w:val="center"/>
              <w:rPr>
                <w:rFonts w:hint="eastAsia" w:ascii="方正黑体_GBK" w:hAnsi="方正黑体_GBK" w:eastAsia="方正黑体_GBK" w:cs="方正黑体_GBK"/>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4564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5C50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社会效益情况</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7DBD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2F78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690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99AA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2431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50F6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58A88">
            <w:pPr>
              <w:jc w:val="center"/>
              <w:rPr>
                <w:rFonts w:hint="eastAsia" w:ascii="方正黑体_GBK" w:hAnsi="方正黑体_GBK" w:eastAsia="方正黑体_GBK" w:cs="方正黑体_GBK"/>
                <w:i/>
                <w:iCs/>
                <w:color w:val="000000"/>
                <w:sz w:val="18"/>
                <w:szCs w:val="18"/>
                <w:u w:val="none"/>
              </w:rPr>
            </w:pPr>
          </w:p>
        </w:tc>
      </w:tr>
      <w:tr w14:paraId="4F576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79763">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AC2A8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47435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17B5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227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6EC2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95</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090A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755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96</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413E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65FA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E89A0">
            <w:pPr>
              <w:jc w:val="center"/>
              <w:rPr>
                <w:rFonts w:hint="eastAsia" w:ascii="方正黑体_GBK" w:hAnsi="方正黑体_GBK" w:eastAsia="方正黑体_GBK" w:cs="方正黑体_GBK"/>
                <w:i/>
                <w:iCs/>
                <w:color w:val="000000"/>
                <w:sz w:val="18"/>
                <w:szCs w:val="18"/>
                <w:u w:val="none"/>
              </w:rPr>
            </w:pPr>
          </w:p>
        </w:tc>
      </w:tr>
      <w:tr w14:paraId="27B8A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B8EEC">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8676A">
            <w:pPr>
              <w:jc w:val="center"/>
              <w:rPr>
                <w:rFonts w:hint="eastAsia" w:ascii="方正黑体_GBK" w:hAnsi="方正黑体_GBK" w:eastAsia="方正黑体_GBK" w:cs="方正黑体_GBK"/>
                <w:i w:val="0"/>
                <w:iCs w:val="0"/>
                <w:color w:val="000000"/>
                <w:sz w:val="18"/>
                <w:szCs w:val="18"/>
                <w:u w:val="none"/>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C304C">
            <w:pPr>
              <w:jc w:val="center"/>
              <w:rPr>
                <w:rFonts w:hint="eastAsia" w:ascii="方正黑体_GBK" w:hAnsi="方正黑体_GBK" w:eastAsia="方正黑体_GBK" w:cs="方正黑体_GBK"/>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1EDB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平台使用人满意度</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564D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C3EC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95</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98CC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A0DB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39A1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2E0D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E01E1">
            <w:pPr>
              <w:jc w:val="center"/>
              <w:rPr>
                <w:rFonts w:hint="eastAsia" w:ascii="方正黑体_GBK" w:hAnsi="方正黑体_GBK" w:eastAsia="方正黑体_GBK" w:cs="方正黑体_GBK"/>
                <w:i/>
                <w:iCs/>
                <w:color w:val="000000"/>
                <w:sz w:val="18"/>
                <w:szCs w:val="18"/>
                <w:u w:val="none"/>
              </w:rPr>
            </w:pPr>
          </w:p>
        </w:tc>
      </w:tr>
      <w:tr w14:paraId="5C468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ABCF8">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56EB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4B8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4F6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公车定位系统经济成本</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E53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6498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59</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C58D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万元</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A51F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28.63</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A4EE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7FC6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B9B45">
            <w:pPr>
              <w:jc w:val="center"/>
              <w:rPr>
                <w:rFonts w:hint="eastAsia" w:ascii="方正黑体_GBK" w:hAnsi="方正黑体_GBK" w:eastAsia="方正黑体_GBK" w:cs="方正黑体_GBK"/>
                <w:i/>
                <w:iCs/>
                <w:color w:val="000000"/>
                <w:sz w:val="18"/>
                <w:szCs w:val="18"/>
                <w:u w:val="none"/>
              </w:rPr>
            </w:pPr>
          </w:p>
        </w:tc>
      </w:tr>
      <w:tr w14:paraId="7A170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1186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346FC11">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4DD98">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452C0">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100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6874B">
            <w:pPr>
              <w:rPr>
                <w:rFonts w:hint="eastAsia" w:ascii="方正黑体_GBK" w:hAnsi="方正黑体_GBK" w:eastAsia="方正黑体_GBK" w:cs="方正黑体_GBK"/>
                <w:i/>
                <w:iCs/>
                <w:color w:val="000000"/>
                <w:sz w:val="18"/>
                <w:szCs w:val="18"/>
                <w:u w:val="none"/>
              </w:rPr>
            </w:pPr>
          </w:p>
        </w:tc>
      </w:tr>
      <w:tr w14:paraId="6777F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AC74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0ABD4D">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该项目顺利实施，为我州的车改工作奠定了基础，公车实现全省一张网统一监管，系统模块可查询车辆动态，油耗监测等，方便数据统计。</w:t>
            </w:r>
          </w:p>
        </w:tc>
      </w:tr>
      <w:tr w14:paraId="61C52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366B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A9E2A08">
            <w:pPr>
              <w:keepNext w:val="0"/>
              <w:keepLines w:val="0"/>
              <w:widowControl/>
              <w:suppressLineNumbers w:val="0"/>
              <w:jc w:val="left"/>
              <w:textAlignment w:val="center"/>
              <w:rPr>
                <w:rFonts w:hint="eastAsia" w:ascii="方正黑体_GBK" w:hAnsi="方正黑体_GBK" w:eastAsia="方正黑体_GBK" w:cs="方正黑体_GBK"/>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该项目试点已完成，全州推广还需加大力度。</w:t>
            </w:r>
          </w:p>
        </w:tc>
      </w:tr>
      <w:tr w14:paraId="6081D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A995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0D50BC">
            <w:pPr>
              <w:keepNext w:val="0"/>
              <w:keepLines w:val="0"/>
              <w:widowControl/>
              <w:suppressLineNumbers w:val="0"/>
              <w:jc w:val="left"/>
              <w:textAlignment w:val="center"/>
              <w:rPr>
                <w:rFonts w:hint="eastAsia" w:ascii="方正黑体_GBK" w:hAnsi="方正黑体_GBK" w:eastAsia="方正黑体_GBK" w:cs="方正黑体_GBK"/>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C5CB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81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99FDF1">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2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64298C">
            <w:pPr>
              <w:keepNext w:val="0"/>
              <w:keepLines w:val="0"/>
              <w:widowControl/>
              <w:suppressLineNumbers w:val="0"/>
              <w:jc w:val="left"/>
              <w:textAlignment w:val="center"/>
              <w:rPr>
                <w:rFonts w:hint="eastAsia" w:ascii="方正黑体_GBK" w:hAnsi="方正黑体_GBK" w:eastAsia="方正黑体_GBK" w:cs="方正黑体_GBK"/>
                <w:i/>
                <w:iCs/>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4D4B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B38A0">
            <w:pP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B85B">
            <w:pPr>
              <w:rPr>
                <w:rFonts w:hint="eastAsia" w:ascii="方正黑体_GBK" w:hAnsi="方正黑体_GBK" w:eastAsia="方正黑体_GBK" w:cs="方正黑体_GBK"/>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B87B7">
            <w:pPr>
              <w:rPr>
                <w:rFonts w:hint="eastAsia" w:ascii="方正黑体_GBK" w:hAnsi="方正黑体_GBK" w:eastAsia="方正黑体_GBK" w:cs="方正黑体_GBK"/>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18C1A">
            <w:pPr>
              <w:rPr>
                <w:rFonts w:hint="eastAsia" w:ascii="方正黑体_GBK" w:hAnsi="方正黑体_GBK" w:eastAsia="方正黑体_GBK" w:cs="方正黑体_GBK"/>
                <w:i w:val="0"/>
                <w:iCs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CE47C">
            <w:pPr>
              <w:rPr>
                <w:rFonts w:hint="eastAsia" w:ascii="方正黑体_GBK" w:hAnsi="方正黑体_GBK" w:eastAsia="方正黑体_GBK" w:cs="方正黑体_GBK"/>
                <w:i w:val="0"/>
                <w:iCs w:val="0"/>
                <w:color w:val="000000"/>
                <w:sz w:val="18"/>
                <w:szCs w:val="18"/>
                <w:u w:val="none"/>
              </w:rPr>
            </w:pP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1591A">
            <w:pPr>
              <w:rPr>
                <w:rFonts w:hint="eastAsia" w:ascii="方正黑体_GBK" w:hAnsi="方正黑体_GBK" w:eastAsia="方正黑体_GBK" w:cs="方正黑体_GBK"/>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4871F">
            <w:pPr>
              <w:rPr>
                <w:rFonts w:hint="eastAsia" w:ascii="方正黑体_GBK" w:hAnsi="方正黑体_GBK" w:eastAsia="方正黑体_GBK" w:cs="方正黑体_GBK"/>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4223E">
            <w:pPr>
              <w:rPr>
                <w:rFonts w:hint="eastAsia" w:ascii="方正黑体_GBK" w:hAnsi="方正黑体_GBK" w:eastAsia="方正黑体_GBK" w:cs="方正黑体_GBK"/>
                <w:i/>
                <w:iCs/>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F7543"/>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B5935"/>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9EDA9">
            <w:pPr>
              <w:rPr>
                <w:rFonts w:hint="eastAsia" w:ascii="方正黑体_GBK" w:hAnsi="方正黑体_GBK" w:eastAsia="方正黑体_GBK" w:cs="方正黑体_GBK"/>
                <w:i/>
                <w:iCs/>
                <w:color w:val="000000"/>
                <w:sz w:val="18"/>
                <w:szCs w:val="18"/>
                <w:u w:val="none"/>
              </w:rPr>
            </w:pPr>
          </w:p>
        </w:tc>
      </w:tr>
      <w:tr w14:paraId="05C06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1579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0E34AA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3439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64504">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27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CF48968">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51320022T000000309401-阿坝州公务用车管理平台建设</w:t>
            </w:r>
          </w:p>
        </w:tc>
      </w:tr>
      <w:tr w14:paraId="35693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BACC47">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22B1EA">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州机关事务管理局部门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D6456">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实施单位 （盖章）</w:t>
            </w:r>
          </w:p>
        </w:tc>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EAF8A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州机关事务管理局</w:t>
            </w:r>
          </w:p>
        </w:tc>
      </w:tr>
      <w:tr w14:paraId="2F1AC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D17211">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4563F8">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7B2D8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项目年度目标</w:t>
            </w:r>
          </w:p>
        </w:tc>
        <w:tc>
          <w:tcPr>
            <w:tcW w:w="5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38D083">
            <w:pPr>
              <w:keepNext w:val="0"/>
              <w:keepLines w:val="0"/>
              <w:widowControl/>
              <w:suppressLineNumbers w:val="0"/>
              <w:jc w:val="center"/>
              <w:textAlignment w:val="center"/>
            </w:pPr>
            <w:r>
              <w:rPr>
                <w:rFonts w:hint="eastAsia" w:ascii="黑体" w:hAnsi="黑体" w:eastAsia="黑体" w:cs="黑体"/>
                <w:i w:val="0"/>
                <w:iCs w:val="0"/>
                <w:color w:val="000000"/>
                <w:kern w:val="0"/>
                <w:sz w:val="18"/>
                <w:szCs w:val="18"/>
                <w:u w:val="none"/>
                <w:lang w:val="en-US" w:eastAsia="zh-CN" w:bidi="ar"/>
              </w:rPr>
              <w:t>年度目标完成情况</w:t>
            </w:r>
          </w:p>
        </w:tc>
      </w:tr>
      <w:tr w14:paraId="2E728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C0B19">
            <w:pP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81273"/>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869456">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加强党风廉政建设、厉行节约反对浪费，全省一张网统一监管。为贯彻落实《中共四川省委办公厅、四川省人民政府办公厅关于印发&lt;四川省全面推进公务用车制度改革总体方案&gt;的通知》（川委办〔2015〕45号）精神。</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2016年12月22日，中央车改办下发了《关于进一步加强地方公务用车平台建设的通知》（发改电〔2016〕756号），要求“通过车辆管理平台建设，实现公车管理平台化、平台信息化，省、市、县三级信息互联互通，公车管理实现全省一张网”。2017年6月30日，省车改办制定《四川省公务用车管理平台建设方案》（川车改办函〔2017〕15号），明确了全省总体目标、建设要求及方式。省机关事务管理局要市、州完成各级公车管理平台建设，并与省级公务用车管理平台实现对接。</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2018年12月，省车改办组织会议，要求甘孜阿坝两州尽快开始车改，并明确车改同时必须建设州公务用车管理平台，平台建设完成且平台数据能够接入到省级公务用车管理平台，即拨付车改补贴。</w:t>
            </w:r>
          </w:p>
        </w:tc>
        <w:tc>
          <w:tcPr>
            <w:tcW w:w="5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AD588C">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14:paraId="41D5C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D1C5B">
            <w:pPr>
              <w:rPr>
                <w:rFonts w:hint="eastAsia" w:ascii="方正黑体_GBK" w:hAnsi="方正黑体_GBK" w:eastAsia="方正黑体_GBK" w:cs="方正黑体_GBK"/>
                <w:b/>
                <w:bCs/>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6B609">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2.项目实施内容及过程概述</w:t>
            </w:r>
          </w:p>
        </w:tc>
        <w:tc>
          <w:tcPr>
            <w:tcW w:w="127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911BBF5"/>
        </w:tc>
      </w:tr>
      <w:tr w14:paraId="0D5D1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9A67D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70FB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年度预算数（万元）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BB53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FE5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调整后预算数</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1846C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预算执行数</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7FD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预算执行率</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2307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207F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33D6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原因</w:t>
            </w:r>
          </w:p>
        </w:tc>
      </w:tr>
      <w:tr w14:paraId="5D402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D904C">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129C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980" w:type="dxa"/>
            <w:tcBorders>
              <w:top w:val="nil"/>
              <w:left w:val="nil"/>
              <w:bottom w:val="nil"/>
              <w:right w:val="nil"/>
            </w:tcBorders>
            <w:shd w:val="clear" w:color="auto" w:fill="auto"/>
            <w:vAlign w:val="center"/>
          </w:tcPr>
          <w:p w14:paraId="165049C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59.00</w:t>
            </w:r>
          </w:p>
        </w:tc>
        <w:tc>
          <w:tcPr>
            <w:tcW w:w="2534" w:type="dxa"/>
            <w:tcBorders>
              <w:top w:val="nil"/>
              <w:left w:val="nil"/>
              <w:bottom w:val="nil"/>
              <w:right w:val="nil"/>
            </w:tcBorders>
            <w:shd w:val="clear" w:color="auto" w:fill="auto"/>
            <w:vAlign w:val="center"/>
          </w:tcPr>
          <w:p w14:paraId="6ABA8E3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28.63</w:t>
            </w:r>
          </w:p>
        </w:tc>
        <w:tc>
          <w:tcPr>
            <w:tcW w:w="3056" w:type="dxa"/>
            <w:gridSpan w:val="3"/>
            <w:tcBorders>
              <w:top w:val="nil"/>
              <w:left w:val="nil"/>
              <w:bottom w:val="nil"/>
              <w:right w:val="nil"/>
            </w:tcBorders>
            <w:shd w:val="clear" w:color="auto" w:fill="auto"/>
            <w:vAlign w:val="center"/>
          </w:tcPr>
          <w:p w14:paraId="623C54C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28.63</w:t>
            </w:r>
          </w:p>
        </w:tc>
        <w:tc>
          <w:tcPr>
            <w:tcW w:w="1225" w:type="dxa"/>
            <w:tcBorders>
              <w:top w:val="nil"/>
              <w:left w:val="nil"/>
              <w:bottom w:val="nil"/>
              <w:right w:val="nil"/>
            </w:tcBorders>
            <w:shd w:val="clear" w:color="auto" w:fill="auto"/>
            <w:vAlign w:val="center"/>
          </w:tcPr>
          <w:p w14:paraId="72B19E6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100.00%</w:t>
            </w:r>
          </w:p>
        </w:tc>
        <w:tc>
          <w:tcPr>
            <w:tcW w:w="570" w:type="dxa"/>
            <w:tcBorders>
              <w:top w:val="nil"/>
              <w:left w:val="nil"/>
              <w:bottom w:val="nil"/>
              <w:right w:val="nil"/>
            </w:tcBorders>
            <w:shd w:val="clear" w:color="auto" w:fill="auto"/>
            <w:vAlign w:val="center"/>
          </w:tcPr>
          <w:p w14:paraId="4E28782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nil"/>
              <w:left w:val="nil"/>
              <w:bottom w:val="nil"/>
              <w:right w:val="nil"/>
            </w:tcBorders>
            <w:shd w:val="clear" w:color="auto" w:fill="auto"/>
            <w:vAlign w:val="center"/>
          </w:tcPr>
          <w:p w14:paraId="4B87432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25CDA4">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EE49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4CE3C">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407B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542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0529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28.63</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07947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28.63</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287C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7403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F820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A871E"/>
        </w:tc>
      </w:tr>
      <w:tr w14:paraId="01885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04653">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F9D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3E62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690C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A29B1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078F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833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2ADF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D2842"/>
        </w:tc>
      </w:tr>
      <w:tr w14:paraId="01169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81C41">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EA4A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241A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F505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FA728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FAE5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9D59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116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E9A76"/>
        </w:tc>
      </w:tr>
      <w:tr w14:paraId="7EAB9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D90D4">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1F48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BCBCF">
            <w:pPr>
              <w:jc w:val="center"/>
              <w:rPr>
                <w:rFonts w:hint="eastAsia" w:ascii="方正黑体_GBK" w:hAnsi="方正黑体_GBK" w:eastAsia="方正黑体_GBK" w:cs="方正黑体_GBK"/>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7FC59">
            <w:pPr>
              <w:jc w:val="center"/>
              <w:rPr>
                <w:rFonts w:hint="eastAsia" w:ascii="方正黑体_GBK" w:hAnsi="方正黑体_GBK" w:eastAsia="方正黑体_GBK" w:cs="方正黑体_GBK"/>
                <w:i w:val="0"/>
                <w:iCs w:val="0"/>
                <w:color w:val="000000"/>
                <w:sz w:val="18"/>
                <w:szCs w:val="18"/>
                <w:u w:val="none"/>
              </w:rPr>
            </w:pP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DEFA8B">
            <w:pPr>
              <w:jc w:val="center"/>
              <w:rPr>
                <w:rFonts w:hint="eastAsia" w:ascii="方正黑体_GBK" w:hAnsi="方正黑体_GBK" w:eastAsia="方正黑体_GBK" w:cs="方正黑体_GBK"/>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77759">
            <w:pPr>
              <w:jc w:val="center"/>
              <w:rPr>
                <w:rFonts w:hint="eastAsia" w:ascii="方正黑体_GBK" w:hAnsi="方正黑体_GBK" w:eastAsia="方正黑体_GBK" w:cs="方正黑体_GBK"/>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07E9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6BF7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90A84">
            <w:pPr>
              <w:rPr>
                <w:rFonts w:hint="eastAsia" w:ascii="方正黑体_GBK" w:hAnsi="方正黑体_GBK" w:eastAsia="方正黑体_GBK" w:cs="方正黑体_GBK"/>
                <w:i w:val="0"/>
                <w:iCs w:val="0"/>
                <w:color w:val="000000"/>
                <w:sz w:val="18"/>
                <w:szCs w:val="18"/>
                <w:u w:val="none"/>
              </w:rPr>
            </w:pPr>
          </w:p>
        </w:tc>
      </w:tr>
      <w:tr w14:paraId="2FE92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954F8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CD25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2239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8D69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FF89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54FC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指标值</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ADED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度量单位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3847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5119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CF07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A8CF9">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9F9B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4A2FE">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E9FA2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75B8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5698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国产定位系统安装率，计算方法为：（车载定位系统安装车辆/州级机关车辆）×100%</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ABA3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0234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22.14</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CD8E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F25D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25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7AC1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9B6A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DF9E">
            <w:pPr>
              <w:jc w:val="center"/>
              <w:rPr>
                <w:rFonts w:hint="eastAsia" w:ascii="方正黑体_GBK" w:hAnsi="方正黑体_GBK" w:eastAsia="方正黑体_GBK" w:cs="方正黑体_GBK"/>
                <w:i/>
                <w:iCs/>
                <w:color w:val="000000"/>
                <w:sz w:val="18"/>
                <w:szCs w:val="18"/>
                <w:u w:val="none"/>
              </w:rPr>
            </w:pPr>
          </w:p>
        </w:tc>
      </w:tr>
      <w:tr w14:paraId="13962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00082">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EF5EE">
            <w:pPr>
              <w:jc w:val="center"/>
              <w:rPr>
                <w:rFonts w:hint="eastAsia" w:ascii="方正黑体_GBK" w:hAnsi="方正黑体_GBK" w:eastAsia="方正黑体_GBK" w:cs="方正黑体_GBK"/>
                <w:i w:val="0"/>
                <w:iCs w:val="0"/>
                <w:color w:val="000000"/>
                <w:sz w:val="18"/>
                <w:szCs w:val="18"/>
                <w:u w:val="none"/>
              </w:rPr>
            </w:pP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6784F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BDDA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达标率</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29DA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5EB8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99</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D242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A06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3106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9372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9144A">
            <w:pPr>
              <w:jc w:val="center"/>
              <w:rPr>
                <w:rFonts w:hint="eastAsia" w:ascii="方正黑体_GBK" w:hAnsi="方正黑体_GBK" w:eastAsia="方正黑体_GBK" w:cs="方正黑体_GBK"/>
                <w:i/>
                <w:iCs/>
                <w:color w:val="000000"/>
                <w:sz w:val="18"/>
                <w:szCs w:val="18"/>
                <w:u w:val="none"/>
              </w:rPr>
            </w:pPr>
          </w:p>
        </w:tc>
      </w:tr>
      <w:tr w14:paraId="17AFC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FB690">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E4C85">
            <w:pPr>
              <w:jc w:val="center"/>
              <w:rPr>
                <w:rFonts w:hint="eastAsia" w:ascii="方正黑体_GBK" w:hAnsi="方正黑体_GBK" w:eastAsia="方正黑体_GBK" w:cs="方正黑体_GBK"/>
                <w:i w:val="0"/>
                <w:iCs w:val="0"/>
                <w:color w:val="000000"/>
                <w:sz w:val="18"/>
                <w:szCs w:val="18"/>
                <w:u w:val="none"/>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F0713">
            <w:pPr>
              <w:jc w:val="center"/>
              <w:rPr>
                <w:rFonts w:hint="eastAsia" w:ascii="方正黑体_GBK" w:hAnsi="方正黑体_GBK" w:eastAsia="方正黑体_GBK" w:cs="方正黑体_GBK"/>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7615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群众满意度指标，计算方法：（满意数/总数）×100%</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0715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15F8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9154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784B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4AC6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1AC2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AF051">
            <w:pPr>
              <w:jc w:val="center"/>
              <w:rPr>
                <w:rFonts w:hint="eastAsia" w:ascii="方正黑体_GBK" w:hAnsi="方正黑体_GBK" w:eastAsia="方正黑体_GBK" w:cs="方正黑体_GBK"/>
                <w:i/>
                <w:iCs/>
                <w:color w:val="000000"/>
                <w:sz w:val="18"/>
                <w:szCs w:val="18"/>
                <w:u w:val="none"/>
              </w:rPr>
            </w:pPr>
          </w:p>
        </w:tc>
      </w:tr>
      <w:tr w14:paraId="2669D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C794C">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0B11B">
            <w:pPr>
              <w:jc w:val="center"/>
              <w:rPr>
                <w:rFonts w:hint="eastAsia" w:ascii="方正黑体_GBK" w:hAnsi="方正黑体_GBK" w:eastAsia="方正黑体_GBK" w:cs="方正黑体_GBK"/>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82D7">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0A30A">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F0F0E">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E018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2024年12月底前完成</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16AF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A283">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完成</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4C3A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B0E1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DA80E">
            <w:pPr>
              <w:jc w:val="center"/>
              <w:rPr>
                <w:rFonts w:hint="eastAsia" w:ascii="方正黑体_GBK" w:hAnsi="方正黑体_GBK" w:eastAsia="方正黑体_GBK" w:cs="方正黑体_GBK"/>
                <w:i/>
                <w:iCs/>
                <w:color w:val="000000"/>
                <w:sz w:val="18"/>
                <w:szCs w:val="18"/>
                <w:u w:val="none"/>
              </w:rPr>
            </w:pPr>
          </w:p>
        </w:tc>
      </w:tr>
      <w:tr w14:paraId="60D32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0FB37">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434C1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C7D7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1D4E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年度节约财政资金</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F277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1D0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DE9B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D3C3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68E6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A02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6255">
            <w:pPr>
              <w:jc w:val="center"/>
              <w:rPr>
                <w:rFonts w:hint="eastAsia" w:ascii="方正黑体_GBK" w:hAnsi="方正黑体_GBK" w:eastAsia="方正黑体_GBK" w:cs="方正黑体_GBK"/>
                <w:i w:val="0"/>
                <w:iCs w:val="0"/>
                <w:color w:val="000000"/>
                <w:sz w:val="18"/>
                <w:szCs w:val="18"/>
                <w:u w:val="none"/>
              </w:rPr>
            </w:pPr>
          </w:p>
        </w:tc>
      </w:tr>
      <w:tr w14:paraId="04A99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B7A28">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2DF32">
            <w:pPr>
              <w:jc w:val="center"/>
              <w:rPr>
                <w:rFonts w:hint="eastAsia" w:ascii="方正黑体_GBK" w:hAnsi="方正黑体_GBK" w:eastAsia="方正黑体_GBK" w:cs="方正黑体_GBK"/>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96A8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80D3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社会效益情况</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23CF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44DB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FE77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23BF9">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8157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0907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A4D93">
            <w:pPr>
              <w:jc w:val="center"/>
              <w:rPr>
                <w:rFonts w:hint="eastAsia" w:ascii="方正黑体_GBK" w:hAnsi="方正黑体_GBK" w:eastAsia="方正黑体_GBK" w:cs="方正黑体_GBK"/>
                <w:i/>
                <w:iCs/>
                <w:color w:val="000000"/>
                <w:sz w:val="18"/>
                <w:szCs w:val="18"/>
                <w:u w:val="none"/>
              </w:rPr>
            </w:pPr>
          </w:p>
        </w:tc>
      </w:tr>
      <w:tr w14:paraId="4E708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030F3">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D42AF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E0842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A0B9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94B5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56FB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9E72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0B52F">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96</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6FE9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4773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47FAF">
            <w:pPr>
              <w:jc w:val="center"/>
              <w:rPr>
                <w:rFonts w:hint="eastAsia" w:ascii="方正黑体_GBK" w:hAnsi="方正黑体_GBK" w:eastAsia="方正黑体_GBK" w:cs="方正黑体_GBK"/>
                <w:i/>
                <w:iCs/>
                <w:color w:val="000000"/>
                <w:sz w:val="18"/>
                <w:szCs w:val="18"/>
                <w:u w:val="none"/>
              </w:rPr>
            </w:pPr>
          </w:p>
        </w:tc>
      </w:tr>
      <w:tr w14:paraId="2E74C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1D651">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77509">
            <w:pPr>
              <w:jc w:val="center"/>
              <w:rPr>
                <w:rFonts w:hint="eastAsia" w:ascii="方正黑体_GBK" w:hAnsi="方正黑体_GBK" w:eastAsia="方正黑体_GBK" w:cs="方正黑体_GBK"/>
                <w:i w:val="0"/>
                <w:iCs w:val="0"/>
                <w:color w:val="000000"/>
                <w:sz w:val="18"/>
                <w:szCs w:val="18"/>
                <w:u w:val="none"/>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BF7FE">
            <w:pPr>
              <w:jc w:val="center"/>
              <w:rPr>
                <w:rFonts w:hint="eastAsia" w:ascii="方正黑体_GBK" w:hAnsi="方正黑体_GBK" w:eastAsia="方正黑体_GBK" w:cs="方正黑体_GBK"/>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E334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平台使用人满意度</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8A4B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5174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4A72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29CF">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9085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68F7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937C">
            <w:pPr>
              <w:jc w:val="center"/>
              <w:rPr>
                <w:rFonts w:hint="eastAsia" w:ascii="方正黑体_GBK" w:hAnsi="方正黑体_GBK" w:eastAsia="方正黑体_GBK" w:cs="方正黑体_GBK"/>
                <w:i/>
                <w:iCs/>
                <w:color w:val="000000"/>
                <w:sz w:val="18"/>
                <w:szCs w:val="18"/>
                <w:u w:val="none"/>
              </w:rPr>
            </w:pPr>
          </w:p>
        </w:tc>
      </w:tr>
      <w:tr w14:paraId="0E62B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835C1">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0705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ED48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E56F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公车定位系统经济成本</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9193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BA5F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326B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5398A">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28.63</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0F04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5672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0C7E1">
            <w:pPr>
              <w:jc w:val="center"/>
              <w:rPr>
                <w:rFonts w:hint="eastAsia" w:ascii="方正黑体_GBK" w:hAnsi="方正黑体_GBK" w:eastAsia="方正黑体_GBK" w:cs="方正黑体_GBK"/>
                <w:i/>
                <w:iCs/>
                <w:color w:val="000000"/>
                <w:sz w:val="18"/>
                <w:szCs w:val="18"/>
                <w:u w:val="none"/>
              </w:rPr>
            </w:pPr>
          </w:p>
        </w:tc>
      </w:tr>
      <w:tr w14:paraId="31670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1186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1040E8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F202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56BFF">
            <w:pPr>
              <w:keepNext w:val="0"/>
              <w:keepLines w:val="0"/>
              <w:widowControl/>
              <w:suppressLineNumbers w:val="0"/>
              <w:jc w:val="right"/>
              <w:textAlignment w:val="center"/>
            </w:pPr>
            <w:r>
              <w:rPr>
                <w:rFonts w:ascii="宋体" w:hAnsi="宋体" w:eastAsia="宋体" w:cs="宋体"/>
                <w:i w:val="0"/>
                <w:iCs w:val="0"/>
                <w:color w:val="000000"/>
                <w:kern w:val="0"/>
                <w:sz w:val="18"/>
                <w:szCs w:val="18"/>
                <w:u w:val="none"/>
                <w:lang w:val="en-US" w:eastAsia="zh-CN" w:bidi="ar"/>
              </w:rPr>
              <w:t>100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EDF5E">
            <w:pPr>
              <w:rPr>
                <w:rFonts w:hint="eastAsia" w:ascii="方正黑体_GBK" w:hAnsi="方正黑体_GBK" w:eastAsia="方正黑体_GBK" w:cs="方正黑体_GBK"/>
                <w:i w:val="0"/>
                <w:iCs w:val="0"/>
                <w:color w:val="000000"/>
                <w:sz w:val="18"/>
                <w:szCs w:val="18"/>
                <w:u w:val="none"/>
              </w:rPr>
            </w:pPr>
          </w:p>
        </w:tc>
      </w:tr>
      <w:tr w14:paraId="3DC80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9965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6A0D87">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该项目顺利实施，为我州的车改工作奠定了基础，公车实现全省一张网统一监管，系统模块可查询车辆动态，油耗监测等，方便数据统计。</w:t>
            </w:r>
          </w:p>
        </w:tc>
      </w:tr>
      <w:tr w14:paraId="4BB39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F42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FA1A75">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该项目试点已完成，全州推广还需加大力度。</w:t>
            </w:r>
          </w:p>
        </w:tc>
      </w:tr>
      <w:tr w14:paraId="351D7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3671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502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92E0C2">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4BA4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81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779362">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762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F263166">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0D00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538AD">
            <w:pPr>
              <w:rPr>
                <w:rFonts w:hint="eastAsia" w:ascii="方正黑体_GBK" w:hAnsi="方正黑体_GBK" w:eastAsia="方正黑体_GBK" w:cs="方正黑体_GBK"/>
                <w:b/>
                <w:bCs/>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88124"/>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4D374"/>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B1C67"/>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B29BB"/>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302D"/>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1F673"/>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6418D"/>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F9151"/>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06160"/>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31735"/>
        </w:tc>
      </w:tr>
      <w:tr w14:paraId="0B8E1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1579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085DE4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AAA3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8C57AB">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27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0DB8835">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51320022T000000309401-阿坝州公务用车管理平台建设</w:t>
            </w:r>
          </w:p>
        </w:tc>
      </w:tr>
      <w:tr w14:paraId="15776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3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62FF23">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CAFCD5">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州机关事务管理局部门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CF172">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7C06E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州机关事务管理局</w:t>
            </w:r>
          </w:p>
        </w:tc>
      </w:tr>
      <w:tr w14:paraId="589DA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B9955B">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9C5E9F">
            <w:pPr>
              <w:keepNext w:val="0"/>
              <w:keepLines w:val="0"/>
              <w:widowControl/>
              <w:suppressLineNumbers w:val="0"/>
              <w:jc w:val="left"/>
              <w:textAlignment w:val="center"/>
            </w:pPr>
            <w:r>
              <w:rPr>
                <w:rFonts w:ascii="宋体" w:hAnsi="宋体" w:eastAsia="宋体" w:cs="宋体"/>
                <w:i w:val="0"/>
                <w:iCs w:val="0"/>
                <w:color w:val="000000"/>
                <w:kern w:val="0"/>
                <w:sz w:val="18"/>
                <w:szCs w:val="18"/>
                <w:u w:val="none"/>
                <w:lang w:val="en-US" w:eastAsia="zh-CN" w:bidi="ar"/>
              </w:rPr>
              <w:t>1.项目年度目标完成情况</w:t>
            </w: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1B685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5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C3D18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4BB3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A37BE">
            <w:pP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9C1E5">
            <w:pPr>
              <w:rPr>
                <w:rFonts w:hint="eastAsia" w:ascii="方正黑体_GBK" w:hAnsi="方正黑体_GBK" w:eastAsia="方正黑体_GBK" w:cs="方正黑体_GBK"/>
                <w:i w:val="0"/>
                <w:iCs w:val="0"/>
                <w:color w:val="000000"/>
                <w:sz w:val="18"/>
                <w:szCs w:val="18"/>
                <w:u w:val="none"/>
              </w:rPr>
            </w:pPr>
          </w:p>
        </w:tc>
        <w:tc>
          <w:tcPr>
            <w:tcW w:w="75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9E78AB">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党风廉政建设、厉行节约反对浪费，全省一张网统一监管。为贯彻落实《中共四川省委办公厅、四川省人民政府办公厅关于印发&lt;四川省全面推进公务用车制度改革总体方案&gt;的通知》（川委办〔2015〕45号）精神。</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2016年12月22日，中央车改办下发了《关于进一步加强地方公务用车平台建设的通知》（发改电〔2016〕756号），要求“通过车辆管理平台建设，实现公车管理平台化、平台信息化，省、市、县三级信息互联互通，公车管理实现全省一张网”。2017年6月30日，省车改办制定《四川省公务用车管理平台建设方案》（川车改办函〔2017〕15号），明确了全省总体目标、建设要求及方式。省机关事务管理局要市、州完成各级公车管理平台建设，并与省级公务用车管理平台实现对接。</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2018年12月，省车改办组织会议，要求甘孜阿坝两州尽快开始车改，并明确车改同时必须建设州公务用车管理平台，平台建设完成且平台数据能够接入到省级公务用车管理平台，即拨付车改补贴。</w:t>
            </w:r>
          </w:p>
        </w:tc>
        <w:tc>
          <w:tcPr>
            <w:tcW w:w="51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C44965">
            <w:pPr>
              <w:keepNext w:val="0"/>
              <w:keepLines w:val="0"/>
              <w:widowControl/>
              <w:suppressLineNumbers w:val="0"/>
              <w:jc w:val="left"/>
              <w:textAlignment w:val="center"/>
            </w:pPr>
            <w:r>
              <w:rPr>
                <w:rFonts w:hint="eastAsia" w:ascii="黑体" w:hAnsi="黑体" w:eastAsia="黑体" w:cs="黑体"/>
                <w:i w:val="0"/>
                <w:iCs w:val="0"/>
                <w:color w:val="000000"/>
                <w:kern w:val="0"/>
                <w:sz w:val="18"/>
                <w:szCs w:val="18"/>
                <w:u w:val="none"/>
                <w:lang w:val="en-US" w:eastAsia="zh-CN" w:bidi="ar"/>
              </w:rPr>
              <w:t>已完成</w:t>
            </w:r>
          </w:p>
        </w:tc>
      </w:tr>
      <w:tr w14:paraId="1983B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AC72E">
            <w:pP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DCB9D">
            <w:pPr>
              <w:keepNext w:val="0"/>
              <w:keepLines w:val="0"/>
              <w:widowControl/>
              <w:suppressLineNumbers w:val="0"/>
              <w:jc w:val="left"/>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27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04BD440">
            <w:pPr>
              <w:rPr>
                <w:rFonts w:hint="eastAsia" w:ascii="方正黑体_GBK" w:hAnsi="方正黑体_GBK" w:eastAsia="方正黑体_GBK" w:cs="方正黑体_GBK"/>
                <w:i w:val="0"/>
                <w:iCs w:val="0"/>
                <w:color w:val="000000"/>
                <w:sz w:val="18"/>
                <w:szCs w:val="18"/>
                <w:u w:val="none"/>
              </w:rPr>
            </w:pPr>
          </w:p>
        </w:tc>
      </w:tr>
      <w:tr w14:paraId="5647A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48D4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24E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3E80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1136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0F3AD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E5C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AC8D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4A5D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14C44">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9057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66E52">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8FBF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C4B4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C4EC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9AA7A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A624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3214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51A7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92BB4C">
            <w:pPr>
              <w:keepNext w:val="0"/>
              <w:keepLines w:val="0"/>
              <w:widowControl/>
              <w:suppressLineNumbers w:val="0"/>
              <w:jc w:val="left"/>
              <w:textAlignment w:val="center"/>
              <w:rPr>
                <w:rFonts w:hint="eastAsia" w:ascii="方正黑体_GBK" w:hAnsi="方正黑体_GBK" w:eastAsia="方正黑体_GBK" w:cs="方正黑体_GBK"/>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915D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679C6">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B14F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DCDA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B1F8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2D703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28.63</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47BBD">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45945">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9D9E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257EA">
            <w:pPr>
              <w:rPr>
                <w:rFonts w:hint="eastAsia" w:ascii="方正黑体_GBK" w:hAnsi="方正黑体_GBK" w:eastAsia="方正黑体_GBK" w:cs="方正黑体_GBK"/>
                <w:i/>
                <w:iCs/>
                <w:color w:val="000000"/>
                <w:sz w:val="18"/>
                <w:szCs w:val="18"/>
                <w:u w:val="none"/>
              </w:rPr>
            </w:pPr>
          </w:p>
        </w:tc>
      </w:tr>
      <w:tr w14:paraId="60C7D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8E2DB">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405B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359C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7424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F58D0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B6A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5C7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CA45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75F2F">
            <w:pPr>
              <w:rPr>
                <w:rFonts w:hint="eastAsia" w:ascii="方正黑体_GBK" w:hAnsi="方正黑体_GBK" w:eastAsia="方正黑体_GBK" w:cs="方正黑体_GBK"/>
                <w:i/>
                <w:iCs/>
                <w:color w:val="000000"/>
                <w:sz w:val="18"/>
                <w:szCs w:val="18"/>
                <w:u w:val="none"/>
              </w:rPr>
            </w:pPr>
          </w:p>
        </w:tc>
      </w:tr>
      <w:tr w14:paraId="1B07D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7ED03">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B482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F609D">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BA260">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52A35D">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2ED38">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60CB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5C49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784C5">
            <w:pPr>
              <w:rPr>
                <w:rFonts w:hint="eastAsia" w:ascii="方正黑体_GBK" w:hAnsi="方正黑体_GBK" w:eastAsia="方正黑体_GBK" w:cs="方正黑体_GBK"/>
                <w:i/>
                <w:iCs/>
                <w:color w:val="000000"/>
                <w:sz w:val="18"/>
                <w:szCs w:val="18"/>
                <w:u w:val="none"/>
              </w:rPr>
            </w:pPr>
          </w:p>
        </w:tc>
      </w:tr>
      <w:tr w14:paraId="4BCC1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D1548">
            <w:pPr>
              <w:jc w:val="center"/>
              <w:rPr>
                <w:rFonts w:hint="eastAsia" w:ascii="方正黑体_GBK" w:hAnsi="方正黑体_GBK" w:eastAsia="方正黑体_GBK" w:cs="方正黑体_GBK"/>
                <w:i w:val="0"/>
                <w:iCs w:val="0"/>
                <w:color w:val="000000"/>
                <w:sz w:val="18"/>
                <w:szCs w:val="18"/>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FF56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1C6D1">
            <w:pPr>
              <w:jc w:val="center"/>
              <w:rPr>
                <w:rFonts w:hint="eastAsia" w:ascii="方正黑体_GBK" w:hAnsi="方正黑体_GBK" w:eastAsia="方正黑体_GBK" w:cs="方正黑体_GBK"/>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F253B">
            <w:pPr>
              <w:jc w:val="center"/>
              <w:rPr>
                <w:rFonts w:hint="eastAsia" w:ascii="方正黑体_GBK" w:hAnsi="方正黑体_GBK" w:eastAsia="方正黑体_GBK" w:cs="方正黑体_GBK"/>
                <w:i w:val="0"/>
                <w:iCs w:val="0"/>
                <w:color w:val="000000"/>
                <w:sz w:val="18"/>
                <w:szCs w:val="18"/>
                <w:u w:val="none"/>
              </w:rPr>
            </w:pPr>
          </w:p>
        </w:tc>
        <w:tc>
          <w:tcPr>
            <w:tcW w:w="30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3DC4F3">
            <w:pPr>
              <w:jc w:val="center"/>
              <w:rPr>
                <w:rFonts w:hint="eastAsia" w:ascii="方正黑体_GBK" w:hAnsi="方正黑体_GBK" w:eastAsia="方正黑体_GBK" w:cs="方正黑体_GBK"/>
                <w:i w:val="0"/>
                <w:iCs w:val="0"/>
                <w:color w:val="000000"/>
                <w:sz w:val="18"/>
                <w:szCs w:val="18"/>
                <w:u w:val="none"/>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491E2">
            <w:pPr>
              <w:jc w:val="center"/>
              <w:rPr>
                <w:rFonts w:hint="eastAsia" w:ascii="方正黑体_GBK" w:hAnsi="方正黑体_GBK" w:eastAsia="方正黑体_GBK" w:cs="方正黑体_GBK"/>
                <w:i w:val="0"/>
                <w:iCs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3CED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40E6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2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0BFD3">
            <w:pPr>
              <w:rPr>
                <w:rFonts w:hint="eastAsia" w:ascii="方正黑体_GBK" w:hAnsi="方正黑体_GBK" w:eastAsia="方正黑体_GBK" w:cs="方正黑体_GBK"/>
                <w:i w:val="0"/>
                <w:iCs w:val="0"/>
                <w:color w:val="000000"/>
                <w:sz w:val="18"/>
                <w:szCs w:val="18"/>
                <w:u w:val="none"/>
              </w:rPr>
            </w:pPr>
          </w:p>
        </w:tc>
      </w:tr>
      <w:tr w14:paraId="00F04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B3345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4D6B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6DA3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A391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D170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4D96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3DCD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8BF32">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C7C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权重</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0F05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得分</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1D188">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82A5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06EC2">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F3F64C">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518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9DFC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国产定位系统安装率，计算方法为：（车载定位系统安装车辆/州级机关车辆）×100%</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8944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004E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22.14</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7865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53AF7">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25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9127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5F83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44036">
            <w:pPr>
              <w:jc w:val="center"/>
              <w:rPr>
                <w:rFonts w:hint="eastAsia" w:ascii="方正黑体_GBK" w:hAnsi="方正黑体_GBK" w:eastAsia="方正黑体_GBK" w:cs="方正黑体_GBK"/>
                <w:i/>
                <w:iCs/>
                <w:color w:val="000000"/>
                <w:sz w:val="18"/>
                <w:szCs w:val="18"/>
                <w:u w:val="none"/>
              </w:rPr>
            </w:pPr>
          </w:p>
        </w:tc>
      </w:tr>
      <w:tr w14:paraId="5FCFF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4D334">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7CE68">
            <w:pPr>
              <w:jc w:val="center"/>
              <w:rPr>
                <w:rFonts w:hint="eastAsia" w:ascii="方正黑体_GBK" w:hAnsi="方正黑体_GBK" w:eastAsia="方正黑体_GBK" w:cs="方正黑体_GBK"/>
                <w:i w:val="0"/>
                <w:iCs w:val="0"/>
                <w:color w:val="000000"/>
                <w:sz w:val="18"/>
                <w:szCs w:val="18"/>
                <w:u w:val="none"/>
              </w:rPr>
            </w:pP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9EFB5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A240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达标率</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BFD65">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CE8C1">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9DFB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E6F2D">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C795D">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51D7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77339">
            <w:pPr>
              <w:jc w:val="center"/>
              <w:rPr>
                <w:rFonts w:hint="eastAsia" w:ascii="方正黑体_GBK" w:hAnsi="方正黑体_GBK" w:eastAsia="方正黑体_GBK" w:cs="方正黑体_GBK"/>
                <w:i/>
                <w:iCs/>
                <w:color w:val="000000"/>
                <w:sz w:val="18"/>
                <w:szCs w:val="18"/>
                <w:u w:val="none"/>
              </w:rPr>
            </w:pPr>
          </w:p>
        </w:tc>
      </w:tr>
      <w:tr w14:paraId="1520C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B2782">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7186D">
            <w:pPr>
              <w:jc w:val="center"/>
              <w:rPr>
                <w:rFonts w:hint="eastAsia" w:ascii="方正黑体_GBK" w:hAnsi="方正黑体_GBK" w:eastAsia="方正黑体_GBK" w:cs="方正黑体_GBK"/>
                <w:i w:val="0"/>
                <w:iCs w:val="0"/>
                <w:color w:val="000000"/>
                <w:sz w:val="18"/>
                <w:szCs w:val="18"/>
                <w:u w:val="none"/>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C1C9C">
            <w:pPr>
              <w:jc w:val="center"/>
              <w:rPr>
                <w:rFonts w:hint="eastAsia" w:ascii="方正黑体_GBK" w:hAnsi="方正黑体_GBK" w:eastAsia="方正黑体_GBK" w:cs="方正黑体_GBK"/>
                <w:i w:val="0"/>
                <w:iCs w:val="0"/>
                <w:color w:val="000000"/>
                <w:sz w:val="18"/>
                <w:szCs w:val="18"/>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321A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群众满意度指标，计算方法：（满意数/总数）×100%</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B5043">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BD27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8DC97">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1E9B">
            <w:pPr>
              <w:keepNext w:val="0"/>
              <w:keepLines w:val="0"/>
              <w:widowControl/>
              <w:suppressLineNumbers w:val="0"/>
              <w:jc w:val="center"/>
              <w:textAlignment w:val="center"/>
              <w:rPr>
                <w:rFonts w:hint="eastAsia" w:ascii="方正黑体_GBK" w:hAnsi="方正黑体_GBK" w:eastAsia="方正黑体_GBK" w:cs="方正黑体_GBK"/>
                <w:i/>
                <w:iCs/>
                <w:color w:val="000000"/>
                <w:sz w:val="18"/>
                <w:szCs w:val="18"/>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6D4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F510">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70B01">
            <w:pPr>
              <w:jc w:val="center"/>
              <w:rPr>
                <w:rFonts w:hint="eastAsia" w:ascii="方正黑体_GBK" w:hAnsi="方正黑体_GBK" w:eastAsia="方正黑体_GBK" w:cs="方正黑体_GBK"/>
                <w:i/>
                <w:iCs/>
                <w:color w:val="000000"/>
                <w:sz w:val="18"/>
                <w:szCs w:val="18"/>
                <w:u w:val="none"/>
              </w:rPr>
            </w:pPr>
          </w:p>
        </w:tc>
      </w:tr>
      <w:tr w14:paraId="465C5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16156">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44805">
            <w:pPr>
              <w:jc w:val="cente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8E73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时效指标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BD3F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项目完成时间</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5D69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定性</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40B6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2024年12月底前完成</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24A7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3B16">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完成</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3506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A5F0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B6A3D">
            <w:pPr>
              <w:jc w:val="center"/>
              <w:rPr>
                <w:rFonts w:hint="eastAsia" w:ascii="方正黑体_GBK" w:hAnsi="方正黑体_GBK" w:eastAsia="方正黑体_GBK" w:cs="方正黑体_GBK"/>
                <w:i w:val="0"/>
                <w:iCs w:val="0"/>
                <w:color w:val="000000"/>
                <w:sz w:val="18"/>
                <w:szCs w:val="18"/>
                <w:u w:val="none"/>
              </w:rPr>
            </w:pPr>
          </w:p>
        </w:tc>
      </w:tr>
      <w:tr w14:paraId="1FF55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3E409">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A80F8E">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EDF1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经济效益指标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6821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年度节约财政资金</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A06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9AA9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E508E">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万元</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52DBC">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100</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91658">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3742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7C764">
            <w:pPr>
              <w:jc w:val="center"/>
            </w:pPr>
          </w:p>
        </w:tc>
      </w:tr>
      <w:tr w14:paraId="46C2F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09953">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C0220">
            <w:pPr>
              <w:jc w:val="center"/>
              <w:rPr>
                <w:rFonts w:hint="eastAsia" w:ascii="方正黑体_GBK" w:hAnsi="方正黑体_GBK" w:eastAsia="方正黑体_GBK" w:cs="方正黑体_GBK"/>
                <w:i w:val="0"/>
                <w:iCs w:val="0"/>
                <w:color w:val="000000"/>
                <w:sz w:val="18"/>
                <w:szCs w:val="18"/>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23B0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社会效益指标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AE19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社会效益情况</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CA73A">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2DB8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90</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7444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F1C7E">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95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9A9FF">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D37E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10</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F5085">
            <w:pPr>
              <w:jc w:val="center"/>
            </w:pPr>
          </w:p>
        </w:tc>
      </w:tr>
      <w:tr w14:paraId="48EC2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E2006">
            <w:pPr>
              <w:jc w:val="center"/>
              <w:rPr>
                <w:rFonts w:hint="eastAsia" w:ascii="方正黑体_GBK" w:hAnsi="方正黑体_GBK" w:eastAsia="方正黑体_GBK" w:cs="方正黑体_GBK"/>
                <w:i w:val="0"/>
                <w:iCs w:val="0"/>
                <w:color w:val="000000"/>
                <w:sz w:val="18"/>
                <w:szCs w:val="18"/>
                <w:u w:val="none"/>
              </w:rPr>
            </w:pPr>
          </w:p>
        </w:tc>
        <w:tc>
          <w:tcPr>
            <w:tcW w:w="2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FD990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E4A67C">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服务对象满意度指标</w:t>
            </w: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E1CC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满意度</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36A6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0F0C9">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95</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6EBC6">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88C7A">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96</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53A5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FCDE3">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F19CF">
            <w:pPr>
              <w:jc w:val="center"/>
            </w:pPr>
          </w:p>
        </w:tc>
      </w:tr>
      <w:tr w14:paraId="1C5BC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0356" w:type="dxa"/>
          <w:trHeight w:val="280"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04367">
            <w:pPr>
              <w:jc w:val="center"/>
              <w:rPr>
                <w:rFonts w:hint="eastAsia" w:ascii="方正黑体_GBK" w:hAnsi="方正黑体_GBK" w:eastAsia="方正黑体_GBK" w:cs="方正黑体_GBK"/>
                <w:i w:val="0"/>
                <w:iCs w:val="0"/>
                <w:color w:val="000000"/>
                <w:sz w:val="18"/>
                <w:szCs w:val="18"/>
                <w:u w:val="none"/>
              </w:rPr>
            </w:pPr>
          </w:p>
        </w:tc>
        <w:tc>
          <w:tcPr>
            <w:tcW w:w="2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1CB45">
            <w:pPr>
              <w:jc w:val="cente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AF41E">
            <w:pPr>
              <w:jc w:val="center"/>
            </w:pPr>
          </w:p>
        </w:tc>
        <w:tc>
          <w:tcPr>
            <w:tcW w:w="2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1AA37">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平台使用人满意度</w:t>
            </w:r>
          </w:p>
        </w:tc>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9B444">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FB14">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9D62">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C3B64">
            <w:pPr>
              <w:keepNext w:val="0"/>
              <w:keepLines w:val="0"/>
              <w:widowControl/>
              <w:suppressLineNumbers w:val="0"/>
              <w:jc w:val="center"/>
              <w:textAlignment w:val="center"/>
            </w:pPr>
            <w:r>
              <w:rPr>
                <w:rFonts w:hint="eastAsia" w:ascii="微软雅黑" w:hAnsi="微软雅黑" w:eastAsia="微软雅黑" w:cs="微软雅黑"/>
                <w:i/>
                <w:iCs/>
                <w:color w:val="000000"/>
                <w:kern w:val="0"/>
                <w:sz w:val="16"/>
                <w:szCs w:val="16"/>
                <w:u w:val="none"/>
                <w:lang w:val="en-US" w:eastAsia="zh-CN" w:bidi="ar"/>
              </w:rPr>
              <w:t>95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B3501">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F12EB">
            <w:pPr>
              <w:keepNext w:val="0"/>
              <w:keepLines w:val="0"/>
              <w:widowControl/>
              <w:suppressLineNumbers w:val="0"/>
              <w:jc w:val="center"/>
              <w:textAlignment w:val="center"/>
            </w:pPr>
            <w:r>
              <w:rPr>
                <w:rFonts w:ascii="宋体" w:hAnsi="宋体" w:eastAsia="宋体" w:cs="宋体"/>
                <w:i w:val="0"/>
                <w:iCs w:val="0"/>
                <w:color w:val="000000"/>
                <w:kern w:val="0"/>
                <w:sz w:val="18"/>
                <w:szCs w:val="18"/>
                <w:u w:val="none"/>
                <w:lang w:val="en-US" w:eastAsia="zh-CN" w:bidi="ar"/>
              </w:rPr>
              <w:t>5</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7FFE6">
            <w:pPr>
              <w:jc w:val="center"/>
            </w:pPr>
          </w:p>
        </w:tc>
      </w:tr>
    </w:tbl>
    <w:p w14:paraId="27168B44">
      <w:pPr>
        <w:spacing w:line="600" w:lineRule="exact"/>
        <w:jc w:val="both"/>
        <w:outlineLvl w:val="0"/>
        <w:rPr>
          <w:rFonts w:hint="eastAsia" w:ascii="黑体" w:hAnsi="黑体" w:eastAsia="黑体"/>
          <w:sz w:val="44"/>
          <w:szCs w:val="44"/>
        </w:rPr>
        <w:sectPr>
          <w:footerReference r:id="rId9" w:type="first"/>
          <w:footerReference r:id="rId8" w:type="default"/>
          <w:pgSz w:w="16838" w:h="11906" w:orient="landscape"/>
          <w:pgMar w:top="57" w:right="567" w:bottom="57" w:left="567" w:header="851" w:footer="992" w:gutter="0"/>
          <w:pgNumType w:fmt="decimal" w:start="25"/>
          <w:cols w:space="0" w:num="1"/>
          <w:titlePg/>
          <w:rtlGutter w:val="0"/>
          <w:docGrid w:type="lines" w:linePitch="312" w:charSpace="0"/>
        </w:sectPr>
      </w:pPr>
    </w:p>
    <w:p w14:paraId="036C6473">
      <w:pPr>
        <w:spacing w:line="600" w:lineRule="exact"/>
        <w:jc w:val="center"/>
        <w:outlineLvl w:val="0"/>
        <w:rPr>
          <w:rFonts w:ascii="仿宋" w:hAnsi="仿宋" w:eastAsia="仿宋"/>
        </w:rPr>
      </w:pPr>
      <w:r>
        <w:rPr>
          <w:rFonts w:hint="eastAsia" w:ascii="黑体" w:hAnsi="黑体" w:eastAsia="黑体"/>
          <w:sz w:val="44"/>
          <w:szCs w:val="44"/>
        </w:rPr>
        <w:br w:type="textWrapping"/>
      </w:r>
      <w:r>
        <w:rPr>
          <w:rFonts w:hint="eastAsia" w:ascii="黑体" w:hAnsi="黑体" w:eastAsia="黑体"/>
          <w:sz w:val="44"/>
          <w:szCs w:val="44"/>
        </w:rPr>
        <w:t>第</w:t>
      </w:r>
      <w:r>
        <w:rPr>
          <w:rStyle w:val="30"/>
          <w:rFonts w:hint="eastAsia" w:ascii="黑体" w:hAnsi="黑体" w:eastAsia="黑体"/>
          <w:b w:val="0"/>
        </w:rPr>
        <w:t>五部分 附表</w:t>
      </w:r>
      <w:bookmarkEnd w:id="50"/>
      <w:bookmarkEnd w:id="52"/>
      <w:bookmarkStart w:id="54" w:name="_Toc15396619"/>
    </w:p>
    <w:p w14:paraId="633A0EDE">
      <w:pPr>
        <w:pStyle w:val="6"/>
        <w:rPr>
          <w:rFonts w:ascii="仿宋" w:hAnsi="仿宋" w:eastAsia="仿宋"/>
        </w:rPr>
      </w:pPr>
      <w:r>
        <w:rPr>
          <w:rFonts w:hint="eastAsia" w:ascii="仿宋" w:hAnsi="仿宋" w:eastAsia="仿宋"/>
          <w:b w:val="0"/>
        </w:rPr>
        <w:t>一、收</w:t>
      </w:r>
      <w:r>
        <w:rPr>
          <w:rStyle w:val="31"/>
          <w:rFonts w:hint="eastAsia" w:ascii="仿宋" w:hAnsi="仿宋" w:eastAsia="仿宋"/>
          <w:b w:val="0"/>
          <w:bCs w:val="0"/>
        </w:rPr>
        <w:t>入支出决算总表</w:t>
      </w:r>
      <w:bookmarkEnd w:id="54"/>
    </w:p>
    <w:p w14:paraId="1C428187">
      <w:pPr>
        <w:pStyle w:val="6"/>
        <w:rPr>
          <w:rFonts w:ascii="仿宋" w:hAnsi="仿宋" w:eastAsia="仿宋"/>
        </w:rPr>
      </w:pPr>
      <w:bookmarkStart w:id="55" w:name="_Toc15396620"/>
      <w:r>
        <w:rPr>
          <w:rFonts w:hint="eastAsia" w:ascii="仿宋" w:hAnsi="仿宋" w:eastAsia="仿宋"/>
          <w:b w:val="0"/>
        </w:rPr>
        <w:t>二、收</w:t>
      </w:r>
      <w:r>
        <w:rPr>
          <w:rStyle w:val="31"/>
          <w:rFonts w:hint="eastAsia" w:ascii="仿宋" w:hAnsi="仿宋" w:eastAsia="仿宋"/>
          <w:b w:val="0"/>
          <w:bCs w:val="0"/>
        </w:rPr>
        <w:t>入决算表</w:t>
      </w:r>
      <w:bookmarkEnd w:id="55"/>
    </w:p>
    <w:p w14:paraId="02440B24">
      <w:pPr>
        <w:pStyle w:val="6"/>
        <w:rPr>
          <w:rFonts w:ascii="仿宋" w:hAnsi="仿宋" w:eastAsia="仿宋"/>
        </w:rPr>
      </w:pPr>
      <w:bookmarkStart w:id="56" w:name="_Toc15396621"/>
      <w:r>
        <w:rPr>
          <w:rStyle w:val="31"/>
          <w:rFonts w:hint="eastAsia" w:ascii="仿宋" w:hAnsi="仿宋" w:eastAsia="仿宋"/>
          <w:b w:val="0"/>
          <w:bCs w:val="0"/>
        </w:rPr>
        <w:t>三、</w:t>
      </w:r>
      <w:r>
        <w:rPr>
          <w:rFonts w:hint="eastAsia" w:ascii="仿宋" w:hAnsi="仿宋" w:eastAsia="仿宋"/>
          <w:b w:val="0"/>
        </w:rPr>
        <w:t>支</w:t>
      </w:r>
      <w:r>
        <w:rPr>
          <w:rStyle w:val="31"/>
          <w:rFonts w:hint="eastAsia" w:ascii="仿宋" w:hAnsi="仿宋" w:eastAsia="仿宋"/>
          <w:b w:val="0"/>
          <w:bCs w:val="0"/>
        </w:rPr>
        <w:t>出决算表</w:t>
      </w:r>
      <w:bookmarkEnd w:id="56"/>
    </w:p>
    <w:p w14:paraId="79C7A96B">
      <w:pPr>
        <w:pStyle w:val="6"/>
        <w:rPr>
          <w:rFonts w:ascii="仿宋" w:hAnsi="仿宋" w:eastAsia="仿宋"/>
          <w:b w:val="0"/>
        </w:rPr>
      </w:pPr>
      <w:bookmarkStart w:id="57" w:name="_Toc15396622"/>
      <w:r>
        <w:rPr>
          <w:rStyle w:val="31"/>
          <w:rFonts w:hint="eastAsia" w:ascii="仿宋" w:hAnsi="仿宋" w:eastAsia="仿宋"/>
          <w:b w:val="0"/>
          <w:bCs w:val="0"/>
        </w:rPr>
        <w:t>四、</w:t>
      </w:r>
      <w:r>
        <w:rPr>
          <w:rFonts w:hint="eastAsia" w:ascii="仿宋" w:hAnsi="仿宋" w:eastAsia="仿宋"/>
          <w:b w:val="0"/>
        </w:rPr>
        <w:t>财</w:t>
      </w:r>
      <w:r>
        <w:rPr>
          <w:rStyle w:val="31"/>
          <w:rFonts w:hint="eastAsia" w:ascii="仿宋" w:hAnsi="仿宋" w:eastAsia="仿宋"/>
          <w:b w:val="0"/>
          <w:bCs w:val="0"/>
        </w:rPr>
        <w:t>政拨款收入支出决算总表</w:t>
      </w:r>
      <w:bookmarkEnd w:id="57"/>
    </w:p>
    <w:p w14:paraId="6A31D631">
      <w:pPr>
        <w:pStyle w:val="6"/>
        <w:rPr>
          <w:rStyle w:val="31"/>
          <w:rFonts w:ascii="仿宋" w:hAnsi="仿宋" w:eastAsia="仿宋"/>
          <w:b w:val="0"/>
          <w:bCs w:val="0"/>
        </w:rPr>
      </w:pPr>
      <w:bookmarkStart w:id="58" w:name="_Toc15396623"/>
      <w:r>
        <w:rPr>
          <w:rStyle w:val="31"/>
          <w:rFonts w:hint="eastAsia" w:ascii="仿宋" w:hAnsi="仿宋" w:eastAsia="仿宋"/>
          <w:b w:val="0"/>
          <w:bCs w:val="0"/>
        </w:rPr>
        <w:t>五、</w:t>
      </w:r>
      <w:r>
        <w:rPr>
          <w:rFonts w:hint="eastAsia" w:ascii="仿宋" w:hAnsi="仿宋" w:eastAsia="仿宋"/>
          <w:b w:val="0"/>
        </w:rPr>
        <w:t>财</w:t>
      </w:r>
      <w:r>
        <w:rPr>
          <w:rStyle w:val="31"/>
          <w:rFonts w:hint="eastAsia" w:ascii="仿宋" w:hAnsi="仿宋" w:eastAsia="仿宋"/>
          <w:b w:val="0"/>
          <w:bCs w:val="0"/>
        </w:rPr>
        <w:t>政拨款支出决算明细表</w:t>
      </w:r>
      <w:bookmarkEnd w:id="58"/>
      <w:bookmarkStart w:id="59" w:name="_Toc15396624"/>
    </w:p>
    <w:p w14:paraId="1CFE547B">
      <w:pPr>
        <w:pStyle w:val="6"/>
        <w:rPr>
          <w:rFonts w:ascii="仿宋" w:hAnsi="仿宋" w:eastAsia="仿宋"/>
        </w:rPr>
      </w:pPr>
      <w:r>
        <w:rPr>
          <w:rStyle w:val="31"/>
          <w:rFonts w:hint="eastAsia" w:ascii="仿宋" w:hAnsi="仿宋" w:eastAsia="仿宋"/>
          <w:b w:val="0"/>
          <w:bCs w:val="0"/>
        </w:rPr>
        <w:t>六、</w:t>
      </w:r>
      <w:r>
        <w:rPr>
          <w:rFonts w:hint="eastAsia" w:ascii="仿宋" w:hAnsi="仿宋" w:eastAsia="仿宋"/>
          <w:b w:val="0"/>
        </w:rPr>
        <w:t>一</w:t>
      </w:r>
      <w:r>
        <w:rPr>
          <w:rStyle w:val="31"/>
          <w:rFonts w:hint="eastAsia" w:ascii="仿宋" w:hAnsi="仿宋" w:eastAsia="仿宋"/>
          <w:b w:val="0"/>
          <w:bCs w:val="0"/>
        </w:rPr>
        <w:t>般公共预算财政拨款支出决算表</w:t>
      </w:r>
      <w:bookmarkEnd w:id="59"/>
    </w:p>
    <w:p w14:paraId="3CAB3208">
      <w:pPr>
        <w:pStyle w:val="6"/>
        <w:rPr>
          <w:rFonts w:ascii="仿宋" w:hAnsi="仿宋" w:eastAsia="仿宋"/>
        </w:rPr>
      </w:pPr>
      <w:bookmarkStart w:id="60" w:name="_Toc15396625"/>
      <w:r>
        <w:rPr>
          <w:rStyle w:val="31"/>
          <w:rFonts w:hint="eastAsia" w:ascii="仿宋" w:hAnsi="仿宋" w:eastAsia="仿宋"/>
          <w:b w:val="0"/>
          <w:bCs w:val="0"/>
        </w:rPr>
        <w:t>七、</w:t>
      </w:r>
      <w:r>
        <w:rPr>
          <w:rFonts w:hint="eastAsia" w:ascii="仿宋" w:hAnsi="仿宋" w:eastAsia="仿宋"/>
          <w:b w:val="0"/>
        </w:rPr>
        <w:t>一</w:t>
      </w:r>
      <w:r>
        <w:rPr>
          <w:rStyle w:val="31"/>
          <w:rFonts w:hint="eastAsia" w:ascii="仿宋" w:hAnsi="仿宋" w:eastAsia="仿宋"/>
          <w:b w:val="0"/>
          <w:bCs w:val="0"/>
        </w:rPr>
        <w:t>般公共预算财政拨款支出决算明细表</w:t>
      </w:r>
      <w:bookmarkEnd w:id="60"/>
    </w:p>
    <w:p w14:paraId="75281AE6">
      <w:pPr>
        <w:pStyle w:val="6"/>
        <w:rPr>
          <w:rFonts w:ascii="仿宋" w:hAnsi="仿宋" w:eastAsia="仿宋"/>
        </w:rPr>
      </w:pPr>
      <w:bookmarkStart w:id="61" w:name="_Toc15396626"/>
      <w:r>
        <w:rPr>
          <w:rStyle w:val="31"/>
          <w:rFonts w:hint="eastAsia" w:ascii="仿宋" w:hAnsi="仿宋" w:eastAsia="仿宋"/>
          <w:b w:val="0"/>
          <w:bCs w:val="0"/>
        </w:rPr>
        <w:t>八、</w:t>
      </w:r>
      <w:r>
        <w:rPr>
          <w:rFonts w:hint="eastAsia" w:ascii="仿宋" w:hAnsi="仿宋" w:eastAsia="仿宋"/>
          <w:b w:val="0"/>
        </w:rPr>
        <w:t>一</w:t>
      </w:r>
      <w:r>
        <w:rPr>
          <w:rStyle w:val="31"/>
          <w:rFonts w:hint="eastAsia" w:ascii="仿宋" w:hAnsi="仿宋" w:eastAsia="仿宋"/>
          <w:b w:val="0"/>
          <w:bCs w:val="0"/>
        </w:rPr>
        <w:t>般公共预算财政拨款基本支出决算表</w:t>
      </w:r>
      <w:bookmarkEnd w:id="61"/>
    </w:p>
    <w:p w14:paraId="2E1C3490">
      <w:pPr>
        <w:pStyle w:val="6"/>
        <w:rPr>
          <w:rFonts w:ascii="仿宋" w:hAnsi="仿宋" w:eastAsia="仿宋"/>
        </w:rPr>
      </w:pPr>
      <w:bookmarkStart w:id="62" w:name="_Toc15396627"/>
      <w:r>
        <w:rPr>
          <w:rStyle w:val="31"/>
          <w:rFonts w:hint="eastAsia" w:ascii="仿宋" w:hAnsi="仿宋" w:eastAsia="仿宋"/>
          <w:b w:val="0"/>
          <w:bCs w:val="0"/>
        </w:rPr>
        <w:t>九、</w:t>
      </w:r>
      <w:r>
        <w:rPr>
          <w:rFonts w:hint="eastAsia" w:ascii="仿宋" w:hAnsi="仿宋" w:eastAsia="仿宋"/>
          <w:b w:val="0"/>
        </w:rPr>
        <w:t>一</w:t>
      </w:r>
      <w:r>
        <w:rPr>
          <w:rStyle w:val="31"/>
          <w:rFonts w:hint="eastAsia" w:ascii="仿宋" w:hAnsi="仿宋" w:eastAsia="仿宋"/>
          <w:b w:val="0"/>
          <w:bCs w:val="0"/>
        </w:rPr>
        <w:t>般公共预算财政拨款项目支出决算表</w:t>
      </w:r>
      <w:bookmarkEnd w:id="62"/>
    </w:p>
    <w:p w14:paraId="4691689F">
      <w:pPr>
        <w:pStyle w:val="6"/>
        <w:rPr>
          <w:rFonts w:ascii="仿宋" w:hAnsi="仿宋" w:eastAsia="仿宋"/>
        </w:rPr>
      </w:pPr>
      <w:bookmarkStart w:id="63" w:name="_Toc15396628"/>
      <w:r>
        <w:rPr>
          <w:rStyle w:val="31"/>
          <w:rFonts w:hint="eastAsia" w:ascii="仿宋" w:hAnsi="仿宋" w:eastAsia="仿宋"/>
          <w:b w:val="0"/>
          <w:bCs w:val="0"/>
        </w:rPr>
        <w:t>十、</w:t>
      </w:r>
      <w:bookmarkEnd w:id="63"/>
      <w:r>
        <w:rPr>
          <w:rFonts w:hint="eastAsia" w:ascii="仿宋" w:hAnsi="仿宋" w:eastAsia="仿宋"/>
          <w:b w:val="0"/>
        </w:rPr>
        <w:t>政</w:t>
      </w:r>
      <w:r>
        <w:rPr>
          <w:rStyle w:val="31"/>
          <w:rFonts w:hint="eastAsia" w:ascii="仿宋" w:hAnsi="仿宋" w:eastAsia="仿宋"/>
          <w:b w:val="0"/>
          <w:bCs w:val="0"/>
        </w:rPr>
        <w:t>府性基金预算财政拨款收入支出决算表</w:t>
      </w:r>
    </w:p>
    <w:p w14:paraId="11EE1432">
      <w:pPr>
        <w:pStyle w:val="6"/>
        <w:rPr>
          <w:rFonts w:ascii="仿宋" w:hAnsi="仿宋" w:eastAsia="仿宋"/>
        </w:rPr>
      </w:pPr>
      <w:bookmarkStart w:id="64" w:name="_Toc15396629"/>
      <w:r>
        <w:rPr>
          <w:rStyle w:val="31"/>
          <w:rFonts w:hint="eastAsia" w:ascii="仿宋" w:hAnsi="仿宋" w:eastAsia="仿宋"/>
          <w:b w:val="0"/>
          <w:bCs w:val="0"/>
        </w:rPr>
        <w:t>十一、</w:t>
      </w:r>
      <w:bookmarkEnd w:id="64"/>
      <w:r>
        <w:rPr>
          <w:rFonts w:hint="eastAsia" w:ascii="仿宋" w:hAnsi="仿宋" w:eastAsia="仿宋"/>
          <w:b w:val="0"/>
        </w:rPr>
        <w:t>国</w:t>
      </w:r>
      <w:r>
        <w:rPr>
          <w:rStyle w:val="31"/>
          <w:rFonts w:hint="eastAsia" w:ascii="仿宋" w:hAnsi="仿宋" w:eastAsia="仿宋"/>
          <w:b w:val="0"/>
          <w:bCs w:val="0"/>
        </w:rPr>
        <w:t>有资本经营预算财政拨款收入支出决算表</w:t>
      </w:r>
    </w:p>
    <w:p w14:paraId="49F6D8DA">
      <w:pPr>
        <w:pStyle w:val="6"/>
        <w:rPr>
          <w:rFonts w:ascii="仿宋" w:hAnsi="仿宋" w:eastAsia="仿宋"/>
        </w:rPr>
      </w:pPr>
      <w:bookmarkStart w:id="65" w:name="_Toc15396630"/>
      <w:r>
        <w:rPr>
          <w:rStyle w:val="31"/>
          <w:rFonts w:hint="eastAsia" w:ascii="仿宋" w:hAnsi="仿宋" w:eastAsia="仿宋"/>
          <w:b w:val="0"/>
          <w:bCs w:val="0"/>
        </w:rPr>
        <w:t>十二、</w:t>
      </w:r>
      <w:bookmarkEnd w:id="65"/>
      <w:r>
        <w:rPr>
          <w:rStyle w:val="31"/>
          <w:rFonts w:hint="eastAsia" w:ascii="仿宋" w:hAnsi="仿宋" w:eastAsia="仿宋"/>
          <w:b w:val="0"/>
          <w:bCs w:val="0"/>
        </w:rPr>
        <w:t>国有资本经营预算财政拨款支出决算表</w:t>
      </w:r>
    </w:p>
    <w:p w14:paraId="3FC92128">
      <w:pPr>
        <w:pStyle w:val="6"/>
        <w:rPr>
          <w:rFonts w:eastAsia="仿宋"/>
        </w:rPr>
      </w:pPr>
      <w:bookmarkStart w:id="66" w:name="_Toc15396631"/>
      <w:r>
        <w:rPr>
          <w:rStyle w:val="31"/>
          <w:rFonts w:hint="eastAsia" w:ascii="仿宋" w:hAnsi="仿宋" w:eastAsia="仿宋"/>
          <w:b w:val="0"/>
          <w:bCs w:val="0"/>
        </w:rPr>
        <w:t>十三、</w:t>
      </w:r>
      <w:bookmarkEnd w:id="66"/>
      <w:r>
        <w:rPr>
          <w:rStyle w:val="31"/>
          <w:rFonts w:hint="eastAsia" w:ascii="仿宋" w:hAnsi="仿宋" w:eastAsia="仿宋"/>
          <w:b w:val="0"/>
          <w:bCs w:val="0"/>
        </w:rPr>
        <w:t>财政拨款“三公”经费支出决算表</w:t>
      </w:r>
    </w:p>
    <w:sectPr>
      <w:footerReference r:id="rId11" w:type="first"/>
      <w:footerReference r:id="rId10" w:type="default"/>
      <w:pgSz w:w="11906" w:h="16838"/>
      <w:pgMar w:top="567" w:right="567" w:bottom="567" w:left="567" w:header="851" w:footer="992" w:gutter="0"/>
      <w:pgNumType w:fmt="decimal" w:start="39"/>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宋体"/>
    <w:panose1 w:val="00000000000000000000"/>
    <w:charset w:val="00"/>
    <w:family w:val="roman"/>
    <w:pitch w:val="default"/>
    <w:sig w:usb0="00000000" w:usb1="00000000" w:usb2="00000000" w:usb3="00000000" w:csb0="00040001" w:csb1="0000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 w:name="楷体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汉仪中宋简">
    <w:altName w:val="宋体"/>
    <w:panose1 w:val="02010600000101010101"/>
    <w:charset w:val="86"/>
    <w:family w:val="auto"/>
    <w:pitch w:val="default"/>
    <w:sig w:usb0="00000000" w:usb1="00000000" w:usb2="00000002" w:usb3="00000000" w:csb0="00040000" w:csb1="00000000"/>
  </w:font>
  <w:font w:name="方正小标宋_GBK">
    <w:panose1 w:val="02000000000000000000"/>
    <w:charset w:val="86"/>
    <w:family w:val="auto"/>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E47D3">
    <w:pPr>
      <w:pStyle w:val="12"/>
      <w:jc w:val="center"/>
    </w:pPr>
  </w:p>
  <w:p w14:paraId="3C654477">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56F90">
    <w:pPr>
      <w:pStyle w:val="1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8BD70D">
                          <w:pPr>
                            <w:pStyle w:val="1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4QsZskBAACZAwAADgAAAGRycy9lMm9Eb2MueG1srVPNjtMwEL4j8Q6W&#10;79TZg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DeUOG5x4OefP86//px/fye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ThCxmyQEAAJkDAAAOAAAAAAAAAAEAIAAAAB4BAABkcnMvZTJvRG9j&#10;LnhtbFBLBQYAAAAABgAGAFkBAABZBQAAAAA=&#10;">
              <v:fill on="f" focussize="0,0"/>
              <v:stroke on="f"/>
              <v:imagedata o:title=""/>
              <o:lock v:ext="edit" aspectratio="f"/>
              <v:textbox inset="0mm,0mm,0mm,0mm" style="mso-fit-shape-to-text:t;">
                <w:txbxContent>
                  <w:p w14:paraId="768BD70D">
                    <w:pPr>
                      <w:pStyle w:val="1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p w14:paraId="38ADBE0C">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03C90">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615FD6">
                          <w:pPr>
                            <w:pStyle w:val="1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zu4U8kBAACZAwAADgAAAGRycy9lMm9Eb2MueG1srVPNjtMwEL4j8Q6W&#10;79TZC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LeUOG5x4OefP86//px/fye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HO7hTyQEAAJkDAAAOAAAAAAAAAAEAIAAAAB4BAABkcnMvZTJvRG9j&#10;LnhtbFBLBQYAAAAABgAGAFkBAABZBQAAAAA=&#10;">
              <v:fill on="f" focussize="0,0"/>
              <v:stroke on="f"/>
              <v:imagedata o:title=""/>
              <o:lock v:ext="edit" aspectratio="f"/>
              <v:textbox inset="0mm,0mm,0mm,0mm" style="mso-fit-shape-to-text:t;">
                <w:txbxContent>
                  <w:p w14:paraId="18615FD6">
                    <w:pPr>
                      <w:pStyle w:val="1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B383B">
    <w:pPr>
      <w:pStyle w:val="1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4A6A85">
                          <w:pPr>
                            <w:pStyle w:val="1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VVpTcgBAACa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koieMWJ37++eP86/H88J28&#10;yfr0AWpMuwuYmIb3fsDc2Q/ozLQHFW3+IiGCcYQ6XdSVQyIiP1otV6sKQwJj8wXx2dPzECF9kN6S&#10;bDQ04viKqvz4CdKYOqfkas7famPKCI37y4GY2cNy72OP2UrDbpgI7Xx7Qj49Tr6hDhedEvPRobDY&#10;X5qNOBu72TiEqPdd2aJcD8K7Q8ImSm+5wgg7FcaRFXbTeuWd+PNesp5+qc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GFVaU3IAQAAmgMAAA4AAAAAAAAAAQAgAAAAHgEAAGRycy9lMm9Eb2Mu&#10;eG1sUEsFBgAAAAAGAAYAWQEAAFgFAAAAAA==&#10;">
              <v:fill on="f" focussize="0,0"/>
              <v:stroke on="f"/>
              <v:imagedata o:title=""/>
              <o:lock v:ext="edit" aspectratio="f"/>
              <v:textbox inset="0mm,0mm,0mm,0mm" style="mso-fit-shape-to-text:t;">
                <w:txbxContent>
                  <w:p w14:paraId="764A6A85">
                    <w:pPr>
                      <w:pStyle w:val="1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p w14:paraId="0F72E5FC">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1B30D">
    <w:pPr>
      <w:pStyle w:val="12"/>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8E49F2">
                          <w:pPr>
                            <w:pStyle w:val="1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7l4TMgBAACa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rFTVhS4rjFiV++f7v8+HX5+ZXc&#10;ZH36ADWmPQZMTMO9HzB39gM6M+1BRZu/SIhgHNU9X9WVQyIiP1qv1usKQwJj8wXx2dPzECG9ld6S&#10;bDQ04viKqvz0HtKYOqfkas4/aGPKCI37y4GY2cNy72OP2UrDfpgI7X17Rj49Tr6hDhedEvPOobB5&#10;SWYjzsZ+No4h6kNXtijXg3B3TNhE6S1XGGGnwjiywm5ar7wTf95L1tMvtf0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JO5eEzIAQAAmgMAAA4AAAAAAAAAAQAgAAAAHgEAAGRycy9lMm9Eb2Mu&#10;eG1sUEsFBgAAAAAGAAYAWQEAAFgFAAAAAA==&#10;">
              <v:fill on="f" focussize="0,0"/>
              <v:stroke on="f"/>
              <v:imagedata o:title=""/>
              <o:lock v:ext="edit" aspectratio="f"/>
              <v:textbox inset="0mm,0mm,0mm,0mm" style="mso-fit-shape-to-text:t;">
                <w:txbxContent>
                  <w:p w14:paraId="208E49F2">
                    <w:pPr>
                      <w:pStyle w:val="1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E713A">
    <w:pPr>
      <w:pStyle w:val="12"/>
      <w:jc w:val="center"/>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989748">
                          <w:pPr>
                            <w:pStyle w:val="1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ZgHIsgBAACa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KSEsctTvz888f51+P54Tt5&#10;m/XpA9SYdhcwMQ3v/YC5sx/QmWkPKtr8RUIE46ju6aKuHBIR+dFquVpVGBIYmy+Iz56ehwjpg/SW&#10;ZKOhEcdXVOXHT5DG1DklV3P+VhtTRmjcXw7EzB6Wex97zFYadsNEaOfbE/LpcfINdbjolJiPDoXN&#10;SzIbcTZ2s3EIUe+7skW5HoR3h4RNlN5yhRF2KowjK+ym9co78ee9ZD39Up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IGYByLIAQAAmgMAAA4AAAAAAAAAAQAgAAAAHgEAAGRycy9lMm9Eb2Mu&#10;eG1sUEsFBgAAAAAGAAYAWQEAAFgFAAAAAA==&#10;">
              <v:fill on="f" focussize="0,0"/>
              <v:stroke on="f"/>
              <v:imagedata o:title=""/>
              <o:lock v:ext="edit" aspectratio="f"/>
              <v:textbox inset="0mm,0mm,0mm,0mm" style="mso-fit-shape-to-text:t;">
                <w:txbxContent>
                  <w:p w14:paraId="0D989748">
                    <w:pPr>
                      <w:pStyle w:val="1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p w14:paraId="4A4EB792">
    <w:pPr>
      <w:pStyle w:val="1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B8F59">
    <w:pPr>
      <w:pStyle w:val="12"/>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69F35F">
                          <w:pPr>
                            <w:pStyle w:val="1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jBlMgBAACaAwAADgAAAGRycy9lMm9Eb2MueG1srVPNjtMwEL4j8Q6W&#10;79TZIqE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wE15S4rjFiV++f7v8+HX5+ZXU&#10;WZ8hQINp9wET0/jGj5i7+AGdmfaoos1fJEQwjuqer+rKMRGRH9Xruq4wJDC2XBCfPTwPEdJb6S3J&#10;Rksjjq+oyk/vIU2pS0qu5vydNqaM0Li/HIiZPSz3PvWYrTTux5nQ3ndn5DPg5FvqcNEpMe8cCpuX&#10;ZDHiYuwX4xiiPvRli3I9CK+PCZsoveUKE+xcGEdW2M3rlXfiz3vJevilt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H9IwZTIAQAAmgMAAA4AAAAAAAAAAQAgAAAAHgEAAGRycy9lMm9Eb2Mu&#10;eG1sUEsFBgAAAAAGAAYAWQEAAFgFAAAAAA==&#10;">
              <v:fill on="f" focussize="0,0"/>
              <v:stroke on="f"/>
              <v:imagedata o:title=""/>
              <o:lock v:ext="edit" aspectratio="f"/>
              <v:textbox inset="0mm,0mm,0mm,0mm" style="mso-fit-shape-to-text:t;">
                <w:txbxContent>
                  <w:p w14:paraId="4869F35F">
                    <w:pPr>
                      <w:pStyle w:val="1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05BCD">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D6485">
    <w:pPr>
      <w:pStyle w:val="13"/>
      <w:tabs>
        <w:tab w:val="left" w:pos="9136"/>
        <w:tab w:val="clear" w:pos="4153"/>
        <w:tab w:val="clear" w:pos="8306"/>
      </w:tabs>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14739C"/>
    <w:multiLevelType w:val="singleLevel"/>
    <w:tmpl w:val="A214739C"/>
    <w:lvl w:ilvl="0" w:tentative="0">
      <w:start w:val="2"/>
      <w:numFmt w:val="decimal"/>
      <w:suff w:val="nothing"/>
      <w:lvlText w:val="%1、"/>
      <w:lvlJc w:val="left"/>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mNjkyOTJlZmQ2NzEyNGIwYmY4ZDc0OGJkNmNlOWE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C5532"/>
    <w:rsid w:val="006F020C"/>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67FFD"/>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95FB5"/>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27C6B"/>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B3F21"/>
    <w:rsid w:val="00FD3CC1"/>
    <w:rsid w:val="00FF1E02"/>
    <w:rsid w:val="00FF30B4"/>
    <w:rsid w:val="01145609"/>
    <w:rsid w:val="0137345F"/>
    <w:rsid w:val="015F69AE"/>
    <w:rsid w:val="017E0A8F"/>
    <w:rsid w:val="026223A4"/>
    <w:rsid w:val="037E0474"/>
    <w:rsid w:val="03DC2831"/>
    <w:rsid w:val="04181FD4"/>
    <w:rsid w:val="04247911"/>
    <w:rsid w:val="04583A5F"/>
    <w:rsid w:val="04B21366"/>
    <w:rsid w:val="06C21663"/>
    <w:rsid w:val="081B5E94"/>
    <w:rsid w:val="08490E71"/>
    <w:rsid w:val="08EF2F52"/>
    <w:rsid w:val="094B5940"/>
    <w:rsid w:val="096A6E64"/>
    <w:rsid w:val="099F5C8C"/>
    <w:rsid w:val="0A2032A3"/>
    <w:rsid w:val="0B52745A"/>
    <w:rsid w:val="0B8A37D8"/>
    <w:rsid w:val="0C871385"/>
    <w:rsid w:val="0F325B5E"/>
    <w:rsid w:val="0F3B0205"/>
    <w:rsid w:val="0F5FFB2F"/>
    <w:rsid w:val="0F6B6119"/>
    <w:rsid w:val="0FFFCF60"/>
    <w:rsid w:val="105E064F"/>
    <w:rsid w:val="108A2D1A"/>
    <w:rsid w:val="10C055FF"/>
    <w:rsid w:val="10E50428"/>
    <w:rsid w:val="1111121D"/>
    <w:rsid w:val="11274EE5"/>
    <w:rsid w:val="113B0990"/>
    <w:rsid w:val="118107EC"/>
    <w:rsid w:val="119B14D9"/>
    <w:rsid w:val="11DD6519"/>
    <w:rsid w:val="121C60CC"/>
    <w:rsid w:val="1299771C"/>
    <w:rsid w:val="13023034"/>
    <w:rsid w:val="13501D00"/>
    <w:rsid w:val="13E95A82"/>
    <w:rsid w:val="16BB723D"/>
    <w:rsid w:val="18015F3F"/>
    <w:rsid w:val="181E1E73"/>
    <w:rsid w:val="1835368A"/>
    <w:rsid w:val="186652B3"/>
    <w:rsid w:val="18D717DF"/>
    <w:rsid w:val="19047BCD"/>
    <w:rsid w:val="193D68C3"/>
    <w:rsid w:val="19AC5F87"/>
    <w:rsid w:val="1A352D9B"/>
    <w:rsid w:val="1B2210BB"/>
    <w:rsid w:val="1BB5545E"/>
    <w:rsid w:val="1BE8440E"/>
    <w:rsid w:val="1C4F73B6"/>
    <w:rsid w:val="1C9C43CB"/>
    <w:rsid w:val="1CEE281F"/>
    <w:rsid w:val="1CFC5502"/>
    <w:rsid w:val="1D155CEE"/>
    <w:rsid w:val="1DAF6046"/>
    <w:rsid w:val="1ED61CF8"/>
    <w:rsid w:val="1F394B05"/>
    <w:rsid w:val="1FDBBF84"/>
    <w:rsid w:val="1FF12A46"/>
    <w:rsid w:val="1FFB7C68"/>
    <w:rsid w:val="20F57F95"/>
    <w:rsid w:val="21020B82"/>
    <w:rsid w:val="211612EB"/>
    <w:rsid w:val="220D7F1E"/>
    <w:rsid w:val="226E709F"/>
    <w:rsid w:val="237327CB"/>
    <w:rsid w:val="240371BF"/>
    <w:rsid w:val="245E07C6"/>
    <w:rsid w:val="24971B5E"/>
    <w:rsid w:val="25711CC6"/>
    <w:rsid w:val="258A1146"/>
    <w:rsid w:val="25C741E6"/>
    <w:rsid w:val="26CA2142"/>
    <w:rsid w:val="273837FA"/>
    <w:rsid w:val="27686864"/>
    <w:rsid w:val="276F80C0"/>
    <w:rsid w:val="27842671"/>
    <w:rsid w:val="299B6018"/>
    <w:rsid w:val="29FD04D3"/>
    <w:rsid w:val="2ABE7A3E"/>
    <w:rsid w:val="2AFF09B6"/>
    <w:rsid w:val="2B5C71EC"/>
    <w:rsid w:val="2BFC1AA9"/>
    <w:rsid w:val="2C0D6C02"/>
    <w:rsid w:val="2C602C01"/>
    <w:rsid w:val="2CA234A8"/>
    <w:rsid w:val="2CE055F4"/>
    <w:rsid w:val="2D531028"/>
    <w:rsid w:val="2D5872D9"/>
    <w:rsid w:val="2D7B23E8"/>
    <w:rsid w:val="2EE70DB5"/>
    <w:rsid w:val="2EFA178C"/>
    <w:rsid w:val="2EFDF86C"/>
    <w:rsid w:val="2F5C7FF7"/>
    <w:rsid w:val="2F6A001E"/>
    <w:rsid w:val="2F6A1DD6"/>
    <w:rsid w:val="2F9D17E1"/>
    <w:rsid w:val="2FE778C1"/>
    <w:rsid w:val="30B46D73"/>
    <w:rsid w:val="313F54DB"/>
    <w:rsid w:val="319F7F4E"/>
    <w:rsid w:val="32996D1B"/>
    <w:rsid w:val="335562D0"/>
    <w:rsid w:val="337A6C9E"/>
    <w:rsid w:val="33812614"/>
    <w:rsid w:val="338A5A42"/>
    <w:rsid w:val="33CC574C"/>
    <w:rsid w:val="344E78F1"/>
    <w:rsid w:val="34B32468"/>
    <w:rsid w:val="356A28F1"/>
    <w:rsid w:val="357C035A"/>
    <w:rsid w:val="35EB578D"/>
    <w:rsid w:val="368E000D"/>
    <w:rsid w:val="37CD3E52"/>
    <w:rsid w:val="382F7151"/>
    <w:rsid w:val="383D272C"/>
    <w:rsid w:val="384E565E"/>
    <w:rsid w:val="39AE70AB"/>
    <w:rsid w:val="3A4DCE41"/>
    <w:rsid w:val="3AC84793"/>
    <w:rsid w:val="3B831B18"/>
    <w:rsid w:val="3BCB56FA"/>
    <w:rsid w:val="3C0C0783"/>
    <w:rsid w:val="3C963223"/>
    <w:rsid w:val="3DCB6A74"/>
    <w:rsid w:val="3EE7C2F4"/>
    <w:rsid w:val="3F371B56"/>
    <w:rsid w:val="3F792ED8"/>
    <w:rsid w:val="3F9F3A96"/>
    <w:rsid w:val="3FECA4B2"/>
    <w:rsid w:val="3FF58C48"/>
    <w:rsid w:val="40BF3F42"/>
    <w:rsid w:val="41102052"/>
    <w:rsid w:val="42274495"/>
    <w:rsid w:val="42784CF1"/>
    <w:rsid w:val="42A33826"/>
    <w:rsid w:val="42EA346B"/>
    <w:rsid w:val="42FF6694"/>
    <w:rsid w:val="44EE4DF6"/>
    <w:rsid w:val="452B14E7"/>
    <w:rsid w:val="474F75B8"/>
    <w:rsid w:val="47B75973"/>
    <w:rsid w:val="48BF60AB"/>
    <w:rsid w:val="493C27E9"/>
    <w:rsid w:val="494A4670"/>
    <w:rsid w:val="496F39ED"/>
    <w:rsid w:val="497F0713"/>
    <w:rsid w:val="49FF41D3"/>
    <w:rsid w:val="4A6873F9"/>
    <w:rsid w:val="4A993A56"/>
    <w:rsid w:val="4BE068DB"/>
    <w:rsid w:val="4BF6002B"/>
    <w:rsid w:val="4BFFC6BE"/>
    <w:rsid w:val="4DCA28A4"/>
    <w:rsid w:val="4ECE2238"/>
    <w:rsid w:val="4FCF1D8A"/>
    <w:rsid w:val="50C10D15"/>
    <w:rsid w:val="5156444F"/>
    <w:rsid w:val="51DB4B86"/>
    <w:rsid w:val="51F64DB0"/>
    <w:rsid w:val="522B58DB"/>
    <w:rsid w:val="527E5A0B"/>
    <w:rsid w:val="530C74BB"/>
    <w:rsid w:val="540C5299"/>
    <w:rsid w:val="55333C3E"/>
    <w:rsid w:val="55B8266B"/>
    <w:rsid w:val="55BF108B"/>
    <w:rsid w:val="56020701"/>
    <w:rsid w:val="56707D61"/>
    <w:rsid w:val="576B2A8C"/>
    <w:rsid w:val="57954822"/>
    <w:rsid w:val="584E29FC"/>
    <w:rsid w:val="589770F2"/>
    <w:rsid w:val="58EC6EDC"/>
    <w:rsid w:val="59AD4E28"/>
    <w:rsid w:val="5B4213BB"/>
    <w:rsid w:val="5B5C0FA7"/>
    <w:rsid w:val="5B8A5421"/>
    <w:rsid w:val="5C631368"/>
    <w:rsid w:val="5CFD7E74"/>
    <w:rsid w:val="5D073A8D"/>
    <w:rsid w:val="5D6F5686"/>
    <w:rsid w:val="5F0B0627"/>
    <w:rsid w:val="5F67802D"/>
    <w:rsid w:val="5F7DC4F2"/>
    <w:rsid w:val="5F8E1258"/>
    <w:rsid w:val="5FB36814"/>
    <w:rsid w:val="5FBB8E56"/>
    <w:rsid w:val="5FFB5535"/>
    <w:rsid w:val="600A6B30"/>
    <w:rsid w:val="625A40B9"/>
    <w:rsid w:val="63C90AB0"/>
    <w:rsid w:val="64CA39A1"/>
    <w:rsid w:val="64E2288B"/>
    <w:rsid w:val="69630ADE"/>
    <w:rsid w:val="69BD5F13"/>
    <w:rsid w:val="69FB0B4B"/>
    <w:rsid w:val="6A7750D2"/>
    <w:rsid w:val="6B024755"/>
    <w:rsid w:val="6BFFE1FB"/>
    <w:rsid w:val="6C44233F"/>
    <w:rsid w:val="6C4A05C8"/>
    <w:rsid w:val="6D3B1A89"/>
    <w:rsid w:val="6DB7D8A3"/>
    <w:rsid w:val="6EBE7228"/>
    <w:rsid w:val="6EC2352C"/>
    <w:rsid w:val="6EC78701"/>
    <w:rsid w:val="6F7A5481"/>
    <w:rsid w:val="6FFE07A9"/>
    <w:rsid w:val="705C5666"/>
    <w:rsid w:val="70EE02BB"/>
    <w:rsid w:val="71175551"/>
    <w:rsid w:val="71BF4EC2"/>
    <w:rsid w:val="71C8684B"/>
    <w:rsid w:val="71F72C8D"/>
    <w:rsid w:val="723932A5"/>
    <w:rsid w:val="72734D90"/>
    <w:rsid w:val="72853560"/>
    <w:rsid w:val="72FE4FA6"/>
    <w:rsid w:val="73630011"/>
    <w:rsid w:val="73993C4E"/>
    <w:rsid w:val="73E75B71"/>
    <w:rsid w:val="7412278C"/>
    <w:rsid w:val="747827E8"/>
    <w:rsid w:val="75DDCDA9"/>
    <w:rsid w:val="75FF44B1"/>
    <w:rsid w:val="764861AD"/>
    <w:rsid w:val="767B7022"/>
    <w:rsid w:val="76832D41"/>
    <w:rsid w:val="768C159B"/>
    <w:rsid w:val="773F3C76"/>
    <w:rsid w:val="77670518"/>
    <w:rsid w:val="777FA627"/>
    <w:rsid w:val="77AB402B"/>
    <w:rsid w:val="77C35C04"/>
    <w:rsid w:val="77DF1B5F"/>
    <w:rsid w:val="77EF2D9D"/>
    <w:rsid w:val="78054355"/>
    <w:rsid w:val="78484242"/>
    <w:rsid w:val="78493855"/>
    <w:rsid w:val="78774B27"/>
    <w:rsid w:val="79E7B28D"/>
    <w:rsid w:val="7A41363F"/>
    <w:rsid w:val="7A8B6668"/>
    <w:rsid w:val="7A923E9A"/>
    <w:rsid w:val="7ACFF0C2"/>
    <w:rsid w:val="7AFB9108"/>
    <w:rsid w:val="7B402379"/>
    <w:rsid w:val="7BD5340C"/>
    <w:rsid w:val="7BFB19D2"/>
    <w:rsid w:val="7BFD1750"/>
    <w:rsid w:val="7BFDAA1B"/>
    <w:rsid w:val="7CA439C2"/>
    <w:rsid w:val="7CB533DC"/>
    <w:rsid w:val="7CDF9A82"/>
    <w:rsid w:val="7CE25B48"/>
    <w:rsid w:val="7CFFA1BD"/>
    <w:rsid w:val="7D1868D9"/>
    <w:rsid w:val="7D2E3F7A"/>
    <w:rsid w:val="7D415D2F"/>
    <w:rsid w:val="7D7B0C16"/>
    <w:rsid w:val="7D996497"/>
    <w:rsid w:val="7DB55ED6"/>
    <w:rsid w:val="7DED9490"/>
    <w:rsid w:val="7DFF4872"/>
    <w:rsid w:val="7E6246D0"/>
    <w:rsid w:val="7E7318ED"/>
    <w:rsid w:val="7E7487E6"/>
    <w:rsid w:val="7E7C2A54"/>
    <w:rsid w:val="7EEEFD72"/>
    <w:rsid w:val="7F1D517C"/>
    <w:rsid w:val="7F5DA057"/>
    <w:rsid w:val="7F6C2237"/>
    <w:rsid w:val="7F7F319B"/>
    <w:rsid w:val="7F9F20EE"/>
    <w:rsid w:val="7FBBE890"/>
    <w:rsid w:val="7FBC2ABD"/>
    <w:rsid w:val="7FBF5D48"/>
    <w:rsid w:val="7FC91A48"/>
    <w:rsid w:val="7FCCFC01"/>
    <w:rsid w:val="7FDD1748"/>
    <w:rsid w:val="7FE769C6"/>
    <w:rsid w:val="7FFD083E"/>
    <w:rsid w:val="7FFF9372"/>
    <w:rsid w:val="84BF1F3B"/>
    <w:rsid w:val="8F55B106"/>
    <w:rsid w:val="95DF317D"/>
    <w:rsid w:val="97E77C70"/>
    <w:rsid w:val="9E3A10E2"/>
    <w:rsid w:val="9FB91FBD"/>
    <w:rsid w:val="9FD54998"/>
    <w:rsid w:val="A671883B"/>
    <w:rsid w:val="A7EFD17F"/>
    <w:rsid w:val="A7FFE43F"/>
    <w:rsid w:val="B7E117D0"/>
    <w:rsid w:val="BDFEA317"/>
    <w:rsid w:val="CD9BBABB"/>
    <w:rsid w:val="CF99F292"/>
    <w:rsid w:val="D2775908"/>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4EF8071"/>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nhideWhenUsed="0" w:uiPriority="0" w:semiHidden="0"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toc 7"/>
    <w:basedOn w:val="1"/>
    <w:next w:val="1"/>
    <w:qFormat/>
    <w:uiPriority w:val="0"/>
    <w:pPr>
      <w:ind w:left="2520"/>
    </w:pPr>
  </w:style>
  <w:style w:type="paragraph" w:styleId="9">
    <w:name w:val="Body Text"/>
    <w:basedOn w:val="1"/>
    <w:next w:val="1"/>
    <w:link w:val="27"/>
    <w:qFormat/>
    <w:uiPriority w:val="99"/>
    <w:pPr>
      <w:spacing w:beforeLines="30"/>
    </w:pPr>
    <w:rPr>
      <w:rFonts w:ascii="仿宋_GB2312" w:eastAsia="仿宋_GB2312"/>
      <w:kern w:val="0"/>
      <w:sz w:val="30"/>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3"/>
    <w:semiHidden/>
    <w:unhideWhenUsed/>
    <w:qFormat/>
    <w:uiPriority w:val="99"/>
    <w:rPr>
      <w:sz w:val="18"/>
      <w:szCs w:val="18"/>
    </w:rPr>
  </w:style>
  <w:style w:type="paragraph" w:styleId="12">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3"/>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2"/>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9"/>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5"/>
    <w:qFormat/>
    <w:uiPriority w:val="9"/>
    <w:rPr>
      <w:rFonts w:ascii="Times New Roman" w:hAnsi="Times New Roman"/>
      <w:b/>
      <w:bCs/>
      <w:kern w:val="44"/>
      <w:sz w:val="44"/>
      <w:szCs w:val="44"/>
    </w:rPr>
  </w:style>
  <w:style w:type="character" w:customStyle="1" w:styleId="31">
    <w:name w:val="标题 2 Char"/>
    <w:basedOn w:val="18"/>
    <w:link w:val="6"/>
    <w:qFormat/>
    <w:uiPriority w:val="9"/>
    <w:rPr>
      <w:rFonts w:asciiTheme="majorHAnsi" w:hAnsiTheme="majorHAnsi" w:eastAsiaTheme="majorEastAsia" w:cstheme="majorBidi"/>
      <w:b/>
      <w:bCs/>
      <w:kern w:val="2"/>
      <w:sz w:val="32"/>
      <w:szCs w:val="32"/>
    </w:rPr>
  </w:style>
  <w:style w:type="paragraph" w:customStyle="1" w:styleId="32">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1"/>
    <w:semiHidden/>
    <w:qFormat/>
    <w:uiPriority w:val="99"/>
    <w:rPr>
      <w:rFonts w:ascii="Times New Roman" w:hAnsi="Times New Roman"/>
      <w:kern w:val="2"/>
      <w:sz w:val="18"/>
      <w:szCs w:val="18"/>
    </w:rPr>
  </w:style>
  <w:style w:type="character" w:customStyle="1" w:styleId="34">
    <w:name w:val="标题 3 Char"/>
    <w:basedOn w:val="18"/>
    <w:link w:val="7"/>
    <w:qFormat/>
    <w:uiPriority w:val="9"/>
    <w:rPr>
      <w:rFonts w:ascii="Times New Roman" w:hAnsi="Times New Roman"/>
      <w:b/>
      <w:bCs/>
      <w:kern w:val="2"/>
      <w:sz w:val="32"/>
      <w:szCs w:val="32"/>
    </w:rPr>
  </w:style>
  <w:style w:type="paragraph" w:customStyle="1" w:styleId="35">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正文文本1"/>
    <w:next w:val="8"/>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93" w:beforeAutospacing="0" w:after="100" w:afterAutospacing="1" w:line="240" w:lineRule="auto"/>
      <w:ind w:left="0" w:right="0" w:firstLine="0"/>
      <w:jc w:val="both"/>
      <w:textAlignment w:val="auto"/>
      <w:outlineLvl w:val="9"/>
    </w:pPr>
    <w:rPr>
      <w:rFonts w:ascii="仿宋_GB2312" w:hAnsi="Times New Roman" w:eastAsia="仿宋_GB2312" w:cs="Times New Roman"/>
      <w:snapToGrid/>
      <w:color w:val="auto"/>
      <w:spacing w:val="0"/>
      <w:w w:val="100"/>
      <w:kern w:val="0"/>
      <w:position w:val="0"/>
      <w:sz w:val="30"/>
      <w:szCs w:val="30"/>
      <w:u w:val="none" w:color="auto"/>
      <w:vertAlign w:val="baseline"/>
      <w:lang w:val="en-US" w:eastAsia="zh-CN" w:bidi="ar-SA"/>
    </w:rPr>
  </w:style>
  <w:style w:type="character" w:customStyle="1" w:styleId="37">
    <w:name w:val="18"/>
    <w:qFormat/>
    <w:uiPriority w:val="0"/>
    <w:rPr>
      <w:rFonts w:ascii="Calibri" w:hAnsi="Calibri"/>
      <w:b/>
    </w:rPr>
  </w:style>
  <w:style w:type="paragraph" w:customStyle="1" w:styleId="38">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9">
    <w:name w:val="font51"/>
    <w:basedOn w:val="18"/>
    <w:qFormat/>
    <w:uiPriority w:val="0"/>
    <w:rPr>
      <w:rFonts w:ascii="Arial" w:hAnsi="Arial" w:cs="Arial"/>
      <w:color w:val="000000"/>
      <w:sz w:val="18"/>
      <w:szCs w:val="18"/>
      <w:u w:val="none"/>
    </w:rPr>
  </w:style>
  <w:style w:type="character" w:customStyle="1" w:styleId="40">
    <w:name w:val="font31"/>
    <w:basedOn w:val="18"/>
    <w:qFormat/>
    <w:uiPriority w:val="0"/>
    <w:rPr>
      <w:rFonts w:hint="eastAsia" w:ascii="方正黑体_GBK" w:hAnsi="方正黑体_GBK" w:eastAsia="方正黑体_GBK" w:cs="方正黑体_GBK"/>
      <w:color w:val="000000"/>
      <w:sz w:val="18"/>
      <w:szCs w:val="18"/>
      <w:u w:val="none"/>
    </w:rPr>
  </w:style>
  <w:style w:type="character" w:customStyle="1" w:styleId="41">
    <w:name w:val="font101"/>
    <w:basedOn w:val="18"/>
    <w:qFormat/>
    <w:uiPriority w:val="0"/>
    <w:rPr>
      <w:rFonts w:hint="eastAsia" w:ascii="方正仿宋_GBK" w:hAnsi="方正仿宋_GBK" w:eastAsia="方正仿宋_GBK" w:cs="方正仿宋_GBK"/>
      <w:color w:val="000000"/>
      <w:sz w:val="24"/>
      <w:szCs w:val="24"/>
      <w:u w:val="none"/>
    </w:rPr>
  </w:style>
  <w:style w:type="character" w:customStyle="1" w:styleId="42">
    <w:name w:val="font121"/>
    <w:basedOn w:val="18"/>
    <w:qFormat/>
    <w:uiPriority w:val="0"/>
    <w:rPr>
      <w:rFonts w:ascii="Arial" w:hAnsi="Arial" w:cs="Arial"/>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chart" Target="charts/chart7.xml"/><Relationship Id="rId18" Type="http://schemas.openxmlformats.org/officeDocument/2006/relationships/chart" Target="charts/chart6.xml"/><Relationship Id="rId17" Type="http://schemas.openxmlformats.org/officeDocument/2006/relationships/chart" Target="charts/chart5.xml"/><Relationship Id="rId16" Type="http://schemas.openxmlformats.org/officeDocument/2006/relationships/chart" Target="charts/chart4.xml"/><Relationship Id="rId15" Type="http://schemas.openxmlformats.org/officeDocument/2006/relationships/chart" Target="charts/chart3.xml"/><Relationship Id="rId14" Type="http://schemas.openxmlformats.org/officeDocument/2006/relationships/chart" Target="charts/chart2.xml"/><Relationship Id="rId13" Type="http://schemas.openxmlformats.org/officeDocument/2006/relationships/chart" Target="charts/chart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rPr lang="zh-CN" altLang="en-US"/>
              <a:t>收、支出决算总计变动情况图</a:t>
            </a:r>
            <a:endParaRPr lang="zh-CN" altLang="en-US"/>
          </a:p>
        </c:rich>
      </c:tx>
      <c:layout/>
      <c:overlay val="0"/>
      <c:spPr>
        <a:noFill/>
        <a:ln>
          <a:noFill/>
        </a:ln>
        <a:effectLst/>
      </c:spPr>
    </c:title>
    <c:autoTitleDeleted val="0"/>
    <c:plotArea>
      <c:layout>
        <c:manualLayout>
          <c:layoutTarget val="inner"/>
          <c:xMode val="edge"/>
          <c:yMode val="edge"/>
          <c:x val="0.0741241845856487"/>
          <c:y val="0.181045473863153"/>
          <c:w val="0.908359507127325"/>
          <c:h val="0.63905652358691"/>
        </c:manualLayout>
      </c:layout>
      <c:barChart>
        <c:barDir val="col"/>
        <c:grouping val="clustered"/>
        <c:varyColors val="0"/>
        <c:ser>
          <c:idx val="0"/>
          <c:order val="0"/>
          <c:tx>
            <c:strRef>
              <c:f>Sheet1!$C$1</c:f>
              <c:strCache>
                <c:ptCount val="1"/>
                <c:pt idx="0">
                  <c:v>2024年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720.66</c:v>
                </c:pt>
                <c:pt idx="1">
                  <c:v>720.66</c:v>
                </c:pt>
              </c:numCache>
            </c:numRef>
          </c:val>
        </c:ser>
        <c:ser>
          <c:idx val="1"/>
          <c:order val="1"/>
          <c:tx>
            <c:strRef>
              <c:f>Sheet1!$B$1</c:f>
              <c:strCache>
                <c:ptCount val="1"/>
                <c:pt idx="0">
                  <c:v>2023年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631.56</c:v>
                </c:pt>
                <c:pt idx="1">
                  <c:v>631.56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209328144"/>
        <c:axId val="686562743"/>
      </c:barChart>
      <c:catAx>
        <c:axId val="20932814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6562743"/>
        <c:crosses val="autoZero"/>
        <c:auto val="1"/>
        <c:lblAlgn val="ctr"/>
        <c:lblOffset val="100"/>
        <c:noMultiLvlLbl val="0"/>
      </c:catAx>
      <c:valAx>
        <c:axId val="686562743"/>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9328144"/>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7583b40-6e0a-41b7-94dd-1520c492706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一般公共预算财政拨款收入</c:v>
                </c:pt>
                <c:pt idx="1">
                  <c:v>政府性基金预算财政拨款收入</c:v>
                </c:pt>
                <c:pt idx="2">
                  <c:v>国有资本经营预算财政拨款收入</c:v>
                </c:pt>
                <c:pt idx="3">
                  <c:v>上级补助收入</c:v>
                </c:pt>
              </c:strCache>
            </c:strRef>
          </c:cat>
          <c:val>
            <c:numRef>
              <c:f>Sheet1!$B$2:$B$5</c:f>
              <c:numCache>
                <c:formatCode>0%</c:formatCode>
                <c:ptCount val="4"/>
                <c:pt idx="0">
                  <c:v>1</c:v>
                </c:pt>
                <c:pt idx="1" c:formatCode="General">
                  <c:v>0</c:v>
                </c:pt>
                <c:pt idx="2" c:formatCode="General">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b6e2cbb-3ce9-4ce0-bb4c-be330ded599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项目支出</c:v>
                </c:pt>
                <c:pt idx="1">
                  <c:v>基本支出</c:v>
                </c:pt>
                <c:pt idx="2">
                  <c:v>上缴上级支出</c:v>
                </c:pt>
                <c:pt idx="3">
                  <c:v>经营支出</c:v>
                </c:pt>
              </c:strCache>
            </c:strRef>
          </c:cat>
          <c:val>
            <c:numRef>
              <c:f>Sheet1!$B$2:$B$5</c:f>
              <c:numCache>
                <c:formatCode>General</c:formatCode>
                <c:ptCount val="4"/>
                <c:pt idx="0">
                  <c:v>197.32</c:v>
                </c:pt>
                <c:pt idx="1">
                  <c:v>523.34</c:v>
                </c:pt>
                <c:pt idx="2">
                  <c:v>0</c:v>
                </c:pt>
                <c:pt idx="3">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097dda2-d414-40b9-9244-88547d0c01b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rPr lang="zh-CN" altLang="en-US"/>
              <a:t>财政拨款收、支决算总计变动情况表</a:t>
            </a:r>
            <a:endParaRPr lang="zh-CN" altLang="en-US"/>
          </a:p>
        </c:rich>
      </c:tx>
      <c:layout/>
      <c:overlay val="0"/>
      <c:spPr>
        <a:noFill/>
        <a:ln>
          <a:noFill/>
        </a:ln>
        <a:effectLst/>
      </c:spPr>
    </c:title>
    <c:autoTitleDeleted val="0"/>
    <c:plotArea>
      <c:layout>
        <c:manualLayout>
          <c:layoutTarget val="inner"/>
          <c:xMode val="edge"/>
          <c:yMode val="edge"/>
          <c:x val="0.0566078762986229"/>
          <c:y val="0.168295792605185"/>
          <c:w val="0.908359507127325"/>
          <c:h val="0.63905652358691"/>
        </c:manualLayout>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delete val="1"/>
          </c:dLbls>
          <c:cat>
            <c:strRef>
              <c:f>Sheet1!$A$2:$A$5</c:f>
              <c:strCache>
                <c:ptCount val="4"/>
                <c:pt idx="0">
                  <c:v>财政拨款收入总计</c:v>
                </c:pt>
                <c:pt idx="1">
                  <c:v>财政拨款支出总计</c:v>
                </c:pt>
              </c:strCache>
            </c:strRef>
          </c:cat>
          <c:val>
            <c:numRef>
              <c:f>Sheet1!$B$2:$B$5</c:f>
              <c:numCache>
                <c:formatCode>General</c:formatCode>
                <c:ptCount val="4"/>
                <c:pt idx="0">
                  <c:v>720.66</c:v>
                </c:pt>
                <c:pt idx="1">
                  <c:v>720.66</c:v>
                </c:pt>
              </c:numCache>
            </c:numRef>
          </c:val>
        </c:ser>
        <c:ser>
          <c:idx val="1"/>
          <c:order val="1"/>
          <c:tx>
            <c:strRef>
              <c:f>Sheet1!$C$1</c:f>
              <c:strCache>
                <c:ptCount val="1"/>
                <c:pt idx="0">
                  <c:v>2023年</c:v>
                </c:pt>
              </c:strCache>
            </c:strRef>
          </c:tx>
          <c:spPr>
            <a:solidFill>
              <a:schemeClr val="accent2"/>
            </a:solidFill>
            <a:ln>
              <a:noFill/>
            </a:ln>
            <a:effectLst/>
          </c:spPr>
          <c:invertIfNegative val="0"/>
          <c:dLbls>
            <c:delete val="1"/>
          </c:dLbls>
          <c:cat>
            <c:strRef>
              <c:f>Sheet1!$A$2:$A$5</c:f>
              <c:strCache>
                <c:ptCount val="4"/>
                <c:pt idx="0">
                  <c:v>财政拨款收入总计</c:v>
                </c:pt>
                <c:pt idx="1">
                  <c:v>财政拨款支出总计</c:v>
                </c:pt>
              </c:strCache>
            </c:strRef>
          </c:cat>
          <c:val>
            <c:numRef>
              <c:f>Sheet1!$C$2:$C$5</c:f>
              <c:numCache>
                <c:formatCode>General</c:formatCode>
                <c:ptCount val="4"/>
                <c:pt idx="0">
                  <c:v>631.56</c:v>
                </c:pt>
                <c:pt idx="1">
                  <c:v>631.56</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财政拨款收入总计</c:v>
                </c:pt>
                <c:pt idx="1">
                  <c:v>财政拨款支出总计</c:v>
                </c:pt>
              </c:strCache>
            </c:strRef>
          </c:cat>
          <c:val>
            <c:numRef>
              <c:f>Sheet1!$D$2:$D$5</c:f>
              <c:numCache>
                <c:formatCode>General</c:formatCode>
                <c:ptCount val="4"/>
              </c:numCache>
            </c:numRef>
          </c:val>
        </c:ser>
        <c:dLbls>
          <c:showLegendKey val="0"/>
          <c:showVal val="0"/>
          <c:showCatName val="0"/>
          <c:showSerName val="0"/>
          <c:showPercent val="0"/>
          <c:showBubbleSize val="0"/>
        </c:dLbls>
        <c:gapWidth val="246"/>
        <c:overlap val="-28"/>
        <c:axId val="314661862"/>
        <c:axId val="25048695"/>
      </c:barChart>
      <c:catAx>
        <c:axId val="31466186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048695"/>
        <c:crosses val="autoZero"/>
        <c:auto val="1"/>
        <c:lblAlgn val="ctr"/>
        <c:lblOffset val="100"/>
        <c:noMultiLvlLbl val="0"/>
      </c:catAx>
      <c:valAx>
        <c:axId val="25048695"/>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4661862"/>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10d8807-e11e-46c3-9c57-09a1db25eaa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rPr lang="zh-CN" altLang="en-US"/>
              <a:t>一般公共预算财政拨款支出决算变动情况表</a:t>
            </a:r>
            <a:endParaRPr lang="zh-CN" altLang="en-US"/>
          </a:p>
        </c:rich>
      </c:tx>
      <c:layout/>
      <c:overlay val="0"/>
      <c:spPr>
        <a:noFill/>
        <a:ln>
          <a:noFill/>
        </a:ln>
        <a:effectLst/>
      </c:spPr>
    </c:title>
    <c:autoTitleDeleted val="0"/>
    <c:plotArea>
      <c:layout>
        <c:manualLayout>
          <c:layoutTarget val="inner"/>
          <c:xMode val="edge"/>
          <c:yMode val="edge"/>
          <c:x val="0.0566078762986229"/>
          <c:y val="0.196982575435615"/>
          <c:w val="0.913916404928727"/>
          <c:h val="0.63905652358691"/>
        </c:manualLayout>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delete val="1"/>
          </c:dLbls>
          <c:cat>
            <c:strRef>
              <c:f>Sheet1!$A$2:$A$3</c:f>
              <c:strCache>
                <c:ptCount val="2"/>
                <c:pt idx="0">
                  <c:v>一般公共预算财政拨款支出</c:v>
                </c:pt>
              </c:strCache>
            </c:strRef>
          </c:cat>
          <c:val>
            <c:numRef>
              <c:f>Sheet1!$B$2:$B$3</c:f>
              <c:numCache>
                <c:formatCode>General</c:formatCode>
                <c:ptCount val="2"/>
                <c:pt idx="0">
                  <c:v>720.66</c:v>
                </c:pt>
              </c:numCache>
            </c:numRef>
          </c:val>
        </c:ser>
        <c:ser>
          <c:idx val="1"/>
          <c:order val="1"/>
          <c:tx>
            <c:strRef>
              <c:f>Sheet1!$C$1</c:f>
              <c:strCache>
                <c:ptCount val="1"/>
                <c:pt idx="0">
                  <c:v>2023年</c:v>
                </c:pt>
              </c:strCache>
            </c:strRef>
          </c:tx>
          <c:spPr>
            <a:solidFill>
              <a:schemeClr val="accent2"/>
            </a:solidFill>
            <a:ln>
              <a:noFill/>
            </a:ln>
            <a:effectLst/>
          </c:spPr>
          <c:invertIfNegative val="0"/>
          <c:dLbls>
            <c:delete val="1"/>
          </c:dLbls>
          <c:cat>
            <c:strRef>
              <c:f>Sheet1!$A$2:$A$3</c:f>
              <c:strCache>
                <c:ptCount val="2"/>
                <c:pt idx="0">
                  <c:v>一般公共预算财政拨款支出</c:v>
                </c:pt>
              </c:strCache>
            </c:strRef>
          </c:cat>
          <c:val>
            <c:numRef>
              <c:f>Sheet1!$C$2:$C$3</c:f>
              <c:numCache>
                <c:formatCode>General</c:formatCode>
                <c:ptCount val="2"/>
                <c:pt idx="0">
                  <c:v>631.56</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Sheet1!$A$2:$A$3</c:f>
              <c:strCache>
                <c:ptCount val="2"/>
                <c:pt idx="0">
                  <c:v>一般公共预算财政拨款支出</c:v>
                </c:pt>
              </c:strCache>
            </c:strRef>
          </c:cat>
          <c:val>
            <c:numRef>
              <c:f>Sheet1!$D$2:$D$3</c:f>
              <c:numCache>
                <c:formatCode>General</c:formatCode>
                <c:ptCount val="2"/>
              </c:numCache>
            </c:numRef>
          </c:val>
        </c:ser>
        <c:dLbls>
          <c:showLegendKey val="0"/>
          <c:showVal val="0"/>
          <c:showCatName val="0"/>
          <c:showSerName val="0"/>
          <c:showPercent val="0"/>
          <c:showBubbleSize val="0"/>
        </c:dLbls>
        <c:gapWidth val="246"/>
        <c:overlap val="-28"/>
        <c:axId val="570536231"/>
        <c:axId val="351814391"/>
      </c:barChart>
      <c:catAx>
        <c:axId val="570536231"/>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1814391"/>
        <c:crosses val="autoZero"/>
        <c:auto val="1"/>
        <c:lblAlgn val="ctr"/>
        <c:lblOffset val="100"/>
        <c:noMultiLvlLbl val="0"/>
      </c:catAx>
      <c:valAx>
        <c:axId val="351814391"/>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0536231"/>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049b656-d792-4a03-bd50-0f952b4de0a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一般公共预算财政拨款支出决算结构图</a:t>
            </a:r>
          </a:p>
        </c:rich>
      </c:tx>
      <c:layout>
        <c:manualLayout>
          <c:xMode val="edge"/>
          <c:yMode val="edge"/>
          <c:x val="0.205484416525731"/>
          <c:y val="0.0233540925266904"/>
        </c:manualLayout>
      </c:layout>
      <c:overlay val="0"/>
      <c:spPr>
        <a:noFill/>
        <a:ln>
          <a:noFill/>
        </a:ln>
        <a:effectLst/>
      </c:sp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0%</c:formatCode>
                <c:ptCount val="4"/>
                <c:pt idx="0">
                  <c:v>0.897</c:v>
                </c:pt>
                <c:pt idx="1" c:formatCode="0.00%">
                  <c:v>0.053</c:v>
                </c:pt>
                <c:pt idx="2" c:formatCode="0.00%">
                  <c:v>0.021</c:v>
                </c:pt>
                <c:pt idx="3" c:formatCode="0.00%">
                  <c:v>0.029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c332054-6fba-4e99-b789-33bb4505adb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因公出国（境）费支出</c:v>
                </c:pt>
                <c:pt idx="1">
                  <c:v>公务用车购置及运行维护费支出</c:v>
                </c:pt>
                <c:pt idx="2">
                  <c:v>公务接待费支出</c:v>
                </c:pt>
              </c:strCache>
            </c:strRef>
          </c:cat>
          <c:val>
            <c:numRef>
              <c:f>Sheet1!$B$2:$B$5</c:f>
              <c:numCache>
                <c:formatCode>General</c:formatCode>
                <c:ptCount val="4"/>
                <c:pt idx="0">
                  <c:v>0</c:v>
                </c:pt>
                <c:pt idx="1">
                  <c:v>8.89</c:v>
                </c:pt>
                <c:pt idx="2">
                  <c:v>0.11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manualLayout>
          <c:xMode val="edge"/>
          <c:yMode val="edge"/>
          <c:x val="0.117117661270838"/>
          <c:y val="0.13429664258393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6d6e771-b077-40b2-8d3e-3e226ac7f8f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73</Pages>
  <Words>1559</Words>
  <Characters>1576</Characters>
  <Lines>42</Lines>
  <Paragraphs>11</Paragraphs>
  <TotalTime>6</TotalTime>
  <ScaleCrop>false</ScaleCrop>
  <LinksUpToDate>false</LinksUpToDate>
  <CharactersWithSpaces>1601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2024-09-03T17:38:00Z</dcterms:created>
  <dc:creator>曹颖</dc:creator>
  <cp:lastModifiedBy>一个笨蛋</cp:lastModifiedBy>
  <cp:lastPrinted>2024-09-11T23:16:00Z</cp:lastPrinted>
  <dcterms:modified xsi:type="dcterms:W3CDTF">2026-05-14T03:15:04Z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6EEA48D88702480D708DE56926A9929D_43</vt:lpwstr>
  </property>
  <property fmtid="{D5CDD505-2E9C-101B-9397-08002B2CF9AE}" pid="4" name="KSOTemplateDocerSaveRecord">
    <vt:lpwstr>eyJoZGlkIjoiYjllZGNkZWEzYjg0NDNmNTQ5MjkzNjk0ODlhNmVkYzAiLCJ1c2VySWQiOiI0MTAxMDQ4MDkifQ==</vt:lpwstr>
  </property>
</Properties>
</file>