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805622">
      <w:pPr>
        <w:pStyle w:val="8"/>
        <w:spacing w:before="93"/>
        <w:rPr>
          <w:rFonts w:hint="eastAsia" w:ascii="Times New Roman" w:eastAsia="方正小标宋简体"/>
          <w:kern w:val="2"/>
          <w:sz w:val="72"/>
          <w:szCs w:val="72"/>
        </w:rPr>
      </w:pPr>
      <w:bookmarkStart w:id="0" w:name="_Toc15396475"/>
      <w:bookmarkStart w:id="1" w:name="_Toc15378441"/>
      <w:bookmarkStart w:id="2" w:name="_Toc15396597"/>
      <w:bookmarkStart w:id="3" w:name="_Toc15377193"/>
      <w:bookmarkStart w:id="4" w:name="_Toc15377425"/>
      <w:bookmarkStart w:id="5" w:name="_Toc15306267"/>
    </w:p>
    <w:p w14:paraId="0C8EC831">
      <w:pPr>
        <w:pStyle w:val="8"/>
        <w:spacing w:before="93"/>
        <w:rPr>
          <w:rFonts w:ascii="Times New Roman" w:eastAsia="方正小标宋简体"/>
          <w:kern w:val="2"/>
          <w:sz w:val="72"/>
          <w:szCs w:val="72"/>
        </w:rPr>
      </w:pPr>
    </w:p>
    <w:p w14:paraId="1A4214F2">
      <w:pPr>
        <w:pStyle w:val="8"/>
        <w:spacing w:before="93"/>
        <w:rPr>
          <w:rFonts w:ascii="Times New Roman" w:eastAsia="方正小标宋简体"/>
          <w:kern w:val="2"/>
          <w:sz w:val="72"/>
          <w:szCs w:val="72"/>
        </w:rPr>
      </w:pPr>
    </w:p>
    <w:p w14:paraId="74EF6FEB">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2024年度阿坝州藏文编译局决算</w:t>
      </w:r>
    </w:p>
    <w:p w14:paraId="0484DE48">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公开文字说明</w:t>
      </w:r>
    </w:p>
    <w:p w14:paraId="70921E0B">
      <w:pPr>
        <w:spacing w:line="600" w:lineRule="exact"/>
        <w:jc w:val="center"/>
        <w:outlineLvl w:val="0"/>
        <w:rPr>
          <w:rFonts w:eastAsia="方正小标宋简体"/>
          <w:sz w:val="72"/>
          <w:szCs w:val="72"/>
        </w:rPr>
      </w:pPr>
    </w:p>
    <w:p w14:paraId="1FED333D">
      <w:pPr>
        <w:pStyle w:val="20"/>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0CC09C8E"/>
    <w:p w14:paraId="290DE71C">
      <w:pPr>
        <w:pStyle w:val="8"/>
        <w:spacing w:before="93"/>
        <w:jc w:val="center"/>
        <w:rPr>
          <w:rFonts w:ascii="Times New Roman" w:eastAsia="方正小标宋简体"/>
          <w:kern w:val="2"/>
          <w:sz w:val="44"/>
          <w:szCs w:val="44"/>
        </w:rPr>
      </w:pPr>
    </w:p>
    <w:p w14:paraId="480CD066">
      <w:pPr>
        <w:pStyle w:val="8"/>
        <w:spacing w:before="93"/>
        <w:jc w:val="center"/>
        <w:rPr>
          <w:rFonts w:ascii="Times New Roman" w:eastAsia="方正小标宋简体"/>
          <w:kern w:val="2"/>
          <w:sz w:val="44"/>
          <w:szCs w:val="44"/>
        </w:rPr>
      </w:pPr>
    </w:p>
    <w:p w14:paraId="3C1C5BC2">
      <w:pPr>
        <w:pStyle w:val="8"/>
        <w:spacing w:before="93"/>
        <w:jc w:val="center"/>
        <w:rPr>
          <w:rFonts w:ascii="Times New Roman" w:eastAsia="方正小标宋简体"/>
          <w:kern w:val="2"/>
          <w:sz w:val="44"/>
          <w:szCs w:val="44"/>
        </w:rPr>
      </w:pPr>
    </w:p>
    <w:p w14:paraId="535DD9BF">
      <w:pPr>
        <w:pStyle w:val="8"/>
        <w:spacing w:before="93"/>
        <w:jc w:val="center"/>
        <w:rPr>
          <w:rFonts w:ascii="Times New Roman" w:eastAsia="方正小标宋简体"/>
          <w:kern w:val="2"/>
          <w:sz w:val="44"/>
          <w:szCs w:val="44"/>
        </w:rPr>
      </w:pPr>
    </w:p>
    <w:bookmarkEnd w:id="0"/>
    <w:bookmarkEnd w:id="1"/>
    <w:bookmarkEnd w:id="2"/>
    <w:bookmarkEnd w:id="3"/>
    <w:bookmarkEnd w:id="4"/>
    <w:p w14:paraId="76A33839">
      <w:pPr>
        <w:pStyle w:val="8"/>
        <w:spacing w:before="93"/>
        <w:jc w:val="center"/>
        <w:rPr>
          <w:rFonts w:ascii="Times New Roman" w:eastAsia="方正小标宋简体"/>
          <w:kern w:val="2"/>
          <w:sz w:val="44"/>
          <w:szCs w:val="44"/>
        </w:rPr>
      </w:pPr>
      <w:bookmarkStart w:id="6" w:name="_Toc15396598"/>
      <w:bookmarkStart w:id="7" w:name="_Toc15377194"/>
      <w:bookmarkStart w:id="8" w:name="_Toc15378442"/>
      <w:bookmarkStart w:id="9" w:name="_Toc15396476"/>
      <w:bookmarkStart w:id="10" w:name="_Toc15377426"/>
      <w:r>
        <w:rPr>
          <w:rFonts w:hint="eastAsia" w:ascii="Times New Roman" w:eastAsia="方正小标宋简体"/>
          <w:kern w:val="2"/>
          <w:sz w:val="44"/>
          <w:szCs w:val="44"/>
        </w:rPr>
        <w:t>2024年度四川省</w:t>
      </w:r>
      <w:bookmarkEnd w:id="5"/>
      <w:bookmarkStart w:id="11" w:name="_Toc15306268"/>
      <w:r>
        <w:rPr>
          <w:rFonts w:hint="eastAsia" w:ascii="Times New Roman" w:eastAsia="方正小标宋简体"/>
          <w:kern w:val="2"/>
          <w:sz w:val="44"/>
          <w:szCs w:val="44"/>
        </w:rPr>
        <w:t>阿坝州藏文编译局决算</w:t>
      </w:r>
      <w:bookmarkEnd w:id="6"/>
      <w:bookmarkEnd w:id="7"/>
      <w:bookmarkEnd w:id="8"/>
      <w:bookmarkEnd w:id="9"/>
      <w:bookmarkEnd w:id="10"/>
      <w:bookmarkEnd w:id="11"/>
    </w:p>
    <w:p w14:paraId="1247BFCD">
      <w:pPr>
        <w:pStyle w:val="15"/>
        <w:shd w:val="clear" w:color="auto" w:fill="FFFFFF"/>
        <w:ind w:left="420" w:leftChars="200" w:firstLine="750" w:firstLineChars="250"/>
        <w:rPr>
          <w:rFonts w:ascii="仿宋" w:hAnsi="仿宋" w:eastAsia="仿宋"/>
          <w:sz w:val="30"/>
          <w:szCs w:val="30"/>
        </w:rPr>
      </w:pPr>
      <w:r>
        <w:rPr>
          <w:rFonts w:hint="eastAsia" w:ascii="仿宋" w:hAnsi="仿宋" w:eastAsia="仿宋"/>
          <w:sz w:val="30"/>
          <w:szCs w:val="30"/>
        </w:rPr>
        <w:t>已经保密审查、内容审定，同意对外公开</w:t>
      </w:r>
    </w:p>
    <w:p w14:paraId="618E4E21">
      <w:pPr>
        <w:pStyle w:val="8"/>
        <w:spacing w:before="93"/>
        <w:jc w:val="center"/>
        <w:rPr>
          <w:rFonts w:ascii="Times New Roman" w:eastAsia="方正小标宋简体"/>
          <w:kern w:val="2"/>
          <w:sz w:val="44"/>
          <w:szCs w:val="44"/>
        </w:rPr>
      </w:pPr>
    </w:p>
    <w:p w14:paraId="09706C16">
      <w:pPr>
        <w:widowControl/>
        <w:jc w:val="center"/>
        <w:rPr>
          <w:rFonts w:eastAsia="黑体"/>
          <w:sz w:val="48"/>
          <w:szCs w:val="48"/>
        </w:rPr>
      </w:pPr>
      <w:r>
        <w:rPr>
          <w:rFonts w:eastAsia="方正小标宋简体"/>
          <w:sz w:val="36"/>
          <w:szCs w:val="36"/>
        </w:rPr>
        <w:br w:type="page"/>
      </w:r>
      <w:r>
        <w:rPr>
          <w:rFonts w:hint="eastAsia" w:eastAsia="黑体"/>
          <w:sz w:val="48"/>
          <w:szCs w:val="48"/>
        </w:rPr>
        <w:t>目录</w:t>
      </w:r>
    </w:p>
    <w:p w14:paraId="4AF004EA">
      <w:pPr>
        <w:widowControl/>
        <w:jc w:val="center"/>
        <w:rPr>
          <w:rFonts w:eastAsia="黑体" w:cstheme="minorBidi"/>
          <w:sz w:val="28"/>
          <w:szCs w:val="28"/>
        </w:rPr>
      </w:pPr>
    </w:p>
    <w:p w14:paraId="2AB183B8">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公开时间：2024年9月5日</w:t>
      </w:r>
    </w:p>
    <w:p w14:paraId="506B69B7"/>
    <w:p w14:paraId="3640C333">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r>
        <w:rPr>
          <w:rFonts w:ascii="Times New Roman" w:hAnsi="Times New Roman" w:eastAsia="黑体" w:cs="黑体"/>
          <w:sz w:val="32"/>
          <w:szCs w:val="32"/>
        </w:rPr>
        <w:t>·········································</w:t>
      </w:r>
      <w:r>
        <w:rPr>
          <w:rFonts w:hint="eastAsia" w:ascii="Times New Roman" w:hAnsi="Times New Roman" w:eastAsia="黑体" w:cs="黑体"/>
          <w:sz w:val="32"/>
          <w:szCs w:val="32"/>
        </w:rPr>
        <w:t xml:space="preserve"> </w:t>
      </w:r>
      <w:r>
        <w:rPr>
          <w:rFonts w:ascii="Times New Roman" w:hAnsi="Times New Roman" w:eastAsia="黑体" w:cs="黑体"/>
          <w:sz w:val="32"/>
          <w:szCs w:val="32"/>
        </w:rPr>
        <w:t>········</w:t>
      </w:r>
      <w:r>
        <w:rPr>
          <w:rFonts w:hint="eastAsia" w:ascii="Times New Roman" w:hAnsi="Times New Roman" w:eastAsia="黑体" w:cs="黑体"/>
          <w:sz w:val="32"/>
          <w:szCs w:val="32"/>
        </w:rPr>
        <w:t>4</w:t>
      </w:r>
    </w:p>
    <w:p w14:paraId="1B2BF038">
      <w:pPr>
        <w:pStyle w:val="14"/>
        <w:numPr>
          <w:ilvl w:val="0"/>
          <w:numId w:val="1"/>
        </w:numPr>
        <w:adjustRightInd w:val="0"/>
        <w:snapToGrid w:val="0"/>
        <w:spacing w:line="560" w:lineRule="exact"/>
        <w:ind w:leftChars="0"/>
        <w:jc w:val="left"/>
        <w:rPr>
          <w:rFonts w:eastAsia="仿宋_GB2312" w:cs="仿宋_GB2312"/>
          <w:sz w:val="32"/>
          <w:szCs w:val="32"/>
        </w:rPr>
      </w:pPr>
      <w:r>
        <w:rPr>
          <w:rFonts w:hint="eastAsia" w:eastAsia="仿宋_GB2312" w:cs="仿宋_GB2312"/>
          <w:sz w:val="32"/>
          <w:szCs w:val="32"/>
        </w:rPr>
        <w:t>部门职责</w:t>
      </w:r>
      <w:r>
        <w:rPr>
          <w:rFonts w:eastAsia="仿宋_GB2312"/>
          <w:sz w:val="32"/>
          <w:szCs w:val="32"/>
        </w:rPr>
        <w:t>···················································</w:t>
      </w:r>
      <w:r>
        <w:rPr>
          <w:rFonts w:hint="eastAsia" w:eastAsia="仿宋_GB2312"/>
          <w:sz w:val="32"/>
          <w:szCs w:val="32"/>
        </w:rPr>
        <w:t>4</w:t>
      </w:r>
    </w:p>
    <w:p w14:paraId="49786F02">
      <w:pPr>
        <w:pStyle w:val="14"/>
        <w:numPr>
          <w:ilvl w:val="0"/>
          <w:numId w:val="1"/>
        </w:numPr>
        <w:adjustRightInd w:val="0"/>
        <w:snapToGrid w:val="0"/>
        <w:spacing w:line="560" w:lineRule="exact"/>
        <w:ind w:leftChars="0"/>
        <w:jc w:val="left"/>
        <w:rPr>
          <w:rFonts w:eastAsia="仿宋_GB2312" w:cs="仿宋_GB2312"/>
          <w:sz w:val="32"/>
          <w:szCs w:val="32"/>
        </w:rPr>
      </w:pPr>
      <w:r>
        <w:rPr>
          <w:rFonts w:hint="eastAsia" w:eastAsia="仿宋_GB2312" w:cs="仿宋_GB2312"/>
          <w:sz w:val="32"/>
          <w:szCs w:val="32"/>
        </w:rPr>
        <w:t>机构设置</w:t>
      </w:r>
      <w:r>
        <w:rPr>
          <w:rFonts w:eastAsia="仿宋_GB2312"/>
          <w:sz w:val="32"/>
          <w:szCs w:val="32"/>
        </w:rPr>
        <w:t>···················································</w:t>
      </w:r>
      <w:r>
        <w:rPr>
          <w:rFonts w:hint="eastAsia" w:eastAsia="仿宋_GB2312"/>
          <w:sz w:val="32"/>
          <w:szCs w:val="32"/>
        </w:rPr>
        <w:t>5</w:t>
      </w:r>
    </w:p>
    <w:p w14:paraId="5B976998">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r>
        <w:rPr>
          <w:rFonts w:ascii="Times New Roman" w:hAnsi="Times New Roman" w:eastAsia="黑体" w:cs="黑体"/>
          <w:sz w:val="32"/>
          <w:szCs w:val="32"/>
        </w:rPr>
        <w:t>······················</w:t>
      </w:r>
      <w:r>
        <w:rPr>
          <w:rFonts w:hint="eastAsia" w:ascii="Times New Roman" w:hAnsi="Times New Roman" w:eastAsia="黑体" w:cs="黑体"/>
          <w:sz w:val="32"/>
          <w:szCs w:val="32"/>
        </w:rPr>
        <w:t xml:space="preserve"> </w:t>
      </w:r>
      <w:r>
        <w:rPr>
          <w:rFonts w:ascii="Times New Roman" w:hAnsi="Times New Roman" w:eastAsia="黑体" w:cs="黑体"/>
          <w:sz w:val="32"/>
          <w:szCs w:val="32"/>
        </w:rPr>
        <w:t>··</w:t>
      </w:r>
      <w:r>
        <w:rPr>
          <w:rFonts w:hint="eastAsia" w:ascii="Times New Roman" w:hAnsi="Times New Roman" w:eastAsia="黑体" w:cs="黑体"/>
          <w:sz w:val="32"/>
          <w:szCs w:val="32"/>
        </w:rPr>
        <w:t>6</w:t>
      </w:r>
    </w:p>
    <w:p w14:paraId="1AE20E9A">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r>
        <w:rPr>
          <w:rFonts w:eastAsia="仿宋_GB2312"/>
          <w:sz w:val="32"/>
          <w:szCs w:val="32"/>
        </w:rPr>
        <w:t>···························</w:t>
      </w:r>
      <w:r>
        <w:rPr>
          <w:rFonts w:hint="eastAsia" w:eastAsia="仿宋_GB2312"/>
          <w:sz w:val="32"/>
          <w:szCs w:val="32"/>
        </w:rPr>
        <w:t>6</w:t>
      </w:r>
    </w:p>
    <w:p w14:paraId="4EB31C5D">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r>
        <w:rPr>
          <w:rFonts w:eastAsia="仿宋_GB2312"/>
          <w:sz w:val="32"/>
          <w:szCs w:val="32"/>
        </w:rPr>
        <w:t>·······································</w:t>
      </w:r>
      <w:r>
        <w:rPr>
          <w:rFonts w:hint="eastAsia" w:eastAsia="仿宋_GB2312"/>
          <w:sz w:val="32"/>
          <w:szCs w:val="32"/>
        </w:rPr>
        <w:t>6</w:t>
      </w:r>
    </w:p>
    <w:p w14:paraId="18F0BA58">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r>
        <w:rPr>
          <w:rFonts w:eastAsia="仿宋_GB2312"/>
          <w:sz w:val="32"/>
          <w:szCs w:val="32"/>
        </w:rPr>
        <w:t>········································</w:t>
      </w:r>
      <w:r>
        <w:rPr>
          <w:rFonts w:hint="eastAsia" w:eastAsia="仿宋_GB2312"/>
          <w:sz w:val="32"/>
          <w:szCs w:val="32"/>
        </w:rPr>
        <w:t>7</w:t>
      </w:r>
    </w:p>
    <w:p w14:paraId="53E8019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r>
        <w:rPr>
          <w:rFonts w:eastAsia="仿宋_GB2312"/>
          <w:sz w:val="32"/>
          <w:szCs w:val="32"/>
        </w:rPr>
        <w:t>···············</w:t>
      </w:r>
      <w:r>
        <w:rPr>
          <w:rFonts w:hint="eastAsia" w:eastAsia="仿宋_GB2312"/>
          <w:sz w:val="32"/>
          <w:szCs w:val="32"/>
        </w:rPr>
        <w:t>8</w:t>
      </w:r>
    </w:p>
    <w:p w14:paraId="4A5B193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r>
        <w:rPr>
          <w:rFonts w:eastAsia="仿宋_GB2312"/>
          <w:sz w:val="32"/>
          <w:szCs w:val="32"/>
        </w:rPr>
        <w:t>·········</w:t>
      </w:r>
      <w:r>
        <w:rPr>
          <w:rFonts w:hint="eastAsia" w:eastAsia="仿宋_GB2312"/>
          <w:sz w:val="32"/>
          <w:szCs w:val="32"/>
        </w:rPr>
        <w:t>8</w:t>
      </w:r>
    </w:p>
    <w:p w14:paraId="28EEDBE5">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r>
        <w:rPr>
          <w:rFonts w:eastAsia="仿宋_GB2312"/>
          <w:sz w:val="32"/>
          <w:szCs w:val="32"/>
        </w:rPr>
        <w:t>···</w:t>
      </w:r>
      <w:r>
        <w:rPr>
          <w:rFonts w:hint="eastAsia" w:eastAsia="仿宋_GB2312"/>
          <w:sz w:val="32"/>
          <w:szCs w:val="32"/>
        </w:rPr>
        <w:t>11</w:t>
      </w:r>
    </w:p>
    <w:p w14:paraId="38BE515F">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r>
        <w:rPr>
          <w:rFonts w:eastAsia="仿宋_GB2312"/>
          <w:sz w:val="32"/>
          <w:szCs w:val="32"/>
        </w:rPr>
        <w:t>·········</w:t>
      </w:r>
      <w:r>
        <w:rPr>
          <w:rFonts w:hint="eastAsia" w:eastAsia="仿宋_GB2312"/>
          <w:sz w:val="32"/>
          <w:szCs w:val="32"/>
        </w:rPr>
        <w:t>12</w:t>
      </w:r>
    </w:p>
    <w:p w14:paraId="167ABE9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r>
        <w:rPr>
          <w:rFonts w:eastAsia="仿宋_GB2312"/>
          <w:sz w:val="32"/>
          <w:szCs w:val="32"/>
        </w:rPr>
        <w:t>··················</w:t>
      </w:r>
      <w:r>
        <w:rPr>
          <w:rFonts w:hint="eastAsia" w:eastAsia="仿宋_GB2312"/>
          <w:sz w:val="32"/>
          <w:szCs w:val="32"/>
        </w:rPr>
        <w:t>14</w:t>
      </w:r>
    </w:p>
    <w:p w14:paraId="10E7327E">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r>
        <w:rPr>
          <w:rFonts w:eastAsia="仿宋_GB2312"/>
          <w:sz w:val="32"/>
          <w:szCs w:val="32"/>
        </w:rPr>
        <w:t>················</w:t>
      </w:r>
      <w:r>
        <w:rPr>
          <w:rFonts w:hint="eastAsia" w:eastAsia="仿宋_GB2312"/>
          <w:sz w:val="32"/>
          <w:szCs w:val="32"/>
        </w:rPr>
        <w:t>14</w:t>
      </w:r>
    </w:p>
    <w:p w14:paraId="181D003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r>
        <w:rPr>
          <w:rFonts w:eastAsia="仿宋_GB2312"/>
          <w:sz w:val="32"/>
          <w:szCs w:val="32"/>
        </w:rPr>
        <w:t>·······························</w:t>
      </w:r>
      <w:r>
        <w:rPr>
          <w:rFonts w:hint="eastAsia" w:eastAsia="仿宋_GB2312"/>
          <w:sz w:val="32"/>
          <w:szCs w:val="32"/>
        </w:rPr>
        <w:t>14</w:t>
      </w:r>
    </w:p>
    <w:p w14:paraId="4900A6F2">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r>
        <w:rPr>
          <w:rFonts w:ascii="Times New Roman" w:hAnsi="Times New Roman" w:eastAsia="黑体" w:cs="黑体"/>
          <w:sz w:val="32"/>
          <w:szCs w:val="32"/>
        </w:rPr>
        <w:t>·················································</w:t>
      </w:r>
      <w:r>
        <w:rPr>
          <w:rFonts w:hint="eastAsia" w:ascii="Times New Roman" w:hAnsi="Times New Roman" w:eastAsia="黑体" w:cs="黑体"/>
          <w:sz w:val="32"/>
          <w:szCs w:val="32"/>
        </w:rPr>
        <w:t>16</w:t>
      </w:r>
    </w:p>
    <w:p w14:paraId="3C9F252C">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r>
        <w:rPr>
          <w:rFonts w:ascii="Times New Roman" w:hAnsi="Times New Roman" w:eastAsia="黑体" w:cs="黑体"/>
          <w:sz w:val="32"/>
          <w:szCs w:val="32"/>
        </w:rPr>
        <w:t>·······················································</w:t>
      </w:r>
      <w:r>
        <w:rPr>
          <w:rFonts w:hint="eastAsia" w:ascii="Times New Roman" w:hAnsi="Times New Roman" w:eastAsia="黑体" w:cs="黑体"/>
          <w:sz w:val="32"/>
          <w:szCs w:val="32"/>
        </w:rPr>
        <w:t>18</w:t>
      </w:r>
    </w:p>
    <w:p w14:paraId="5BBA5BF8">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r>
        <w:rPr>
          <w:rFonts w:ascii="Times New Roman" w:hAnsi="Times New Roman" w:eastAsia="黑体" w:cs="黑体"/>
          <w:sz w:val="32"/>
          <w:szCs w:val="32"/>
        </w:rPr>
        <w:t>·······················································</w:t>
      </w:r>
      <w:r>
        <w:rPr>
          <w:rFonts w:hint="eastAsia" w:ascii="Times New Roman" w:hAnsi="Times New Roman" w:eastAsia="黑体" w:cs="黑体"/>
          <w:sz w:val="32"/>
          <w:szCs w:val="32"/>
        </w:rPr>
        <w:t>29</w:t>
      </w:r>
    </w:p>
    <w:p w14:paraId="41D60AE8">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r>
        <w:rPr>
          <w:rFonts w:eastAsia="仿宋_GB2312"/>
          <w:sz w:val="32"/>
          <w:szCs w:val="32"/>
        </w:rPr>
        <w:t>·······································</w:t>
      </w:r>
      <w:r>
        <w:rPr>
          <w:rFonts w:hint="eastAsia" w:eastAsia="仿宋_GB2312"/>
          <w:sz w:val="32"/>
          <w:szCs w:val="32"/>
        </w:rPr>
        <w:t>29</w:t>
      </w:r>
    </w:p>
    <w:p w14:paraId="37BD589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r>
        <w:rPr>
          <w:rFonts w:eastAsia="仿宋_GB2312"/>
          <w:sz w:val="32"/>
          <w:szCs w:val="32"/>
        </w:rPr>
        <w:t>················································</w:t>
      </w:r>
      <w:r>
        <w:rPr>
          <w:rFonts w:hint="eastAsia" w:eastAsia="仿宋_GB2312"/>
          <w:sz w:val="32"/>
          <w:szCs w:val="32"/>
        </w:rPr>
        <w:t>30</w:t>
      </w:r>
    </w:p>
    <w:p w14:paraId="152F0FF3">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r>
        <w:rPr>
          <w:rFonts w:eastAsia="仿宋_GB2312"/>
          <w:sz w:val="32"/>
          <w:szCs w:val="32"/>
        </w:rPr>
        <w:t>··········································</w:t>
      </w:r>
      <w:r>
        <w:rPr>
          <w:rFonts w:hint="eastAsia" w:eastAsia="仿宋_GB2312"/>
          <w:sz w:val="32"/>
          <w:szCs w:val="32"/>
        </w:rPr>
        <w:t xml:space="preserve"> </w:t>
      </w:r>
      <w:r>
        <w:rPr>
          <w:rFonts w:eastAsia="仿宋_GB2312"/>
          <w:sz w:val="32"/>
          <w:szCs w:val="32"/>
        </w:rPr>
        <w:t>·····</w:t>
      </w:r>
      <w:r>
        <w:rPr>
          <w:rFonts w:hint="eastAsia" w:eastAsia="仿宋_GB2312"/>
          <w:sz w:val="32"/>
          <w:szCs w:val="32"/>
        </w:rPr>
        <w:t>31</w:t>
      </w:r>
    </w:p>
    <w:p w14:paraId="40975325">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r>
        <w:rPr>
          <w:rFonts w:eastAsia="仿宋_GB2312"/>
          <w:sz w:val="32"/>
          <w:szCs w:val="32"/>
        </w:rPr>
        <w:t>··········</w:t>
      </w:r>
      <w:r>
        <w:rPr>
          <w:rFonts w:eastAsia="黑体" w:cs="黑体"/>
          <w:sz w:val="32"/>
          <w:szCs w:val="32"/>
        </w:rPr>
        <w:t>·············</w:t>
      </w:r>
      <w:r>
        <w:rPr>
          <w:rFonts w:eastAsia="仿宋_GB2312"/>
          <w:sz w:val="32"/>
          <w:szCs w:val="32"/>
        </w:rPr>
        <w:t>····</w:t>
      </w:r>
      <w:r>
        <w:rPr>
          <w:rFonts w:hint="eastAsia" w:eastAsia="仿宋_GB2312"/>
          <w:sz w:val="32"/>
          <w:szCs w:val="32"/>
        </w:rPr>
        <w:t>32</w:t>
      </w:r>
    </w:p>
    <w:p w14:paraId="529FD25E">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r>
        <w:rPr>
          <w:rFonts w:eastAsia="仿宋_GB2312"/>
          <w:sz w:val="32"/>
          <w:szCs w:val="32"/>
        </w:rPr>
        <w:t>······························</w:t>
      </w:r>
      <w:r>
        <w:rPr>
          <w:rFonts w:hint="eastAsia" w:eastAsia="仿宋_GB2312"/>
          <w:sz w:val="32"/>
          <w:szCs w:val="32"/>
        </w:rPr>
        <w:t>33</w:t>
      </w:r>
    </w:p>
    <w:p w14:paraId="74ED2BDB">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r>
        <w:rPr>
          <w:rFonts w:eastAsia="仿宋_GB2312"/>
          <w:sz w:val="32"/>
          <w:szCs w:val="32"/>
        </w:rPr>
        <w:t>···················</w:t>
      </w:r>
      <w:r>
        <w:rPr>
          <w:rFonts w:hint="eastAsia" w:eastAsia="仿宋_GB2312"/>
          <w:sz w:val="32"/>
          <w:szCs w:val="32"/>
        </w:rPr>
        <w:t>34</w:t>
      </w:r>
    </w:p>
    <w:p w14:paraId="211EFB7E">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r>
        <w:rPr>
          <w:rFonts w:eastAsia="仿宋_GB2312"/>
          <w:sz w:val="32"/>
          <w:szCs w:val="32"/>
        </w:rPr>
        <w:t>·············</w:t>
      </w:r>
      <w:r>
        <w:rPr>
          <w:rFonts w:hint="eastAsia" w:eastAsia="仿宋_GB2312"/>
          <w:sz w:val="32"/>
          <w:szCs w:val="32"/>
        </w:rPr>
        <w:t>35</w:t>
      </w:r>
    </w:p>
    <w:p w14:paraId="2BD6DD1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r>
        <w:rPr>
          <w:rFonts w:eastAsia="仿宋_GB2312"/>
          <w:sz w:val="32"/>
          <w:szCs w:val="32"/>
        </w:rPr>
        <w:t>·······</w:t>
      </w:r>
      <w:r>
        <w:rPr>
          <w:rFonts w:hint="eastAsia" w:eastAsia="仿宋_GB2312"/>
          <w:sz w:val="32"/>
          <w:szCs w:val="32"/>
        </w:rPr>
        <w:t>39</w:t>
      </w:r>
    </w:p>
    <w:p w14:paraId="6541FA8A">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r>
        <w:rPr>
          <w:rFonts w:eastAsia="仿宋_GB2312"/>
          <w:sz w:val="32"/>
          <w:szCs w:val="32"/>
        </w:rPr>
        <w:t>·············</w:t>
      </w:r>
      <w:r>
        <w:rPr>
          <w:rFonts w:hint="eastAsia" w:eastAsia="仿宋_GB2312"/>
          <w:sz w:val="32"/>
          <w:szCs w:val="32"/>
        </w:rPr>
        <w:t>40</w:t>
      </w:r>
    </w:p>
    <w:p w14:paraId="30F6CB85">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r>
        <w:rPr>
          <w:rFonts w:eastAsia="仿宋_GB2312"/>
          <w:sz w:val="32"/>
          <w:szCs w:val="32"/>
        </w:rPr>
        <w:t>·········</w:t>
      </w:r>
      <w:r>
        <w:rPr>
          <w:rFonts w:hint="eastAsia" w:eastAsia="仿宋_GB2312"/>
          <w:sz w:val="32"/>
          <w:szCs w:val="32"/>
        </w:rPr>
        <w:t>40</w:t>
      </w:r>
    </w:p>
    <w:p w14:paraId="4A4B655A">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r>
        <w:rPr>
          <w:rFonts w:eastAsia="仿宋_GB2312"/>
          <w:sz w:val="32"/>
          <w:szCs w:val="32"/>
        </w:rPr>
        <w:t>····</w:t>
      </w:r>
      <w:r>
        <w:rPr>
          <w:rFonts w:hint="eastAsia" w:eastAsia="仿宋_GB2312"/>
          <w:sz w:val="32"/>
          <w:szCs w:val="32"/>
        </w:rPr>
        <w:t>40</w:t>
      </w:r>
    </w:p>
    <w:p w14:paraId="30BC931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r>
        <w:rPr>
          <w:rFonts w:eastAsia="仿宋_GB2312"/>
          <w:sz w:val="32"/>
          <w:szCs w:val="32"/>
        </w:rPr>
        <w:t>··········</w:t>
      </w:r>
      <w:r>
        <w:rPr>
          <w:rFonts w:hint="eastAsia" w:eastAsia="仿宋_GB2312"/>
          <w:sz w:val="32"/>
          <w:szCs w:val="32"/>
        </w:rPr>
        <w:t>40</w:t>
      </w:r>
    </w:p>
    <w:p w14:paraId="665D3C1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r>
        <w:rPr>
          <w:rFonts w:eastAsia="仿宋_GB2312"/>
          <w:sz w:val="32"/>
          <w:szCs w:val="32"/>
        </w:rPr>
        <w:t>···············</w:t>
      </w:r>
      <w:r>
        <w:rPr>
          <w:rFonts w:hint="eastAsia" w:eastAsia="仿宋_GB2312"/>
          <w:sz w:val="32"/>
          <w:szCs w:val="32"/>
        </w:rPr>
        <w:t>41</w:t>
      </w:r>
    </w:p>
    <w:p w14:paraId="13440D4B">
      <w:pPr>
        <w:pStyle w:val="14"/>
        <w:adjustRightInd w:val="0"/>
        <w:snapToGrid w:val="0"/>
        <w:spacing w:line="560" w:lineRule="exact"/>
        <w:ind w:left="0" w:leftChars="0" w:firstLine="643" w:firstLineChars="200"/>
        <w:jc w:val="left"/>
        <w:rPr>
          <w:rFonts w:eastAsia="仿宋_GB2312" w:cs="仿宋_GB2312"/>
          <w:b/>
          <w:bCs/>
          <w:sz w:val="32"/>
          <w:szCs w:val="32"/>
        </w:rPr>
      </w:pPr>
    </w:p>
    <w:p w14:paraId="13802A6E">
      <w:pPr>
        <w:widowControl/>
        <w:spacing w:line="560" w:lineRule="exact"/>
        <w:jc w:val="left"/>
        <w:rPr>
          <w:rFonts w:eastAsia="仿宋_GB2312" w:cs="仿宋_GB2312"/>
          <w:bCs/>
          <w:kern w:val="44"/>
          <w:sz w:val="32"/>
          <w:szCs w:val="32"/>
        </w:rPr>
      </w:pPr>
      <w:bookmarkStart w:id="12" w:name="_Toc15396599"/>
      <w:bookmarkStart w:id="13" w:name="_Toc15377196"/>
      <w:r>
        <w:rPr>
          <w:rFonts w:hint="eastAsia" w:eastAsia="仿宋_GB2312" w:cs="仿宋_GB2312"/>
          <w:b/>
          <w:sz w:val="32"/>
          <w:szCs w:val="32"/>
        </w:rPr>
        <w:br w:type="page"/>
      </w:r>
    </w:p>
    <w:p w14:paraId="15E191A4">
      <w:pPr>
        <w:pStyle w:val="5"/>
        <w:jc w:val="center"/>
        <w:rPr>
          <w:rFonts w:eastAsia="方正小标宋简体" w:cs="方正小标宋简体"/>
          <w:bCs w:val="0"/>
        </w:rPr>
      </w:pPr>
      <w:r>
        <w:rPr>
          <w:rFonts w:hint="eastAsia" w:eastAsia="方正小标宋简体" w:cs="方正小标宋简体"/>
          <w:b w:val="0"/>
        </w:rPr>
        <w:t xml:space="preserve">第一部分  </w:t>
      </w:r>
      <w:r>
        <w:rPr>
          <w:rStyle w:val="29"/>
          <w:rFonts w:hint="eastAsia" w:eastAsia="方正小标宋简体" w:cs="方正小标宋简体"/>
          <w:b w:val="0"/>
          <w:bCs w:val="0"/>
        </w:rPr>
        <w:t>部门概况</w:t>
      </w:r>
      <w:bookmarkEnd w:id="12"/>
      <w:bookmarkEnd w:id="13"/>
    </w:p>
    <w:p w14:paraId="2405FE70">
      <w:pPr>
        <w:pStyle w:val="6"/>
        <w:numPr>
          <w:ilvl w:val="0"/>
          <w:numId w:val="2"/>
        </w:numPr>
        <w:rPr>
          <w:rFonts w:ascii="Times New Roman" w:hAnsi="Times New Roman" w:eastAsia="黑体"/>
          <w:b w:val="0"/>
        </w:rPr>
      </w:pPr>
      <w:r>
        <w:rPr>
          <w:rFonts w:hint="eastAsia" w:ascii="Times New Roman" w:hAnsi="Times New Roman" w:eastAsia="黑体"/>
          <w:b w:val="0"/>
        </w:rPr>
        <w:t>部门职责</w:t>
      </w:r>
    </w:p>
    <w:p w14:paraId="7397EB6E">
      <w:pPr>
        <w:snapToGrid w:val="0"/>
        <w:spacing w:line="640" w:lineRule="exact"/>
        <w:ind w:firstLine="640" w:firstLineChars="200"/>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一是贯彻执行党的路线、方针、政策和党对少数民族语言文字工作的决定和批示；研究、制定全州藏语文编译工作规划并组织实施。</w:t>
      </w:r>
    </w:p>
    <w:p w14:paraId="64842DC5">
      <w:pPr>
        <w:snapToGrid w:val="0"/>
        <w:spacing w:line="640" w:lineRule="exact"/>
        <w:ind w:firstLine="640" w:firstLineChars="200"/>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二是贯彻落实《阿坝州人民政府关于加强学习使用藏语文工作的意见》（阿府发</w:t>
      </w:r>
      <w:r>
        <w:rPr>
          <w:rFonts w:ascii="仿宋" w:hAnsi="仿宋" w:eastAsia="仿宋" w:cs="仿宋_GB2312"/>
          <w:color w:val="000000"/>
          <w:sz w:val="32"/>
          <w:szCs w:val="32"/>
          <w:shd w:val="clear" w:color="auto" w:fill="FFFFFF"/>
        </w:rPr>
        <w:t>[1997]18</w:t>
      </w:r>
      <w:r>
        <w:rPr>
          <w:rFonts w:hint="eastAsia" w:ascii="仿宋" w:hAnsi="仿宋" w:eastAsia="仿宋" w:cs="仿宋_GB2312"/>
          <w:color w:val="000000"/>
          <w:sz w:val="32"/>
          <w:szCs w:val="32"/>
          <w:shd w:val="clear" w:color="auto" w:fill="FFFFFF"/>
        </w:rPr>
        <w:t>号）和《阿坝州藏文社会用字管理办法》（阿府令</w:t>
      </w:r>
      <w:r>
        <w:rPr>
          <w:rFonts w:ascii="仿宋" w:hAnsi="仿宋" w:eastAsia="仿宋" w:cs="仿宋_GB2312"/>
          <w:color w:val="000000"/>
          <w:sz w:val="32"/>
          <w:szCs w:val="32"/>
          <w:shd w:val="clear" w:color="auto" w:fill="FFFFFF"/>
        </w:rPr>
        <w:t>25</w:t>
      </w:r>
      <w:r>
        <w:rPr>
          <w:rFonts w:hint="eastAsia" w:ascii="仿宋" w:hAnsi="仿宋" w:eastAsia="仿宋" w:cs="仿宋_GB2312"/>
          <w:color w:val="000000"/>
          <w:sz w:val="32"/>
          <w:szCs w:val="32"/>
          <w:shd w:val="clear" w:color="auto" w:fill="FFFFFF"/>
        </w:rPr>
        <w:t>号），负责对全州学习、使用和发展藏语文工作进行检查、督促；指导全州藏语文社会用字的规范化工作。</w:t>
      </w:r>
    </w:p>
    <w:p w14:paraId="08E85075">
      <w:pPr>
        <w:snapToGrid w:val="0"/>
        <w:spacing w:line="640" w:lineRule="exact"/>
        <w:ind w:firstLine="640" w:firstLineChars="200"/>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三是承担州委、州人大、州政府、州政协大型会议文件的藏汉文字翻译；承担有关政策性、政令性、法规性文件和学习宣传材料、科普读物等的翻译。</w:t>
      </w:r>
    </w:p>
    <w:p w14:paraId="4E47013F">
      <w:pPr>
        <w:snapToGrid w:val="0"/>
        <w:spacing w:line="640" w:lineRule="exact"/>
        <w:ind w:firstLine="640" w:firstLineChars="200"/>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四是开展州内少数民族古籍整理工作，负责《中国少数民族古籍总目提要</w:t>
      </w:r>
      <w:r>
        <w:rPr>
          <w:rFonts w:hint="eastAsia"/>
          <w:color w:val="000000"/>
          <w:sz w:val="32"/>
          <w:szCs w:val="32"/>
          <w:shd w:val="clear" w:color="auto" w:fill="FFFFFF"/>
        </w:rPr>
        <w:t>•</w:t>
      </w:r>
      <w:r>
        <w:rPr>
          <w:rFonts w:hint="eastAsia" w:ascii="仿宋" w:hAnsi="仿宋" w:eastAsia="仿宋" w:cs="仿宋_GB2312"/>
          <w:color w:val="000000"/>
          <w:sz w:val="32"/>
          <w:szCs w:val="32"/>
          <w:shd w:val="clear" w:color="auto" w:fill="FFFFFF"/>
        </w:rPr>
        <w:t>四川阿坝藏族卷》的筛选、登录、上报，搜集、整理、出版有价值的书籍和科普读物。</w:t>
      </w:r>
    </w:p>
    <w:p w14:paraId="7ED3FBC6">
      <w:pPr>
        <w:snapToGrid w:val="0"/>
        <w:spacing w:line="640" w:lineRule="exact"/>
        <w:ind w:firstLine="640" w:firstLineChars="200"/>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五是以《阿坝藏学》刊物为阵地，开展全州藏族宗教、文学、医学、历算学等学科、学术的研究，活跃藏学事业，提供决策参考。</w:t>
      </w:r>
    </w:p>
    <w:p w14:paraId="18666AC8">
      <w:pPr>
        <w:snapToGrid w:val="0"/>
        <w:spacing w:line="640" w:lineRule="exact"/>
        <w:ind w:firstLine="640" w:firstLineChars="200"/>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六是承担州藏文图书馆馆藏图书的购置、收藏、借阅等工作。</w:t>
      </w:r>
    </w:p>
    <w:p w14:paraId="38A0CA40">
      <w:pPr>
        <w:pStyle w:val="6"/>
        <w:rPr>
          <w:rStyle w:val="30"/>
          <w:rFonts w:ascii="Times New Roman" w:hAnsi="Times New Roman"/>
          <w:b w:val="0"/>
          <w:bCs w:val="0"/>
        </w:rPr>
      </w:pPr>
      <w:bookmarkStart w:id="14" w:name="_Toc15377200"/>
      <w:bookmarkStart w:id="15" w:name="_Toc15396601"/>
      <w:r>
        <w:rPr>
          <w:rFonts w:hint="eastAsia" w:ascii="Times New Roman" w:hAnsi="Times New Roman" w:eastAsia="黑体"/>
          <w:b w:val="0"/>
        </w:rPr>
        <w:t>二、机</w:t>
      </w:r>
      <w:r>
        <w:rPr>
          <w:rStyle w:val="30"/>
          <w:rFonts w:hint="eastAsia" w:ascii="Times New Roman" w:hAnsi="Times New Roman" w:eastAsia="黑体"/>
          <w:b w:val="0"/>
          <w:bCs w:val="0"/>
        </w:rPr>
        <w:t>构设置</w:t>
      </w:r>
      <w:bookmarkEnd w:id="14"/>
      <w:bookmarkEnd w:id="15"/>
    </w:p>
    <w:p w14:paraId="18F3CB4E">
      <w:pPr>
        <w:snapToGrid w:val="0"/>
        <w:spacing w:line="640" w:lineRule="exact"/>
        <w:ind w:firstLine="640" w:firstLineChars="200"/>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阿坝州藏文编译局属于财政全额拨款的参照公务员管理的事业单位，无下属二级单位。纳入四川省阿坝州藏文编译局2024年度部门决算编制范围的二级预算单位无。</w:t>
      </w:r>
    </w:p>
    <w:p w14:paraId="15DAF6F1">
      <w:pPr>
        <w:snapToGrid w:val="0"/>
        <w:spacing w:line="640" w:lineRule="exact"/>
        <w:ind w:firstLine="640" w:firstLineChars="200"/>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单位内设</w:t>
      </w:r>
      <w:r>
        <w:rPr>
          <w:rFonts w:ascii="仿宋" w:hAnsi="仿宋" w:eastAsia="仿宋" w:cs="仿宋_GB2312"/>
          <w:color w:val="000000"/>
          <w:sz w:val="32"/>
          <w:szCs w:val="32"/>
          <w:shd w:val="clear" w:color="auto" w:fill="FFFFFF"/>
        </w:rPr>
        <w:t>6</w:t>
      </w:r>
      <w:r>
        <w:rPr>
          <w:rFonts w:hint="eastAsia" w:ascii="仿宋" w:hAnsi="仿宋" w:eastAsia="仿宋" w:cs="仿宋_GB2312"/>
          <w:color w:val="000000"/>
          <w:sz w:val="32"/>
          <w:szCs w:val="32"/>
          <w:shd w:val="clear" w:color="auto" w:fill="FFFFFF"/>
        </w:rPr>
        <w:t>个机构，分别是办公室、藏学研究科、翻译科、古籍整理科（州藏文图书馆）、藏文社会用字管理科。人员编制</w:t>
      </w:r>
      <w:r>
        <w:rPr>
          <w:rFonts w:ascii="仿宋" w:hAnsi="仿宋" w:eastAsia="仿宋" w:cs="仿宋_GB2312"/>
          <w:color w:val="000000"/>
          <w:sz w:val="32"/>
          <w:szCs w:val="32"/>
          <w:shd w:val="clear" w:color="auto" w:fill="FFFFFF"/>
        </w:rPr>
        <w:t>25</w:t>
      </w:r>
      <w:r>
        <w:rPr>
          <w:rFonts w:hint="eastAsia" w:ascii="仿宋" w:hAnsi="仿宋" w:eastAsia="仿宋" w:cs="仿宋_GB2312"/>
          <w:color w:val="000000"/>
          <w:sz w:val="32"/>
          <w:szCs w:val="32"/>
          <w:shd w:val="clear" w:color="auto" w:fill="FFFFFF"/>
        </w:rPr>
        <w:t>名，实有人员24名，退休干部职工20人。</w:t>
      </w:r>
    </w:p>
    <w:p w14:paraId="2A17C2B0">
      <w:pPr>
        <w:pStyle w:val="2"/>
      </w:pPr>
    </w:p>
    <w:p w14:paraId="2C3D32ED">
      <w:pPr>
        <w:pStyle w:val="3"/>
        <w:ind w:left="420"/>
      </w:pPr>
    </w:p>
    <w:p w14:paraId="0610878C">
      <w:pPr>
        <w:pStyle w:val="3"/>
        <w:ind w:left="420"/>
      </w:pPr>
    </w:p>
    <w:p w14:paraId="20E364DB">
      <w:pPr>
        <w:pStyle w:val="3"/>
        <w:ind w:left="420"/>
      </w:pPr>
    </w:p>
    <w:p w14:paraId="62514F09">
      <w:pPr>
        <w:pStyle w:val="3"/>
        <w:ind w:left="420"/>
      </w:pPr>
    </w:p>
    <w:p w14:paraId="60855C53">
      <w:pPr>
        <w:pStyle w:val="3"/>
        <w:ind w:left="420"/>
      </w:pPr>
    </w:p>
    <w:p w14:paraId="58F86C5A">
      <w:pPr>
        <w:pStyle w:val="3"/>
        <w:ind w:left="420"/>
      </w:pPr>
    </w:p>
    <w:p w14:paraId="35593E19">
      <w:pPr>
        <w:pStyle w:val="3"/>
        <w:ind w:left="420"/>
      </w:pPr>
    </w:p>
    <w:p w14:paraId="6DC33BEE">
      <w:pPr>
        <w:pStyle w:val="3"/>
        <w:ind w:left="420"/>
      </w:pPr>
    </w:p>
    <w:p w14:paraId="7AC1D427">
      <w:pPr>
        <w:pStyle w:val="3"/>
        <w:ind w:left="420"/>
      </w:pPr>
    </w:p>
    <w:p w14:paraId="1C0864DC">
      <w:pPr>
        <w:pStyle w:val="3"/>
        <w:ind w:left="420"/>
      </w:pPr>
    </w:p>
    <w:p w14:paraId="2F3D2ECF">
      <w:pPr>
        <w:pStyle w:val="3"/>
        <w:ind w:left="420"/>
      </w:pPr>
    </w:p>
    <w:p w14:paraId="26E195CD">
      <w:pPr>
        <w:pStyle w:val="3"/>
        <w:ind w:left="420"/>
      </w:pPr>
    </w:p>
    <w:p w14:paraId="40B4789C">
      <w:pPr>
        <w:pStyle w:val="3"/>
        <w:ind w:left="420"/>
      </w:pPr>
    </w:p>
    <w:p w14:paraId="73B0718F">
      <w:pPr>
        <w:pStyle w:val="3"/>
        <w:ind w:left="420"/>
      </w:pPr>
    </w:p>
    <w:p w14:paraId="01BF7D66">
      <w:pPr>
        <w:pStyle w:val="3"/>
        <w:ind w:left="420"/>
      </w:pPr>
    </w:p>
    <w:p w14:paraId="3373B1C8">
      <w:pPr>
        <w:pStyle w:val="5"/>
        <w:jc w:val="center"/>
        <w:rPr>
          <w:rFonts w:eastAsia="方正小标宋简体" w:cs="方正小标宋简体"/>
          <w:b w:val="0"/>
        </w:rPr>
      </w:pPr>
      <w:bookmarkStart w:id="16" w:name="_Toc15396602"/>
      <w:bookmarkStart w:id="17" w:name="_Toc15377204"/>
      <w:r>
        <w:rPr>
          <w:rFonts w:hint="eastAsia" w:eastAsia="方正小标宋简体" w:cs="方正小标宋简体"/>
          <w:b w:val="0"/>
        </w:rPr>
        <w:t>第二部分  2024年度部门决算情况说明</w:t>
      </w:r>
      <w:bookmarkEnd w:id="16"/>
      <w:bookmarkEnd w:id="17"/>
    </w:p>
    <w:p w14:paraId="68B4D012">
      <w:pPr>
        <w:pStyle w:val="28"/>
        <w:spacing w:line="600" w:lineRule="exact"/>
        <w:ind w:firstLine="640"/>
        <w:outlineLvl w:val="1"/>
        <w:rPr>
          <w:rStyle w:val="30"/>
          <w:rFonts w:ascii="Times New Roman" w:hAnsi="Times New Roman" w:eastAsia="黑体"/>
          <w:b w:val="0"/>
        </w:rPr>
      </w:pPr>
      <w:bookmarkStart w:id="18" w:name="_Toc15377205"/>
      <w:bookmarkStart w:id="19" w:name="_Toc15396603"/>
      <w:r>
        <w:rPr>
          <w:rFonts w:hint="eastAsia" w:eastAsia="黑体"/>
          <w:sz w:val="32"/>
          <w:szCs w:val="32"/>
        </w:rPr>
        <w:t>一、收</w:t>
      </w:r>
      <w:r>
        <w:rPr>
          <w:rStyle w:val="30"/>
          <w:rFonts w:hint="eastAsia" w:ascii="Times New Roman" w:hAnsi="Times New Roman" w:eastAsia="黑体"/>
          <w:b w:val="0"/>
        </w:rPr>
        <w:t>入支出决算总体情况说明</w:t>
      </w:r>
      <w:bookmarkEnd w:id="18"/>
      <w:bookmarkEnd w:id="19"/>
    </w:p>
    <w:p w14:paraId="66AA7FDF">
      <w:pPr>
        <w:pStyle w:val="28"/>
        <w:spacing w:line="600" w:lineRule="exact"/>
        <w:ind w:firstLine="640"/>
        <w:outlineLvl w:val="1"/>
        <w:rPr>
          <w:rFonts w:eastAsia="仿宋_GB2312" w:cs="仿宋_GB2312"/>
          <w:sz w:val="32"/>
          <w:szCs w:val="32"/>
        </w:rPr>
      </w:pPr>
      <w:r>
        <w:rPr>
          <w:rFonts w:hint="eastAsia" w:eastAsia="仿宋_GB2312" w:cs="仿宋_GB2312"/>
          <w:sz w:val="32"/>
          <w:szCs w:val="32"/>
        </w:rPr>
        <w:t>2024年度收入、支出总计均为</w:t>
      </w:r>
      <w:r>
        <w:rPr>
          <w:rFonts w:hint="eastAsia" w:ascii="仿宋_GB2312" w:hAnsi="仿宋_GB2312" w:eastAsia="仿宋_GB2312" w:cs="仿宋_GB2312"/>
          <w:sz w:val="32"/>
          <w:szCs w:val="32"/>
        </w:rPr>
        <w:t>1132.47</w:t>
      </w:r>
      <w:r>
        <w:rPr>
          <w:rFonts w:hint="eastAsia" w:eastAsia="仿宋_GB2312" w:cs="仿宋_GB2312"/>
          <w:sz w:val="32"/>
          <w:szCs w:val="32"/>
        </w:rPr>
        <w:t>万元。与2023年度相比，收入、支出总计减少604.87万元，下降34.8%。主要变动原因是：</w:t>
      </w:r>
      <w:r>
        <w:rPr>
          <w:rFonts w:hint="eastAsia" w:ascii="仿宋_GB2312" w:eastAsia="仿宋_GB2312"/>
          <w:b/>
          <w:sz w:val="30"/>
          <w:szCs w:val="30"/>
        </w:rPr>
        <w:t>2023年新建藏文图书馆进行装修，2024年装修已完工。</w:t>
      </w:r>
    </w:p>
    <w:p w14:paraId="548843C0">
      <w:pPr>
        <w:ind w:firstLine="640" w:firstLineChars="200"/>
        <w:rPr>
          <w:rFonts w:eastAsia="仿宋_GB2312" w:cs="仿宋_GB2312"/>
          <w:sz w:val="32"/>
          <w:szCs w:val="32"/>
        </w:rPr>
      </w:pPr>
      <w:r>
        <w:rPr>
          <w:rFonts w:hint="eastAsia" w:eastAsia="仿宋_GB2312" w:cs="仿宋_GB2312"/>
          <w:sz w:val="32"/>
          <w:szCs w:val="32"/>
        </w:rPr>
        <w:t>（图1：收入、支出决算总计变动情况图）（柱状图）</w:t>
      </w:r>
    </w:p>
    <w:p w14:paraId="7869C926">
      <w:pPr>
        <w:ind w:firstLine="640" w:firstLineChars="200"/>
        <w:rPr>
          <w:rFonts w:eastAsia="仿宋_GB2312" w:cs="仿宋_GB2312"/>
          <w:sz w:val="32"/>
          <w:szCs w:val="32"/>
        </w:rPr>
      </w:pPr>
      <w:r>
        <w:rPr>
          <w:rFonts w:eastAsia="仿宋_GB2312" w:cs="仿宋_GB2312"/>
          <w:sz w:val="32"/>
          <w:szCs w:val="32"/>
        </w:rPr>
        <w:drawing>
          <wp:inline distT="0" distB="0" distL="0" distR="0">
            <wp:extent cx="5274310" cy="3076575"/>
            <wp:effectExtent l="0" t="0" r="2159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BFDB58">
      <w:pPr>
        <w:pStyle w:val="28"/>
        <w:spacing w:line="600" w:lineRule="exact"/>
        <w:ind w:firstLine="640"/>
        <w:outlineLvl w:val="1"/>
        <w:rPr>
          <w:rFonts w:eastAsia="黑体"/>
          <w:sz w:val="32"/>
          <w:szCs w:val="32"/>
        </w:rPr>
      </w:pPr>
      <w:bookmarkStart w:id="20" w:name="_Toc15377206"/>
      <w:bookmarkStart w:id="21" w:name="_Toc15396604"/>
      <w:r>
        <w:rPr>
          <w:rFonts w:hint="eastAsia" w:eastAsia="黑体"/>
          <w:sz w:val="32"/>
          <w:szCs w:val="32"/>
        </w:rPr>
        <w:t>二、收入决算情况说明</w:t>
      </w:r>
      <w:bookmarkEnd w:id="20"/>
      <w:bookmarkEnd w:id="21"/>
    </w:p>
    <w:p w14:paraId="0E96C1FC">
      <w:pPr>
        <w:pStyle w:val="28"/>
        <w:spacing w:line="600" w:lineRule="exact"/>
        <w:ind w:firstLine="640"/>
        <w:jc w:val="left"/>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2024年度本年收入合计1117.87万元，其中：一般公共预算财政拨款收入1095.97万元，占98.04%；政府性基金预算财政拨款收入0万元，占0%；国有资本经营预算财政拨款收入0万元，占0%；上级补助收入0万元，占0%；事业收入0万元，占0%；经营收入0万元，占0%；附属单位上缴收入0万元，占0%；其他收入21.9万元，占1.95%。</w:t>
      </w:r>
    </w:p>
    <w:p w14:paraId="0AF574C3">
      <w:pPr>
        <w:pStyle w:val="28"/>
        <w:spacing w:line="600" w:lineRule="exact"/>
        <w:ind w:firstLine="643"/>
        <w:jc w:val="left"/>
        <w:outlineLvl w:val="1"/>
        <w:rPr>
          <w:rFonts w:eastAsia="仿宋_GB2312" w:cs="仿宋_GB2312"/>
          <w:b/>
          <w:bCs/>
          <w:sz w:val="32"/>
          <w:szCs w:val="32"/>
        </w:rPr>
      </w:pPr>
      <w:r>
        <w:rPr>
          <w:rFonts w:hint="eastAsia" w:eastAsia="仿宋_GB2312" w:cs="仿宋_GB2312"/>
          <w:b/>
          <w:bCs/>
          <w:sz w:val="32"/>
          <w:szCs w:val="32"/>
        </w:rPr>
        <w:t>（注：仅罗列本部门涉及的收入）</w:t>
      </w:r>
    </w:p>
    <w:p w14:paraId="7FCA0FC7">
      <w:pPr>
        <w:ind w:firstLine="800" w:firstLineChars="250"/>
        <w:rPr>
          <w:rFonts w:eastAsia="仿宋_GB2312" w:cs="仿宋_GB2312"/>
          <w:sz w:val="32"/>
          <w:szCs w:val="32"/>
        </w:rPr>
      </w:pPr>
      <w:r>
        <w:rPr>
          <w:rFonts w:hint="eastAsia" w:eastAsia="仿宋_GB2312" w:cs="仿宋_GB2312"/>
          <w:sz w:val="32"/>
          <w:szCs w:val="32"/>
        </w:rPr>
        <w:t>（图2：收入决算结构图）（饼状图）</w:t>
      </w:r>
    </w:p>
    <w:p w14:paraId="12252A3A">
      <w:pPr>
        <w:pStyle w:val="2"/>
      </w:pPr>
      <w:r>
        <w:drawing>
          <wp:inline distT="0" distB="0" distL="0" distR="0">
            <wp:extent cx="5274310" cy="3076575"/>
            <wp:effectExtent l="0" t="0" r="2159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4E0F80">
      <w:pPr>
        <w:pStyle w:val="28"/>
        <w:spacing w:line="600" w:lineRule="exact"/>
        <w:ind w:firstLine="640"/>
        <w:outlineLvl w:val="1"/>
        <w:rPr>
          <w:rStyle w:val="30"/>
          <w:rFonts w:ascii="Times New Roman" w:hAnsi="Times New Roman" w:eastAsia="黑体"/>
          <w:b w:val="0"/>
        </w:rPr>
      </w:pPr>
      <w:bookmarkStart w:id="22" w:name="_Toc15377207"/>
      <w:bookmarkStart w:id="23" w:name="_Toc15396605"/>
      <w:r>
        <w:rPr>
          <w:rFonts w:hint="eastAsia" w:eastAsia="黑体"/>
          <w:sz w:val="32"/>
          <w:szCs w:val="32"/>
        </w:rPr>
        <w:t>三、支</w:t>
      </w:r>
      <w:r>
        <w:rPr>
          <w:rStyle w:val="30"/>
          <w:rFonts w:hint="eastAsia" w:ascii="Times New Roman" w:hAnsi="Times New Roman" w:eastAsia="黑体"/>
          <w:b w:val="0"/>
        </w:rPr>
        <w:t>出决算情况说明</w:t>
      </w:r>
      <w:bookmarkEnd w:id="22"/>
      <w:bookmarkEnd w:id="23"/>
    </w:p>
    <w:p w14:paraId="2E6B990D">
      <w:pPr>
        <w:pStyle w:val="28"/>
        <w:spacing w:line="600" w:lineRule="exact"/>
        <w:ind w:firstLine="640"/>
        <w:jc w:val="left"/>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2024年度本年支出合计1113.07万元，其中：基本支出787.15万元，占70.71%；项目支出325.92万元，占29.28%；上缴上级支出0万元，占0%；经营支出0万元，占0%；对附属单位补助支出0万元，占0%%。</w:t>
      </w:r>
    </w:p>
    <w:p w14:paraId="34A4B98D">
      <w:pPr>
        <w:pStyle w:val="28"/>
        <w:spacing w:line="600" w:lineRule="exact"/>
        <w:ind w:firstLine="643"/>
        <w:jc w:val="left"/>
        <w:outlineLvl w:val="1"/>
        <w:rPr>
          <w:rFonts w:eastAsia="仿宋_GB2312" w:cs="仿宋_GB2312"/>
          <w:sz w:val="32"/>
          <w:szCs w:val="32"/>
        </w:rPr>
      </w:pPr>
      <w:r>
        <w:rPr>
          <w:rFonts w:hint="eastAsia" w:eastAsia="仿宋_GB2312" w:cs="仿宋_GB2312"/>
          <w:b/>
          <w:bCs/>
          <w:sz w:val="32"/>
          <w:szCs w:val="32"/>
        </w:rPr>
        <w:t>（注：仅罗列本部门涉及的支出）</w:t>
      </w:r>
    </w:p>
    <w:p w14:paraId="0742FDD3">
      <w:pPr>
        <w:ind w:firstLine="800" w:firstLineChars="250"/>
        <w:rPr>
          <w:rFonts w:eastAsia="仿宋_GB2312" w:cs="仿宋_GB2312"/>
          <w:sz w:val="32"/>
          <w:szCs w:val="32"/>
        </w:rPr>
      </w:pPr>
      <w:r>
        <w:rPr>
          <w:rFonts w:hint="eastAsia" w:eastAsia="仿宋_GB2312" w:cs="仿宋_GB2312"/>
          <w:sz w:val="32"/>
          <w:szCs w:val="32"/>
        </w:rPr>
        <w:t>（图3：支出决算结构图）（饼状图）</w:t>
      </w:r>
    </w:p>
    <w:p w14:paraId="29F355A9">
      <w:pPr>
        <w:ind w:firstLine="800" w:firstLineChars="250"/>
        <w:rPr>
          <w:rFonts w:eastAsia="仿宋_GB2312" w:cs="仿宋_GB2312"/>
          <w:sz w:val="32"/>
          <w:szCs w:val="32"/>
        </w:rPr>
      </w:pPr>
      <w:r>
        <w:rPr>
          <w:rFonts w:eastAsia="仿宋_GB2312" w:cs="仿宋_GB2312"/>
          <w:sz w:val="32"/>
          <w:szCs w:val="32"/>
        </w:rPr>
        <w:drawing>
          <wp:inline distT="0" distB="0" distL="0" distR="0">
            <wp:extent cx="4762500" cy="2671445"/>
            <wp:effectExtent l="0" t="0" r="19050"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F19666">
      <w:pPr>
        <w:spacing w:line="600" w:lineRule="exact"/>
        <w:ind w:firstLine="640" w:firstLineChars="200"/>
        <w:outlineLvl w:val="1"/>
        <w:rPr>
          <w:rStyle w:val="30"/>
          <w:rFonts w:ascii="Times New Roman" w:hAnsi="Times New Roman" w:eastAsia="黑体"/>
          <w:b w:val="0"/>
        </w:rPr>
      </w:pPr>
      <w:bookmarkStart w:id="24" w:name="_Toc15377208"/>
      <w:bookmarkStart w:id="25" w:name="_Toc15396606"/>
      <w:r>
        <w:rPr>
          <w:rFonts w:hint="eastAsia" w:eastAsia="黑体"/>
          <w:sz w:val="32"/>
          <w:szCs w:val="32"/>
        </w:rPr>
        <w:t>四、财</w:t>
      </w:r>
      <w:r>
        <w:rPr>
          <w:rStyle w:val="30"/>
          <w:rFonts w:hint="eastAsia" w:ascii="Times New Roman" w:hAnsi="Times New Roman" w:eastAsia="黑体"/>
          <w:b w:val="0"/>
        </w:rPr>
        <w:t>政拨款收入支出决算总体情况说明</w:t>
      </w:r>
      <w:bookmarkEnd w:id="24"/>
      <w:bookmarkEnd w:id="25"/>
    </w:p>
    <w:p w14:paraId="77F1EEE9">
      <w:pPr>
        <w:pStyle w:val="28"/>
        <w:spacing w:line="600" w:lineRule="exact"/>
        <w:ind w:firstLine="640"/>
        <w:outlineLvl w:val="1"/>
        <w:rPr>
          <w:rFonts w:eastAsia="仿宋_GB2312" w:cs="仿宋_GB2312"/>
          <w:sz w:val="32"/>
          <w:szCs w:val="32"/>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1095.97</w:t>
      </w:r>
      <w:r>
        <w:rPr>
          <w:rFonts w:hint="eastAsia" w:eastAsia="仿宋_GB2312" w:cs="仿宋_GB2312"/>
          <w:sz w:val="32"/>
          <w:szCs w:val="32"/>
        </w:rPr>
        <w:t>万元。与2023年度相比，财政拨款收入总计、支出总计减少618.83万元，下降36.1%。主要变动原因是：</w:t>
      </w:r>
      <w:r>
        <w:rPr>
          <w:rFonts w:hint="eastAsia" w:ascii="仿宋_GB2312" w:eastAsia="仿宋_GB2312"/>
          <w:b/>
          <w:sz w:val="30"/>
          <w:szCs w:val="30"/>
        </w:rPr>
        <w:t>2023年新建藏文图书馆进行装修，2024年装修已完工。</w:t>
      </w:r>
    </w:p>
    <w:p w14:paraId="21EB54C4">
      <w:pPr>
        <w:spacing w:line="600" w:lineRule="exact"/>
        <w:ind w:firstLine="640"/>
        <w:rPr>
          <w:rFonts w:eastAsia="仿宋_GB2312" w:cs="仿宋_GB2312"/>
          <w:sz w:val="32"/>
          <w:szCs w:val="32"/>
        </w:rPr>
      </w:pPr>
      <w:r>
        <w:rPr>
          <w:rFonts w:hint="eastAsia" w:eastAsia="仿宋_GB2312" w:cs="仿宋_GB2312"/>
          <w:sz w:val="32"/>
          <w:szCs w:val="32"/>
        </w:rPr>
        <w:t>（图4：财政拨款收、支决算总计变动情况）（柱状图）</w:t>
      </w:r>
    </w:p>
    <w:p w14:paraId="7D6F2F44">
      <w:pPr>
        <w:pStyle w:val="2"/>
      </w:pPr>
      <w:r>
        <w:rPr>
          <w:rFonts w:hint="eastAsia"/>
        </w:rPr>
        <w:drawing>
          <wp:inline distT="0" distB="0" distL="0" distR="0">
            <wp:extent cx="5274310" cy="3076575"/>
            <wp:effectExtent l="0" t="0" r="2159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E65C0E3">
      <w:pPr>
        <w:spacing w:line="600" w:lineRule="exact"/>
        <w:ind w:firstLine="640" w:firstLineChars="200"/>
        <w:outlineLvl w:val="1"/>
        <w:rPr>
          <w:rStyle w:val="30"/>
          <w:rFonts w:ascii="Times New Roman" w:hAnsi="Times New Roman" w:eastAsia="黑体"/>
          <w:b w:val="0"/>
        </w:rPr>
      </w:pPr>
      <w:bookmarkStart w:id="26" w:name="_Toc15396607"/>
      <w:bookmarkStart w:id="27" w:name="_Toc15377209"/>
      <w:r>
        <w:rPr>
          <w:rFonts w:hint="eastAsia" w:eastAsia="黑体"/>
          <w:sz w:val="32"/>
          <w:szCs w:val="32"/>
        </w:rPr>
        <w:t>五、</w:t>
      </w:r>
      <w:r>
        <w:rPr>
          <w:rFonts w:hint="eastAsia" w:eastAsia="黑体"/>
          <w:b/>
          <w:sz w:val="32"/>
          <w:szCs w:val="32"/>
        </w:rPr>
        <w:t>一</w:t>
      </w:r>
      <w:r>
        <w:rPr>
          <w:rStyle w:val="30"/>
          <w:rFonts w:hint="eastAsia" w:ascii="Times New Roman" w:hAnsi="Times New Roman" w:eastAsia="黑体"/>
          <w:b w:val="0"/>
        </w:rPr>
        <w:t>般公共预算财政拨款支出决算情况说明</w:t>
      </w:r>
      <w:bookmarkEnd w:id="26"/>
      <w:bookmarkEnd w:id="27"/>
    </w:p>
    <w:p w14:paraId="5502AB70">
      <w:pPr>
        <w:spacing w:line="600" w:lineRule="exact"/>
        <w:ind w:firstLine="643" w:firstLineChars="200"/>
        <w:outlineLvl w:val="2"/>
        <w:rPr>
          <w:rFonts w:eastAsia="楷体_GB2312" w:cs="楷体_GB2312"/>
          <w:b/>
          <w:sz w:val="32"/>
          <w:szCs w:val="32"/>
        </w:rPr>
      </w:pPr>
      <w:bookmarkStart w:id="28" w:name="_Toc15377210"/>
      <w:r>
        <w:rPr>
          <w:rFonts w:hint="eastAsia" w:eastAsia="楷体_GB2312" w:cs="楷体_GB2312"/>
          <w:b/>
          <w:sz w:val="32"/>
          <w:szCs w:val="32"/>
        </w:rPr>
        <w:t>（一）一般公共预算财政拨款支出决算总体情况</w:t>
      </w:r>
      <w:bookmarkEnd w:id="28"/>
    </w:p>
    <w:p w14:paraId="21383BDF">
      <w:pPr>
        <w:pStyle w:val="28"/>
        <w:spacing w:line="600" w:lineRule="exact"/>
        <w:ind w:firstLine="640"/>
        <w:outlineLvl w:val="1"/>
        <w:rPr>
          <w:rFonts w:eastAsia="仿宋_GB2312" w:cs="仿宋_GB2312"/>
          <w:sz w:val="32"/>
          <w:szCs w:val="32"/>
        </w:rPr>
      </w:pPr>
      <w:r>
        <w:rPr>
          <w:rFonts w:hint="eastAsia" w:ascii="仿宋_GB2312" w:hAnsi="仿宋_GB2312" w:eastAsia="仿宋_GB2312" w:cs="仿宋_GB2312"/>
          <w:sz w:val="32"/>
          <w:szCs w:val="32"/>
        </w:rPr>
        <w:t>2024年度一般公共预算财政拨款支出1095.97万元，占本年支出合计的98.46%。与2023年度相比，一般公共预算财政拨款支出减少618.83万元，下降36.1%。主要变动原因是：</w:t>
      </w:r>
      <w:r>
        <w:rPr>
          <w:rFonts w:hint="eastAsia" w:ascii="仿宋_GB2312" w:eastAsia="仿宋_GB2312"/>
          <w:b/>
          <w:sz w:val="30"/>
          <w:szCs w:val="30"/>
        </w:rPr>
        <w:t>2023年新建藏文图书馆进行装修，2024年装修已完工。</w:t>
      </w:r>
    </w:p>
    <w:p w14:paraId="2BD80A99">
      <w:pPr>
        <w:spacing w:line="600" w:lineRule="exact"/>
        <w:ind w:firstLine="640"/>
        <w:rPr>
          <w:rFonts w:eastAsia="仿宋_GB2312" w:cs="仿宋_GB2312"/>
          <w:sz w:val="32"/>
          <w:szCs w:val="32"/>
        </w:rPr>
      </w:pPr>
      <w:r>
        <w:rPr>
          <w:rFonts w:hint="eastAsia" w:eastAsia="仿宋_GB2312" w:cs="仿宋_GB2312"/>
          <w:sz w:val="32"/>
          <w:szCs w:val="32"/>
        </w:rPr>
        <w:t>（图5：一般公共预算财政拨款支出决算变动情况）（柱状图）</w:t>
      </w:r>
    </w:p>
    <w:p w14:paraId="56FF20C2">
      <w:pPr>
        <w:pStyle w:val="2"/>
      </w:pPr>
    </w:p>
    <w:p w14:paraId="04B16854">
      <w:pPr>
        <w:pStyle w:val="3"/>
        <w:ind w:left="420"/>
      </w:pPr>
      <w:r>
        <w:drawing>
          <wp:inline distT="0" distB="0" distL="0" distR="0">
            <wp:extent cx="5274310" cy="3076575"/>
            <wp:effectExtent l="0" t="0" r="21590" b="952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4FCFB1">
      <w:pPr>
        <w:spacing w:line="600" w:lineRule="exact"/>
        <w:ind w:firstLine="643" w:firstLineChars="200"/>
        <w:outlineLvl w:val="2"/>
        <w:rPr>
          <w:rFonts w:eastAsia="楷体_GB2312" w:cs="楷体_GB2312"/>
          <w:b/>
          <w:sz w:val="32"/>
          <w:szCs w:val="32"/>
        </w:rPr>
      </w:pPr>
      <w:bookmarkStart w:id="29" w:name="_Toc15377211"/>
      <w:r>
        <w:rPr>
          <w:rFonts w:hint="eastAsia" w:eastAsia="楷体_GB2312" w:cs="楷体_GB2312"/>
          <w:b/>
          <w:sz w:val="32"/>
          <w:szCs w:val="32"/>
        </w:rPr>
        <w:t>（二）一般公共预算财政拨款支出决算结构情况</w:t>
      </w:r>
      <w:bookmarkEnd w:id="29"/>
    </w:p>
    <w:p w14:paraId="02C03AB5">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1095.97万元</w:t>
      </w:r>
      <w:r>
        <w:rPr>
          <w:rFonts w:hint="eastAsia" w:eastAsia="仿宋_GB2312" w:cs="仿宋_GB2312"/>
          <w:sz w:val="32"/>
          <w:szCs w:val="32"/>
        </w:rPr>
        <w:t>，主要用于以下方面：一般公共服务支出937.17万元，占85.5%；社会保障和就业支出80.11万元，占7.3%；卫生健康支出35.01万元，占3.2%；住房保障支出43.67万元，占4%；</w:t>
      </w:r>
    </w:p>
    <w:p w14:paraId="0D431188">
      <w:pPr>
        <w:spacing w:line="600" w:lineRule="exact"/>
        <w:ind w:firstLine="640"/>
        <w:rPr>
          <w:rFonts w:eastAsia="仿宋_GB2312" w:cs="仿宋_GB2312"/>
          <w:b/>
          <w:bCs/>
          <w:sz w:val="32"/>
          <w:szCs w:val="32"/>
        </w:rPr>
      </w:pPr>
      <w:r>
        <w:rPr>
          <w:rFonts w:hint="eastAsia" w:eastAsia="仿宋_GB2312" w:cs="仿宋_GB2312"/>
          <w:b/>
          <w:bCs/>
          <w:sz w:val="32"/>
          <w:szCs w:val="32"/>
        </w:rPr>
        <w:t>（注：仅罗列本部门涉及的全部功能分类科目，至类级）</w:t>
      </w:r>
    </w:p>
    <w:p w14:paraId="0219BCD9">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14:paraId="071D1D9E">
      <w:pPr>
        <w:pStyle w:val="2"/>
        <w:rPr>
          <w:color w:val="FF0000"/>
        </w:rPr>
      </w:pPr>
      <w:r>
        <w:drawing>
          <wp:inline distT="0" distB="0" distL="0" distR="0">
            <wp:extent cx="5274310" cy="3076575"/>
            <wp:effectExtent l="0" t="0" r="21590" b="952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674682">
      <w:pPr>
        <w:spacing w:line="600" w:lineRule="exact"/>
        <w:ind w:firstLine="643" w:firstLineChars="200"/>
        <w:outlineLvl w:val="2"/>
        <w:rPr>
          <w:rFonts w:eastAsia="楷体_GB2312" w:cs="楷体_GB2312"/>
          <w:b/>
          <w:sz w:val="32"/>
          <w:szCs w:val="32"/>
        </w:rPr>
      </w:pPr>
      <w:bookmarkStart w:id="30" w:name="_Toc15377212"/>
      <w:r>
        <w:rPr>
          <w:rFonts w:hint="eastAsia" w:eastAsia="楷体_GB2312" w:cs="楷体_GB2312"/>
          <w:b/>
          <w:sz w:val="32"/>
          <w:szCs w:val="32"/>
        </w:rPr>
        <w:t>（三）一般公共预算财政拨款支出决算具体情况</w:t>
      </w:r>
      <w:bookmarkEnd w:id="30"/>
    </w:p>
    <w:p w14:paraId="236467CE">
      <w:pPr>
        <w:spacing w:line="600" w:lineRule="exact"/>
        <w:ind w:firstLine="640"/>
        <w:rPr>
          <w:rFonts w:eastAsia="仿宋_GB2312" w:cs="仿宋_GB2312"/>
          <w:sz w:val="32"/>
          <w:szCs w:val="32"/>
        </w:rPr>
      </w:pPr>
      <w:bookmarkStart w:id="31" w:name="_Toc15378460"/>
      <w:bookmarkStart w:id="32" w:name="_Toc15377213"/>
      <w:bookmarkStart w:id="33" w:name="_Toc15377444"/>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1095.97，</w:t>
      </w:r>
      <w:r>
        <w:rPr>
          <w:rFonts w:hint="eastAsia" w:eastAsia="仿宋_GB2312" w:cs="仿宋_GB2312"/>
          <w:sz w:val="32"/>
          <w:szCs w:val="32"/>
        </w:rPr>
        <w:t>完成预算100%。其中：</w:t>
      </w:r>
      <w:bookmarkEnd w:id="31"/>
      <w:bookmarkEnd w:id="32"/>
      <w:bookmarkEnd w:id="33"/>
    </w:p>
    <w:p w14:paraId="11B76234">
      <w:pPr>
        <w:spacing w:line="600" w:lineRule="exact"/>
        <w:ind w:firstLine="640"/>
        <w:rPr>
          <w:rFonts w:eastAsia="仿宋_GB2312" w:cs="仿宋_GB2312"/>
          <w:sz w:val="32"/>
          <w:szCs w:val="32"/>
        </w:rPr>
      </w:pPr>
      <w:r>
        <w:rPr>
          <w:rFonts w:hint="eastAsia" w:eastAsia="仿宋_GB2312" w:cs="仿宋_GB2312"/>
          <w:sz w:val="32"/>
          <w:szCs w:val="32"/>
        </w:rPr>
        <w:t>1.一般公共服务201（类）29（款）01（项）：行政运行支出决算为628.35万元，完成预算100%，决算数等于预算数。</w:t>
      </w:r>
    </w:p>
    <w:p w14:paraId="38C8E27C">
      <w:pPr>
        <w:spacing w:line="600" w:lineRule="exact"/>
        <w:ind w:firstLine="640"/>
        <w:rPr>
          <w:rFonts w:eastAsia="仿宋_GB2312" w:cs="仿宋_GB2312"/>
          <w:sz w:val="32"/>
          <w:szCs w:val="32"/>
        </w:rPr>
      </w:pPr>
      <w:r>
        <w:rPr>
          <w:rFonts w:hint="eastAsia" w:eastAsia="仿宋_GB2312" w:cs="仿宋_GB2312"/>
          <w:sz w:val="32"/>
          <w:szCs w:val="32"/>
        </w:rPr>
        <w:t>2.一般公共服务201（类）29（款）02（项）：一般行政管理事务支出决算为308.82万元，完成预算100%，决算数等于预算数。</w:t>
      </w:r>
    </w:p>
    <w:p w14:paraId="43E112A2">
      <w:pPr>
        <w:spacing w:line="600" w:lineRule="exact"/>
        <w:ind w:firstLine="640"/>
        <w:rPr>
          <w:rFonts w:eastAsia="仿宋_GB2312" w:cs="仿宋_GB2312"/>
          <w:sz w:val="32"/>
          <w:szCs w:val="32"/>
        </w:rPr>
      </w:pPr>
      <w:r>
        <w:rPr>
          <w:rFonts w:hint="eastAsia" w:eastAsia="仿宋_GB2312" w:cs="仿宋_GB2312"/>
          <w:sz w:val="32"/>
          <w:szCs w:val="32"/>
        </w:rPr>
        <w:t>3. 社会保障和就业208（类）05（款）05（项）：机关事业单位基本养老保险缴费支出决算为53.41万元，完成预算100%，决算数等于预算数。</w:t>
      </w:r>
    </w:p>
    <w:p w14:paraId="359ABAA1">
      <w:pPr>
        <w:spacing w:line="600" w:lineRule="exact"/>
        <w:ind w:firstLine="640"/>
        <w:rPr>
          <w:rFonts w:eastAsia="仿宋_GB2312" w:cs="仿宋_GB2312"/>
          <w:sz w:val="32"/>
          <w:szCs w:val="32"/>
        </w:rPr>
      </w:pPr>
      <w:r>
        <w:rPr>
          <w:rFonts w:hint="eastAsia" w:eastAsia="仿宋_GB2312" w:cs="仿宋_GB2312"/>
          <w:sz w:val="32"/>
          <w:szCs w:val="32"/>
        </w:rPr>
        <w:t>4. 社会保障和就业208（类）05（款）06（项）：机关事业单位职业年金缴费支出决算为26.7万元，完成预算100%，决算数等于预算数。</w:t>
      </w:r>
    </w:p>
    <w:p w14:paraId="37B6A481">
      <w:pPr>
        <w:spacing w:line="600" w:lineRule="exact"/>
        <w:ind w:firstLine="640"/>
        <w:rPr>
          <w:rFonts w:eastAsia="仿宋_GB2312" w:cs="仿宋_GB2312"/>
          <w:sz w:val="32"/>
          <w:szCs w:val="32"/>
        </w:rPr>
      </w:pPr>
      <w:r>
        <w:rPr>
          <w:rFonts w:hint="eastAsia" w:eastAsia="仿宋_GB2312" w:cs="仿宋_GB2312"/>
          <w:sz w:val="32"/>
          <w:szCs w:val="32"/>
        </w:rPr>
        <w:t>5.卫生健康210（类）11（款）01（项）：行政单位医疗支出决算为25.93万元，完成预算100%，决算数等于预算数。</w:t>
      </w:r>
    </w:p>
    <w:p w14:paraId="3AA070A2">
      <w:pPr>
        <w:spacing w:line="600" w:lineRule="exact"/>
        <w:ind w:firstLine="640"/>
        <w:rPr>
          <w:rFonts w:eastAsia="仿宋_GB2312" w:cs="仿宋_GB2312"/>
          <w:sz w:val="32"/>
          <w:szCs w:val="32"/>
        </w:rPr>
      </w:pPr>
      <w:r>
        <w:rPr>
          <w:rFonts w:hint="eastAsia" w:eastAsia="仿宋_GB2312" w:cs="仿宋_GB2312"/>
          <w:sz w:val="32"/>
          <w:szCs w:val="32"/>
        </w:rPr>
        <w:t>6.卫生健康210（类）11（款）03（项）：公务员医疗补助支出决算为9.09万元，完成预算100%，决算数等于预算数。</w:t>
      </w:r>
    </w:p>
    <w:p w14:paraId="4F36847B">
      <w:pPr>
        <w:spacing w:line="600" w:lineRule="exact"/>
        <w:ind w:firstLine="640"/>
        <w:rPr>
          <w:rFonts w:eastAsia="仿宋_GB2312" w:cs="仿宋_GB2312"/>
          <w:sz w:val="32"/>
          <w:szCs w:val="32"/>
        </w:rPr>
      </w:pPr>
      <w:r>
        <w:rPr>
          <w:rFonts w:hint="eastAsia" w:eastAsia="仿宋_GB2312" w:cs="仿宋_GB2312"/>
          <w:sz w:val="32"/>
          <w:szCs w:val="32"/>
        </w:rPr>
        <w:t>7.住房保障支出221（类）02（款）01（项）：住房公积金决算为43.67万元，完成预算100%，决算数等于预算数。</w:t>
      </w:r>
    </w:p>
    <w:p w14:paraId="507A005E">
      <w:pPr>
        <w:spacing w:line="600" w:lineRule="exact"/>
        <w:ind w:firstLine="640"/>
        <w:rPr>
          <w:rFonts w:eastAsia="仿宋_GB2312" w:cs="仿宋_GB2312"/>
          <w:sz w:val="32"/>
          <w:szCs w:val="32"/>
        </w:rPr>
      </w:pPr>
      <w:r>
        <w:rPr>
          <w:rFonts w:hint="eastAsia" w:eastAsia="仿宋_GB2312" w:cs="仿宋_GB2312"/>
          <w:b/>
          <w:bCs/>
          <w:sz w:val="32"/>
          <w:szCs w:val="32"/>
        </w:rPr>
        <w:t>（注：仅罗列本部门涉及的全部功能分类科目，至项级。上述“预算”口径为全年预算数。）</w:t>
      </w:r>
    </w:p>
    <w:p w14:paraId="5E21BC25">
      <w:pPr>
        <w:tabs>
          <w:tab w:val="right" w:pos="8306"/>
        </w:tabs>
        <w:spacing w:line="600" w:lineRule="exact"/>
        <w:ind w:firstLine="640"/>
        <w:outlineLvl w:val="1"/>
        <w:rPr>
          <w:rStyle w:val="30"/>
          <w:rFonts w:ascii="Times New Roman" w:hAnsi="Times New Roman"/>
        </w:rPr>
      </w:pPr>
      <w:bookmarkStart w:id="34" w:name="_Toc15377214"/>
      <w:bookmarkStart w:id="35" w:name="_Toc15396608"/>
      <w:r>
        <w:rPr>
          <w:rFonts w:hint="eastAsia" w:eastAsia="黑体"/>
          <w:sz w:val="32"/>
          <w:szCs w:val="32"/>
        </w:rPr>
        <w:t>六</w:t>
      </w:r>
      <w:r>
        <w:rPr>
          <w:rFonts w:hint="eastAsia" w:eastAsia="黑体"/>
          <w:b/>
          <w:sz w:val="32"/>
          <w:szCs w:val="32"/>
        </w:rPr>
        <w:t>、一</w:t>
      </w:r>
      <w:r>
        <w:rPr>
          <w:rStyle w:val="30"/>
          <w:rFonts w:hint="eastAsia" w:ascii="Times New Roman" w:hAnsi="Times New Roman" w:eastAsia="黑体"/>
          <w:b w:val="0"/>
        </w:rPr>
        <w:t>般公共预算财政拨款基本支出决算情况说明</w:t>
      </w:r>
      <w:bookmarkEnd w:id="34"/>
      <w:bookmarkEnd w:id="35"/>
      <w:r>
        <w:rPr>
          <w:rStyle w:val="30"/>
          <w:rFonts w:ascii="Times New Roman" w:hAnsi="Times New Roman" w:eastAsia="黑体"/>
          <w:b w:val="0"/>
        </w:rPr>
        <w:tab/>
      </w:r>
    </w:p>
    <w:p w14:paraId="396ED583">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787.15万</w:t>
      </w:r>
      <w:r>
        <w:rPr>
          <w:rFonts w:hint="eastAsia" w:eastAsia="仿宋_GB2312" w:cs="仿宋_GB2312"/>
          <w:sz w:val="32"/>
          <w:szCs w:val="32"/>
        </w:rPr>
        <w:t>元，其中：</w:t>
      </w:r>
    </w:p>
    <w:p w14:paraId="55F6D203">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707.84万</w:t>
      </w:r>
      <w:r>
        <w:rPr>
          <w:rFonts w:hint="eastAsia" w:eastAsia="仿宋_GB2312" w:cs="仿宋_GB2312"/>
          <w:sz w:val="32"/>
          <w:szCs w:val="32"/>
        </w:rPr>
        <w:t>元，主要包括：基本工资105.86</w:t>
      </w:r>
      <w:r>
        <w:rPr>
          <w:rFonts w:hint="eastAsia" w:ascii="仿宋_GB2312" w:hAnsi="仿宋_GB2312" w:eastAsia="仿宋_GB2312" w:cs="仿宋_GB2312"/>
          <w:sz w:val="32"/>
          <w:szCs w:val="32"/>
        </w:rPr>
        <w:t>万</w:t>
      </w:r>
      <w:r>
        <w:rPr>
          <w:rFonts w:hint="eastAsia" w:eastAsia="仿宋_GB2312" w:cs="仿宋_GB2312"/>
          <w:sz w:val="32"/>
          <w:szCs w:val="32"/>
        </w:rPr>
        <w:t>元、津贴补贴202.68</w:t>
      </w:r>
      <w:r>
        <w:rPr>
          <w:rFonts w:hint="eastAsia" w:ascii="仿宋_GB2312" w:hAnsi="仿宋_GB2312" w:eastAsia="仿宋_GB2312" w:cs="仿宋_GB2312"/>
          <w:sz w:val="32"/>
          <w:szCs w:val="32"/>
        </w:rPr>
        <w:t>万</w:t>
      </w:r>
      <w:r>
        <w:rPr>
          <w:rFonts w:hint="eastAsia" w:eastAsia="仿宋_GB2312" w:cs="仿宋_GB2312"/>
          <w:sz w:val="32"/>
          <w:szCs w:val="32"/>
        </w:rPr>
        <w:t>元、奖金90.24</w:t>
      </w:r>
      <w:r>
        <w:rPr>
          <w:rFonts w:hint="eastAsia" w:ascii="仿宋_GB2312" w:hAnsi="仿宋_GB2312" w:eastAsia="仿宋_GB2312" w:cs="仿宋_GB2312"/>
          <w:sz w:val="32"/>
          <w:szCs w:val="32"/>
        </w:rPr>
        <w:t>万</w:t>
      </w:r>
      <w:r>
        <w:rPr>
          <w:rFonts w:hint="eastAsia" w:eastAsia="仿宋_GB2312" w:cs="仿宋_GB2312"/>
          <w:sz w:val="32"/>
          <w:szCs w:val="32"/>
        </w:rPr>
        <w:t>元、伙食补助费12.99</w:t>
      </w:r>
      <w:r>
        <w:rPr>
          <w:rFonts w:hint="eastAsia" w:ascii="仿宋_GB2312" w:hAnsi="仿宋_GB2312" w:eastAsia="仿宋_GB2312" w:cs="仿宋_GB2312"/>
          <w:sz w:val="32"/>
          <w:szCs w:val="32"/>
        </w:rPr>
        <w:t>万</w:t>
      </w:r>
      <w:r>
        <w:rPr>
          <w:rFonts w:hint="eastAsia" w:eastAsia="仿宋_GB2312" w:cs="仿宋_GB2312"/>
          <w:sz w:val="32"/>
          <w:szCs w:val="32"/>
        </w:rPr>
        <w:t>元、机关事业单位基本养老保险缴费53.41</w:t>
      </w:r>
      <w:r>
        <w:rPr>
          <w:rFonts w:hint="eastAsia" w:ascii="仿宋_GB2312" w:hAnsi="仿宋_GB2312" w:eastAsia="仿宋_GB2312" w:cs="仿宋_GB2312"/>
          <w:sz w:val="32"/>
          <w:szCs w:val="32"/>
        </w:rPr>
        <w:t>万</w:t>
      </w:r>
      <w:r>
        <w:rPr>
          <w:rFonts w:hint="eastAsia" w:eastAsia="仿宋_GB2312" w:cs="仿宋_GB2312"/>
          <w:sz w:val="32"/>
          <w:szCs w:val="32"/>
        </w:rPr>
        <w:t>元、职业年金缴费26.7</w:t>
      </w:r>
      <w:r>
        <w:rPr>
          <w:rFonts w:hint="eastAsia" w:ascii="仿宋_GB2312" w:hAnsi="仿宋_GB2312" w:eastAsia="仿宋_GB2312" w:cs="仿宋_GB2312"/>
          <w:sz w:val="32"/>
          <w:szCs w:val="32"/>
        </w:rPr>
        <w:t>万</w:t>
      </w:r>
      <w:r>
        <w:rPr>
          <w:rFonts w:hint="eastAsia" w:eastAsia="仿宋_GB2312" w:cs="仿宋_GB2312"/>
          <w:sz w:val="32"/>
          <w:szCs w:val="32"/>
        </w:rPr>
        <w:t>元、职工基本医疗保险缴费25.93万元、公务员医疗补助缴费9.09万元、其他社会保障缴费5.39</w:t>
      </w:r>
      <w:r>
        <w:rPr>
          <w:rFonts w:hint="eastAsia" w:ascii="仿宋_GB2312" w:hAnsi="仿宋_GB2312" w:eastAsia="仿宋_GB2312" w:cs="仿宋_GB2312"/>
          <w:sz w:val="32"/>
          <w:szCs w:val="32"/>
        </w:rPr>
        <w:t>万</w:t>
      </w:r>
      <w:r>
        <w:rPr>
          <w:rFonts w:hint="eastAsia" w:eastAsia="仿宋_GB2312" w:cs="仿宋_GB2312"/>
          <w:sz w:val="32"/>
          <w:szCs w:val="32"/>
        </w:rPr>
        <w:t>元、其他工资福利支出23.53</w:t>
      </w:r>
      <w:r>
        <w:rPr>
          <w:rFonts w:hint="eastAsia" w:ascii="仿宋_GB2312" w:hAnsi="仿宋_GB2312" w:eastAsia="仿宋_GB2312" w:cs="仿宋_GB2312"/>
          <w:sz w:val="32"/>
          <w:szCs w:val="32"/>
        </w:rPr>
        <w:t>万</w:t>
      </w:r>
      <w:r>
        <w:rPr>
          <w:rFonts w:hint="eastAsia" w:eastAsia="仿宋_GB2312" w:cs="仿宋_GB2312"/>
          <w:sz w:val="32"/>
          <w:szCs w:val="32"/>
        </w:rPr>
        <w:t>元、离休费10.05</w:t>
      </w:r>
      <w:r>
        <w:rPr>
          <w:rFonts w:hint="eastAsia" w:ascii="仿宋_GB2312" w:hAnsi="仿宋_GB2312" w:eastAsia="仿宋_GB2312" w:cs="仿宋_GB2312"/>
          <w:sz w:val="32"/>
          <w:szCs w:val="32"/>
        </w:rPr>
        <w:t>万</w:t>
      </w:r>
      <w:r>
        <w:rPr>
          <w:rFonts w:hint="eastAsia" w:eastAsia="仿宋_GB2312" w:cs="仿宋_GB2312"/>
          <w:sz w:val="32"/>
          <w:szCs w:val="32"/>
        </w:rPr>
        <w:t>元、抚恤金51.46</w:t>
      </w:r>
      <w:r>
        <w:rPr>
          <w:rFonts w:hint="eastAsia" w:ascii="仿宋_GB2312" w:hAnsi="仿宋_GB2312" w:eastAsia="仿宋_GB2312" w:cs="仿宋_GB2312"/>
          <w:sz w:val="32"/>
          <w:szCs w:val="32"/>
        </w:rPr>
        <w:t>万</w:t>
      </w:r>
      <w:r>
        <w:rPr>
          <w:rFonts w:hint="eastAsia" w:eastAsia="仿宋_GB2312" w:cs="仿宋_GB2312"/>
          <w:sz w:val="32"/>
          <w:szCs w:val="32"/>
        </w:rPr>
        <w:t>元、生活补助46.83</w:t>
      </w:r>
      <w:r>
        <w:rPr>
          <w:rFonts w:hint="eastAsia" w:ascii="仿宋_GB2312" w:hAnsi="仿宋_GB2312" w:eastAsia="仿宋_GB2312" w:cs="仿宋_GB2312"/>
          <w:sz w:val="32"/>
          <w:szCs w:val="32"/>
        </w:rPr>
        <w:t>万</w:t>
      </w:r>
      <w:r>
        <w:rPr>
          <w:rFonts w:hint="eastAsia" w:eastAsia="仿宋_GB2312" w:cs="仿宋_GB2312"/>
          <w:sz w:val="32"/>
          <w:szCs w:val="32"/>
        </w:rPr>
        <w:t>元、奖励金0.01</w:t>
      </w:r>
      <w:r>
        <w:rPr>
          <w:rFonts w:hint="eastAsia" w:ascii="仿宋_GB2312" w:hAnsi="仿宋_GB2312" w:eastAsia="仿宋_GB2312" w:cs="仿宋_GB2312"/>
          <w:sz w:val="32"/>
          <w:szCs w:val="32"/>
        </w:rPr>
        <w:t>万</w:t>
      </w:r>
      <w:r>
        <w:rPr>
          <w:rFonts w:hint="eastAsia" w:eastAsia="仿宋_GB2312" w:cs="仿宋_GB2312"/>
          <w:sz w:val="32"/>
          <w:szCs w:val="32"/>
        </w:rPr>
        <w:t>元、住房公积金43.67</w:t>
      </w:r>
      <w:r>
        <w:rPr>
          <w:rFonts w:hint="eastAsia" w:ascii="仿宋_GB2312" w:hAnsi="仿宋_GB2312" w:eastAsia="仿宋_GB2312" w:cs="仿宋_GB2312"/>
          <w:sz w:val="32"/>
          <w:szCs w:val="32"/>
        </w:rPr>
        <w:t>万</w:t>
      </w:r>
      <w:r>
        <w:rPr>
          <w:rFonts w:hint="eastAsia" w:eastAsia="仿宋_GB2312" w:cs="仿宋_GB2312"/>
          <w:sz w:val="32"/>
          <w:szCs w:val="32"/>
        </w:rPr>
        <w:t>元。</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79.31万</w:t>
      </w:r>
      <w:r>
        <w:rPr>
          <w:rFonts w:hint="eastAsia" w:eastAsia="仿宋_GB2312" w:cs="仿宋_GB2312"/>
          <w:sz w:val="32"/>
          <w:szCs w:val="32"/>
        </w:rPr>
        <w:t>元，主要包括：办公费6.75</w:t>
      </w:r>
      <w:r>
        <w:rPr>
          <w:rFonts w:hint="eastAsia" w:ascii="仿宋_GB2312" w:hAnsi="仿宋_GB2312" w:eastAsia="仿宋_GB2312" w:cs="仿宋_GB2312"/>
          <w:sz w:val="32"/>
          <w:szCs w:val="32"/>
        </w:rPr>
        <w:t>万</w:t>
      </w:r>
      <w:r>
        <w:rPr>
          <w:rFonts w:hint="eastAsia" w:eastAsia="仿宋_GB2312" w:cs="仿宋_GB2312"/>
          <w:sz w:val="32"/>
          <w:szCs w:val="32"/>
        </w:rPr>
        <w:t>元、印刷费1.08</w:t>
      </w:r>
      <w:r>
        <w:rPr>
          <w:rFonts w:hint="eastAsia" w:ascii="仿宋_GB2312" w:hAnsi="仿宋_GB2312" w:eastAsia="仿宋_GB2312" w:cs="仿宋_GB2312"/>
          <w:sz w:val="32"/>
          <w:szCs w:val="32"/>
        </w:rPr>
        <w:t>万</w:t>
      </w:r>
      <w:r>
        <w:rPr>
          <w:rFonts w:hint="eastAsia" w:eastAsia="仿宋_GB2312" w:cs="仿宋_GB2312"/>
          <w:sz w:val="32"/>
          <w:szCs w:val="32"/>
        </w:rPr>
        <w:t>元、咨询费3.4</w:t>
      </w:r>
      <w:r>
        <w:rPr>
          <w:rFonts w:hint="eastAsia" w:ascii="仿宋_GB2312" w:hAnsi="仿宋_GB2312" w:eastAsia="仿宋_GB2312" w:cs="仿宋_GB2312"/>
          <w:sz w:val="32"/>
          <w:szCs w:val="32"/>
        </w:rPr>
        <w:t>万</w:t>
      </w:r>
      <w:r>
        <w:rPr>
          <w:rFonts w:hint="eastAsia" w:eastAsia="仿宋_GB2312" w:cs="仿宋_GB2312"/>
          <w:sz w:val="32"/>
          <w:szCs w:val="32"/>
        </w:rPr>
        <w:t>元、水费0.78</w:t>
      </w:r>
      <w:r>
        <w:rPr>
          <w:rFonts w:hint="eastAsia" w:ascii="仿宋_GB2312" w:hAnsi="仿宋_GB2312" w:eastAsia="仿宋_GB2312" w:cs="仿宋_GB2312"/>
          <w:sz w:val="32"/>
          <w:szCs w:val="32"/>
        </w:rPr>
        <w:t>万</w:t>
      </w:r>
      <w:r>
        <w:rPr>
          <w:rFonts w:hint="eastAsia" w:eastAsia="仿宋_GB2312" w:cs="仿宋_GB2312"/>
          <w:sz w:val="32"/>
          <w:szCs w:val="32"/>
        </w:rPr>
        <w:t>元、电费4.13</w:t>
      </w:r>
      <w:r>
        <w:rPr>
          <w:rFonts w:hint="eastAsia" w:ascii="仿宋_GB2312" w:hAnsi="仿宋_GB2312" w:eastAsia="仿宋_GB2312" w:cs="仿宋_GB2312"/>
          <w:sz w:val="32"/>
          <w:szCs w:val="32"/>
        </w:rPr>
        <w:t>万</w:t>
      </w:r>
      <w:r>
        <w:rPr>
          <w:rFonts w:hint="eastAsia" w:eastAsia="仿宋_GB2312" w:cs="仿宋_GB2312"/>
          <w:sz w:val="32"/>
          <w:szCs w:val="32"/>
        </w:rPr>
        <w:t>元、邮电费9.39</w:t>
      </w:r>
      <w:r>
        <w:rPr>
          <w:rFonts w:hint="eastAsia" w:ascii="仿宋_GB2312" w:hAnsi="仿宋_GB2312" w:eastAsia="仿宋_GB2312" w:cs="仿宋_GB2312"/>
          <w:sz w:val="32"/>
          <w:szCs w:val="32"/>
        </w:rPr>
        <w:t>万</w:t>
      </w:r>
      <w:r>
        <w:rPr>
          <w:rFonts w:hint="eastAsia" w:eastAsia="仿宋_GB2312" w:cs="仿宋_GB2312"/>
          <w:sz w:val="32"/>
          <w:szCs w:val="32"/>
        </w:rPr>
        <w:t>元、差旅费16.91</w:t>
      </w:r>
      <w:r>
        <w:rPr>
          <w:rFonts w:hint="eastAsia" w:ascii="仿宋_GB2312" w:hAnsi="仿宋_GB2312" w:eastAsia="仿宋_GB2312" w:cs="仿宋_GB2312"/>
          <w:sz w:val="32"/>
          <w:szCs w:val="32"/>
        </w:rPr>
        <w:t>万</w:t>
      </w:r>
      <w:r>
        <w:rPr>
          <w:rFonts w:hint="eastAsia" w:eastAsia="仿宋_GB2312" w:cs="仿宋_GB2312"/>
          <w:sz w:val="32"/>
          <w:szCs w:val="32"/>
        </w:rPr>
        <w:t>元、维修（护）费6.39</w:t>
      </w:r>
      <w:r>
        <w:rPr>
          <w:rFonts w:hint="eastAsia" w:ascii="仿宋_GB2312" w:hAnsi="仿宋_GB2312" w:eastAsia="仿宋_GB2312" w:cs="仿宋_GB2312"/>
          <w:sz w:val="32"/>
          <w:szCs w:val="32"/>
        </w:rPr>
        <w:t>万</w:t>
      </w:r>
      <w:r>
        <w:rPr>
          <w:rFonts w:hint="eastAsia" w:eastAsia="仿宋_GB2312" w:cs="仿宋_GB2312"/>
          <w:sz w:val="32"/>
          <w:szCs w:val="32"/>
        </w:rPr>
        <w:t>元、租赁费0.06</w:t>
      </w:r>
      <w:r>
        <w:rPr>
          <w:rFonts w:hint="eastAsia" w:ascii="仿宋_GB2312" w:hAnsi="仿宋_GB2312" w:eastAsia="仿宋_GB2312" w:cs="仿宋_GB2312"/>
          <w:sz w:val="32"/>
          <w:szCs w:val="32"/>
        </w:rPr>
        <w:t>万</w:t>
      </w:r>
      <w:r>
        <w:rPr>
          <w:rFonts w:hint="eastAsia" w:eastAsia="仿宋_GB2312" w:cs="仿宋_GB2312"/>
          <w:sz w:val="32"/>
          <w:szCs w:val="32"/>
        </w:rPr>
        <w:t>元、培训费4.67</w:t>
      </w:r>
      <w:r>
        <w:rPr>
          <w:rFonts w:hint="eastAsia" w:ascii="仿宋_GB2312" w:hAnsi="仿宋_GB2312" w:eastAsia="仿宋_GB2312" w:cs="仿宋_GB2312"/>
          <w:sz w:val="32"/>
          <w:szCs w:val="32"/>
        </w:rPr>
        <w:t>万</w:t>
      </w:r>
      <w:r>
        <w:rPr>
          <w:rFonts w:hint="eastAsia" w:eastAsia="仿宋_GB2312" w:cs="仿宋_GB2312"/>
          <w:sz w:val="32"/>
          <w:szCs w:val="32"/>
        </w:rPr>
        <w:t>元、公务接待费0.25</w:t>
      </w:r>
      <w:r>
        <w:rPr>
          <w:rFonts w:hint="eastAsia" w:ascii="仿宋_GB2312" w:hAnsi="仿宋_GB2312" w:eastAsia="仿宋_GB2312" w:cs="仿宋_GB2312"/>
          <w:sz w:val="32"/>
          <w:szCs w:val="32"/>
        </w:rPr>
        <w:t>万</w:t>
      </w:r>
      <w:r>
        <w:rPr>
          <w:rFonts w:hint="eastAsia" w:eastAsia="仿宋_GB2312" w:cs="仿宋_GB2312"/>
          <w:sz w:val="32"/>
          <w:szCs w:val="32"/>
        </w:rPr>
        <w:t>元、专用材料费0.9万元、劳务费5.92</w:t>
      </w:r>
      <w:r>
        <w:rPr>
          <w:rFonts w:hint="eastAsia" w:ascii="仿宋_GB2312" w:hAnsi="仿宋_GB2312" w:eastAsia="仿宋_GB2312" w:cs="仿宋_GB2312"/>
          <w:sz w:val="32"/>
          <w:szCs w:val="32"/>
        </w:rPr>
        <w:t>万</w:t>
      </w:r>
      <w:r>
        <w:rPr>
          <w:rFonts w:hint="eastAsia" w:eastAsia="仿宋_GB2312" w:cs="仿宋_GB2312"/>
          <w:sz w:val="32"/>
          <w:szCs w:val="32"/>
        </w:rPr>
        <w:t>元、委托业务费0.08</w:t>
      </w:r>
      <w:r>
        <w:rPr>
          <w:rFonts w:hint="eastAsia" w:ascii="仿宋_GB2312" w:hAnsi="仿宋_GB2312" w:eastAsia="仿宋_GB2312" w:cs="仿宋_GB2312"/>
          <w:sz w:val="32"/>
          <w:szCs w:val="32"/>
        </w:rPr>
        <w:t>万</w:t>
      </w:r>
      <w:r>
        <w:rPr>
          <w:rFonts w:hint="eastAsia" w:eastAsia="仿宋_GB2312" w:cs="仿宋_GB2312"/>
          <w:sz w:val="32"/>
          <w:szCs w:val="32"/>
        </w:rPr>
        <w:t>元、福利费5.87</w:t>
      </w:r>
      <w:r>
        <w:rPr>
          <w:rFonts w:hint="eastAsia" w:ascii="仿宋_GB2312" w:hAnsi="仿宋_GB2312" w:eastAsia="仿宋_GB2312" w:cs="仿宋_GB2312"/>
          <w:sz w:val="32"/>
          <w:szCs w:val="32"/>
        </w:rPr>
        <w:t>万</w:t>
      </w:r>
      <w:r>
        <w:rPr>
          <w:rFonts w:hint="eastAsia" w:eastAsia="仿宋_GB2312" w:cs="仿宋_GB2312"/>
          <w:sz w:val="32"/>
          <w:szCs w:val="32"/>
        </w:rPr>
        <w:t>元、公务用车运行维护费11.5</w:t>
      </w:r>
      <w:r>
        <w:rPr>
          <w:rFonts w:hint="eastAsia" w:ascii="仿宋_GB2312" w:hAnsi="仿宋_GB2312" w:eastAsia="仿宋_GB2312" w:cs="仿宋_GB2312"/>
          <w:sz w:val="32"/>
          <w:szCs w:val="32"/>
        </w:rPr>
        <w:t>万</w:t>
      </w:r>
      <w:r>
        <w:rPr>
          <w:rFonts w:hint="eastAsia" w:eastAsia="仿宋_GB2312" w:cs="仿宋_GB2312"/>
          <w:sz w:val="32"/>
          <w:szCs w:val="32"/>
        </w:rPr>
        <w:t>元、其他商品和服务支出1.22</w:t>
      </w:r>
      <w:r>
        <w:rPr>
          <w:rFonts w:hint="eastAsia" w:ascii="仿宋_GB2312" w:hAnsi="仿宋_GB2312" w:eastAsia="仿宋_GB2312" w:cs="仿宋_GB2312"/>
          <w:sz w:val="32"/>
          <w:szCs w:val="32"/>
        </w:rPr>
        <w:t>万</w:t>
      </w:r>
      <w:r>
        <w:rPr>
          <w:rFonts w:hint="eastAsia" w:eastAsia="仿宋_GB2312" w:cs="仿宋_GB2312"/>
          <w:sz w:val="32"/>
          <w:szCs w:val="32"/>
        </w:rPr>
        <w:t>元。</w:t>
      </w:r>
    </w:p>
    <w:p w14:paraId="07CACFB4">
      <w:pPr>
        <w:spacing w:line="600" w:lineRule="exact"/>
        <w:ind w:firstLine="640"/>
        <w:rPr>
          <w:rFonts w:eastAsia="仿宋_GB2312" w:cs="仿宋_GB2312"/>
          <w:b/>
          <w:bCs/>
          <w:sz w:val="32"/>
          <w:szCs w:val="32"/>
        </w:rPr>
      </w:pPr>
      <w:r>
        <w:rPr>
          <w:rFonts w:hint="eastAsia" w:eastAsia="仿宋_GB2312" w:cs="仿宋_GB2312"/>
          <w:b/>
          <w:bCs/>
          <w:sz w:val="32"/>
          <w:szCs w:val="32"/>
        </w:rPr>
        <w:t>（注：仅罗列本部门实际支出涉及的经济分类科目）</w:t>
      </w:r>
    </w:p>
    <w:p w14:paraId="62B50D38">
      <w:pPr>
        <w:spacing w:line="600" w:lineRule="exact"/>
        <w:ind w:firstLine="640"/>
        <w:outlineLvl w:val="1"/>
        <w:rPr>
          <w:rStyle w:val="30"/>
          <w:rFonts w:ascii="Times New Roman" w:hAnsi="Times New Roman" w:eastAsia="黑体"/>
          <w:b w:val="0"/>
        </w:rPr>
      </w:pPr>
      <w:bookmarkStart w:id="36" w:name="_Toc15377215"/>
      <w:bookmarkStart w:id="37" w:name="_Toc15396609"/>
      <w:r>
        <w:rPr>
          <w:rFonts w:hint="eastAsia" w:eastAsia="黑体"/>
          <w:sz w:val="32"/>
          <w:szCs w:val="32"/>
        </w:rPr>
        <w:t>七、</w:t>
      </w:r>
      <w:r>
        <w:rPr>
          <w:rStyle w:val="30"/>
          <w:rFonts w:hint="eastAsia" w:ascii="Times New Roman" w:hAnsi="Times New Roman" w:eastAsia="黑体"/>
          <w:b w:val="0"/>
        </w:rPr>
        <w:t>财政拨款</w:t>
      </w:r>
      <w:r>
        <w:rPr>
          <w:rStyle w:val="30"/>
          <w:rFonts w:hint="eastAsia" w:ascii="Times New Roman" w:hAnsi="Times New Roman" w:eastAsia="黑体"/>
        </w:rPr>
        <w:t>“</w:t>
      </w:r>
      <w:r>
        <w:rPr>
          <w:rStyle w:val="30"/>
          <w:rFonts w:hint="eastAsia" w:ascii="Times New Roman" w:hAnsi="Times New Roman" w:eastAsia="黑体"/>
          <w:b w:val="0"/>
        </w:rPr>
        <w:t>三公”经费支出决算情况说明</w:t>
      </w:r>
      <w:bookmarkEnd w:id="36"/>
      <w:bookmarkEnd w:id="37"/>
    </w:p>
    <w:p w14:paraId="49EC7B57">
      <w:pPr>
        <w:spacing w:line="600" w:lineRule="exact"/>
        <w:ind w:firstLine="643" w:firstLineChars="200"/>
        <w:outlineLvl w:val="2"/>
        <w:rPr>
          <w:rFonts w:eastAsia="楷体_GB2312" w:cs="楷体_GB2312"/>
          <w:b/>
          <w:sz w:val="32"/>
          <w:szCs w:val="32"/>
        </w:rPr>
      </w:pPr>
      <w:bookmarkStart w:id="38" w:name="_Toc15377216"/>
      <w:r>
        <w:rPr>
          <w:rFonts w:hint="eastAsia" w:eastAsia="楷体_GB2312" w:cs="楷体_GB2312"/>
          <w:b/>
          <w:sz w:val="32"/>
          <w:szCs w:val="32"/>
        </w:rPr>
        <w:t>（一）“三公”经费财政拨款支出决算总体情况说明</w:t>
      </w:r>
      <w:bookmarkEnd w:id="38"/>
    </w:p>
    <w:p w14:paraId="43545B2B">
      <w:pPr>
        <w:spacing w:line="600" w:lineRule="exact"/>
        <w:ind w:firstLine="640"/>
        <w:rPr>
          <w:rFonts w:eastAsia="仿宋_GB2312" w:cs="仿宋_GB2312"/>
          <w:b/>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19.62万元，完成预算99.31%，</w:t>
      </w:r>
      <w:r>
        <w:rPr>
          <w:rFonts w:hint="eastAsia" w:eastAsia="仿宋_GB2312" w:cs="仿宋_GB2312"/>
          <w:sz w:val="32"/>
          <w:szCs w:val="32"/>
        </w:rPr>
        <w:t>较上年度增加5.6万元，增长39.9%。决算数与预算数基本持平，“三公”经费增加的主要原因是：</w:t>
      </w:r>
      <w:r>
        <w:rPr>
          <w:rFonts w:hint="eastAsia" w:eastAsia="仿宋_GB2312" w:cs="仿宋_GB2312"/>
          <w:b/>
          <w:sz w:val="32"/>
          <w:szCs w:val="32"/>
        </w:rPr>
        <w:t>公务用车川Ｕ9677在2024年进行了大修。</w:t>
      </w:r>
    </w:p>
    <w:p w14:paraId="65A280B6">
      <w:pPr>
        <w:spacing w:line="600" w:lineRule="exact"/>
        <w:ind w:firstLine="640"/>
        <w:rPr>
          <w:rFonts w:eastAsia="仿宋_GB2312" w:cs="仿宋_GB2312"/>
          <w:b/>
          <w:bCs/>
          <w:sz w:val="32"/>
          <w:szCs w:val="32"/>
        </w:rPr>
      </w:pPr>
      <w:r>
        <w:rPr>
          <w:rFonts w:hint="eastAsia" w:eastAsia="仿宋_GB2312" w:cs="仿宋_GB2312"/>
          <w:b/>
          <w:bCs/>
          <w:sz w:val="32"/>
          <w:szCs w:val="32"/>
        </w:rPr>
        <w:t>（注：上述“预算”口径为全年预算数，包括一般公共预算和政府性基金预算财政拨款支出决算情况）</w:t>
      </w:r>
    </w:p>
    <w:p w14:paraId="3479FC2E">
      <w:pPr>
        <w:spacing w:line="600" w:lineRule="exact"/>
        <w:ind w:firstLine="643" w:firstLineChars="200"/>
        <w:outlineLvl w:val="2"/>
        <w:rPr>
          <w:rFonts w:eastAsia="楷体_GB2312" w:cs="楷体_GB2312"/>
          <w:b/>
          <w:sz w:val="32"/>
          <w:szCs w:val="32"/>
        </w:rPr>
      </w:pPr>
      <w:bookmarkStart w:id="39" w:name="_Toc15377217"/>
      <w:r>
        <w:rPr>
          <w:rFonts w:hint="eastAsia" w:eastAsia="楷体_GB2312" w:cs="楷体_GB2312"/>
          <w:b/>
          <w:sz w:val="32"/>
          <w:szCs w:val="32"/>
        </w:rPr>
        <w:t>（二）“三公”经费财政拨款支出决算具体情况说明</w:t>
      </w:r>
      <w:bookmarkEnd w:id="39"/>
    </w:p>
    <w:p w14:paraId="1304A2B6">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2024年度“三公”经费财政拨款支出决算中，因公出国（境）费支出决算0万元；公务用车购置及运行维护费支出决算19.37万元，占98.73%；公务接待费支出决算0.25万元，占1.27%。具体情况如下：</w:t>
      </w:r>
    </w:p>
    <w:p w14:paraId="7473F70C">
      <w:pPr>
        <w:spacing w:line="600" w:lineRule="exact"/>
        <w:ind w:firstLine="640"/>
        <w:rPr>
          <w:rFonts w:eastAsia="仿宋_GB2312" w:cs="仿宋_GB2312"/>
          <w:sz w:val="32"/>
          <w:szCs w:val="32"/>
        </w:rPr>
      </w:pPr>
      <w:r>
        <w:rPr>
          <w:rFonts w:hint="eastAsia" w:eastAsia="仿宋_GB2312" w:cs="仿宋_GB2312"/>
          <w:sz w:val="32"/>
          <w:szCs w:val="32"/>
        </w:rPr>
        <w:t>（图7：“三公”经费财政拨款支出结构）（饼状图）</w:t>
      </w:r>
    </w:p>
    <w:p w14:paraId="61EDAFC9">
      <w:pPr>
        <w:pStyle w:val="2"/>
      </w:pPr>
    </w:p>
    <w:p w14:paraId="3936966D">
      <w:pPr>
        <w:pStyle w:val="3"/>
        <w:ind w:left="420"/>
      </w:pPr>
      <w:r>
        <w:drawing>
          <wp:inline distT="0" distB="0" distL="0" distR="0">
            <wp:extent cx="5274310" cy="3076575"/>
            <wp:effectExtent l="0" t="0" r="21590" b="952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9C9E7E">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w:t>
      </w:r>
    </w:p>
    <w:p w14:paraId="6E92542C">
      <w:pPr>
        <w:spacing w:line="600" w:lineRule="exact"/>
        <w:ind w:firstLine="640"/>
        <w:rPr>
          <w:rFonts w:eastAsia="仿宋_GB2312" w:cs="仿宋_GB2312"/>
          <w:b/>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19.37万</w:t>
      </w:r>
      <w:r>
        <w:rPr>
          <w:rFonts w:hint="eastAsia" w:eastAsia="仿宋_GB2312" w:cs="仿宋_GB2312"/>
          <w:b/>
          <w:bCs/>
          <w:sz w:val="32"/>
          <w:szCs w:val="32"/>
        </w:rPr>
        <w:t>元，完成预算99.33%。</w:t>
      </w:r>
      <w:r>
        <w:rPr>
          <w:rFonts w:hint="eastAsia" w:eastAsia="仿宋_GB2312" w:cs="仿宋_GB2312"/>
          <w:sz w:val="32"/>
          <w:szCs w:val="32"/>
        </w:rPr>
        <w:t>公务用车购置及运行维护费支出决算比2023年度增加5.55万元，增长40.1**%。主要原因是：</w:t>
      </w:r>
      <w:r>
        <w:rPr>
          <w:rFonts w:hint="eastAsia" w:eastAsia="仿宋_GB2312" w:cs="仿宋_GB2312"/>
          <w:b/>
          <w:sz w:val="32"/>
          <w:szCs w:val="32"/>
        </w:rPr>
        <w:t>公务用车川Ｕ9677在2024年进行了大修。</w:t>
      </w:r>
    </w:p>
    <w:p w14:paraId="67F9C20E">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出0</w:t>
      </w:r>
      <w:r>
        <w:rPr>
          <w:rFonts w:hint="eastAsia" w:eastAsia="仿宋_GB2312" w:cs="仿宋_GB2312"/>
          <w:sz w:val="32"/>
          <w:szCs w:val="32"/>
        </w:rPr>
        <w:t>万元。截至2024年12月31日，单位共有公务用车2辆，其中：轿车0辆、越野车2辆、载客汽车0辆。</w:t>
      </w:r>
    </w:p>
    <w:p w14:paraId="6CBEB78F">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出19.37</w:t>
      </w:r>
      <w:r>
        <w:rPr>
          <w:rFonts w:hint="eastAsia" w:eastAsia="仿宋_GB2312" w:cs="仿宋_GB2312"/>
          <w:sz w:val="32"/>
          <w:szCs w:val="32"/>
        </w:rPr>
        <w:t>万元。主要用于</w:t>
      </w:r>
      <w:r>
        <w:rPr>
          <w:rFonts w:hint="eastAsia" w:ascii="仿宋_GB2312" w:eastAsia="仿宋_GB2312"/>
          <w:sz w:val="32"/>
          <w:szCs w:val="32"/>
        </w:rPr>
        <w:t>到各地古籍普查及文字督察用车等所需的公务用车燃料费、维修费、过路过桥费、保险费等支出。</w:t>
      </w:r>
    </w:p>
    <w:p w14:paraId="2753FE23">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0.25万</w:t>
      </w:r>
      <w:r>
        <w:rPr>
          <w:rFonts w:hint="eastAsia" w:eastAsia="仿宋_GB2312" w:cs="仿宋_GB2312"/>
          <w:b/>
          <w:bCs/>
          <w:sz w:val="32"/>
          <w:szCs w:val="32"/>
        </w:rPr>
        <w:t>元，完成预算100%。</w:t>
      </w:r>
      <w:r>
        <w:rPr>
          <w:rFonts w:hint="eastAsia" w:eastAsia="仿宋_GB2312" w:cs="仿宋_GB2312"/>
          <w:sz w:val="32"/>
          <w:szCs w:val="32"/>
        </w:rPr>
        <w:t>公务接待费支出决算比2023年度增加0.05万元，增长25%。主要原因是：</w:t>
      </w:r>
      <w:r>
        <w:rPr>
          <w:rFonts w:hint="eastAsia" w:ascii="仿宋_GB2312" w:eastAsia="仿宋_GB2312"/>
          <w:sz w:val="30"/>
          <w:szCs w:val="30"/>
        </w:rPr>
        <w:t>藏文图书馆开馆后接待量增加及古籍普查接待专家。</w:t>
      </w:r>
      <w:r>
        <w:rPr>
          <w:rFonts w:hint="eastAsia" w:eastAsia="仿宋_GB2312" w:cs="仿宋_GB2312"/>
          <w:sz w:val="32"/>
          <w:szCs w:val="32"/>
        </w:rPr>
        <w:t>其中：</w:t>
      </w:r>
    </w:p>
    <w:p w14:paraId="1090472F">
      <w:pPr>
        <w:spacing w:line="600" w:lineRule="exact"/>
        <w:ind w:firstLine="640"/>
        <w:rPr>
          <w:rFonts w:ascii="仿宋_GB2312" w:eastAsia="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出0.25万</w:t>
      </w:r>
      <w:r>
        <w:rPr>
          <w:rFonts w:hint="eastAsia" w:eastAsia="仿宋_GB2312" w:cs="仿宋_GB2312"/>
          <w:sz w:val="32"/>
          <w:szCs w:val="32"/>
        </w:rPr>
        <w:t>元，主要用于</w:t>
      </w:r>
      <w:r>
        <w:rPr>
          <w:rFonts w:hint="eastAsia" w:ascii="仿宋_GB2312" w:eastAsia="仿宋_GB2312"/>
          <w:sz w:val="32"/>
          <w:szCs w:val="32"/>
        </w:rPr>
        <w:t>接待甘肃民宗委、四川省少数民族古籍培训调研等人员执行公务、开展业务活动开支用餐费等。</w:t>
      </w:r>
      <w:r>
        <w:rPr>
          <w:rFonts w:hint="eastAsia" w:eastAsia="仿宋_GB2312" w:cs="仿宋_GB2312"/>
          <w:sz w:val="32"/>
          <w:szCs w:val="32"/>
        </w:rPr>
        <w:t>国内公务接</w:t>
      </w:r>
      <w:r>
        <w:rPr>
          <w:rFonts w:hint="eastAsia" w:ascii="仿宋_GB2312" w:hAnsi="仿宋_GB2312" w:eastAsia="仿宋_GB2312" w:cs="仿宋_GB2312"/>
          <w:sz w:val="32"/>
          <w:szCs w:val="32"/>
        </w:rPr>
        <w:t>待3批次，26</w:t>
      </w:r>
      <w:r>
        <w:rPr>
          <w:rFonts w:hint="eastAsia" w:eastAsia="仿宋_GB2312" w:cs="仿宋_GB2312"/>
          <w:sz w:val="32"/>
          <w:szCs w:val="32"/>
        </w:rPr>
        <w:t>人次</w:t>
      </w:r>
      <w:r>
        <w:rPr>
          <w:rFonts w:hint="eastAsia" w:ascii="仿宋_GB2312" w:eastAsia="仿宋_GB2312"/>
          <w:sz w:val="32"/>
          <w:szCs w:val="32"/>
        </w:rPr>
        <w:t>，共计支出0.25万元，具体内容包括：甘肃民宗委调研藏文图书馆接待餐费680元，四川省少数民族古籍办专家调研藏文图书馆接待餐费698元，甘肃民宗委、省古籍办调研古籍普查接待餐费1159元。</w:t>
      </w:r>
    </w:p>
    <w:p w14:paraId="5A49BFA8">
      <w:pPr>
        <w:spacing w:line="600" w:lineRule="exact"/>
        <w:ind w:firstLine="640"/>
        <w:rPr>
          <w:rFonts w:eastAsia="仿宋_GB2312" w:cs="仿宋_GB2312"/>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出0万元</w:t>
      </w:r>
      <w:r>
        <w:rPr>
          <w:rFonts w:hint="eastAsia" w:eastAsia="仿宋_GB2312" w:cs="仿宋_GB2312"/>
          <w:sz w:val="32"/>
          <w:szCs w:val="32"/>
        </w:rPr>
        <w:t>。</w:t>
      </w:r>
      <w:bookmarkStart w:id="40" w:name="_Toc15396610"/>
      <w:bookmarkStart w:id="41" w:name="_Toc15377218"/>
    </w:p>
    <w:p w14:paraId="4EEFA07D">
      <w:pPr>
        <w:spacing w:line="600" w:lineRule="exact"/>
        <w:ind w:firstLine="640"/>
        <w:outlineLvl w:val="1"/>
        <w:rPr>
          <w:rStyle w:val="30"/>
          <w:rFonts w:ascii="Times New Roman" w:hAnsi="Times New Roman" w:eastAsia="黑体"/>
        </w:rPr>
      </w:pPr>
      <w:r>
        <w:rPr>
          <w:rFonts w:hint="eastAsia" w:eastAsia="黑体"/>
          <w:sz w:val="32"/>
          <w:szCs w:val="32"/>
        </w:rPr>
        <w:t>八、</w:t>
      </w:r>
      <w:r>
        <w:rPr>
          <w:rStyle w:val="30"/>
          <w:rFonts w:hint="eastAsia" w:ascii="Times New Roman" w:hAnsi="Times New Roman" w:eastAsia="黑体"/>
          <w:b w:val="0"/>
        </w:rPr>
        <w:t>政府性基金预算支出决算情况说明</w:t>
      </w:r>
      <w:bookmarkEnd w:id="40"/>
      <w:bookmarkEnd w:id="41"/>
    </w:p>
    <w:p w14:paraId="1EDB9DB1">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2024年度政府性基金预算财政拨款支出0万元</w:t>
      </w:r>
      <w:r>
        <w:rPr>
          <w:rFonts w:hint="eastAsia" w:eastAsia="仿宋_GB2312" w:cs="仿宋_GB2312"/>
          <w:sz w:val="32"/>
          <w:szCs w:val="32"/>
        </w:rPr>
        <w:t>。</w:t>
      </w:r>
    </w:p>
    <w:p w14:paraId="71C4636B">
      <w:pPr>
        <w:spacing w:line="600" w:lineRule="exact"/>
        <w:ind w:left="630"/>
        <w:outlineLvl w:val="1"/>
        <w:rPr>
          <w:rStyle w:val="30"/>
          <w:rFonts w:ascii="Times New Roman" w:hAnsi="Times New Roman" w:eastAsia="黑体"/>
          <w:b w:val="0"/>
        </w:rPr>
      </w:pPr>
      <w:bookmarkStart w:id="42" w:name="_Toc15396611"/>
      <w:bookmarkStart w:id="43" w:name="_Toc15377219"/>
      <w:r>
        <w:rPr>
          <w:rStyle w:val="30"/>
          <w:rFonts w:hint="eastAsia" w:ascii="Times New Roman" w:hAnsi="Times New Roman" w:eastAsia="黑体"/>
          <w:b w:val="0"/>
        </w:rPr>
        <w:t>九、国有资本经营预算支出决算情况说明</w:t>
      </w:r>
      <w:bookmarkEnd w:id="42"/>
      <w:bookmarkEnd w:id="43"/>
    </w:p>
    <w:p w14:paraId="62146168">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w:t>
      </w:r>
      <w:r>
        <w:rPr>
          <w:rFonts w:hint="eastAsia" w:eastAsia="仿宋_GB2312" w:cs="仿宋_GB2312"/>
          <w:sz w:val="32"/>
          <w:szCs w:val="32"/>
        </w:rPr>
        <w:t>。</w:t>
      </w:r>
    </w:p>
    <w:p w14:paraId="0E914341">
      <w:pPr>
        <w:spacing w:line="600" w:lineRule="exact"/>
        <w:ind w:left="630"/>
        <w:outlineLvl w:val="1"/>
        <w:rPr>
          <w:rStyle w:val="30"/>
          <w:rFonts w:ascii="Times New Roman" w:hAnsi="Times New Roman" w:eastAsia="黑体"/>
          <w:b w:val="0"/>
        </w:rPr>
      </w:pPr>
      <w:bookmarkStart w:id="44" w:name="_Toc15377221"/>
      <w:bookmarkStart w:id="45" w:name="_Toc15396612"/>
      <w:r>
        <w:rPr>
          <w:rStyle w:val="30"/>
          <w:rFonts w:hint="eastAsia" w:ascii="Times New Roman" w:hAnsi="Times New Roman" w:eastAsia="黑体"/>
          <w:b w:val="0"/>
        </w:rPr>
        <w:t>十、其他重要事项的情况说明</w:t>
      </w:r>
      <w:bookmarkEnd w:id="44"/>
      <w:bookmarkEnd w:id="45"/>
    </w:p>
    <w:p w14:paraId="6B12D8EB">
      <w:pPr>
        <w:spacing w:line="600" w:lineRule="exact"/>
        <w:ind w:firstLine="643" w:firstLineChars="200"/>
        <w:outlineLvl w:val="2"/>
        <w:rPr>
          <w:rFonts w:eastAsia="楷体_GB2312" w:cs="楷体_GB2312"/>
          <w:b/>
          <w:sz w:val="32"/>
          <w:szCs w:val="32"/>
        </w:rPr>
      </w:pPr>
      <w:bookmarkStart w:id="46" w:name="_Toc15377222"/>
      <w:r>
        <w:rPr>
          <w:rFonts w:hint="eastAsia" w:eastAsia="楷体_GB2312" w:cs="楷体_GB2312"/>
          <w:b/>
          <w:sz w:val="32"/>
          <w:szCs w:val="32"/>
        </w:rPr>
        <w:t>（一）机关运行经费支出情况</w:t>
      </w:r>
      <w:bookmarkEnd w:id="46"/>
    </w:p>
    <w:p w14:paraId="58A33559">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，阿坝藏族羌族自治州藏文编译局机关运行经费支出79.31万</w:t>
      </w:r>
      <w:r>
        <w:rPr>
          <w:rFonts w:hint="eastAsia" w:eastAsia="仿宋_GB2312" w:cs="仿宋_GB2312"/>
          <w:sz w:val="32"/>
          <w:szCs w:val="32"/>
        </w:rPr>
        <w:t>元，比2023年度增加9.28万元，增长13.25%。增加主要原因是：聘请专业机构对藏文编译局成立以来的档案进行整理并交付州档案馆劳务费支出及新建藏文图书馆电费等支出。</w:t>
      </w:r>
    </w:p>
    <w:p w14:paraId="0785E02A">
      <w:pPr>
        <w:spacing w:line="600" w:lineRule="exact"/>
        <w:ind w:firstLine="643" w:firstLineChars="200"/>
        <w:outlineLvl w:val="2"/>
        <w:rPr>
          <w:rFonts w:eastAsia="楷体_GB2312" w:cs="楷体_GB2312"/>
          <w:b/>
          <w:sz w:val="32"/>
          <w:szCs w:val="32"/>
        </w:rPr>
      </w:pPr>
      <w:bookmarkStart w:id="47" w:name="_Toc15377223"/>
      <w:r>
        <w:rPr>
          <w:rFonts w:hint="eastAsia" w:eastAsia="楷体_GB2312" w:cs="楷体_GB2312"/>
          <w:b/>
          <w:sz w:val="32"/>
          <w:szCs w:val="32"/>
        </w:rPr>
        <w:t>（二）政府采购支出情况</w:t>
      </w:r>
      <w:bookmarkEnd w:id="47"/>
    </w:p>
    <w:p w14:paraId="2B48E201">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阿坝藏族羌族自治州藏文编译局政府采购支出总额14.93万元，其中：政府采购货物支出14.93万元、政府采购工程支出0万元、政府采购服务支出0万元。主要用于：新建藏文图书馆办公家俱购置。授予中小企业合同金额14.93万元，占政府采购支出总额的100%，其中：授予小微企业合同金额14.93万元，占政府采购支出总额的100%。</w:t>
      </w:r>
    </w:p>
    <w:p w14:paraId="2A5888B1">
      <w:pPr>
        <w:spacing w:line="600" w:lineRule="exact"/>
        <w:ind w:firstLine="643" w:firstLineChars="200"/>
        <w:outlineLvl w:val="2"/>
        <w:rPr>
          <w:rFonts w:eastAsia="楷体_GB2312" w:cs="楷体_GB2312"/>
          <w:b/>
          <w:sz w:val="32"/>
          <w:szCs w:val="32"/>
        </w:rPr>
      </w:pPr>
      <w:bookmarkStart w:id="48" w:name="_Toc15377224"/>
      <w:r>
        <w:rPr>
          <w:rFonts w:hint="eastAsia" w:eastAsia="楷体_GB2312" w:cs="楷体_GB2312"/>
          <w:b/>
          <w:sz w:val="32"/>
          <w:szCs w:val="32"/>
        </w:rPr>
        <w:t>（三）国有资产占有使用情况</w:t>
      </w:r>
      <w:bookmarkEnd w:id="48"/>
    </w:p>
    <w:p w14:paraId="5C164EBB">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截至2024年12月31日，阿坝藏族羌族自治州藏文编译局共有车辆2辆，其中：主要负责人用车0辆、机要通信用车0辆、应急保障用车0辆、其他用车2辆，其他用车主要是用于：</w:t>
      </w:r>
      <w:r>
        <w:rPr>
          <w:rFonts w:hint="eastAsia" w:ascii="仿宋_GB2312" w:eastAsia="仿宋_GB2312"/>
          <w:sz w:val="32"/>
          <w:szCs w:val="32"/>
        </w:rPr>
        <w:t>单位到各地收集古籍资料及藏文字督察工作</w:t>
      </w:r>
      <w:r>
        <w:rPr>
          <w:rFonts w:hint="eastAsia" w:ascii="仿宋_GB2312" w:hAnsi="仿宋_GB2312" w:eastAsia="仿宋_GB2312" w:cs="仿宋_GB2312"/>
          <w:sz w:val="32"/>
          <w:szCs w:val="32"/>
        </w:rPr>
        <w:t>。单价100万元（含）以上设备（不含车辆）0台（套）</w:t>
      </w:r>
      <w:r>
        <w:rPr>
          <w:rFonts w:hint="eastAsia" w:eastAsia="仿宋_GB2312" w:cs="仿宋_GB2312"/>
          <w:sz w:val="32"/>
          <w:szCs w:val="32"/>
        </w:rPr>
        <w:t>。</w:t>
      </w:r>
    </w:p>
    <w:p w14:paraId="0B98AC16">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7B59AE64">
      <w:pPr>
        <w:spacing w:line="600" w:lineRule="exact"/>
        <w:ind w:firstLine="640"/>
        <w:rPr>
          <w:rFonts w:eastAsia="仿宋_GB2312" w:cs="仿宋_GB2312"/>
          <w:sz w:val="32"/>
          <w:szCs w:val="32"/>
        </w:rPr>
      </w:pPr>
      <w:r>
        <w:rPr>
          <w:rFonts w:hint="eastAsia" w:eastAsia="仿宋_GB2312" w:cs="仿宋_GB2312"/>
          <w:sz w:val="32"/>
          <w:szCs w:val="32"/>
        </w:rPr>
        <w:t>根据预算绩效管理要求，阿坝州藏文编译局在2024年度预算编制阶段，组织对《阿坝藏学》《藏族古籍编撰》等15个项目开展了预算事前绩效评估，对15个项目编制了绩效目标，预算执行过程中，选取15个项目开展绩效监控。</w:t>
      </w:r>
    </w:p>
    <w:p w14:paraId="42BA51AC">
      <w:pPr>
        <w:spacing w:line="58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组织对2024年度一般公共预算、政府性基金预算、国有资本经营预算、社会保险基金预算以及资本资产、债券资金等全面开展绩效自评，形成阿坝州藏文编译局部门整体（含部门预算项目）绩效自评报告、</w:t>
      </w:r>
      <w:r>
        <w:rPr>
          <w:rFonts w:hint="eastAsia" w:ascii="仿宋_GB2312" w:hAnsi="仿宋_GB2312" w:eastAsia="仿宋_GB2312" w:cs="仿宋_GB2312"/>
          <w:sz w:val="32"/>
          <w:szCs w:val="32"/>
        </w:rPr>
        <w:t>《阿坝藏学》</w:t>
      </w:r>
      <w:r>
        <w:rPr>
          <w:rFonts w:hint="eastAsia" w:eastAsia="仿宋_GB2312" w:cs="仿宋_GB2312"/>
          <w:sz w:val="32"/>
          <w:szCs w:val="32"/>
        </w:rPr>
        <w:t>《藏族古籍编撰》</w:t>
      </w:r>
      <w:r>
        <w:rPr>
          <w:rFonts w:hint="eastAsia" w:ascii="仿宋_GB2312" w:hAnsi="仿宋_GB2312" w:eastAsia="仿宋_GB2312" w:cs="仿宋_GB2312"/>
          <w:sz w:val="32"/>
          <w:szCs w:val="32"/>
        </w:rPr>
        <w:t>等专项预算项目绩效自评报告，其中，阿坝州藏文编译局部门整体（含部门预算项目）绩效自评得分为88分，绩效自评综述：</w:t>
      </w:r>
      <w:r>
        <w:rPr>
          <w:rFonts w:ascii="仿宋_GB2312" w:hAnsi="仿宋_GB2312" w:eastAsia="仿宋_GB2312" w:cs="仿宋_GB2312"/>
          <w:color w:val="000000"/>
          <w:kern w:val="0"/>
          <w:sz w:val="32"/>
          <w:szCs w:val="32"/>
          <w:shd w:val="clear" w:color="auto" w:fill="FFFFFF"/>
        </w:rPr>
        <w:t>202</w:t>
      </w:r>
      <w:r>
        <w:rPr>
          <w:rFonts w:hint="eastAsia" w:ascii="仿宋_GB2312" w:hAnsi="仿宋_GB2312" w:eastAsia="仿宋_GB2312" w:cs="仿宋_GB2312"/>
          <w:color w:val="000000"/>
          <w:kern w:val="0"/>
          <w:sz w:val="32"/>
          <w:szCs w:val="32"/>
          <w:shd w:val="clear" w:color="auto" w:fill="FFFFFF"/>
        </w:rPr>
        <w:t>4年我单位整体支出绩效评价自查自评结果良好，全年基本支出保证了编译局的运行和日常工作的正常开展，项目支出保障了重点工作的开展，达到预期绩效目标。</w:t>
      </w:r>
      <w:r>
        <w:rPr>
          <w:rFonts w:hint="eastAsia" w:eastAsia="仿宋_GB2312" w:cs="仿宋_GB2312"/>
          <w:sz w:val="32"/>
          <w:szCs w:val="32"/>
        </w:rPr>
        <w:t>绩效自评报告详见附件。</w:t>
      </w:r>
    </w:p>
    <w:p w14:paraId="45FC8C29">
      <w:pPr>
        <w:spacing w:line="600" w:lineRule="exact"/>
        <w:jc w:val="center"/>
        <w:outlineLvl w:val="0"/>
        <w:rPr>
          <w:rFonts w:eastAsia="黑体"/>
          <w:sz w:val="44"/>
          <w:szCs w:val="44"/>
        </w:rPr>
      </w:pPr>
      <w:bookmarkStart w:id="49" w:name="_Toc15377225"/>
      <w:bookmarkStart w:id="50" w:name="_Toc15396613"/>
      <w:r>
        <w:rPr>
          <w:rFonts w:hint="eastAsia" w:eastAsia="黑体"/>
          <w:sz w:val="44"/>
          <w:szCs w:val="44"/>
        </w:rPr>
        <w:t>第三部分  名词解释</w:t>
      </w:r>
      <w:bookmarkEnd w:id="49"/>
      <w:bookmarkEnd w:id="50"/>
    </w:p>
    <w:p w14:paraId="1AA86DF0">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448DBDC2">
      <w:pPr>
        <w:pStyle w:val="27"/>
        <w:spacing w:line="560" w:lineRule="exact"/>
        <w:ind w:firstLine="640" w:firstLineChars="200"/>
        <w:rPr>
          <w:rFonts w:ascii="仿宋_GB2312" w:eastAsia="仿宋_GB2312"/>
          <w:sz w:val="32"/>
          <w:szCs w:val="32"/>
        </w:rPr>
      </w:pPr>
      <w:bookmarkStart w:id="51" w:name="_Toc15396614"/>
      <w:bookmarkStart w:id="52" w:name="_Toc15377226"/>
      <w:r>
        <w:rPr>
          <w:rFonts w:hint="eastAsia" w:ascii="仿宋_GB2312" w:eastAsia="仿宋_GB2312"/>
          <w:sz w:val="32"/>
          <w:szCs w:val="32"/>
        </w:rPr>
        <w:t>2.其他收入：指单位取得的除上述收入以外的各项收入。主要是省级拨款等。</w:t>
      </w:r>
    </w:p>
    <w:p w14:paraId="5235F66C">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3.年初结转和结余：指以前年度尚未完成、结转到本年按有关规定继续使用的资金。</w:t>
      </w:r>
    </w:p>
    <w:p w14:paraId="4750C740">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4、年末结转和结余：指单位按有关规定结转到下年或以后年度继续使用的资金。</w:t>
      </w:r>
    </w:p>
    <w:p w14:paraId="6A65BCF4">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5.一般公共服务（类）20129（款）2092901（项）：指一般行政管理事务。</w:t>
      </w:r>
    </w:p>
    <w:p w14:paraId="0419919D">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6.社会保障和就业（类）20805（款）2080505、06（项）：指机关事业单位基本养老保险、职业年金支出。</w:t>
      </w:r>
    </w:p>
    <w:p w14:paraId="1E071E05">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7.医疗卫生与计划生育（类）21011（款）2101101、03（项）：指行政单位医疗、公务员医疗补助。</w:t>
      </w:r>
    </w:p>
    <w:p w14:paraId="49F0A85C">
      <w:pPr>
        <w:pStyle w:val="27"/>
        <w:spacing w:line="560" w:lineRule="exact"/>
        <w:ind w:firstLine="640" w:firstLineChars="200"/>
        <w:rPr>
          <w:rFonts w:ascii="仿宋_GB2312" w:eastAsia="仿宋_GB2312"/>
          <w:sz w:val="32"/>
          <w:szCs w:val="32"/>
        </w:rPr>
      </w:pPr>
      <w:r>
        <w:rPr>
          <w:rFonts w:hint="eastAsia" w:ascii="仿宋_GB2312" w:eastAsia="仿宋_GB2312"/>
          <w:color w:val="auto"/>
          <w:sz w:val="32"/>
          <w:szCs w:val="32"/>
        </w:rPr>
        <w:t>8.住房保障（类）22102（款）2210201（项）：指住房公积金。</w:t>
      </w:r>
    </w:p>
    <w:p w14:paraId="45F3517F">
      <w:pPr>
        <w:ind w:firstLine="640" w:firstLineChars="200"/>
        <w:rPr>
          <w:rFonts w:ascii="仿宋_GB2312" w:eastAsia="仿宋_GB2312"/>
          <w:sz w:val="32"/>
          <w:szCs w:val="32"/>
        </w:rPr>
      </w:pPr>
      <w:r>
        <w:rPr>
          <w:rFonts w:hint="eastAsia" w:ascii="仿宋_GB2312" w:eastAsia="仿宋_GB2312"/>
          <w:sz w:val="32"/>
          <w:szCs w:val="32"/>
        </w:rPr>
        <w:t>9</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76EBB048">
      <w:pPr>
        <w:ind w:firstLine="640" w:firstLineChars="200"/>
        <w:rPr>
          <w:rFonts w:ascii="仿宋_GB2312" w:eastAsia="仿宋_GB2312"/>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0437DBA8">
      <w:pPr>
        <w:pStyle w:val="27"/>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B15EFA3">
      <w:pPr>
        <w:pStyle w:val="27"/>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101F241">
      <w:pPr>
        <w:ind w:firstLine="643" w:firstLineChars="200"/>
        <w:rPr>
          <w:rFonts w:ascii="仿宋" w:hAnsi="仿宋" w:eastAsia="仿宋"/>
          <w:b/>
          <w:sz w:val="32"/>
          <w:szCs w:val="32"/>
        </w:rPr>
      </w:pPr>
      <w:r>
        <w:rPr>
          <w:rFonts w:hint="eastAsia" w:ascii="仿宋" w:hAnsi="仿宋" w:eastAsia="仿宋"/>
          <w:b/>
          <w:sz w:val="32"/>
          <w:szCs w:val="32"/>
        </w:rPr>
        <w:t>（名词解释部分根据部门实际列支情况罗列。）</w:t>
      </w:r>
    </w:p>
    <w:p w14:paraId="24E0321E">
      <w:pPr>
        <w:spacing w:line="600" w:lineRule="exact"/>
        <w:jc w:val="center"/>
        <w:rPr>
          <w:rStyle w:val="29"/>
          <w:rFonts w:eastAsia="黑体"/>
          <w:b w:val="0"/>
        </w:rPr>
      </w:pPr>
      <w:r>
        <w:rPr>
          <w:rFonts w:ascii="宋体"/>
          <w:b/>
          <w:sz w:val="44"/>
          <w:szCs w:val="44"/>
        </w:rPr>
        <w:br w:type="page"/>
      </w:r>
      <w:r>
        <w:rPr>
          <w:rFonts w:hint="eastAsia" w:eastAsia="黑体"/>
          <w:sz w:val="44"/>
          <w:szCs w:val="44"/>
        </w:rPr>
        <w:t>第四部分  附件</w:t>
      </w:r>
      <w:bookmarkEnd w:id="51"/>
    </w:p>
    <w:p w14:paraId="3FD4A152">
      <w:pPr>
        <w:spacing w:line="572" w:lineRule="exact"/>
        <w:jc w:val="left"/>
        <w:outlineLvl w:val="0"/>
        <w:rPr>
          <w:rFonts w:eastAsia="黑体" w:cs="黑体"/>
          <w:color w:val="FF0000"/>
          <w:sz w:val="32"/>
          <w:szCs w:val="32"/>
        </w:rPr>
      </w:pPr>
    </w:p>
    <w:p w14:paraId="0AA4AF6D">
      <w:pPr>
        <w:spacing w:line="572" w:lineRule="exact"/>
        <w:jc w:val="left"/>
        <w:outlineLvl w:val="0"/>
        <w:rPr>
          <w:rFonts w:eastAsia="黑体" w:cs="方正小标宋简体"/>
          <w:sz w:val="44"/>
          <w:szCs w:val="44"/>
        </w:rPr>
      </w:pPr>
      <w:r>
        <w:rPr>
          <w:rFonts w:hint="eastAsia" w:eastAsia="黑体" w:cs="黑体"/>
          <w:sz w:val="32"/>
          <w:szCs w:val="32"/>
        </w:rPr>
        <w:t>附件1</w:t>
      </w:r>
    </w:p>
    <w:p w14:paraId="447191AA">
      <w:pPr>
        <w:widowControl/>
        <w:spacing w:line="578" w:lineRule="exact"/>
        <w:contextualSpacing/>
        <w:jc w:val="center"/>
        <w:rPr>
          <w:rFonts w:eastAsia="方正小标宋简体"/>
          <w:bCs/>
          <w:sz w:val="44"/>
          <w:szCs w:val="44"/>
          <w:shd w:val="clear" w:color="auto" w:fill="FFFFFF"/>
        </w:rPr>
      </w:pPr>
    </w:p>
    <w:p w14:paraId="67E7D6D4">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56DB2FC6">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36E6778F">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14:paraId="720FAB78">
      <w:pPr>
        <w:snapToGrid w:val="0"/>
        <w:spacing w:line="640" w:lineRule="exact"/>
        <w:ind w:firstLine="643" w:firstLineChars="200"/>
        <w:rPr>
          <w:rFonts w:eastAsia="楷体_GB2312" w:cs="楷体_GB2312"/>
          <w:b/>
          <w:sz w:val="32"/>
          <w:szCs w:val="32"/>
          <w:lang w:val="zh-CN"/>
        </w:rPr>
      </w:pPr>
      <w:r>
        <w:rPr>
          <w:rFonts w:hint="eastAsia" w:eastAsia="楷体_GB2312" w:cs="楷体_GB2312"/>
          <w:b/>
          <w:sz w:val="32"/>
          <w:szCs w:val="32"/>
          <w:lang w:val="zh-CN"/>
        </w:rPr>
        <w:t>（一）</w:t>
      </w:r>
      <w:r>
        <w:rPr>
          <w:rFonts w:eastAsia="楷体_GB2312" w:cs="楷体_GB2312"/>
          <w:b/>
          <w:sz w:val="32"/>
          <w:szCs w:val="32"/>
          <w:lang w:val="zh-CN"/>
        </w:rPr>
        <w:t>机构组成。</w:t>
      </w:r>
      <w:r>
        <w:rPr>
          <w:rFonts w:hint="eastAsia" w:ascii="仿宋" w:hAnsi="仿宋" w:eastAsia="仿宋" w:cs="仿宋_GB2312"/>
          <w:color w:val="000000"/>
          <w:sz w:val="32"/>
          <w:szCs w:val="32"/>
          <w:shd w:val="clear" w:color="auto" w:fill="FFFFFF"/>
        </w:rPr>
        <w:t>阿坝州藏文编译局属于财政全额拨款的参照公务员管理的事业单位。单位内设</w:t>
      </w:r>
      <w:r>
        <w:rPr>
          <w:rFonts w:ascii="仿宋" w:hAnsi="仿宋" w:eastAsia="仿宋" w:cs="仿宋_GB2312"/>
          <w:color w:val="000000"/>
          <w:sz w:val="32"/>
          <w:szCs w:val="32"/>
          <w:shd w:val="clear" w:color="auto" w:fill="FFFFFF"/>
        </w:rPr>
        <w:t>6</w:t>
      </w:r>
      <w:r>
        <w:rPr>
          <w:rFonts w:hint="eastAsia" w:ascii="仿宋" w:hAnsi="仿宋" w:eastAsia="仿宋" w:cs="仿宋_GB2312"/>
          <w:color w:val="000000"/>
          <w:sz w:val="32"/>
          <w:szCs w:val="32"/>
          <w:shd w:val="clear" w:color="auto" w:fill="FFFFFF"/>
        </w:rPr>
        <w:t>个机构，分别是办公室、藏学研究科、翻译科、古籍整理科（州藏文图书馆）、藏文社会用字管理科。人员编制</w:t>
      </w:r>
      <w:r>
        <w:rPr>
          <w:rFonts w:ascii="仿宋" w:hAnsi="仿宋" w:eastAsia="仿宋" w:cs="仿宋_GB2312"/>
          <w:color w:val="000000"/>
          <w:sz w:val="32"/>
          <w:szCs w:val="32"/>
          <w:shd w:val="clear" w:color="auto" w:fill="FFFFFF"/>
        </w:rPr>
        <w:t>25</w:t>
      </w:r>
      <w:r>
        <w:rPr>
          <w:rFonts w:hint="eastAsia" w:ascii="仿宋" w:hAnsi="仿宋" w:eastAsia="仿宋" w:cs="仿宋_GB2312"/>
          <w:color w:val="000000"/>
          <w:sz w:val="32"/>
          <w:szCs w:val="32"/>
          <w:shd w:val="clear" w:color="auto" w:fill="FFFFFF"/>
        </w:rPr>
        <w:t>名，实有人员24名，退休干部职工20人。</w:t>
      </w:r>
    </w:p>
    <w:p w14:paraId="0030E9CA">
      <w:pPr>
        <w:snapToGrid w:val="0"/>
        <w:spacing w:line="640" w:lineRule="exact"/>
        <w:ind w:firstLine="643" w:firstLineChars="200"/>
        <w:rPr>
          <w:rFonts w:ascii="仿宋" w:hAnsi="仿宋" w:eastAsia="仿宋" w:cs="仿宋_GB2312"/>
          <w:color w:val="000000"/>
          <w:sz w:val="32"/>
          <w:szCs w:val="32"/>
          <w:shd w:val="clear" w:color="auto" w:fill="FFFFFF"/>
        </w:rPr>
      </w:pPr>
      <w:r>
        <w:rPr>
          <w:rFonts w:eastAsia="楷体_GB2312" w:cs="楷体_GB2312"/>
          <w:b/>
          <w:sz w:val="32"/>
          <w:szCs w:val="32"/>
          <w:lang w:val="zh-CN"/>
        </w:rPr>
        <w:t>（二）机构职能</w:t>
      </w:r>
      <w:r>
        <w:rPr>
          <w:rFonts w:hint="eastAsia" w:eastAsia="楷体_GB2312" w:cs="楷体_GB2312"/>
          <w:b/>
          <w:sz w:val="32"/>
          <w:szCs w:val="32"/>
          <w:lang w:val="zh-CN"/>
        </w:rPr>
        <w:t>。</w:t>
      </w:r>
      <w:r>
        <w:rPr>
          <w:rFonts w:hint="eastAsia" w:ascii="仿宋" w:hAnsi="仿宋" w:eastAsia="仿宋" w:cs="仿宋_GB2312"/>
          <w:color w:val="000000"/>
          <w:sz w:val="32"/>
          <w:szCs w:val="32"/>
          <w:shd w:val="clear" w:color="auto" w:fill="FFFFFF"/>
        </w:rPr>
        <w:t>一是贯彻执行党的路线、方针、政策和党对少数民族语言文字工作的决定和批示；研究、制定全州藏语文编译工作规划并组织实施。二是贯彻落实《阿坝州人民政府关于加强学习使用藏语文工作的意见》（阿府发</w:t>
      </w:r>
      <w:r>
        <w:rPr>
          <w:rFonts w:ascii="仿宋" w:hAnsi="仿宋" w:eastAsia="仿宋" w:cs="仿宋_GB2312"/>
          <w:color w:val="000000"/>
          <w:sz w:val="32"/>
          <w:szCs w:val="32"/>
          <w:shd w:val="clear" w:color="auto" w:fill="FFFFFF"/>
        </w:rPr>
        <w:t>[1997]18</w:t>
      </w:r>
      <w:r>
        <w:rPr>
          <w:rFonts w:hint="eastAsia" w:ascii="仿宋" w:hAnsi="仿宋" w:eastAsia="仿宋" w:cs="仿宋_GB2312"/>
          <w:color w:val="000000"/>
          <w:sz w:val="32"/>
          <w:szCs w:val="32"/>
          <w:shd w:val="clear" w:color="auto" w:fill="FFFFFF"/>
        </w:rPr>
        <w:t>号）和《阿坝州藏文社会用字管理办法》（阿府令</w:t>
      </w:r>
      <w:r>
        <w:rPr>
          <w:rFonts w:ascii="仿宋" w:hAnsi="仿宋" w:eastAsia="仿宋" w:cs="仿宋_GB2312"/>
          <w:color w:val="000000"/>
          <w:sz w:val="32"/>
          <w:szCs w:val="32"/>
          <w:shd w:val="clear" w:color="auto" w:fill="FFFFFF"/>
        </w:rPr>
        <w:t>25</w:t>
      </w:r>
      <w:r>
        <w:rPr>
          <w:rFonts w:hint="eastAsia" w:ascii="仿宋" w:hAnsi="仿宋" w:eastAsia="仿宋" w:cs="仿宋_GB2312"/>
          <w:color w:val="000000"/>
          <w:sz w:val="32"/>
          <w:szCs w:val="32"/>
          <w:shd w:val="clear" w:color="auto" w:fill="FFFFFF"/>
        </w:rPr>
        <w:t>号），负责对全州学习、使用和发展藏语文工作进行检查、督促；指导全州藏语文社会用字的规范化工作。三是承担州委、州人大、州政府、州政协大型会议文件的藏汉文字翻译；承担有关政策性、政令性、法规性文件和学习宣传材料、科普读物等的翻译。四是开展州内少数民族古籍整理工作，负责《中国少数民族古籍总目提要</w:t>
      </w:r>
      <w:r>
        <w:rPr>
          <w:rFonts w:hint="eastAsia"/>
          <w:color w:val="000000"/>
          <w:sz w:val="32"/>
          <w:szCs w:val="32"/>
          <w:shd w:val="clear" w:color="auto" w:fill="FFFFFF"/>
        </w:rPr>
        <w:t>•</w:t>
      </w:r>
      <w:r>
        <w:rPr>
          <w:rFonts w:hint="eastAsia" w:ascii="仿宋" w:hAnsi="仿宋" w:eastAsia="仿宋" w:cs="仿宋_GB2312"/>
          <w:color w:val="000000"/>
          <w:sz w:val="32"/>
          <w:szCs w:val="32"/>
          <w:shd w:val="clear" w:color="auto" w:fill="FFFFFF"/>
        </w:rPr>
        <w:t>四川阿坝藏族卷》的筛选、登录、上报，搜集、整理、出版有价值的书籍和科普读物。五是以《阿坝藏学》刊物为阵地，开展全州藏族宗教、文学、医学、历算学等学科、学术的研究，活跃藏学事业，提供决策参考。六是承担州藏文图书馆馆藏图书的购置、收藏、借阅等工作。</w:t>
      </w:r>
    </w:p>
    <w:p w14:paraId="55B8C6BD">
      <w:pPr>
        <w:snapToGrid w:val="0"/>
        <w:spacing w:line="360" w:lineRule="auto"/>
        <w:ind w:firstLine="643" w:firstLineChars="200"/>
        <w:rPr>
          <w:rFonts w:ascii="仿宋" w:hAnsi="仿宋" w:eastAsia="仿宋"/>
          <w:sz w:val="32"/>
          <w:szCs w:val="32"/>
          <w:shd w:val="clear" w:color="auto" w:fill="FFFFFF"/>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r>
        <w:rPr>
          <w:rFonts w:eastAsia="仿宋_GB2312"/>
          <w:sz w:val="32"/>
          <w:szCs w:val="32"/>
        </w:rPr>
        <w:t>截至202</w:t>
      </w:r>
      <w:r>
        <w:rPr>
          <w:rFonts w:hint="eastAsia" w:eastAsia="仿宋_GB2312"/>
          <w:sz w:val="32"/>
          <w:szCs w:val="32"/>
        </w:rPr>
        <w:t>4</w:t>
      </w:r>
      <w:r>
        <w:rPr>
          <w:rFonts w:eastAsia="仿宋_GB2312"/>
          <w:sz w:val="32"/>
          <w:szCs w:val="32"/>
        </w:rPr>
        <w:t>年末，</w:t>
      </w:r>
      <w:r>
        <w:rPr>
          <w:rFonts w:hint="eastAsia" w:ascii="仿宋" w:hAnsi="仿宋" w:eastAsia="仿宋"/>
          <w:sz w:val="32"/>
          <w:szCs w:val="32"/>
          <w:shd w:val="clear" w:color="auto" w:fill="FFFFFF"/>
        </w:rPr>
        <w:t>阿坝州藏文编译局人员编制</w:t>
      </w:r>
      <w:r>
        <w:rPr>
          <w:rFonts w:ascii="仿宋" w:hAnsi="仿宋" w:eastAsia="仿宋"/>
          <w:sz w:val="32"/>
          <w:szCs w:val="32"/>
          <w:shd w:val="clear" w:color="auto" w:fill="FFFFFF"/>
        </w:rPr>
        <w:t>25</w:t>
      </w:r>
      <w:r>
        <w:rPr>
          <w:rFonts w:hint="eastAsia" w:ascii="仿宋" w:hAnsi="仿宋" w:eastAsia="仿宋"/>
          <w:sz w:val="32"/>
          <w:szCs w:val="32"/>
          <w:shd w:val="clear" w:color="auto" w:fill="FFFFFF"/>
        </w:rPr>
        <w:t>名，实有人员24名，其中局长</w:t>
      </w:r>
      <w:r>
        <w:rPr>
          <w:rFonts w:ascii="仿宋" w:hAnsi="仿宋" w:eastAsia="仿宋"/>
          <w:sz w:val="32"/>
          <w:szCs w:val="32"/>
          <w:shd w:val="clear" w:color="auto" w:fill="FFFFFF"/>
        </w:rPr>
        <w:t>1</w:t>
      </w:r>
      <w:r>
        <w:rPr>
          <w:rFonts w:hint="eastAsia" w:ascii="仿宋" w:hAnsi="仿宋" w:eastAsia="仿宋"/>
          <w:sz w:val="32"/>
          <w:szCs w:val="32"/>
          <w:shd w:val="clear" w:color="auto" w:fill="FFFFFF"/>
        </w:rPr>
        <w:t>名，副局长</w:t>
      </w:r>
      <w:r>
        <w:rPr>
          <w:rFonts w:ascii="仿宋" w:hAnsi="仿宋" w:eastAsia="仿宋"/>
          <w:sz w:val="32"/>
          <w:szCs w:val="32"/>
          <w:shd w:val="clear" w:color="auto" w:fill="FFFFFF"/>
        </w:rPr>
        <w:t>2</w:t>
      </w:r>
      <w:r>
        <w:rPr>
          <w:rFonts w:hint="eastAsia" w:ascii="仿宋" w:hAnsi="仿宋" w:eastAsia="仿宋"/>
          <w:sz w:val="32"/>
          <w:szCs w:val="32"/>
          <w:shd w:val="clear" w:color="auto" w:fill="FFFFFF"/>
        </w:rPr>
        <w:t>名，正县干部1名，二级调研员1名，三级调研员1名,四级调研员1名，科级领导干部8名，科级非领导干部5名，工勤</w:t>
      </w:r>
      <w:r>
        <w:rPr>
          <w:rFonts w:ascii="仿宋" w:hAnsi="仿宋" w:eastAsia="仿宋"/>
          <w:sz w:val="32"/>
          <w:szCs w:val="32"/>
          <w:shd w:val="clear" w:color="auto" w:fill="FFFFFF"/>
        </w:rPr>
        <w:t>4</w:t>
      </w:r>
      <w:r>
        <w:rPr>
          <w:rFonts w:hint="eastAsia" w:ascii="仿宋" w:hAnsi="仿宋" w:eastAsia="仿宋"/>
          <w:sz w:val="32"/>
          <w:szCs w:val="32"/>
          <w:shd w:val="clear" w:color="auto" w:fill="FFFFFF"/>
        </w:rPr>
        <w:t>名。本年度新调入人员3人。退休人员共计20人。</w:t>
      </w:r>
    </w:p>
    <w:p w14:paraId="4EE323D2">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14:paraId="51E5337E">
      <w:pPr>
        <w:snapToGrid w:val="0"/>
        <w:spacing w:line="600" w:lineRule="exact"/>
        <w:ind w:firstLine="643" w:firstLineChars="200"/>
        <w:rPr>
          <w:rFonts w:ascii="仿宋_GB2312" w:eastAsia="仿宋_GB2312"/>
          <w:b/>
          <w:bCs/>
          <w:color w:val="000000"/>
          <w:kern w:val="0"/>
          <w:sz w:val="32"/>
          <w:szCs w:val="32"/>
          <w:shd w:val="clear" w:color="auto" w:fill="FFFFFF"/>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hint="eastAsia" w:ascii="仿宋_GB2312" w:eastAsia="仿宋_GB2312"/>
          <w:sz w:val="32"/>
          <w:szCs w:val="32"/>
        </w:rPr>
        <w:t>阿坝州藏文编译局2024年年初预算收入1117.87万元，其中：</w:t>
      </w:r>
      <w:r>
        <w:rPr>
          <w:rFonts w:hint="eastAsia" w:ascii="仿宋_GB2312" w:hAnsi="仿宋_GB2312" w:eastAsia="仿宋_GB2312" w:cs="仿宋_GB2312"/>
          <w:color w:val="000000"/>
          <w:kern w:val="0"/>
          <w:sz w:val="32"/>
          <w:szCs w:val="32"/>
          <w:shd w:val="clear" w:color="auto" w:fill="FFFFFF"/>
        </w:rPr>
        <w:t>一般预算财政拨款收入1095.97万元，占总体收入98.04%。其它收入21.9万元，占总体收入的1.96%，其它收入主要是：省古籍办拨付《明清及民国时期中央政府与四川涉藏地区藏文档案文献汇编》保护整理印刷项目经费17.4万元，</w:t>
      </w:r>
      <w:r>
        <w:rPr>
          <w:rFonts w:hint="eastAsia" w:ascii="仿宋_GB2312" w:eastAsia="仿宋_GB2312"/>
          <w:color w:val="000000"/>
          <w:kern w:val="0"/>
          <w:sz w:val="32"/>
          <w:szCs w:val="32"/>
          <w:shd w:val="clear" w:color="auto" w:fill="FFFFFF"/>
        </w:rPr>
        <w:t>《辫子魂-博巴森根》（汉藏文）项目经费2万元</w:t>
      </w:r>
      <w:r>
        <w:rPr>
          <w:rFonts w:hint="eastAsia" w:ascii="仿宋_GB2312" w:hAnsi="仿宋_GB2312" w:eastAsia="仿宋_GB2312" w:cs="仿宋_GB2312"/>
          <w:color w:val="000000"/>
          <w:kern w:val="0"/>
          <w:sz w:val="32"/>
          <w:szCs w:val="32"/>
          <w:shd w:val="clear" w:color="auto" w:fill="FFFFFF"/>
        </w:rPr>
        <w:t>。决算报表支出数与以上数据相等。</w:t>
      </w:r>
    </w:p>
    <w:p w14:paraId="35B26210">
      <w:pPr>
        <w:widowControl/>
        <w:adjustRightInd w:val="0"/>
        <w:snapToGrid w:val="0"/>
        <w:spacing w:line="578" w:lineRule="exact"/>
        <w:ind w:firstLine="643" w:firstLineChars="200"/>
        <w:contextualSpacing/>
        <w:jc w:val="left"/>
        <w:rPr>
          <w:rFonts w:eastAsia="仿宋_GB2312"/>
          <w:sz w:val="32"/>
          <w:szCs w:val="32"/>
        </w:rPr>
      </w:pPr>
      <w:r>
        <w:rPr>
          <w:rFonts w:eastAsia="楷体_GB2312"/>
          <w:b/>
          <w:bCs/>
          <w:color w:val="000000"/>
          <w:kern w:val="0"/>
          <w:sz w:val="32"/>
          <w:szCs w:val="32"/>
          <w:shd w:val="clear" w:color="auto" w:fill="FFFFFF"/>
          <w:lang w:val="zh-CN"/>
        </w:rPr>
        <w:t>（二）支出情况。</w:t>
      </w:r>
    </w:p>
    <w:p w14:paraId="4FF1048B">
      <w:pPr>
        <w:widowControl/>
        <w:adjustRightInd w:val="0"/>
        <w:snapToGrid w:val="0"/>
        <w:spacing w:line="578" w:lineRule="exact"/>
        <w:ind w:firstLine="320" w:firstLineChars="100"/>
        <w:contextualSpacing/>
        <w:jc w:val="left"/>
        <w:rPr>
          <w:rFonts w:eastAsia="仿宋_GB2312"/>
          <w:sz w:val="32"/>
          <w:szCs w:val="32"/>
        </w:rPr>
      </w:pPr>
      <w:r>
        <w:rPr>
          <w:rFonts w:hint="eastAsia" w:eastAsia="仿宋_GB2312"/>
          <w:sz w:val="32"/>
          <w:szCs w:val="32"/>
        </w:rPr>
        <w:t xml:space="preserve"> </w:t>
      </w:r>
      <w:r>
        <w:rPr>
          <w:rFonts w:hint="eastAsia" w:ascii="仿宋_GB2312" w:eastAsia="仿宋_GB2312"/>
          <w:sz w:val="32"/>
          <w:szCs w:val="32"/>
        </w:rPr>
        <w:t>阿坝州藏文编译局2024年年初预算支出1113.07万元，其中：基本支出787.15万元，项目支出325.92万元。决算报表支出数据与以上数据相等。当年主要任务：</w:t>
      </w:r>
      <w:r>
        <w:rPr>
          <w:rFonts w:hint="eastAsia" w:ascii="仿宋_GB2312" w:eastAsia="仿宋_GB2312"/>
          <w:sz w:val="32"/>
          <w:szCs w:val="32"/>
          <w:lang w:val="en-US" w:eastAsia="zh-CN"/>
        </w:rPr>
        <w:t>阿坝</w:t>
      </w:r>
      <w:r>
        <w:rPr>
          <w:rFonts w:hint="eastAsia" w:ascii="仿宋_GB2312" w:eastAsia="仿宋_GB2312"/>
          <w:sz w:val="32"/>
          <w:szCs w:val="32"/>
        </w:rPr>
        <w:t>州</w:t>
      </w:r>
      <w:bookmarkStart w:id="66" w:name="_GoBack"/>
      <w:bookmarkEnd w:id="66"/>
      <w:r>
        <w:rPr>
          <w:rFonts w:hint="eastAsia" w:ascii="仿宋_GB2312" w:eastAsia="仿宋_GB2312"/>
          <w:sz w:val="32"/>
          <w:szCs w:val="32"/>
        </w:rPr>
        <w:t>两会的翻译服务工作；藏文古籍编撰、普查工作；藏文古籍图书数字化工作；完成《阿坝藏学》总第47期、48期出版；完成《明清及民国时期中央政府与四川民族地区文书史料汇编》（第三辑）档案录入工作；开展藏文社会用字审核等工作。以上工作的开展促进了我州文化繁荣发展民族进步，提升了文化强州战略。</w:t>
      </w:r>
    </w:p>
    <w:p w14:paraId="58A6188F">
      <w:pPr>
        <w:widowControl/>
        <w:adjustRightInd w:val="0"/>
        <w:snapToGrid w:val="0"/>
        <w:spacing w:line="578" w:lineRule="exact"/>
        <w:ind w:firstLine="643" w:firstLineChars="200"/>
        <w:contextualSpacing/>
        <w:jc w:val="left"/>
        <w:rPr>
          <w:rFonts w:eastAsia="楷体_GB2312"/>
          <w:b/>
          <w:sz w:val="32"/>
          <w:szCs w:val="32"/>
        </w:rPr>
      </w:pPr>
      <w:r>
        <w:rPr>
          <w:rFonts w:eastAsia="楷体_GB2312"/>
          <w:b/>
          <w:bCs/>
          <w:color w:val="000000"/>
          <w:kern w:val="0"/>
          <w:sz w:val="32"/>
          <w:szCs w:val="32"/>
          <w:shd w:val="clear" w:color="auto" w:fill="FFFFFF"/>
          <w:lang w:val="zh-CN"/>
        </w:rPr>
        <w:t>（三）</w:t>
      </w:r>
      <w:r>
        <w:rPr>
          <w:rFonts w:eastAsia="楷体_GB2312"/>
          <w:b/>
          <w:sz w:val="32"/>
          <w:szCs w:val="32"/>
        </w:rPr>
        <w:t>结余分配和结转结余情况。</w:t>
      </w:r>
    </w:p>
    <w:p w14:paraId="7012323B">
      <w:pPr>
        <w:widowControl/>
        <w:adjustRightInd w:val="0"/>
        <w:snapToGrid w:val="0"/>
        <w:spacing w:line="578" w:lineRule="exact"/>
        <w:ind w:firstLine="640" w:firstLineChars="200"/>
        <w:contextualSpacing/>
        <w:jc w:val="left"/>
        <w:rPr>
          <w:rFonts w:ascii="仿宋_GB2312" w:eastAsia="仿宋_GB2312"/>
          <w:color w:val="000000"/>
          <w:kern w:val="0"/>
          <w:sz w:val="32"/>
          <w:szCs w:val="32"/>
          <w:shd w:val="clear" w:color="auto" w:fill="FFFFFF"/>
          <w:lang w:val="zh-CN"/>
        </w:rPr>
      </w:pPr>
      <w:r>
        <w:rPr>
          <w:rFonts w:hint="eastAsia" w:ascii="仿宋_GB2312" w:eastAsia="仿宋_GB2312"/>
          <w:sz w:val="32"/>
          <w:szCs w:val="32"/>
        </w:rPr>
        <w:t>阿坝州藏文编译局2024年决算报表</w:t>
      </w:r>
      <w:r>
        <w:rPr>
          <w:rFonts w:hint="eastAsia" w:ascii="仿宋_GB2312" w:eastAsia="仿宋_GB2312"/>
          <w:color w:val="000000"/>
          <w:kern w:val="0"/>
          <w:sz w:val="32"/>
          <w:szCs w:val="32"/>
          <w:shd w:val="clear" w:color="auto" w:fill="FFFFFF"/>
        </w:rPr>
        <w:t>结转结余19.4万元，主要是：1.省古籍办拨付</w:t>
      </w:r>
      <w:r>
        <w:rPr>
          <w:rFonts w:hint="eastAsia" w:ascii="仿宋_GB2312" w:eastAsia="仿宋_GB2312"/>
          <w:sz w:val="32"/>
          <w:szCs w:val="32"/>
        </w:rPr>
        <w:t>《明清及民国时期中央政府与四川民族地区文书史料汇编》项目</w:t>
      </w:r>
      <w:r>
        <w:rPr>
          <w:rFonts w:hint="eastAsia" w:ascii="仿宋_GB2312" w:eastAsia="仿宋_GB2312"/>
          <w:color w:val="000000"/>
          <w:kern w:val="0"/>
          <w:sz w:val="32"/>
          <w:szCs w:val="32"/>
          <w:shd w:val="clear" w:color="auto" w:fill="FFFFFF"/>
        </w:rPr>
        <w:t>经费17.4万元。2.省古籍办拨付《辫子魂-博巴森根》（汉藏文）经费2万元。</w:t>
      </w:r>
    </w:p>
    <w:p w14:paraId="4A2EA662">
      <w:pPr>
        <w:widowControl/>
        <w:adjustRightInd w:val="0"/>
        <w:snapToGrid w:val="0"/>
        <w:spacing w:line="60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三、部门预算绩效分析</w:t>
      </w:r>
    </w:p>
    <w:p w14:paraId="1A78359B">
      <w:pPr>
        <w:adjustRightInd w:val="0"/>
        <w:snapToGrid w:val="0"/>
        <w:spacing w:line="600" w:lineRule="exact"/>
        <w:ind w:firstLine="643" w:firstLineChars="200"/>
        <w:contextualSpacing/>
        <w:jc w:val="left"/>
        <w:rPr>
          <w:rFonts w:eastAsia="仿宋_GB2312"/>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（一）部门预算总体绩效分析。</w:t>
      </w:r>
      <w:r>
        <w:rPr>
          <w:rFonts w:eastAsia="仿宋_GB2312"/>
          <w:color w:val="000000"/>
          <w:kern w:val="0"/>
          <w:sz w:val="32"/>
          <w:szCs w:val="32"/>
          <w:shd w:val="clear" w:color="auto" w:fill="FFFFFF"/>
          <w:lang w:val="zh-CN"/>
        </w:rPr>
        <w:t>根据部门预算绩效评价指标体系“总体绩效”涉及二、三级指标进行逐项绩效分析并评分，依次包括履职效能、预算管理、财务管理、资产管理、采购管理等情况。</w:t>
      </w:r>
    </w:p>
    <w:p w14:paraId="1193CEBA">
      <w:pPr>
        <w:adjustRightInd w:val="0"/>
        <w:snapToGrid w:val="0"/>
        <w:spacing w:line="578" w:lineRule="exact"/>
        <w:ind w:firstLine="640" w:firstLineChars="200"/>
        <w:contextualSpacing/>
        <w:jc w:val="left"/>
        <w:rPr>
          <w:rFonts w:eastAsia="楷体_GB2312"/>
          <w:color w:val="000000"/>
          <w:kern w:val="0"/>
          <w:sz w:val="32"/>
          <w:szCs w:val="32"/>
          <w:shd w:val="clear" w:color="auto" w:fill="FFFFFF"/>
          <w:lang w:val="zh-CN"/>
        </w:rPr>
      </w:pPr>
      <w:r>
        <w:rPr>
          <w:rFonts w:eastAsia="楷体_GB2312"/>
          <w:color w:val="000000"/>
          <w:kern w:val="0"/>
          <w:sz w:val="32"/>
          <w:szCs w:val="32"/>
          <w:shd w:val="clear" w:color="auto" w:fill="FFFFFF"/>
        </w:rPr>
        <w:t>1.</w:t>
      </w:r>
      <w:r>
        <w:rPr>
          <w:rFonts w:eastAsia="楷体_GB2312"/>
          <w:color w:val="000000"/>
          <w:kern w:val="0"/>
          <w:sz w:val="32"/>
          <w:szCs w:val="32"/>
          <w:shd w:val="clear" w:color="auto" w:fill="FFFFFF"/>
          <w:lang w:val="zh-CN"/>
        </w:rPr>
        <w:t>履职效能。</w:t>
      </w:r>
    </w:p>
    <w:p w14:paraId="46B34D90">
      <w:pPr>
        <w:spacing w:line="576" w:lineRule="exact"/>
        <w:ind w:firstLine="602" w:firstLineChars="200"/>
        <w:rPr>
          <w:rFonts w:eastAsia="仿宋_GB2312" w:cs="Microsoft Himalaya"/>
          <w:sz w:val="32"/>
          <w:szCs w:val="20"/>
          <w:lang w:bidi="bo-CN"/>
        </w:rPr>
      </w:pPr>
      <w:r>
        <w:rPr>
          <w:rFonts w:hint="eastAsia" w:ascii="仿宋_GB2312" w:eastAsia="仿宋_GB2312"/>
          <w:b/>
          <w:sz w:val="30"/>
          <w:szCs w:val="30"/>
        </w:rPr>
        <w:t>（一）</w:t>
      </w:r>
      <w:r>
        <w:rPr>
          <w:rFonts w:hint="eastAsia" w:ascii="楷体" w:hAnsi="楷体" w:eastAsia="楷体" w:cs="楷体"/>
          <w:b/>
          <w:bCs/>
          <w:sz w:val="32"/>
          <w:szCs w:val="32"/>
        </w:rPr>
        <w:t>围绕州委州政府中心工作，高质量完成汉藏翻译服务工作。</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做好</w:t>
      </w:r>
      <w:r>
        <w:rPr>
          <w:rFonts w:hint="eastAsia" w:ascii="仿宋_GB2312" w:hAnsi="仿宋_GB2312" w:eastAsia="仿宋_GB2312" w:cs="仿宋_GB2312"/>
          <w:sz w:val="32"/>
          <w:szCs w:val="32"/>
          <w:lang w:val="en-US" w:eastAsia="zh-CN"/>
        </w:rPr>
        <w:t>阿坝州</w:t>
      </w:r>
      <w:r>
        <w:rPr>
          <w:rFonts w:hint="eastAsia" w:ascii="仿宋_GB2312" w:hAnsi="仿宋_GB2312" w:eastAsia="仿宋_GB2312" w:cs="仿宋_GB2312"/>
          <w:sz w:val="32"/>
          <w:szCs w:val="32"/>
        </w:rPr>
        <w:t>两会期间的翻译工作共计12万余字、为政协提供现场口译、对新词术语进行整理、审定。</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收集《2024年度中央、省、州重大方针政策选择汇编》相关政策文件。</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完成《站在草原望北京 心中感恩共产党 法制宣传手册》翻译、审核。翻译出版《义务教育法　未成年人保护法 宗教事务条例宣传册》1.5万册。</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完成标识标牌等共计10余万余字的翻译、审核工作。</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在美丽阿坝APP上推出《习近平总书记提出网络强国战略目标10周年-每日学金句》藏汉双语栏。</w:t>
      </w:r>
    </w:p>
    <w:p w14:paraId="0D3C73D0">
      <w:pPr>
        <w:spacing w:line="576" w:lineRule="exact"/>
        <w:ind w:firstLine="643" w:firstLineChars="200"/>
        <w:jc w:val="left"/>
        <w:rPr>
          <w:rFonts w:ascii="楷体_GB2312" w:hAnsi="楷体_GB2312" w:eastAsia="楷体_GB2312" w:cs="楷体_GB2312"/>
          <w:b/>
          <w:sz w:val="32"/>
          <w:szCs w:val="32"/>
        </w:rPr>
      </w:pPr>
      <w:r>
        <w:rPr>
          <w:rFonts w:hint="eastAsia" w:ascii="方正楷体_GBK" w:hAnsi="方正楷体_GBK" w:eastAsia="方正楷体_GBK" w:cs="方正楷体_GBK"/>
          <w:b/>
          <w:sz w:val="32"/>
          <w:szCs w:val="32"/>
        </w:rPr>
        <w:t>（二）不断完善阿坝州藏文图书馆功能，打造铸牢中华民族共同体意识教育基地。</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购置藏汉文图书1万余册。</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共接待参观、阅览2500余人次</w:t>
      </w:r>
      <w:r>
        <w:rPr>
          <w:rFonts w:hint="eastAsia" w:ascii="仿宋_GB2312" w:eastAsia="仿宋_GB2312"/>
          <w:sz w:val="32"/>
          <w:szCs w:val="32"/>
        </w:rPr>
        <w:t>，赠送图书600余册</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增加和完善图书馆的公共设备和各项规章制度，做好图书馆 “三防”和日常管理工作。</w:t>
      </w:r>
    </w:p>
    <w:p w14:paraId="03C666A9">
      <w:pPr>
        <w:spacing w:line="360" w:lineRule="auto"/>
        <w:ind w:firstLine="643" w:firstLineChars="200"/>
        <w:rPr>
          <w:rFonts w:ascii="仿宋_GB2312" w:hAnsi="仿宋_GB2312" w:eastAsia="仿宋_GB2312" w:cs="仿宋_GB2312"/>
          <w:sz w:val="32"/>
          <w:szCs w:val="32"/>
        </w:rPr>
      </w:pPr>
      <w:r>
        <w:rPr>
          <w:rFonts w:hint="eastAsia" w:ascii="方正楷体_GBK" w:hAnsi="方正楷体_GBK" w:eastAsia="方正楷体_GBK" w:cs="方正楷体_GBK"/>
          <w:b/>
          <w:bCs/>
          <w:sz w:val="32"/>
          <w:szCs w:val="32"/>
        </w:rPr>
        <w:t>（三）弘扬中华优秀传统文化，整理保护利用好藏文古籍。</w:t>
      </w:r>
      <w:r>
        <w:rPr>
          <w:rFonts w:hint="eastAsia" w:ascii="仿宋_GB2312" w:eastAsia="仿宋_GB2312"/>
          <w:b/>
          <w:bCs/>
          <w:sz w:val="32"/>
          <w:szCs w:val="32"/>
        </w:rPr>
        <w:t>一是</w:t>
      </w:r>
      <w:r>
        <w:rPr>
          <w:rFonts w:hint="eastAsia" w:ascii="仿宋_GB2312" w:hAnsi="仿宋_GB2312" w:eastAsia="仿宋_GB2312" w:cs="仿宋_GB2312"/>
          <w:sz w:val="32"/>
          <w:szCs w:val="32"/>
        </w:rPr>
        <w:t>完成藏文古籍条目登记</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sum(B2:B10)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18278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册，目录翻译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sum(D2:D10)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6832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册，通过二、三审条目5417册。</w:t>
      </w:r>
      <w:r>
        <w:rPr>
          <w:rFonts w:hint="eastAsia" w:ascii="仿宋_GB2312" w:eastAsia="仿宋_GB2312"/>
          <w:b/>
          <w:bCs/>
          <w:sz w:val="32"/>
          <w:szCs w:val="32"/>
        </w:rPr>
        <w:t>二是</w:t>
      </w:r>
      <w:r>
        <w:rPr>
          <w:rFonts w:hint="eastAsia" w:ascii="仿宋_GB2312" w:eastAsia="仿宋_GB2312"/>
          <w:sz w:val="32"/>
          <w:szCs w:val="32"/>
        </w:rPr>
        <w:t>启动</w:t>
      </w:r>
      <w:r>
        <w:rPr>
          <w:rFonts w:hint="eastAsia" w:ascii="仿宋_GB2312" w:hAnsi="仿宋_GB2312" w:eastAsia="仿宋_GB2312" w:cs="仿宋_GB2312"/>
          <w:sz w:val="32"/>
          <w:szCs w:val="32"/>
        </w:rPr>
        <w:t>《中国藏族美术集成》（唐卡、造像、壁画等三本图书）的编纂出版工作。</w:t>
      </w:r>
      <w:r>
        <w:rPr>
          <w:rFonts w:hint="eastAsia" w:ascii="仿宋_GB2312" w:eastAsia="仿宋_GB2312"/>
          <w:b/>
          <w:bCs/>
          <w:sz w:val="32"/>
          <w:szCs w:val="32"/>
        </w:rPr>
        <w:t>三是</w:t>
      </w:r>
      <w:r>
        <w:rPr>
          <w:rFonts w:hint="eastAsia" w:ascii="仿宋_GB2312" w:hAnsi="仿宋_GB2312" w:eastAsia="仿宋_GB2312" w:cs="仿宋_GB2312"/>
          <w:sz w:val="32"/>
          <w:szCs w:val="32"/>
        </w:rPr>
        <w:t>开展《明清及民国时期中央政府与四川民族地区文书史料汇编》（第一辑）（第二辑）编纂工作。</w:t>
      </w:r>
    </w:p>
    <w:p w14:paraId="06FD3D11">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    </w:t>
      </w:r>
      <w:r>
        <w:rPr>
          <w:rFonts w:hint="eastAsia" w:ascii="楷体_GB2312" w:hAnsi="楷体_GB2312" w:eastAsia="楷体_GB2312" w:cs="楷体_GB2312"/>
          <w:b/>
          <w:sz w:val="32"/>
          <w:szCs w:val="32"/>
        </w:rPr>
        <w:t>（四）以《阿坝藏学》为载体，全面推进藏学研究工作。</w:t>
      </w: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40"/>
        </w:rPr>
        <w:t>编辑出版《阿坝藏学》总第45、46期。</w:t>
      </w:r>
      <w:r>
        <w:rPr>
          <w:rFonts w:hint="eastAsia" w:ascii="仿宋_GB2312" w:hAnsi="仿宋_GB2312" w:eastAsia="仿宋_GB2312" w:cs="仿宋_GB2312"/>
          <w:b/>
          <w:bCs/>
          <w:sz w:val="32"/>
          <w:szCs w:val="32"/>
          <w:shd w:val="clear" w:color="auto" w:fill="FFFFFF"/>
        </w:rPr>
        <w:t>二是</w:t>
      </w:r>
      <w:r>
        <w:rPr>
          <w:rFonts w:hint="eastAsia" w:ascii="仿宋_GB2312" w:hAnsi="仿宋_GB2312" w:eastAsia="仿宋_GB2312" w:cs="仿宋_GB2312"/>
          <w:sz w:val="32"/>
          <w:szCs w:val="32"/>
          <w:shd w:val="clear" w:color="auto" w:fill="FFFFFF"/>
        </w:rPr>
        <w:t>开展《辫子坟—博巴森根》出版工作。</w:t>
      </w:r>
      <w:r>
        <w:rPr>
          <w:rFonts w:hint="eastAsia" w:ascii="仿宋_GB2312" w:hAnsi="仿宋_GB2312" w:eastAsia="仿宋_GB2312" w:cs="仿宋_GB2312"/>
          <w:b/>
          <w:bCs/>
          <w:sz w:val="32"/>
          <w:szCs w:val="32"/>
          <w:shd w:val="clear" w:color="auto" w:fill="FFFFFF"/>
        </w:rPr>
        <w:t>三是</w:t>
      </w:r>
      <w:r>
        <w:rPr>
          <w:rFonts w:hint="eastAsia" w:ascii="仿宋_GB2312" w:hAnsi="仿宋_GB2312" w:eastAsia="仿宋_GB2312" w:cs="仿宋_GB2312"/>
          <w:sz w:val="32"/>
          <w:szCs w:val="32"/>
          <w:shd w:val="clear" w:color="auto" w:fill="FFFFFF"/>
        </w:rPr>
        <w:t>完成《隋唐、明清、民国时期四川涉藏地区碑刻铭文汇编》（阿坝卷）收集整理项目申报工作。</w:t>
      </w:r>
      <w:r>
        <w:rPr>
          <w:rFonts w:hint="eastAsia" w:ascii="仿宋_GB2312" w:hAnsi="仿宋_GB2312" w:eastAsia="仿宋_GB2312" w:cs="仿宋_GB2312"/>
          <w:b/>
          <w:bCs/>
          <w:sz w:val="32"/>
          <w:szCs w:val="32"/>
          <w:shd w:val="clear" w:color="auto" w:fill="FFFFFF"/>
        </w:rPr>
        <w:t>四是</w:t>
      </w:r>
      <w:r>
        <w:rPr>
          <w:rFonts w:hint="eastAsia" w:ascii="仿宋_GB2312" w:hAnsi="仿宋_GB2312" w:eastAsia="仿宋_GB2312" w:cs="仿宋_GB2312"/>
          <w:bCs/>
          <w:sz w:val="32"/>
          <w:szCs w:val="32"/>
          <w:lang w:bidi="zh-CN"/>
        </w:rPr>
        <w:t>赴浙江开展三交文化考察学习。</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xml:space="preserve">    </w:t>
      </w:r>
      <w:r>
        <w:rPr>
          <w:rFonts w:hint="eastAsia" w:ascii="楷体_GB2312" w:hAnsi="楷体_GB2312" w:eastAsia="楷体_GB2312" w:cs="楷体_GB2312"/>
          <w:b/>
          <w:sz w:val="32"/>
          <w:szCs w:val="32"/>
        </w:rPr>
        <w:t>（五）加强藏语文督导管理，规范藏文社会用字。</w:t>
      </w:r>
      <w:r>
        <w:rPr>
          <w:rFonts w:hint="eastAsia" w:ascii="仿宋_GB2312" w:hAnsi="仿宋_GB2312" w:eastAsia="仿宋_GB2312" w:cs="仿宋_GB2312"/>
          <w:b/>
          <w:sz w:val="32"/>
          <w:szCs w:val="32"/>
        </w:rPr>
        <w:t>一是</w:t>
      </w:r>
      <w:r>
        <w:rPr>
          <w:rFonts w:hint="eastAsia" w:ascii="仿宋_GB2312" w:hAnsi="仿宋" w:eastAsia="仿宋_GB2312"/>
          <w:sz w:val="32"/>
          <w:szCs w:val="20"/>
        </w:rPr>
        <w:t>妥善处理藏文社会用字不规范的举报。</w:t>
      </w:r>
      <w:r>
        <w:rPr>
          <w:rFonts w:hint="eastAsia" w:ascii="仿宋_GB2312" w:hAnsi="仿宋_GB2312" w:eastAsia="仿宋_GB2312" w:cs="仿宋_GB2312"/>
          <w:b/>
          <w:bCs/>
          <w:sz w:val="32"/>
          <w:szCs w:val="32"/>
        </w:rPr>
        <w:t>二是</w:t>
      </w:r>
      <w:r>
        <w:rPr>
          <w:rFonts w:hint="eastAsia" w:ascii="仿宋_GB2312" w:hAnsi="仿宋" w:eastAsia="仿宋_GB2312"/>
          <w:sz w:val="32"/>
          <w:szCs w:val="20"/>
        </w:rPr>
        <w:t>审核门牌13个；风景区介绍352余条；宣传标语58条。</w:t>
      </w:r>
      <w:r>
        <w:rPr>
          <w:rFonts w:hint="eastAsia" w:ascii="仿宋_GB2312" w:hAnsi="仿宋" w:eastAsia="仿宋_GB2312"/>
          <w:b/>
          <w:bCs/>
          <w:sz w:val="32"/>
          <w:szCs w:val="20"/>
        </w:rPr>
        <w:t>三是</w:t>
      </w:r>
      <w:r>
        <w:rPr>
          <w:rFonts w:hint="eastAsia" w:ascii="仿宋_GB2312" w:hAnsi="仿宋" w:eastAsia="仿宋_GB2312"/>
          <w:sz w:val="32"/>
          <w:szCs w:val="20"/>
        </w:rPr>
        <w:t>做好藏汉双语刊物的审核工作，</w:t>
      </w:r>
      <w:r>
        <w:rPr>
          <w:rFonts w:hint="eastAsia" w:ascii="仿宋_GB2312" w:hAnsi="仿宋_GB2312" w:eastAsia="仿宋_GB2312" w:cs="仿宋_GB2312"/>
          <w:b/>
          <w:bCs/>
          <w:sz w:val="32"/>
          <w:szCs w:val="20"/>
        </w:rPr>
        <w:t>四是</w:t>
      </w:r>
      <w:r>
        <w:rPr>
          <w:rFonts w:hint="eastAsia" w:ascii="仿宋_GB2312" w:hAnsi="仿宋_GB2312" w:eastAsia="仿宋_GB2312" w:cs="仿宋_GB2312"/>
          <w:sz w:val="32"/>
          <w:szCs w:val="20"/>
        </w:rPr>
        <w:t>组织</w:t>
      </w:r>
      <w:r>
        <w:rPr>
          <w:rFonts w:hint="eastAsia" w:ascii="仿宋_GB2312" w:hAnsi="仿宋_GB2312" w:eastAsia="仿宋_GB2312" w:cs="仿宋_GB2312"/>
          <w:sz w:val="32"/>
          <w:szCs w:val="40"/>
        </w:rPr>
        <w:t>工作</w:t>
      </w:r>
      <w:r>
        <w:rPr>
          <w:rFonts w:ascii="仿宋_GB2312" w:hAnsi="仿宋_GB2312" w:eastAsia="仿宋_GB2312" w:cs="仿宋_GB2312"/>
          <w:sz w:val="32"/>
          <w:szCs w:val="40"/>
        </w:rPr>
        <w:t>组</w:t>
      </w:r>
      <w:r>
        <w:rPr>
          <w:rFonts w:hint="eastAsia" w:ascii="仿宋_GB2312" w:hAnsi="仿宋_GB2312" w:eastAsia="仿宋_GB2312" w:cs="仿宋_GB2312"/>
          <w:sz w:val="32"/>
          <w:szCs w:val="20"/>
        </w:rPr>
        <w:t>在</w:t>
      </w:r>
      <w:r>
        <w:rPr>
          <w:rFonts w:ascii="仿宋_GB2312" w:hAnsi="仿宋_GB2312" w:eastAsia="仿宋_GB2312" w:cs="仿宋_GB2312"/>
          <w:sz w:val="32"/>
          <w:szCs w:val="40"/>
        </w:rPr>
        <w:t>马尔康</w:t>
      </w:r>
      <w:r>
        <w:rPr>
          <w:rFonts w:hint="eastAsia" w:ascii="仿宋_GB2312" w:hAnsi="仿宋_GB2312" w:eastAsia="仿宋_GB2312" w:cs="仿宋_GB2312"/>
          <w:sz w:val="32"/>
          <w:szCs w:val="40"/>
        </w:rPr>
        <w:t>市开展</w:t>
      </w:r>
      <w:r>
        <w:rPr>
          <w:rFonts w:ascii="仿宋_GB2312" w:hAnsi="仿宋_GB2312" w:eastAsia="仿宋_GB2312" w:cs="仿宋_GB2312"/>
          <w:sz w:val="32"/>
          <w:szCs w:val="40"/>
        </w:rPr>
        <w:t>了</w:t>
      </w:r>
      <w:r>
        <w:rPr>
          <w:rFonts w:hint="eastAsia" w:ascii="仿宋_GB2312" w:hAnsi="仿宋_GB2312" w:eastAsia="仿宋_GB2312" w:cs="仿宋_GB2312"/>
          <w:sz w:val="32"/>
          <w:szCs w:val="40"/>
        </w:rPr>
        <w:t>藏文社会用字督导。</w:t>
      </w:r>
    </w:p>
    <w:p w14:paraId="49CC3D25">
      <w:pPr>
        <w:adjustRightInd w:val="0"/>
        <w:snapToGrid w:val="0"/>
        <w:spacing w:line="578" w:lineRule="exact"/>
        <w:ind w:firstLine="640" w:firstLineChars="200"/>
        <w:contextualSpacing/>
        <w:jc w:val="left"/>
        <w:rPr>
          <w:rFonts w:ascii="仿宋_GB2312" w:hAnsi="楷体_GB2312" w:eastAsia="仿宋_GB2312" w:cs="楷体_GB2312"/>
          <w:color w:val="000000"/>
          <w:kern w:val="0"/>
          <w:sz w:val="32"/>
          <w:szCs w:val="32"/>
          <w:shd w:val="clear" w:color="auto" w:fill="FFFFFF"/>
          <w:lang w:val="zh-CN"/>
        </w:rPr>
      </w:pPr>
      <w:r>
        <w:rPr>
          <w:rFonts w:hint="eastAsia" w:ascii="仿宋_GB2312" w:hAnsi="楷体_GB2312" w:eastAsia="仿宋_GB2312" w:cs="楷体_GB2312"/>
          <w:color w:val="000000"/>
          <w:kern w:val="0"/>
          <w:sz w:val="32"/>
          <w:szCs w:val="32"/>
          <w:shd w:val="clear" w:color="auto" w:fill="FFFFFF"/>
        </w:rPr>
        <w:t>2.</w:t>
      </w:r>
      <w:r>
        <w:rPr>
          <w:rFonts w:hint="eastAsia" w:ascii="仿宋_GB2312" w:hAnsi="楷体_GB2312" w:eastAsia="仿宋_GB2312" w:cs="楷体_GB2312"/>
          <w:color w:val="000000"/>
          <w:kern w:val="0"/>
          <w:sz w:val="32"/>
          <w:szCs w:val="32"/>
          <w:shd w:val="clear" w:color="auto" w:fill="FFFFFF"/>
          <w:lang w:val="zh-CN"/>
        </w:rPr>
        <w:t>预算管理。</w:t>
      </w:r>
    </w:p>
    <w:p w14:paraId="4C3F1881">
      <w:pPr>
        <w:adjustRightInd w:val="0"/>
        <w:snapToGrid w:val="0"/>
        <w:spacing w:line="578" w:lineRule="exact"/>
        <w:ind w:firstLine="640" w:firstLineChars="200"/>
        <w:contextualSpacing/>
        <w:jc w:val="left"/>
        <w:rPr>
          <w:rFonts w:ascii="仿宋_GB2312" w:hAnsi="楷体_GB2312" w:eastAsia="仿宋_GB2312" w:cs="楷体_GB2312"/>
          <w:color w:val="000000"/>
          <w:kern w:val="0"/>
          <w:sz w:val="32"/>
          <w:szCs w:val="32"/>
          <w:shd w:val="clear" w:color="auto" w:fill="FFFFFF"/>
          <w:lang w:val="zh-CN"/>
        </w:rPr>
      </w:pPr>
      <w:r>
        <w:rPr>
          <w:rFonts w:hint="eastAsia" w:ascii="仿宋_GB2312" w:hAnsi="楷体_GB2312" w:eastAsia="仿宋_GB2312" w:cs="楷体_GB2312"/>
          <w:color w:val="000000"/>
          <w:kern w:val="0"/>
          <w:sz w:val="32"/>
          <w:szCs w:val="32"/>
          <w:shd w:val="clear" w:color="auto" w:fill="FFFFFF"/>
          <w:lang w:val="zh-CN"/>
        </w:rPr>
        <w:t>2024年部门预算编制阶段，共申报15个项目，每个项目根据实际情况设置了绩效目标，在预算执行过程中，对项目进行了全面监控，年初申报的15个项目，完成率达到100%。省古籍办下达的项目，根据实际情况对项目无法完成并对结余资金进行调整，省古籍办拨付</w:t>
      </w:r>
      <w:r>
        <w:rPr>
          <w:rFonts w:hint="eastAsia" w:ascii="仿宋_GB2312" w:hAnsi="仿宋_GB2312" w:eastAsia="仿宋_GB2312" w:cs="仿宋_GB2312"/>
          <w:color w:val="000000"/>
          <w:kern w:val="0"/>
          <w:sz w:val="32"/>
          <w:szCs w:val="32"/>
          <w:shd w:val="clear" w:color="auto" w:fill="FFFFFF"/>
        </w:rPr>
        <w:t>《明清及民国时期中央政府与四川涉藏地区藏文档案文献汇编》保护整理印刷项目经费17.5万元，</w:t>
      </w:r>
      <w:r>
        <w:rPr>
          <w:rFonts w:hint="eastAsia" w:ascii="仿宋_GB2312" w:eastAsia="仿宋_GB2312"/>
          <w:color w:val="000000"/>
          <w:kern w:val="0"/>
          <w:sz w:val="32"/>
          <w:szCs w:val="32"/>
          <w:shd w:val="clear" w:color="auto" w:fill="FFFFFF"/>
        </w:rPr>
        <w:t>《辫子魂-博巴森根》（汉藏文）项目经费2万元</w:t>
      </w:r>
      <w:r>
        <w:rPr>
          <w:rFonts w:hint="eastAsia" w:ascii="仿宋_GB2312" w:hAnsi="楷体_GB2312" w:eastAsia="仿宋_GB2312" w:cs="楷体_GB2312"/>
          <w:color w:val="000000"/>
          <w:kern w:val="0"/>
          <w:sz w:val="32"/>
          <w:szCs w:val="32"/>
          <w:shd w:val="clear" w:color="auto" w:fill="FFFFFF"/>
          <w:lang w:val="zh-CN"/>
        </w:rPr>
        <w:t>结转到2025年实施。充分发挥了资金的效益。</w:t>
      </w:r>
    </w:p>
    <w:p w14:paraId="4BEB8B92">
      <w:pPr>
        <w:adjustRightInd w:val="0"/>
        <w:snapToGrid w:val="0"/>
        <w:spacing w:line="578" w:lineRule="exact"/>
        <w:ind w:firstLine="640" w:firstLineChars="200"/>
        <w:contextualSpacing/>
        <w:jc w:val="left"/>
        <w:rPr>
          <w:rFonts w:ascii="仿宋_GB2312" w:hAnsi="楷体_GB2312" w:eastAsia="仿宋_GB2312" w:cs="楷体_GB2312"/>
          <w:color w:val="000000"/>
          <w:kern w:val="0"/>
          <w:sz w:val="32"/>
          <w:szCs w:val="32"/>
          <w:shd w:val="clear" w:color="auto" w:fill="FFFFFF"/>
          <w:lang w:val="zh-CN"/>
        </w:rPr>
      </w:pPr>
      <w:r>
        <w:rPr>
          <w:rFonts w:hint="eastAsia" w:ascii="仿宋_GB2312" w:hAnsi="楷体_GB2312" w:eastAsia="仿宋_GB2312" w:cs="楷体_GB2312"/>
          <w:color w:val="000000"/>
          <w:kern w:val="0"/>
          <w:sz w:val="32"/>
          <w:szCs w:val="32"/>
          <w:shd w:val="clear" w:color="auto" w:fill="FFFFFF"/>
        </w:rPr>
        <w:t>3.</w:t>
      </w:r>
      <w:r>
        <w:rPr>
          <w:rFonts w:hint="eastAsia" w:ascii="仿宋_GB2312" w:hAnsi="楷体_GB2312" w:eastAsia="仿宋_GB2312" w:cs="楷体_GB2312"/>
          <w:color w:val="000000"/>
          <w:kern w:val="0"/>
          <w:sz w:val="32"/>
          <w:szCs w:val="32"/>
          <w:shd w:val="clear" w:color="auto" w:fill="FFFFFF"/>
          <w:lang w:val="zh-CN"/>
        </w:rPr>
        <w:t>财务管理。</w:t>
      </w:r>
    </w:p>
    <w:p w14:paraId="1A078E11">
      <w:pPr>
        <w:snapToGrid w:val="0"/>
        <w:spacing w:line="578" w:lineRule="exact"/>
        <w:ind w:firstLine="640" w:firstLineChars="200"/>
        <w:rPr>
          <w:rFonts w:ascii="仿宋_GB2312" w:hAnsi="楷体_GB2312" w:eastAsia="仿宋_GB2312" w:cs="楷体_GB2312"/>
          <w:color w:val="000000"/>
          <w:kern w:val="0"/>
          <w:sz w:val="32"/>
          <w:szCs w:val="32"/>
          <w:shd w:val="clear" w:color="auto" w:fill="FFFFFF"/>
          <w:lang w:val="zh-CN"/>
        </w:rPr>
      </w:pPr>
      <w:r>
        <w:rPr>
          <w:rFonts w:hint="eastAsia" w:ascii="仿宋_GB2312" w:hAnsi="楷体_GB2312" w:eastAsia="仿宋_GB2312" w:cs="楷体_GB2312"/>
          <w:color w:val="000000"/>
          <w:kern w:val="0"/>
          <w:sz w:val="32"/>
          <w:szCs w:val="32"/>
          <w:shd w:val="clear" w:color="auto" w:fill="FFFFFF"/>
          <w:lang w:val="zh-CN"/>
        </w:rPr>
        <w:t>根据预算绩效要求，修订了内控管理办法，进一步细化了预算绩效管理实施细则和操作规程。加强了事前、事中、事后绩效评价监控，资金使用更加规范合理。</w:t>
      </w:r>
    </w:p>
    <w:p w14:paraId="52D8BACD">
      <w:pPr>
        <w:snapToGrid w:val="0"/>
        <w:spacing w:line="578" w:lineRule="exact"/>
        <w:ind w:firstLine="640" w:firstLineChars="200"/>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我局在上级主管部门和州财政局的指导监督下，一是提高了专款专用能力。各种资金有专门的走向，减少资金的中转环节。二是财务管理得到有效的规范。三是提高了工作效率。财务账目采用计算机管理，规范了工作流程，提高了工作效率，保证了数据的准确性。四是规范了会计核算，确保会计信息质量。规范了会计核算程序，统一了核算口径，确保会计信息质量，对会计档案资料的规范和保管都起到了积极的作用。五是严格控制非必要支出，集中财力办大事。六是及时公开预算、决算，做到公开透明。七是厉行节约，加强管理，运行过程中水、电、气、燃油节能降耗有所下降</w:t>
      </w:r>
    </w:p>
    <w:p w14:paraId="093B8A29">
      <w:pPr>
        <w:adjustRightInd w:val="0"/>
        <w:snapToGrid w:val="0"/>
        <w:spacing w:line="578" w:lineRule="exact"/>
        <w:ind w:firstLine="640" w:firstLineChars="200"/>
        <w:contextualSpacing/>
        <w:jc w:val="left"/>
        <w:rPr>
          <w:rFonts w:ascii="仿宋_GB2312" w:hAnsi="楷体_GB2312" w:eastAsia="仿宋_GB2312" w:cs="楷体_GB2312"/>
          <w:color w:val="000000"/>
          <w:kern w:val="0"/>
          <w:sz w:val="32"/>
          <w:szCs w:val="32"/>
          <w:shd w:val="clear" w:color="auto" w:fill="FFFFFF"/>
          <w:lang w:val="zh-CN"/>
        </w:rPr>
      </w:pPr>
      <w:r>
        <w:rPr>
          <w:rFonts w:hint="eastAsia" w:ascii="仿宋_GB2312" w:hAnsi="楷体_GB2312" w:eastAsia="仿宋_GB2312" w:cs="楷体_GB2312"/>
          <w:color w:val="000000"/>
          <w:kern w:val="0"/>
          <w:sz w:val="32"/>
          <w:szCs w:val="32"/>
          <w:shd w:val="clear" w:color="auto" w:fill="FFFFFF"/>
        </w:rPr>
        <w:t>4.</w:t>
      </w:r>
      <w:r>
        <w:rPr>
          <w:rFonts w:hint="eastAsia" w:ascii="仿宋_GB2312" w:hAnsi="楷体_GB2312" w:eastAsia="仿宋_GB2312" w:cs="楷体_GB2312"/>
          <w:color w:val="000000"/>
          <w:kern w:val="0"/>
          <w:sz w:val="32"/>
          <w:szCs w:val="32"/>
          <w:shd w:val="clear" w:color="auto" w:fill="FFFFFF"/>
          <w:lang w:val="zh-CN"/>
        </w:rPr>
        <w:t>资产管理。</w:t>
      </w:r>
    </w:p>
    <w:p w14:paraId="6388F11A">
      <w:pPr>
        <w:adjustRightInd w:val="0"/>
        <w:snapToGrid w:val="0"/>
        <w:spacing w:line="578" w:lineRule="exact"/>
        <w:ind w:firstLine="640" w:firstLineChars="200"/>
        <w:contextualSpacing/>
        <w:jc w:val="left"/>
        <w:rPr>
          <w:rFonts w:ascii="仿宋_GB2312" w:hAnsi="楷体_GB2312" w:eastAsia="仿宋_GB2312" w:cs="楷体_GB2312"/>
          <w:color w:val="000000"/>
          <w:kern w:val="0"/>
          <w:sz w:val="32"/>
          <w:szCs w:val="32"/>
          <w:shd w:val="clear" w:color="auto" w:fill="FFFFFF"/>
          <w:lang w:val="zh-CN"/>
        </w:rPr>
      </w:pPr>
      <w:r>
        <w:rPr>
          <w:rFonts w:hint="eastAsia" w:ascii="仿宋_GB2312" w:eastAsia="仿宋_GB2312"/>
          <w:kern w:val="0"/>
          <w:sz w:val="32"/>
          <w:szCs w:val="32"/>
          <w:shd w:val="clear" w:color="auto" w:fill="FFFFFF"/>
          <w:lang w:val="zh-CN"/>
        </w:rPr>
        <w:t>我单位人均资产变化率25%、办公家具资产利用率11%、办公设备资产利用率51%、资产盘活率100%，围绕人均资产变化率、资产利用率、资产盘活率</w:t>
      </w:r>
      <w:r>
        <w:rPr>
          <w:rFonts w:hint="eastAsia" w:ascii="仿宋_GB2312" w:hAnsi="楷体_GB2312" w:eastAsia="仿宋_GB2312" w:cs="楷体_GB2312"/>
          <w:kern w:val="0"/>
          <w:sz w:val="32"/>
          <w:szCs w:val="32"/>
          <w:shd w:val="clear" w:color="auto" w:fill="FFFFFF"/>
          <w:lang w:val="zh-CN"/>
        </w:rPr>
        <w:t>进一步修订了内控资产管理办法，</w:t>
      </w:r>
      <w:r>
        <w:rPr>
          <w:rFonts w:hint="eastAsia" w:eastAsia="仿宋_GB2312"/>
          <w:sz w:val="32"/>
        </w:rPr>
        <w:t>提升资产管理水平，多维策略，优化资产配置，确保资源合理利用；强化员工培训，提升资产管理能力；运用资产管理一体化系统，实现资产智能化管理；建立绩效考核机制，激励员工提高效率；加强风险管理，保障资产安全。同时，注重资产维护保养，延长使用寿命。通过这些措施，不仅能提高资产使用效率，还能降低运营成本，为组织创造更大价值，助力其在激烈的市场竞争中保持领先地位。</w:t>
      </w:r>
    </w:p>
    <w:p w14:paraId="6550EA6E">
      <w:pPr>
        <w:adjustRightInd w:val="0"/>
        <w:snapToGrid w:val="0"/>
        <w:spacing w:line="578" w:lineRule="exact"/>
        <w:ind w:firstLine="640" w:firstLineChars="200"/>
        <w:contextualSpacing/>
        <w:jc w:val="left"/>
        <w:rPr>
          <w:rFonts w:ascii="仿宋_GB2312" w:hAnsi="楷体_GB2312" w:eastAsia="仿宋_GB2312" w:cs="楷体_GB2312"/>
          <w:color w:val="000000"/>
          <w:kern w:val="0"/>
          <w:sz w:val="32"/>
          <w:szCs w:val="32"/>
          <w:shd w:val="clear" w:color="auto" w:fill="FFFFFF"/>
          <w:lang w:val="zh-CN"/>
        </w:rPr>
      </w:pPr>
      <w:r>
        <w:rPr>
          <w:rFonts w:hint="eastAsia" w:ascii="仿宋_GB2312" w:hAnsi="楷体_GB2312" w:eastAsia="仿宋_GB2312" w:cs="楷体_GB2312"/>
          <w:color w:val="000000"/>
          <w:kern w:val="0"/>
          <w:sz w:val="32"/>
          <w:szCs w:val="32"/>
          <w:shd w:val="clear" w:color="auto" w:fill="FFFFFF"/>
        </w:rPr>
        <w:t>5.</w:t>
      </w:r>
      <w:r>
        <w:rPr>
          <w:rFonts w:hint="eastAsia" w:ascii="仿宋_GB2312" w:hAnsi="楷体_GB2312" w:eastAsia="仿宋_GB2312" w:cs="楷体_GB2312"/>
          <w:color w:val="000000"/>
          <w:kern w:val="0"/>
          <w:sz w:val="32"/>
          <w:szCs w:val="32"/>
          <w:shd w:val="clear" w:color="auto" w:fill="FFFFFF"/>
          <w:lang w:val="zh-CN"/>
        </w:rPr>
        <w:t>采购管理。</w:t>
      </w:r>
    </w:p>
    <w:p w14:paraId="5150C43C">
      <w:pPr>
        <w:adjustRightInd w:val="0"/>
        <w:snapToGrid w:val="0"/>
        <w:spacing w:line="578" w:lineRule="exact"/>
        <w:ind w:firstLine="640" w:firstLineChars="200"/>
        <w:contextualSpacing/>
        <w:jc w:val="left"/>
        <w:rPr>
          <w:rFonts w:ascii="仿宋_GB2312" w:hAnsi="楷体_GB2312" w:eastAsia="仿宋_GB2312" w:cs="楷体_GB2312"/>
          <w:color w:val="000000"/>
          <w:kern w:val="0"/>
          <w:sz w:val="32"/>
          <w:szCs w:val="32"/>
          <w:shd w:val="clear" w:color="auto" w:fill="FFFFFF"/>
          <w:lang w:val="zh-CN"/>
        </w:rPr>
      </w:pPr>
      <w:r>
        <w:rPr>
          <w:rFonts w:hint="eastAsia" w:ascii="仿宋_GB2312" w:hAnsi="楷体_GB2312" w:eastAsia="仿宋_GB2312" w:cs="楷体_GB2312"/>
          <w:color w:val="000000"/>
          <w:kern w:val="0"/>
          <w:sz w:val="32"/>
          <w:szCs w:val="32"/>
          <w:shd w:val="clear" w:color="auto" w:fill="FFFFFF"/>
          <w:lang w:val="zh-CN"/>
        </w:rPr>
        <w:t>2024年全年政府采购金额14.93万元，主要用于新建藏文图书馆办公设备购置，采购中标企业都是中小企业。采购执行率达100%。</w:t>
      </w:r>
    </w:p>
    <w:p w14:paraId="0C8DF77C">
      <w:pPr>
        <w:widowControl/>
        <w:adjustRightInd w:val="0"/>
        <w:snapToGrid w:val="0"/>
        <w:spacing w:line="60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（二）部门预算项目绩效分析。</w:t>
      </w:r>
    </w:p>
    <w:p w14:paraId="44C2FA0C">
      <w:pPr>
        <w:adjustRightInd w:val="0"/>
        <w:snapToGrid w:val="0"/>
        <w:spacing w:line="578" w:lineRule="exact"/>
        <w:ind w:firstLine="640" w:firstLineChars="200"/>
        <w:contextualSpacing/>
        <w:jc w:val="left"/>
        <w:rPr>
          <w:rFonts w:ascii="仿宋_GB2312" w:eastAsia="仿宋_GB2312"/>
          <w:color w:val="000000"/>
          <w:kern w:val="0"/>
          <w:sz w:val="32"/>
          <w:szCs w:val="32"/>
          <w:shd w:val="clear" w:color="auto" w:fill="FFFFFF"/>
          <w:lang w:val="zh-CN"/>
        </w:rPr>
      </w:pPr>
      <w:r>
        <w:rPr>
          <w:rFonts w:hint="eastAsia" w:ascii="仿宋_GB2312" w:eastAsia="仿宋_GB2312"/>
          <w:color w:val="000000"/>
          <w:kern w:val="0"/>
          <w:sz w:val="32"/>
          <w:szCs w:val="32"/>
          <w:shd w:val="clear" w:color="auto" w:fill="FFFFFF"/>
        </w:rPr>
        <w:t>常年项目绩效分析。</w:t>
      </w:r>
      <w:r>
        <w:rPr>
          <w:rFonts w:hint="eastAsia" w:ascii="仿宋_GB2312" w:eastAsia="仿宋_GB2312"/>
          <w:color w:val="000000"/>
          <w:kern w:val="0"/>
          <w:sz w:val="32"/>
          <w:szCs w:val="32"/>
          <w:shd w:val="clear" w:color="auto" w:fill="FFFFFF"/>
          <w:lang w:val="zh-CN"/>
        </w:rPr>
        <w:t>该类项目总数</w:t>
      </w:r>
      <w:r>
        <w:rPr>
          <w:rFonts w:hint="eastAsia" w:ascii="仿宋_GB2312" w:eastAsia="仿宋_GB2312"/>
          <w:color w:val="000000"/>
          <w:kern w:val="0"/>
          <w:sz w:val="32"/>
          <w:szCs w:val="32"/>
          <w:shd w:val="clear" w:color="auto" w:fill="FFFFFF"/>
        </w:rPr>
        <w:t>8</w:t>
      </w:r>
      <w:r>
        <w:rPr>
          <w:rFonts w:hint="eastAsia" w:ascii="仿宋_GB2312" w:eastAsia="仿宋_GB2312"/>
          <w:color w:val="000000"/>
          <w:kern w:val="0"/>
          <w:sz w:val="32"/>
          <w:szCs w:val="32"/>
          <w:shd w:val="clear" w:color="auto" w:fill="FFFFFF"/>
          <w:lang w:val="zh-CN"/>
        </w:rPr>
        <w:t>个，涉及预算总金额117万元，1—1</w:t>
      </w:r>
      <w:r>
        <w:rPr>
          <w:rFonts w:hint="eastAsia" w:ascii="仿宋_GB2312" w:eastAsia="仿宋_GB2312"/>
          <w:color w:val="000000"/>
          <w:kern w:val="0"/>
          <w:sz w:val="32"/>
          <w:szCs w:val="32"/>
          <w:shd w:val="clear" w:color="auto" w:fill="FFFFFF"/>
        </w:rPr>
        <w:t>2</w:t>
      </w:r>
      <w:r>
        <w:rPr>
          <w:rFonts w:hint="eastAsia" w:ascii="仿宋_GB2312" w:eastAsia="仿宋_GB2312"/>
          <w:color w:val="000000"/>
          <w:kern w:val="0"/>
          <w:sz w:val="32"/>
          <w:szCs w:val="32"/>
          <w:shd w:val="clear" w:color="auto" w:fill="FFFFFF"/>
          <w:lang w:val="zh-CN"/>
        </w:rPr>
        <w:t>月预算执行总体进度为</w:t>
      </w:r>
      <w:r>
        <w:rPr>
          <w:rFonts w:hint="eastAsia" w:ascii="仿宋_GB2312" w:eastAsia="仿宋_GB2312"/>
          <w:color w:val="000000"/>
          <w:kern w:val="0"/>
          <w:sz w:val="32"/>
          <w:szCs w:val="32"/>
          <w:shd w:val="clear" w:color="auto" w:fill="FFFFFF"/>
        </w:rPr>
        <w:t>100</w:t>
      </w:r>
      <w:r>
        <w:rPr>
          <w:rFonts w:hint="eastAsia" w:ascii="仿宋_GB2312" w:eastAsia="仿宋_GB2312"/>
          <w:color w:val="000000"/>
          <w:kern w:val="0"/>
          <w:sz w:val="32"/>
          <w:szCs w:val="32"/>
          <w:shd w:val="clear" w:color="auto" w:fill="FFFFFF"/>
          <w:lang w:val="zh-CN"/>
        </w:rPr>
        <w:t>%。</w:t>
      </w:r>
    </w:p>
    <w:p w14:paraId="1F6675DC">
      <w:pPr>
        <w:adjustRightInd w:val="0"/>
        <w:snapToGrid w:val="0"/>
        <w:spacing w:line="578" w:lineRule="exact"/>
        <w:ind w:firstLine="640" w:firstLineChars="200"/>
        <w:contextualSpacing/>
        <w:jc w:val="left"/>
        <w:rPr>
          <w:rFonts w:ascii="仿宋_GB2312" w:eastAsia="仿宋_GB2312"/>
          <w:color w:val="000000"/>
          <w:kern w:val="0"/>
          <w:sz w:val="32"/>
          <w:szCs w:val="32"/>
          <w:shd w:val="clear" w:color="auto" w:fill="FFFFFF"/>
          <w:lang w:val="zh-CN"/>
        </w:rPr>
      </w:pPr>
      <w:r>
        <w:rPr>
          <w:rFonts w:hint="eastAsia" w:ascii="仿宋_GB2312" w:eastAsia="仿宋_GB2312"/>
          <w:color w:val="000000"/>
          <w:kern w:val="0"/>
          <w:sz w:val="32"/>
          <w:szCs w:val="32"/>
          <w:shd w:val="clear" w:color="auto" w:fill="FFFFFF"/>
        </w:rPr>
        <w:t>阶段（一次性）项目绩效分析。</w:t>
      </w:r>
      <w:r>
        <w:rPr>
          <w:rFonts w:hint="eastAsia" w:ascii="仿宋_GB2312" w:eastAsia="仿宋_GB2312"/>
          <w:color w:val="000000"/>
          <w:kern w:val="0"/>
          <w:sz w:val="32"/>
          <w:szCs w:val="32"/>
          <w:shd w:val="clear" w:color="auto" w:fill="FFFFFF"/>
          <w:lang w:val="zh-CN"/>
        </w:rPr>
        <w:t>该类项目总数</w:t>
      </w:r>
      <w:r>
        <w:rPr>
          <w:rFonts w:hint="eastAsia" w:ascii="仿宋_GB2312" w:eastAsia="仿宋_GB2312"/>
          <w:color w:val="000000"/>
          <w:kern w:val="0"/>
          <w:sz w:val="32"/>
          <w:szCs w:val="32"/>
          <w:shd w:val="clear" w:color="auto" w:fill="FFFFFF"/>
        </w:rPr>
        <w:t>6</w:t>
      </w:r>
      <w:r>
        <w:rPr>
          <w:rFonts w:hint="eastAsia" w:ascii="仿宋_GB2312" w:eastAsia="仿宋_GB2312"/>
          <w:color w:val="000000"/>
          <w:kern w:val="0"/>
          <w:sz w:val="32"/>
          <w:szCs w:val="32"/>
          <w:shd w:val="clear" w:color="auto" w:fill="FFFFFF"/>
          <w:lang w:val="zh-CN"/>
        </w:rPr>
        <w:t>个，涉及预算总金额</w:t>
      </w:r>
      <w:r>
        <w:rPr>
          <w:rFonts w:hint="eastAsia" w:ascii="仿宋_GB2312" w:eastAsia="仿宋_GB2312"/>
          <w:color w:val="000000"/>
          <w:kern w:val="0"/>
          <w:sz w:val="32"/>
          <w:szCs w:val="32"/>
          <w:shd w:val="clear" w:color="auto" w:fill="FFFFFF"/>
        </w:rPr>
        <w:t>191.82</w:t>
      </w:r>
      <w:r>
        <w:rPr>
          <w:rFonts w:hint="eastAsia" w:ascii="仿宋_GB2312" w:eastAsia="仿宋_GB2312"/>
          <w:color w:val="000000"/>
          <w:kern w:val="0"/>
          <w:sz w:val="32"/>
          <w:szCs w:val="32"/>
          <w:shd w:val="clear" w:color="auto" w:fill="FFFFFF"/>
          <w:lang w:val="zh-CN"/>
        </w:rPr>
        <w:t>万元，1—1</w:t>
      </w:r>
      <w:r>
        <w:rPr>
          <w:rFonts w:hint="eastAsia" w:ascii="仿宋_GB2312" w:eastAsia="仿宋_GB2312"/>
          <w:color w:val="000000"/>
          <w:kern w:val="0"/>
          <w:sz w:val="32"/>
          <w:szCs w:val="32"/>
          <w:shd w:val="clear" w:color="auto" w:fill="FFFFFF"/>
        </w:rPr>
        <w:t>2</w:t>
      </w:r>
      <w:r>
        <w:rPr>
          <w:rFonts w:hint="eastAsia" w:ascii="仿宋_GB2312" w:eastAsia="仿宋_GB2312"/>
          <w:color w:val="000000"/>
          <w:kern w:val="0"/>
          <w:sz w:val="32"/>
          <w:szCs w:val="32"/>
          <w:shd w:val="clear" w:color="auto" w:fill="FFFFFF"/>
          <w:lang w:val="zh-CN"/>
        </w:rPr>
        <w:t>月预算执行总体进度为</w:t>
      </w:r>
      <w:r>
        <w:rPr>
          <w:rFonts w:hint="eastAsia" w:ascii="仿宋_GB2312" w:eastAsia="仿宋_GB2312"/>
          <w:color w:val="000000"/>
          <w:kern w:val="0"/>
          <w:sz w:val="32"/>
          <w:szCs w:val="32"/>
          <w:shd w:val="clear" w:color="auto" w:fill="FFFFFF"/>
        </w:rPr>
        <w:t>100</w:t>
      </w:r>
      <w:r>
        <w:rPr>
          <w:rFonts w:hint="eastAsia" w:ascii="仿宋_GB2312" w:eastAsia="仿宋_GB2312"/>
          <w:color w:val="000000"/>
          <w:kern w:val="0"/>
          <w:sz w:val="32"/>
          <w:szCs w:val="32"/>
          <w:shd w:val="clear" w:color="auto" w:fill="FFFFFF"/>
          <w:lang w:val="zh-CN"/>
        </w:rPr>
        <w:t>%。</w:t>
      </w:r>
    </w:p>
    <w:p w14:paraId="11D2F3BF">
      <w:pPr>
        <w:numPr>
          <w:ilvl w:val="0"/>
          <w:numId w:val="3"/>
        </w:numPr>
        <w:adjustRightInd w:val="0"/>
        <w:snapToGrid w:val="0"/>
        <w:spacing w:line="578" w:lineRule="exact"/>
        <w:contextualSpacing/>
        <w:jc w:val="left"/>
        <w:rPr>
          <w:rFonts w:ascii="仿宋_GB2312" w:hAnsi="楷体_GB2312" w:eastAsia="仿宋_GB2312" w:cs="楷体_GB2312"/>
          <w:color w:val="000000"/>
          <w:kern w:val="0"/>
          <w:sz w:val="32"/>
          <w:szCs w:val="32"/>
          <w:shd w:val="clear" w:color="auto" w:fill="FFFFFF"/>
          <w:lang w:val="zh-CN"/>
        </w:rPr>
      </w:pPr>
      <w:r>
        <w:rPr>
          <w:rFonts w:hint="eastAsia" w:ascii="仿宋_GB2312" w:hAnsi="楷体_GB2312" w:eastAsia="仿宋_GB2312" w:cs="楷体_GB2312"/>
          <w:color w:val="000000"/>
          <w:kern w:val="0"/>
          <w:sz w:val="32"/>
          <w:szCs w:val="32"/>
          <w:shd w:val="clear" w:color="auto" w:fill="FFFFFF"/>
          <w:lang w:val="zh-CN"/>
        </w:rPr>
        <w:t>项目决策。</w:t>
      </w:r>
    </w:p>
    <w:p w14:paraId="0FCEF4EB">
      <w:pPr>
        <w:spacing w:line="578" w:lineRule="exact"/>
        <w:ind w:firstLine="640" w:firstLineChars="200"/>
        <w:rPr>
          <w:rFonts w:eastAsia="仿宋_GB2312"/>
          <w:sz w:val="32"/>
        </w:rPr>
      </w:pPr>
      <w:r>
        <w:rPr>
          <w:rFonts w:hint="eastAsia" w:ascii="仿宋_GB2312" w:hAnsi="楷体_GB2312" w:eastAsia="仿宋_GB2312" w:cs="楷体_GB2312"/>
          <w:color w:val="000000"/>
          <w:kern w:val="0"/>
          <w:sz w:val="32"/>
          <w:szCs w:val="32"/>
          <w:shd w:val="clear" w:color="auto" w:fill="FFFFFF"/>
          <w:lang w:val="zh-CN"/>
        </w:rPr>
        <w:t>项目在年初制定时，都经过“集体决策”并对</w:t>
      </w:r>
      <w:r>
        <w:rPr>
          <w:rFonts w:hint="eastAsia" w:eastAsia="仿宋_GB2312"/>
          <w:sz w:val="32"/>
        </w:rPr>
        <w:t>项目决策进行绩效分析，对项目的合理性、目标设置的明确性与可行性，以及项目入库的筛选等，确保决策程序透明、科学，减少主观偏见。其次，目标设置具体、可衡量，与组织战略紧密相连。最后，项目入库应基于严格的标准和风险评估，确保项目质量。通过这些措施，提高项目选择的准确性，优化资源配置，提升项目成功率。持续监控决策绩效，及时调整策略，实现组织目标，促进长期发展。</w:t>
      </w:r>
    </w:p>
    <w:p w14:paraId="02152EB8">
      <w:pPr>
        <w:numPr>
          <w:ilvl w:val="0"/>
          <w:numId w:val="3"/>
        </w:numPr>
        <w:spacing w:line="578" w:lineRule="exact"/>
        <w:rPr>
          <w:rFonts w:ascii="仿宋_GB2312" w:hAnsi="楷体_GB2312" w:eastAsia="仿宋_GB2312" w:cs="楷体_GB2312"/>
          <w:color w:val="000000"/>
          <w:kern w:val="0"/>
          <w:sz w:val="32"/>
          <w:szCs w:val="32"/>
          <w:shd w:val="clear" w:color="auto" w:fill="FFFFFF"/>
          <w:lang w:val="zh-CN"/>
        </w:rPr>
      </w:pPr>
      <w:r>
        <w:rPr>
          <w:rFonts w:hint="eastAsia" w:ascii="仿宋_GB2312" w:hAnsi="楷体_GB2312" w:eastAsia="仿宋_GB2312" w:cs="楷体_GB2312"/>
          <w:color w:val="000000"/>
          <w:kern w:val="0"/>
          <w:sz w:val="32"/>
          <w:szCs w:val="32"/>
          <w:shd w:val="clear" w:color="auto" w:fill="FFFFFF"/>
        </w:rPr>
        <w:t>项目执行</w:t>
      </w:r>
      <w:r>
        <w:rPr>
          <w:rFonts w:hint="eastAsia" w:ascii="仿宋_GB2312" w:hAnsi="楷体_GB2312" w:eastAsia="仿宋_GB2312" w:cs="楷体_GB2312"/>
          <w:color w:val="000000"/>
          <w:kern w:val="0"/>
          <w:sz w:val="32"/>
          <w:szCs w:val="32"/>
          <w:shd w:val="clear" w:color="auto" w:fill="FFFFFF"/>
          <w:lang w:val="zh-CN"/>
        </w:rPr>
        <w:t>。</w:t>
      </w:r>
    </w:p>
    <w:p w14:paraId="37FD5161">
      <w:pPr>
        <w:spacing w:line="578" w:lineRule="exact"/>
        <w:ind w:firstLine="640" w:firstLineChars="200"/>
        <w:rPr>
          <w:rFonts w:eastAsia="仿宋_GB2312"/>
          <w:sz w:val="32"/>
        </w:rPr>
      </w:pPr>
      <w:r>
        <w:rPr>
          <w:rFonts w:hint="eastAsia" w:eastAsia="仿宋_GB2312"/>
          <w:sz w:val="32"/>
        </w:rPr>
        <w:t>年初申报的14个项目执行与预设目标相吻合，项目执行率100%。省古籍办拨付的古籍普查专项经费在实施过程中时行了及时调整，优化资源配置，提升项目设定的合理性与执行的精准性，从而推动项目持续进步，实现长远发展。</w:t>
      </w:r>
    </w:p>
    <w:p w14:paraId="3946989C">
      <w:pPr>
        <w:numPr>
          <w:ilvl w:val="0"/>
          <w:numId w:val="3"/>
        </w:numPr>
        <w:spacing w:line="578" w:lineRule="exact"/>
        <w:rPr>
          <w:rFonts w:ascii="仿宋_GB2312" w:hAnsi="楷体_GB2312" w:eastAsia="仿宋_GB2312" w:cs="楷体_GB2312"/>
          <w:color w:val="000000"/>
          <w:kern w:val="0"/>
          <w:sz w:val="32"/>
          <w:szCs w:val="32"/>
          <w:shd w:val="clear" w:color="auto" w:fill="FFFFFF"/>
          <w:lang w:val="zh-CN"/>
        </w:rPr>
      </w:pPr>
      <w:r>
        <w:rPr>
          <w:rFonts w:hint="eastAsia" w:ascii="仿宋_GB2312" w:hAnsi="楷体_GB2312" w:eastAsia="仿宋_GB2312" w:cs="楷体_GB2312"/>
          <w:color w:val="000000"/>
          <w:kern w:val="0"/>
          <w:sz w:val="32"/>
          <w:szCs w:val="32"/>
          <w:shd w:val="clear" w:color="auto" w:fill="FFFFFF"/>
          <w:lang w:val="zh-CN"/>
        </w:rPr>
        <w:t>目标实现。</w:t>
      </w:r>
    </w:p>
    <w:p w14:paraId="624E8349">
      <w:pPr>
        <w:spacing w:line="578" w:lineRule="exact"/>
        <w:ind w:firstLine="640" w:firstLineChars="200"/>
        <w:rPr>
          <w:rFonts w:ascii="仿宋_GB2312" w:hAnsi="楷体_GB2312" w:eastAsia="仿宋_GB2312" w:cs="楷体_GB2312"/>
          <w:color w:val="000000"/>
          <w:kern w:val="0"/>
          <w:sz w:val="32"/>
          <w:szCs w:val="32"/>
          <w:shd w:val="clear" w:color="auto" w:fill="FFFFFF"/>
          <w:lang w:val="zh-CN"/>
        </w:rPr>
      </w:pPr>
      <w:r>
        <w:rPr>
          <w:rFonts w:hint="eastAsia" w:ascii="仿宋_GB2312" w:eastAsia="仿宋_GB2312"/>
          <w:color w:val="000000"/>
          <w:kern w:val="0"/>
          <w:sz w:val="32"/>
          <w:szCs w:val="32"/>
          <w:shd w:val="clear" w:color="auto" w:fill="FFFFFF"/>
          <w:lang w:val="zh-CN"/>
        </w:rPr>
        <w:t>2024年我单位整体支出绩效评价自查自评结果良好，全年基本支出保证了编译局的运行和日常工作的正常开展，项目支出保障了重点工作的开展，达到预期绩效目标。</w:t>
      </w:r>
    </w:p>
    <w:p w14:paraId="019F5C3C">
      <w:pPr>
        <w:widowControl/>
        <w:adjustRightInd w:val="0"/>
        <w:snapToGrid w:val="0"/>
        <w:spacing w:line="578" w:lineRule="exact"/>
        <w:ind w:firstLine="643" w:firstLineChars="200"/>
        <w:contextualSpacing/>
        <w:jc w:val="left"/>
        <w:rPr>
          <w:rFonts w:eastAsia="楷体_GB2312"/>
          <w:b/>
          <w:bCs/>
          <w:sz w:val="32"/>
          <w:szCs w:val="32"/>
          <w:lang w:val="zh-CN"/>
        </w:rPr>
      </w:pPr>
      <w:r>
        <w:rPr>
          <w:rFonts w:eastAsia="楷体_GB2312"/>
          <w:b/>
          <w:bCs/>
          <w:color w:val="000000"/>
          <w:kern w:val="0"/>
          <w:sz w:val="32"/>
          <w:szCs w:val="32"/>
          <w:shd w:val="clear" w:color="auto" w:fill="FFFFFF"/>
          <w:lang w:val="zh-CN"/>
        </w:rPr>
        <w:t>（三）</w:t>
      </w:r>
      <w:r>
        <w:rPr>
          <w:rFonts w:eastAsia="楷体_GB2312"/>
          <w:b/>
          <w:bCs/>
          <w:sz w:val="32"/>
          <w:szCs w:val="32"/>
          <w:lang w:val="zh-CN"/>
        </w:rPr>
        <w:t>绩效结果应用情况。</w:t>
      </w:r>
    </w:p>
    <w:p w14:paraId="334ED51B">
      <w:pPr>
        <w:widowControl/>
        <w:adjustRightInd w:val="0"/>
        <w:snapToGrid w:val="0"/>
        <w:spacing w:line="578" w:lineRule="exact"/>
        <w:ind w:firstLine="640" w:firstLineChars="200"/>
        <w:contextualSpacing/>
        <w:jc w:val="left"/>
        <w:rPr>
          <w:rFonts w:ascii="仿宋_GB2312" w:eastAsia="仿宋_GB2312"/>
          <w:color w:val="000000"/>
          <w:kern w:val="0"/>
          <w:sz w:val="32"/>
          <w:szCs w:val="32"/>
          <w:shd w:val="clear" w:color="auto" w:fill="FFFFFF"/>
        </w:rPr>
      </w:pPr>
      <w:r>
        <w:rPr>
          <w:rFonts w:hint="eastAsia" w:ascii="仿宋_GB2312" w:eastAsia="仿宋_GB2312"/>
          <w:sz w:val="32"/>
          <w:szCs w:val="32"/>
        </w:rPr>
        <w:t>我单位不涉及国有资本、行政事业性国有资产、债券资金、政府采购和政府购买服务等重点领域。</w:t>
      </w:r>
    </w:p>
    <w:p w14:paraId="066147A9">
      <w:pPr>
        <w:snapToGrid w:val="0"/>
        <w:spacing w:line="600" w:lineRule="exact"/>
        <w:ind w:firstLine="640" w:firstLineChars="200"/>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14:paraId="6FDC653C">
      <w:pPr>
        <w:autoSpaceDE w:val="0"/>
        <w:autoSpaceDN w:val="0"/>
        <w:adjustRightInd w:val="0"/>
        <w:spacing w:line="578" w:lineRule="exact"/>
        <w:ind w:firstLine="643" w:firstLineChars="200"/>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（一）评价结论。</w:t>
      </w:r>
    </w:p>
    <w:p w14:paraId="681E0FE4">
      <w:pPr>
        <w:autoSpaceDE w:val="0"/>
        <w:autoSpaceDN w:val="0"/>
        <w:adjustRightInd w:val="0"/>
        <w:spacing w:line="578" w:lineRule="exact"/>
        <w:ind w:firstLine="640" w:firstLineChars="200"/>
        <w:jc w:val="left"/>
        <w:rPr>
          <w:rFonts w:ascii="仿宋_GB2312" w:eastAsia="仿宋_GB2312" w:cs="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202</w:t>
      </w:r>
      <w:r>
        <w:rPr>
          <w:rFonts w:hint="eastAsia" w:ascii="仿宋_GB2312" w:hAnsi="仿宋_GB2312" w:eastAsia="仿宋_GB2312" w:cs="仿宋_GB2312"/>
          <w:color w:val="000000"/>
          <w:kern w:val="0"/>
          <w:sz w:val="32"/>
          <w:szCs w:val="32"/>
          <w:shd w:val="clear" w:color="auto" w:fill="FFFFFF"/>
        </w:rPr>
        <w:t>4年我单位整体支出绩效评价自查自评结果良好，全年基本支出保证了编译局的运行和日常工作的正常开展，项目支出保障了重点工作的开展，达到预期绩效目标。部门预算绩效自评得分88分。</w:t>
      </w:r>
    </w:p>
    <w:p w14:paraId="730951B2">
      <w:pPr>
        <w:tabs>
          <w:tab w:val="left" w:pos="7180"/>
        </w:tabs>
        <w:spacing w:line="578" w:lineRule="exact"/>
        <w:ind w:firstLine="639" w:firstLineChars="199"/>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（二）存在问题。</w:t>
      </w:r>
    </w:p>
    <w:p w14:paraId="5A4B7589">
      <w:pPr>
        <w:tabs>
          <w:tab w:val="left" w:pos="7180"/>
        </w:tabs>
        <w:spacing w:line="578" w:lineRule="exact"/>
        <w:ind w:firstLine="636" w:firstLineChars="199"/>
        <w:jc w:val="left"/>
        <w:rPr>
          <w:rFonts w:ascii="仿宋_GB2312" w:hAnsi="仿宋_GB2312" w:eastAsia="仿宋_GB2312" w:cs="仿宋_GB2312"/>
          <w:sz w:val="32"/>
          <w:szCs w:val="32"/>
        </w:rPr>
      </w:pPr>
      <w:r>
        <w:rPr>
          <w:rFonts w:ascii="仿宋_GB2312" w:hAnsi="仿宋_GB2312" w:eastAsia="仿宋_GB2312" w:cs="仿宋_GB2312"/>
          <w:sz w:val="32"/>
          <w:szCs w:val="32"/>
        </w:rPr>
        <w:t>从预算绩效管理工作推进情况分析，我</w:t>
      </w:r>
      <w:r>
        <w:rPr>
          <w:rFonts w:hint="eastAsia" w:ascii="仿宋_GB2312" w:hAnsi="仿宋_GB2312" w:eastAsia="仿宋_GB2312" w:cs="仿宋_GB2312"/>
          <w:sz w:val="32"/>
          <w:szCs w:val="32"/>
        </w:rPr>
        <w:t>局</w:t>
      </w:r>
      <w:r>
        <w:rPr>
          <w:rFonts w:ascii="仿宋_GB2312" w:hAnsi="仿宋_GB2312" w:eastAsia="仿宋_GB2312" w:cs="仿宋_GB2312"/>
          <w:sz w:val="32"/>
          <w:szCs w:val="32"/>
        </w:rPr>
        <w:t>预算绩效管理工作正处于积极探索和逐步完善的提升增效阶段，预算绩效管理在制度完善、组织实施、绩效评价、结果运用等环节中还存在着一些具体的问题和实际困难。</w:t>
      </w:r>
    </w:p>
    <w:p w14:paraId="691F89F1">
      <w:pPr>
        <w:tabs>
          <w:tab w:val="left" w:pos="7180"/>
        </w:tabs>
        <w:spacing w:line="578" w:lineRule="exact"/>
        <w:ind w:firstLine="643"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1.预算绩效观念不深入</w:t>
      </w:r>
    </w:p>
    <w:p w14:paraId="1FCF8BE4">
      <w:pPr>
        <w:tabs>
          <w:tab w:val="left" w:pos="7180"/>
        </w:tabs>
        <w:spacing w:line="578"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预算绩效管理工作开展以来，单位出台了相应的制度办法和操作规程等，但整体上还处起步阶段，正在经历认知到实践的磨合期。还存在重申报、轻结果的思想，大多依托财务人员申报绩效指标、绩效目标等情况，预算绩效观念不深入。</w:t>
      </w:r>
    </w:p>
    <w:p w14:paraId="041BC387">
      <w:pPr>
        <w:tabs>
          <w:tab w:val="left" w:pos="7180"/>
        </w:tabs>
        <w:spacing w:line="578" w:lineRule="exact"/>
        <w:ind w:firstLine="643"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2.</w:t>
      </w:r>
      <w:r>
        <w:rPr>
          <w:rFonts w:ascii="楷体_GB2312" w:hAnsi="楷体_GB2312" w:eastAsia="楷体_GB2312" w:cs="楷体_GB2312"/>
          <w:b/>
          <w:bCs/>
          <w:sz w:val="32"/>
          <w:szCs w:val="32"/>
        </w:rPr>
        <w:t>绩效管理专业人员缺乏</w:t>
      </w:r>
    </w:p>
    <w:p w14:paraId="73BD35F4">
      <w:pPr>
        <w:tabs>
          <w:tab w:val="left" w:pos="7180"/>
        </w:tabs>
        <w:spacing w:line="578" w:lineRule="exact"/>
        <w:ind w:firstLine="640"/>
        <w:jc w:val="left"/>
        <w:rPr>
          <w:rFonts w:ascii="仿宋_GB2312" w:hAnsi="仿宋_GB2312" w:eastAsia="仿宋_GB2312" w:cs="仿宋_GB2312"/>
          <w:sz w:val="32"/>
          <w:szCs w:val="32"/>
        </w:rPr>
      </w:pPr>
      <w:r>
        <w:rPr>
          <w:rFonts w:ascii="仿宋_GB2312" w:hAnsi="仿宋_GB2312" w:eastAsia="仿宋_GB2312" w:cs="仿宋_GB2312"/>
          <w:sz w:val="32"/>
          <w:szCs w:val="32"/>
        </w:rPr>
        <w:t>预算绩效管理工作的覆盖面广、专业性较强。单位从事预算绩效管理人员缺乏相应专业技能，难以做到程序规范、管理科学和绩效显著。只能边学习、边摸索、边积累，短期内难以见到明显的效果。</w:t>
      </w:r>
    </w:p>
    <w:p w14:paraId="73B645F5">
      <w:pPr>
        <w:tabs>
          <w:tab w:val="left" w:pos="7180"/>
        </w:tabs>
        <w:spacing w:line="578"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楷体_GB2312" w:hAnsi="楷体_GB2312" w:eastAsia="楷体_GB2312" w:cs="楷体_GB2312"/>
          <w:b/>
          <w:bCs/>
          <w:sz w:val="32"/>
          <w:szCs w:val="32"/>
        </w:rPr>
        <w:t>3.</w:t>
      </w:r>
      <w:r>
        <w:rPr>
          <w:rFonts w:ascii="楷体_GB2312" w:hAnsi="楷体_GB2312" w:eastAsia="楷体_GB2312" w:cs="楷体_GB2312"/>
          <w:b/>
          <w:bCs/>
          <w:sz w:val="32"/>
          <w:szCs w:val="32"/>
        </w:rPr>
        <w:t>绩效评价指标难以量化</w:t>
      </w:r>
    </w:p>
    <w:p w14:paraId="240F6991">
      <w:pPr>
        <w:tabs>
          <w:tab w:val="left" w:pos="7180"/>
        </w:tabs>
        <w:spacing w:line="578" w:lineRule="exact"/>
        <w:ind w:firstLine="640"/>
        <w:jc w:val="left"/>
        <w:rPr>
          <w:rFonts w:ascii="仿宋_GB2312" w:hAnsi="仿宋_GB2312" w:eastAsia="仿宋_GB2312" w:cs="仿宋_GB2312"/>
          <w:sz w:val="32"/>
          <w:szCs w:val="32"/>
        </w:rPr>
      </w:pPr>
      <w:r>
        <w:rPr>
          <w:rFonts w:ascii="仿宋_GB2312" w:hAnsi="仿宋_GB2312" w:eastAsia="仿宋_GB2312" w:cs="仿宋_GB2312"/>
          <w:sz w:val="32"/>
          <w:szCs w:val="32"/>
        </w:rPr>
        <w:t>在预算绩效管理中，绩效评价指标量化是一项关键步骤，但是，由于事务复杂多元，绩效指标难以量化，导致绩效评价受限。</w:t>
      </w:r>
    </w:p>
    <w:p w14:paraId="5DE9D03B">
      <w:pPr>
        <w:tabs>
          <w:tab w:val="left" w:pos="7180"/>
        </w:tabs>
        <w:spacing w:line="578" w:lineRule="exact"/>
        <w:ind w:left="420" w:leftChars="200"/>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（三）改进建议。</w:t>
      </w:r>
    </w:p>
    <w:p w14:paraId="7547757C">
      <w:pPr>
        <w:tabs>
          <w:tab w:val="left" w:pos="7180"/>
        </w:tabs>
        <w:spacing w:line="578" w:lineRule="exact"/>
        <w:ind w:left="420" w:left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1.高度重视，加强宣传培训</w:t>
      </w:r>
    </w:p>
    <w:p w14:paraId="19706F1C">
      <w:pPr>
        <w:tabs>
          <w:tab w:val="left" w:pos="7180"/>
        </w:tabs>
        <w:spacing w:line="578"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通过政策宣传、制度讲解、操作解读等形式，加强宣传培训工作，提高</w:t>
      </w:r>
      <w:r>
        <w:rPr>
          <w:rFonts w:hint="eastAsia" w:ascii="仿宋_GB2312" w:hAnsi="仿宋_GB2312" w:eastAsia="仿宋_GB2312" w:cs="仿宋_GB2312"/>
          <w:sz w:val="32"/>
          <w:szCs w:val="32"/>
        </w:rPr>
        <w:t>全局</w:t>
      </w:r>
      <w:r>
        <w:rPr>
          <w:rFonts w:ascii="仿宋_GB2312" w:hAnsi="仿宋_GB2312" w:eastAsia="仿宋_GB2312" w:cs="仿宋_GB2312"/>
          <w:sz w:val="32"/>
          <w:szCs w:val="32"/>
        </w:rPr>
        <w:t>职工绩效管理工作意识，将绩效管理工作入心入脑，加强绩效目标事前、事中、事后对监管，做到花钱必问效，无效必问责。</w:t>
      </w:r>
    </w:p>
    <w:p w14:paraId="051FF338">
      <w:pPr>
        <w:tabs>
          <w:tab w:val="left" w:pos="7180"/>
        </w:tabs>
        <w:spacing w:line="578" w:lineRule="exact"/>
        <w:ind w:left="420" w:left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2.</w:t>
      </w:r>
      <w:r>
        <w:rPr>
          <w:rFonts w:ascii="楷体_GB2312" w:hAnsi="楷体_GB2312" w:eastAsia="楷体_GB2312" w:cs="楷体_GB2312"/>
          <w:b/>
          <w:bCs/>
          <w:sz w:val="32"/>
          <w:szCs w:val="32"/>
        </w:rPr>
        <w:t>加强学习，提升业务技能</w:t>
      </w:r>
    </w:p>
    <w:p w14:paraId="5FBB89C8">
      <w:pPr>
        <w:tabs>
          <w:tab w:val="left" w:pos="7180"/>
        </w:tabs>
        <w:spacing w:line="578"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不断加强业务知识学习，学深悟透文件精神实质，科学制定单位共性指标体系，注重质量和效益的综合考核。在工作中加强预算绩效目标的编报与审核、加强对预算执行的监督和检查，提高预算执行效果，规范预算的使用和管理，不断提升绩效管理工作业务技能。</w:t>
      </w:r>
    </w:p>
    <w:p w14:paraId="5DB8D0F3">
      <w:pPr>
        <w:tabs>
          <w:tab w:val="left" w:pos="7180"/>
        </w:tabs>
        <w:spacing w:line="578" w:lineRule="exact"/>
        <w:ind w:firstLine="643"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3.进一步加强指标体系量化建设</w:t>
      </w:r>
    </w:p>
    <w:p w14:paraId="5CC9E389">
      <w:pPr>
        <w:tabs>
          <w:tab w:val="left" w:pos="7180"/>
        </w:tabs>
        <w:spacing w:line="578" w:lineRule="exact"/>
        <w:ind w:firstLine="640"/>
        <w:jc w:val="left"/>
        <w:rPr>
          <w:rFonts w:ascii="仿宋_GB2312" w:hAnsi="仿宋_GB2312" w:eastAsia="仿宋_GB2312" w:cs="仿宋_GB2312"/>
          <w:sz w:val="32"/>
          <w:szCs w:val="32"/>
        </w:rPr>
      </w:pPr>
      <w:r>
        <w:rPr>
          <w:rFonts w:ascii="仿宋_GB2312" w:hAnsi="仿宋_GB2312" w:eastAsia="仿宋_GB2312" w:cs="仿宋_GB2312"/>
          <w:sz w:val="32"/>
          <w:szCs w:val="32"/>
        </w:rPr>
        <w:t>不断规范完善绩效指标体系建设，尽量做到量化，在执行过程中可操作性进一步加强。</w:t>
      </w:r>
    </w:p>
    <w:p w14:paraId="5F641032">
      <w:pPr>
        <w:spacing w:line="578" w:lineRule="exact"/>
        <w:ind w:firstLine="643"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4.进一步健全和完善财务管理制度及内部控制制度</w:t>
      </w:r>
    </w:p>
    <w:p w14:paraId="5596FCB4">
      <w:pPr>
        <w:spacing w:line="578"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规范和约束机关理财行为和程序，积极探索在新形势下部门预算、国库集中支付等财政支出改革的特点，不断更新管理思路，在规范财务收支和控制经费增长上，创新管理手段，用新思路、新方法，改进完善财务管理方法。按照财政支出绩效管理的要求，建立科学的财政资金效益考评制度体系，牢固树立成本意识，不断提高财政资金使用管理的水平和效率。确保项目顺利实施，提高财政资金的使用效益。</w:t>
      </w:r>
    </w:p>
    <w:p w14:paraId="48D3478A">
      <w:pPr>
        <w:pStyle w:val="2"/>
      </w:pPr>
    </w:p>
    <w:p w14:paraId="2E7CA0A8">
      <w:pPr>
        <w:pStyle w:val="3"/>
        <w:spacing w:line="560" w:lineRule="exact"/>
        <w:ind w:left="0" w:leftChars="0" w:firstLine="640"/>
        <w:rPr>
          <w:rFonts w:ascii="Times New Roman" w:eastAsia="仿宋_GB2312"/>
          <w:sz w:val="32"/>
          <w:lang w:val="zh-CN" w:bidi="ar"/>
        </w:rPr>
      </w:pPr>
      <w:r>
        <w:rPr>
          <w:rFonts w:hint="eastAsia" w:ascii="Times New Roman" w:eastAsia="仿宋_GB2312"/>
          <w:sz w:val="32"/>
          <w:lang w:val="zh-CN" w:bidi="ar"/>
        </w:rPr>
        <w:t>附表：</w:t>
      </w:r>
      <w:r>
        <w:rPr>
          <w:rFonts w:hint="eastAsia" w:ascii="Times New Roman" w:eastAsia="仿宋_GB2312"/>
          <w:sz w:val="32"/>
          <w:lang w:bidi="ar"/>
        </w:rPr>
        <w:t>部门预算项目支出绩效自评表（2024年度）</w:t>
      </w:r>
    </w:p>
    <w:tbl>
      <w:tblPr>
        <w:tblStyle w:val="16"/>
        <w:tblW w:w="5000" w:type="pct"/>
        <w:jc w:val="center"/>
        <w:tblLayout w:type="autofit"/>
        <w:tblCellMar>
          <w:top w:w="15" w:type="dxa"/>
          <w:left w:w="15" w:type="dxa"/>
          <w:bottom w:w="15" w:type="dxa"/>
          <w:right w:w="15" w:type="dxa"/>
        </w:tblCellMar>
      </w:tblPr>
      <w:tblGrid>
        <w:gridCol w:w="1035"/>
        <w:gridCol w:w="1064"/>
        <w:gridCol w:w="1005"/>
        <w:gridCol w:w="869"/>
        <w:gridCol w:w="904"/>
        <w:gridCol w:w="1017"/>
        <w:gridCol w:w="835"/>
        <w:gridCol w:w="730"/>
        <w:gridCol w:w="877"/>
      </w:tblGrid>
      <w:tr w14:paraId="230A7325">
        <w:tblPrEx>
          <w:tblCellMar>
            <w:top w:w="15" w:type="dxa"/>
            <w:left w:w="15" w:type="dxa"/>
            <w:bottom w:w="15" w:type="dxa"/>
            <w:right w:w="15" w:type="dxa"/>
          </w:tblCellMar>
        </w:tblPrEx>
        <w:trPr>
          <w:trHeight w:val="762" w:hRule="exact"/>
          <w:jc w:val="center"/>
        </w:trPr>
        <w:tc>
          <w:tcPr>
            <w:tcW w:w="5000" w:type="pct"/>
            <w:gridSpan w:val="9"/>
            <w:shd w:val="clear" w:color="auto" w:fill="auto"/>
            <w:vAlign w:val="center"/>
          </w:tcPr>
          <w:p w14:paraId="4F4A4B3B">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部门整体绩效目标完成情况自评表</w:t>
            </w:r>
          </w:p>
        </w:tc>
      </w:tr>
      <w:tr w14:paraId="10CADA92">
        <w:tblPrEx>
          <w:tblCellMar>
            <w:top w:w="15" w:type="dxa"/>
            <w:left w:w="15" w:type="dxa"/>
            <w:bottom w:w="15" w:type="dxa"/>
            <w:right w:w="15" w:type="dxa"/>
          </w:tblCellMar>
        </w:tblPrEx>
        <w:trPr>
          <w:trHeight w:val="23" w:hRule="atLeast"/>
          <w:jc w:val="center"/>
        </w:trPr>
        <w:tc>
          <w:tcPr>
            <w:tcW w:w="5000" w:type="pct"/>
            <w:gridSpan w:val="9"/>
            <w:shd w:val="clear" w:color="auto" w:fill="auto"/>
            <w:vAlign w:val="center"/>
          </w:tcPr>
          <w:p w14:paraId="09804461">
            <w:pPr>
              <w:widowControl/>
              <w:spacing w:line="600" w:lineRule="exact"/>
              <w:jc w:val="center"/>
              <w:textAlignment w:val="center"/>
              <w:rPr>
                <w:color w:val="000000"/>
                <w:sz w:val="28"/>
                <w:szCs w:val="28"/>
              </w:rPr>
            </w:pPr>
            <w:r>
              <w:rPr>
                <w:color w:val="000000"/>
                <w:kern w:val="0"/>
                <w:sz w:val="28"/>
                <w:szCs w:val="28"/>
                <w:lang w:bidi="ar"/>
              </w:rPr>
              <w:t>（202</w:t>
            </w:r>
            <w:r>
              <w:rPr>
                <w:rFonts w:hint="eastAsia"/>
                <w:color w:val="000000"/>
                <w:kern w:val="0"/>
                <w:sz w:val="28"/>
                <w:szCs w:val="28"/>
                <w:lang w:bidi="ar"/>
              </w:rPr>
              <w:t>4</w:t>
            </w:r>
            <w:r>
              <w:rPr>
                <w:color w:val="000000"/>
                <w:kern w:val="0"/>
                <w:sz w:val="28"/>
                <w:szCs w:val="28"/>
                <w:lang w:bidi="ar"/>
              </w:rPr>
              <w:t>年度）</w:t>
            </w:r>
          </w:p>
        </w:tc>
      </w:tr>
      <w:tr w14:paraId="25528EE2">
        <w:tblPrEx>
          <w:tblCellMar>
            <w:top w:w="15" w:type="dxa"/>
            <w:left w:w="15" w:type="dxa"/>
            <w:bottom w:w="15" w:type="dxa"/>
            <w:right w:w="15" w:type="dxa"/>
          </w:tblCellMar>
        </w:tblPrEx>
        <w:trPr>
          <w:trHeight w:val="23" w:hRule="atLeast"/>
          <w:jc w:val="center"/>
        </w:trPr>
        <w:tc>
          <w:tcPr>
            <w:tcW w:w="5000" w:type="pct"/>
            <w:gridSpan w:val="9"/>
            <w:tcBorders>
              <w:bottom w:val="single" w:color="000000" w:sz="4" w:space="0"/>
            </w:tcBorders>
            <w:shd w:val="clear" w:color="auto" w:fill="auto"/>
            <w:vAlign w:val="center"/>
          </w:tcPr>
          <w:p w14:paraId="00756A75">
            <w:pPr>
              <w:widowControl/>
              <w:spacing w:line="600" w:lineRule="exact"/>
              <w:jc w:val="right"/>
              <w:textAlignment w:val="center"/>
              <w:rPr>
                <w:color w:val="000000"/>
                <w:szCs w:val="21"/>
              </w:rPr>
            </w:pPr>
            <w:r>
              <w:rPr>
                <w:color w:val="000000"/>
                <w:kern w:val="0"/>
                <w:szCs w:val="21"/>
                <w:lang w:bidi="ar"/>
              </w:rPr>
              <w:t>单位：万元</w:t>
            </w:r>
          </w:p>
        </w:tc>
      </w:tr>
      <w:tr w14:paraId="6A58EBF7">
        <w:tblPrEx>
          <w:tblCellMar>
            <w:top w:w="15" w:type="dxa"/>
            <w:left w:w="15" w:type="dxa"/>
            <w:bottom w:w="15" w:type="dxa"/>
            <w:right w:w="15" w:type="dxa"/>
          </w:tblCellMar>
        </w:tblPrEx>
        <w:trPr>
          <w:trHeight w:val="23" w:hRule="atLeast"/>
          <w:jc w:val="center"/>
        </w:trPr>
        <w:tc>
          <w:tcPr>
            <w:tcW w:w="186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C90AA">
            <w:pPr>
              <w:widowControl/>
              <w:spacing w:line="240" w:lineRule="atLeast"/>
              <w:jc w:val="center"/>
              <w:textAlignment w:val="center"/>
              <w:rPr>
                <w:color w:val="000000"/>
                <w:sz w:val="24"/>
              </w:rPr>
            </w:pPr>
            <w:r>
              <w:rPr>
                <w:color w:val="000000"/>
                <w:kern w:val="0"/>
                <w:sz w:val="24"/>
                <w:lang w:bidi="ar"/>
              </w:rPr>
              <w:t>部门名称</w:t>
            </w:r>
          </w:p>
        </w:tc>
        <w:tc>
          <w:tcPr>
            <w:tcW w:w="313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5EC7E6">
            <w:pPr>
              <w:widowControl/>
              <w:spacing w:line="240" w:lineRule="atLeast"/>
              <w:jc w:val="center"/>
              <w:textAlignment w:val="center"/>
              <w:rPr>
                <w:color w:val="000000"/>
                <w:sz w:val="24"/>
              </w:rPr>
            </w:pPr>
            <w:r>
              <w:rPr>
                <w:rFonts w:hint="eastAsia" w:ascii="仿宋_GB2312"/>
                <w:color w:val="000000"/>
                <w:kern w:val="0"/>
                <w:sz w:val="24"/>
                <w:lang w:bidi="ar"/>
              </w:rPr>
              <w:t>阿坝州藏文编译局</w:t>
            </w:r>
          </w:p>
        </w:tc>
      </w:tr>
      <w:tr w14:paraId="1E3075A4">
        <w:tblPrEx>
          <w:tblCellMar>
            <w:top w:w="15" w:type="dxa"/>
            <w:left w:w="15" w:type="dxa"/>
            <w:bottom w:w="15" w:type="dxa"/>
            <w:right w:w="15" w:type="dxa"/>
          </w:tblCellMar>
        </w:tblPrEx>
        <w:trPr>
          <w:trHeight w:val="23" w:hRule="atLeast"/>
          <w:jc w:val="center"/>
        </w:trPr>
        <w:tc>
          <w:tcPr>
            <w:tcW w:w="6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CAB1C5">
            <w:pPr>
              <w:widowControl/>
              <w:spacing w:line="240" w:lineRule="atLeast"/>
              <w:jc w:val="center"/>
              <w:textAlignment w:val="center"/>
              <w:rPr>
                <w:color w:val="000000"/>
                <w:sz w:val="24"/>
              </w:rPr>
            </w:pPr>
            <w:r>
              <w:rPr>
                <w:color w:val="000000"/>
                <w:kern w:val="0"/>
                <w:sz w:val="24"/>
                <w:lang w:bidi="ar"/>
              </w:rPr>
              <w:t>年度部门整体支出预算</w:t>
            </w:r>
          </w:p>
        </w:tc>
        <w:tc>
          <w:tcPr>
            <w:tcW w:w="12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5B0C6">
            <w:pPr>
              <w:widowControl/>
              <w:spacing w:line="240" w:lineRule="atLeast"/>
              <w:jc w:val="center"/>
              <w:textAlignment w:val="center"/>
              <w:rPr>
                <w:color w:val="000000"/>
                <w:sz w:val="24"/>
              </w:rPr>
            </w:pPr>
            <w:r>
              <w:rPr>
                <w:color w:val="000000"/>
                <w:kern w:val="0"/>
                <w:sz w:val="24"/>
                <w:lang w:bidi="ar"/>
              </w:rPr>
              <w:t>资金总额</w:t>
            </w:r>
          </w:p>
        </w:tc>
        <w:tc>
          <w:tcPr>
            <w:tcW w:w="10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1EE7AE">
            <w:pPr>
              <w:widowControl/>
              <w:spacing w:line="240" w:lineRule="atLeast"/>
              <w:jc w:val="center"/>
              <w:textAlignment w:val="center"/>
              <w:rPr>
                <w:color w:val="000000"/>
                <w:sz w:val="24"/>
              </w:rPr>
            </w:pPr>
            <w:r>
              <w:rPr>
                <w:color w:val="000000"/>
                <w:kern w:val="0"/>
                <w:sz w:val="24"/>
                <w:lang w:bidi="ar"/>
              </w:rPr>
              <w:t>财政拨款</w:t>
            </w:r>
          </w:p>
        </w:tc>
        <w:tc>
          <w:tcPr>
            <w:tcW w:w="207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C6DF30">
            <w:pPr>
              <w:widowControl/>
              <w:spacing w:line="240" w:lineRule="atLeast"/>
              <w:jc w:val="center"/>
              <w:textAlignment w:val="center"/>
              <w:rPr>
                <w:color w:val="000000"/>
                <w:sz w:val="24"/>
              </w:rPr>
            </w:pPr>
            <w:r>
              <w:rPr>
                <w:color w:val="000000"/>
                <w:kern w:val="0"/>
                <w:sz w:val="24"/>
                <w:lang w:bidi="ar"/>
              </w:rPr>
              <w:t>其他资金</w:t>
            </w:r>
          </w:p>
        </w:tc>
      </w:tr>
      <w:tr w14:paraId="129C8A26">
        <w:tblPrEx>
          <w:tblCellMar>
            <w:top w:w="15" w:type="dxa"/>
            <w:left w:w="15" w:type="dxa"/>
            <w:bottom w:w="15" w:type="dxa"/>
            <w:right w:w="15" w:type="dxa"/>
          </w:tblCellMar>
        </w:tblPrEx>
        <w:trPr>
          <w:trHeight w:val="23" w:hRule="atLeast"/>
          <w:jc w:val="center"/>
        </w:trPr>
        <w:tc>
          <w:tcPr>
            <w:tcW w:w="6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79ED8">
            <w:pPr>
              <w:widowControl/>
              <w:spacing w:line="240" w:lineRule="atLeast"/>
              <w:jc w:val="center"/>
              <w:rPr>
                <w:color w:val="000000"/>
                <w:sz w:val="24"/>
              </w:rPr>
            </w:pPr>
          </w:p>
        </w:tc>
        <w:tc>
          <w:tcPr>
            <w:tcW w:w="12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62BCB1">
            <w:pPr>
              <w:widowControl/>
              <w:spacing w:line="240" w:lineRule="atLeast"/>
              <w:jc w:val="center"/>
              <w:textAlignment w:val="center"/>
              <w:rPr>
                <w:color w:val="000000"/>
                <w:sz w:val="24"/>
              </w:rPr>
            </w:pPr>
            <w:r>
              <w:rPr>
                <w:rFonts w:hint="eastAsia"/>
                <w:color w:val="000000"/>
                <w:kern w:val="0"/>
                <w:sz w:val="24"/>
                <w:lang w:bidi="ar"/>
              </w:rPr>
              <w:t>1113.07</w:t>
            </w:r>
          </w:p>
        </w:tc>
        <w:tc>
          <w:tcPr>
            <w:tcW w:w="10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ED0EF">
            <w:pPr>
              <w:widowControl/>
              <w:spacing w:line="240" w:lineRule="atLeast"/>
              <w:jc w:val="center"/>
              <w:textAlignment w:val="center"/>
              <w:rPr>
                <w:color w:val="000000"/>
                <w:sz w:val="24"/>
              </w:rPr>
            </w:pPr>
            <w:r>
              <w:rPr>
                <w:rFonts w:hint="eastAsia"/>
                <w:color w:val="000000"/>
                <w:kern w:val="0"/>
                <w:sz w:val="24"/>
                <w:lang w:bidi="ar"/>
              </w:rPr>
              <w:t>1113.07</w:t>
            </w:r>
          </w:p>
        </w:tc>
        <w:tc>
          <w:tcPr>
            <w:tcW w:w="207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1DD232">
            <w:pPr>
              <w:widowControl/>
              <w:spacing w:line="240" w:lineRule="atLeast"/>
              <w:jc w:val="center"/>
              <w:textAlignment w:val="center"/>
              <w:rPr>
                <w:color w:val="000000"/>
                <w:sz w:val="24"/>
              </w:rPr>
            </w:pPr>
            <w:r>
              <w:rPr>
                <w:rFonts w:hint="eastAsia"/>
                <w:color w:val="000000"/>
                <w:kern w:val="0"/>
                <w:sz w:val="24"/>
                <w:lang w:bidi="ar"/>
              </w:rPr>
              <w:t>0</w:t>
            </w:r>
          </w:p>
        </w:tc>
      </w:tr>
      <w:tr w14:paraId="29600BBD">
        <w:tblPrEx>
          <w:tblCellMar>
            <w:top w:w="15" w:type="dxa"/>
            <w:left w:w="15" w:type="dxa"/>
            <w:bottom w:w="15" w:type="dxa"/>
            <w:right w:w="15" w:type="dxa"/>
          </w:tblCellMar>
        </w:tblPrEx>
        <w:trPr>
          <w:trHeight w:val="23"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958F5">
            <w:pPr>
              <w:widowControl/>
              <w:spacing w:line="240" w:lineRule="atLeast"/>
              <w:jc w:val="center"/>
              <w:textAlignment w:val="center"/>
              <w:rPr>
                <w:color w:val="000000"/>
                <w:kern w:val="0"/>
                <w:sz w:val="24"/>
                <w:lang w:bidi="ar"/>
              </w:rPr>
            </w:pPr>
            <w:r>
              <w:rPr>
                <w:color w:val="000000"/>
                <w:kern w:val="0"/>
                <w:sz w:val="24"/>
                <w:lang w:bidi="ar"/>
              </w:rPr>
              <w:t>年度总体</w:t>
            </w:r>
          </w:p>
          <w:p w14:paraId="7783D3B6">
            <w:pPr>
              <w:widowControl/>
              <w:spacing w:line="240" w:lineRule="atLeast"/>
              <w:jc w:val="center"/>
              <w:textAlignment w:val="center"/>
              <w:rPr>
                <w:color w:val="000000"/>
                <w:sz w:val="24"/>
              </w:rPr>
            </w:pPr>
            <w:r>
              <w:rPr>
                <w:color w:val="000000"/>
                <w:kern w:val="0"/>
                <w:sz w:val="24"/>
                <w:lang w:bidi="ar"/>
              </w:rPr>
              <w:t>目标</w:t>
            </w:r>
          </w:p>
        </w:tc>
        <w:tc>
          <w:tcPr>
            <w:tcW w:w="437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CBB713">
            <w:pPr>
              <w:widowControl/>
              <w:spacing w:line="240" w:lineRule="atLeast"/>
              <w:jc w:val="left"/>
              <w:textAlignment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充分发挥部门"懂双语,用双语"的特点,切实推进汉藏翻译、民族古籍整理、藏学研究、藏文社会用字督导管理，当好州委、州政府的“传话筒、放大器、润滑剂”。</w:t>
            </w:r>
            <w:r>
              <w:rPr>
                <w:rFonts w:asciiTheme="minorEastAsia" w:hAnsiTheme="minorEastAsia" w:eastAsiaTheme="minorEastAsia"/>
                <w:color w:val="000000"/>
                <w:sz w:val="24"/>
              </w:rPr>
              <w:t xml:space="preserve"> </w:t>
            </w:r>
          </w:p>
        </w:tc>
      </w:tr>
      <w:tr w14:paraId="6AF5F535">
        <w:tblPrEx>
          <w:tblCellMar>
            <w:top w:w="15" w:type="dxa"/>
            <w:left w:w="15" w:type="dxa"/>
            <w:bottom w:w="15" w:type="dxa"/>
            <w:right w:w="15" w:type="dxa"/>
          </w:tblCellMar>
        </w:tblPrEx>
        <w:trPr>
          <w:trHeight w:val="23" w:hRule="atLeast"/>
          <w:jc w:val="center"/>
        </w:trPr>
        <w:tc>
          <w:tcPr>
            <w:tcW w:w="621" w:type="pct"/>
            <w:vMerge w:val="restart"/>
            <w:tcBorders>
              <w:top w:val="single" w:color="000000" w:sz="4" w:space="0"/>
              <w:left w:val="single" w:color="000000" w:sz="4" w:space="0"/>
              <w:right w:val="single" w:color="000000" w:sz="4" w:space="0"/>
            </w:tcBorders>
            <w:shd w:val="clear" w:color="auto" w:fill="auto"/>
            <w:vAlign w:val="center"/>
          </w:tcPr>
          <w:p w14:paraId="2CFBAE93">
            <w:pPr>
              <w:widowControl/>
              <w:spacing w:line="240" w:lineRule="atLeast"/>
              <w:jc w:val="center"/>
              <w:textAlignment w:val="center"/>
              <w:rPr>
                <w:color w:val="000000"/>
                <w:kern w:val="0"/>
                <w:sz w:val="24"/>
                <w:lang w:bidi="ar"/>
              </w:rPr>
            </w:pPr>
            <w:r>
              <w:rPr>
                <w:color w:val="000000"/>
                <w:kern w:val="0"/>
                <w:sz w:val="24"/>
                <w:lang w:bidi="ar"/>
              </w:rPr>
              <w:t>年度主要</w:t>
            </w:r>
          </w:p>
          <w:p w14:paraId="243172F6">
            <w:pPr>
              <w:widowControl/>
              <w:spacing w:line="240" w:lineRule="atLeast"/>
              <w:jc w:val="center"/>
              <w:textAlignment w:val="center"/>
              <w:rPr>
                <w:color w:val="000000"/>
                <w:sz w:val="24"/>
              </w:rPr>
            </w:pPr>
            <w:r>
              <w:rPr>
                <w:color w:val="000000"/>
                <w:kern w:val="0"/>
                <w:sz w:val="24"/>
                <w:lang w:bidi="ar"/>
              </w:rPr>
              <w:t>任务</w:t>
            </w:r>
          </w:p>
        </w:tc>
        <w:tc>
          <w:tcPr>
            <w:tcW w:w="12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DFC18">
            <w:pPr>
              <w:widowControl/>
              <w:spacing w:line="240" w:lineRule="atLeast"/>
              <w:jc w:val="center"/>
              <w:textAlignment w:val="center"/>
              <w:rPr>
                <w:color w:val="000000"/>
                <w:sz w:val="24"/>
              </w:rPr>
            </w:pPr>
            <w:r>
              <w:rPr>
                <w:color w:val="000000"/>
                <w:kern w:val="0"/>
                <w:sz w:val="24"/>
                <w:lang w:bidi="ar"/>
              </w:rPr>
              <w:t>任务名称</w:t>
            </w:r>
          </w:p>
        </w:tc>
        <w:tc>
          <w:tcPr>
            <w:tcW w:w="313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12B2E7">
            <w:pPr>
              <w:widowControl/>
              <w:spacing w:line="240" w:lineRule="atLeast"/>
              <w:jc w:val="center"/>
              <w:textAlignment w:val="center"/>
              <w:rPr>
                <w:color w:val="000000"/>
                <w:sz w:val="24"/>
              </w:rPr>
            </w:pPr>
            <w:r>
              <w:rPr>
                <w:color w:val="000000"/>
                <w:kern w:val="0"/>
                <w:sz w:val="24"/>
                <w:lang w:bidi="ar"/>
              </w:rPr>
              <w:t>主要内容</w:t>
            </w:r>
          </w:p>
        </w:tc>
      </w:tr>
      <w:tr w14:paraId="0CE2CFD0">
        <w:tblPrEx>
          <w:tblCellMar>
            <w:top w:w="15" w:type="dxa"/>
            <w:left w:w="15" w:type="dxa"/>
            <w:bottom w:w="15" w:type="dxa"/>
            <w:right w:w="15" w:type="dxa"/>
          </w:tblCellMar>
        </w:tblPrEx>
        <w:trPr>
          <w:trHeight w:val="23" w:hRule="atLeast"/>
          <w:jc w:val="center"/>
        </w:trPr>
        <w:tc>
          <w:tcPr>
            <w:tcW w:w="621" w:type="pct"/>
            <w:vMerge w:val="continue"/>
            <w:tcBorders>
              <w:left w:val="single" w:color="000000" w:sz="4" w:space="0"/>
              <w:right w:val="single" w:color="000000" w:sz="4" w:space="0"/>
            </w:tcBorders>
            <w:shd w:val="clear" w:color="auto" w:fill="auto"/>
            <w:vAlign w:val="center"/>
          </w:tcPr>
          <w:p w14:paraId="342FBF2A">
            <w:pPr>
              <w:widowControl/>
              <w:spacing w:line="240" w:lineRule="atLeast"/>
              <w:jc w:val="center"/>
              <w:rPr>
                <w:color w:val="000000"/>
                <w:sz w:val="24"/>
              </w:rPr>
            </w:pPr>
          </w:p>
        </w:tc>
        <w:tc>
          <w:tcPr>
            <w:tcW w:w="12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3201D1">
            <w:pPr>
              <w:widowControl/>
              <w:spacing w:line="240" w:lineRule="atLeast"/>
              <w:jc w:val="left"/>
              <w:textAlignment w:val="center"/>
              <w:rPr>
                <w:rFonts w:hint="eastAsia" w:asciiTheme="minorEastAsia" w:hAnsiTheme="minorEastAsia" w:eastAsiaTheme="minorEastAsia"/>
                <w:color w:val="000000"/>
                <w:sz w:val="24"/>
                <w:lang w:eastAsia="zh-CN"/>
              </w:rPr>
            </w:pPr>
            <w:r>
              <w:rPr>
                <w:rFonts w:hint="eastAsia" w:asciiTheme="minorEastAsia" w:hAnsiTheme="minorEastAsia" w:eastAsiaTheme="minorEastAsia"/>
                <w:color w:val="000000"/>
                <w:sz w:val="24"/>
              </w:rPr>
              <w:t>做好藏汉翻译服务工作，服务好</w:t>
            </w:r>
            <w:r>
              <w:rPr>
                <w:rFonts w:hint="eastAsia" w:asciiTheme="minorEastAsia" w:hAnsiTheme="minorEastAsia" w:eastAsiaTheme="minorEastAsia"/>
                <w:color w:val="000000"/>
                <w:sz w:val="24"/>
                <w:lang w:val="en-US" w:eastAsia="zh-CN"/>
              </w:rPr>
              <w:t>阿坝</w:t>
            </w:r>
            <w:r>
              <w:rPr>
                <w:rFonts w:hint="eastAsia" w:asciiTheme="minorEastAsia" w:hAnsiTheme="minorEastAsia" w:eastAsiaTheme="minorEastAsia"/>
                <w:color w:val="000000"/>
                <w:kern w:val="0"/>
                <w:sz w:val="24"/>
                <w:lang w:bidi="ar"/>
              </w:rPr>
              <w:t>州两会</w:t>
            </w:r>
            <w:r>
              <w:rPr>
                <w:rFonts w:hint="eastAsia" w:asciiTheme="minorEastAsia" w:hAnsiTheme="minorEastAsia" w:eastAsiaTheme="minorEastAsia"/>
                <w:color w:val="000000"/>
                <w:kern w:val="0"/>
                <w:sz w:val="24"/>
                <w:lang w:eastAsia="zh-CN" w:bidi="ar"/>
              </w:rPr>
              <w:t>。</w:t>
            </w:r>
          </w:p>
        </w:tc>
        <w:tc>
          <w:tcPr>
            <w:tcW w:w="313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FF7C18">
            <w:pPr>
              <w:widowControl/>
              <w:spacing w:line="240" w:lineRule="atLeast"/>
              <w:jc w:val="left"/>
              <w:textAlignment w:val="center"/>
              <w:rPr>
                <w:color w:val="000000"/>
                <w:sz w:val="24"/>
              </w:rPr>
            </w:pPr>
            <w:r>
              <w:rPr>
                <w:rFonts w:hint="eastAsia"/>
                <w:color w:val="000000"/>
                <w:kern w:val="0"/>
                <w:sz w:val="24"/>
                <w:lang w:bidi="ar"/>
              </w:rPr>
              <w:t>继续做好</w:t>
            </w:r>
            <w:r>
              <w:rPr>
                <w:rFonts w:hint="eastAsia"/>
                <w:color w:val="000000"/>
                <w:kern w:val="0"/>
                <w:sz w:val="24"/>
                <w:lang w:val="en-US" w:eastAsia="zh-CN" w:bidi="ar"/>
              </w:rPr>
              <w:t>阿坝</w:t>
            </w:r>
            <w:r>
              <w:rPr>
                <w:rFonts w:hint="eastAsia"/>
                <w:color w:val="000000"/>
                <w:kern w:val="0"/>
                <w:sz w:val="24"/>
                <w:lang w:bidi="ar"/>
              </w:rPr>
              <w:t>州两会的翻译服务工作，将党的方针政策及时翻译成藏文宣传读本，送至基层群众手中；</w:t>
            </w:r>
            <w:r>
              <w:rPr>
                <w:color w:val="000000"/>
                <w:sz w:val="24"/>
              </w:rPr>
              <w:t xml:space="preserve"> </w:t>
            </w:r>
          </w:p>
        </w:tc>
      </w:tr>
      <w:tr w14:paraId="5838A982">
        <w:tblPrEx>
          <w:tblCellMar>
            <w:top w:w="15" w:type="dxa"/>
            <w:left w:w="15" w:type="dxa"/>
            <w:bottom w:w="15" w:type="dxa"/>
            <w:right w:w="15" w:type="dxa"/>
          </w:tblCellMar>
        </w:tblPrEx>
        <w:trPr>
          <w:trHeight w:val="23" w:hRule="atLeast"/>
          <w:jc w:val="center"/>
        </w:trPr>
        <w:tc>
          <w:tcPr>
            <w:tcW w:w="621" w:type="pct"/>
            <w:vMerge w:val="continue"/>
            <w:tcBorders>
              <w:left w:val="single" w:color="000000" w:sz="4" w:space="0"/>
              <w:right w:val="single" w:color="000000" w:sz="4" w:space="0"/>
            </w:tcBorders>
            <w:shd w:val="clear" w:color="auto" w:fill="auto"/>
            <w:vAlign w:val="center"/>
          </w:tcPr>
          <w:p w14:paraId="10EA82D7">
            <w:pPr>
              <w:widowControl/>
              <w:spacing w:line="240" w:lineRule="atLeast"/>
              <w:jc w:val="center"/>
              <w:rPr>
                <w:color w:val="000000"/>
                <w:sz w:val="24"/>
              </w:rPr>
            </w:pPr>
          </w:p>
        </w:tc>
        <w:tc>
          <w:tcPr>
            <w:tcW w:w="12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D0BE8">
            <w:pPr>
              <w:widowControl/>
              <w:spacing w:line="240" w:lineRule="atLeast"/>
              <w:jc w:val="left"/>
              <w:rPr>
                <w:color w:val="000000"/>
                <w:sz w:val="24"/>
              </w:rPr>
            </w:pPr>
            <w:r>
              <w:rPr>
                <w:rFonts w:hint="eastAsia"/>
                <w:color w:val="000000"/>
                <w:sz w:val="24"/>
              </w:rPr>
              <w:t>翻译出版藏文书籍</w:t>
            </w:r>
          </w:p>
        </w:tc>
        <w:tc>
          <w:tcPr>
            <w:tcW w:w="313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743FC3">
            <w:pPr>
              <w:widowControl/>
              <w:spacing w:line="240" w:lineRule="atLeast"/>
              <w:jc w:val="left"/>
              <w:rPr>
                <w:color w:val="000000"/>
                <w:sz w:val="24"/>
              </w:rPr>
            </w:pPr>
            <w:r>
              <w:rPr>
                <w:rFonts w:hint="eastAsia"/>
                <w:color w:val="000000"/>
                <w:kern w:val="0"/>
                <w:sz w:val="24"/>
                <w:lang w:bidi="ar"/>
              </w:rPr>
              <w:t>完成藏译世界名著、铸牢中华民族共同体意识读本等出版、印刷</w:t>
            </w:r>
          </w:p>
        </w:tc>
      </w:tr>
      <w:tr w14:paraId="37514885">
        <w:tblPrEx>
          <w:tblCellMar>
            <w:top w:w="15" w:type="dxa"/>
            <w:left w:w="15" w:type="dxa"/>
            <w:bottom w:w="15" w:type="dxa"/>
            <w:right w:w="15" w:type="dxa"/>
          </w:tblCellMar>
        </w:tblPrEx>
        <w:trPr>
          <w:trHeight w:val="23" w:hRule="atLeast"/>
          <w:jc w:val="center"/>
        </w:trPr>
        <w:tc>
          <w:tcPr>
            <w:tcW w:w="621" w:type="pct"/>
            <w:vMerge w:val="continue"/>
            <w:tcBorders>
              <w:left w:val="single" w:color="000000" w:sz="4" w:space="0"/>
              <w:right w:val="single" w:color="000000" w:sz="4" w:space="0"/>
            </w:tcBorders>
            <w:shd w:val="clear" w:color="auto" w:fill="auto"/>
            <w:vAlign w:val="center"/>
          </w:tcPr>
          <w:p w14:paraId="4BA2B894">
            <w:pPr>
              <w:spacing w:line="240" w:lineRule="atLeast"/>
            </w:pPr>
          </w:p>
        </w:tc>
        <w:tc>
          <w:tcPr>
            <w:tcW w:w="12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0896D">
            <w:pPr>
              <w:widowControl/>
              <w:spacing w:line="240" w:lineRule="atLeast"/>
              <w:jc w:val="left"/>
              <w:rPr>
                <w:color w:val="000000"/>
                <w:sz w:val="24"/>
              </w:rPr>
            </w:pPr>
            <w:r>
              <w:rPr>
                <w:rFonts w:hint="eastAsia"/>
                <w:color w:val="000000"/>
                <w:sz w:val="24"/>
              </w:rPr>
              <w:t>管理好藏文图书馆</w:t>
            </w:r>
          </w:p>
        </w:tc>
        <w:tc>
          <w:tcPr>
            <w:tcW w:w="313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310CFB">
            <w:pPr>
              <w:widowControl/>
              <w:spacing w:line="240" w:lineRule="atLeast"/>
              <w:jc w:val="left"/>
              <w:rPr>
                <w:color w:val="000000"/>
                <w:sz w:val="24"/>
              </w:rPr>
            </w:pPr>
            <w:r>
              <w:rPr>
                <w:rFonts w:hint="eastAsia"/>
                <w:color w:val="000000"/>
                <w:kern w:val="0"/>
                <w:sz w:val="24"/>
                <w:lang w:bidi="ar"/>
              </w:rPr>
              <w:t>丰富阿坝州藏文图书馆藏书，免费开放藏文图书馆，发挥好藏文图书馆的作用</w:t>
            </w:r>
          </w:p>
        </w:tc>
      </w:tr>
      <w:tr w14:paraId="698DA090">
        <w:tblPrEx>
          <w:tblCellMar>
            <w:top w:w="15" w:type="dxa"/>
            <w:left w:w="15" w:type="dxa"/>
            <w:bottom w:w="15" w:type="dxa"/>
            <w:right w:w="15" w:type="dxa"/>
          </w:tblCellMar>
        </w:tblPrEx>
        <w:trPr>
          <w:trHeight w:val="23" w:hRule="atLeast"/>
          <w:jc w:val="center"/>
        </w:trPr>
        <w:tc>
          <w:tcPr>
            <w:tcW w:w="621" w:type="pct"/>
            <w:vMerge w:val="continue"/>
            <w:tcBorders>
              <w:left w:val="single" w:color="000000" w:sz="4" w:space="0"/>
              <w:right w:val="single" w:color="000000" w:sz="4" w:space="0"/>
            </w:tcBorders>
            <w:shd w:val="clear" w:color="auto" w:fill="auto"/>
            <w:vAlign w:val="center"/>
          </w:tcPr>
          <w:p w14:paraId="7694DA12">
            <w:pPr>
              <w:spacing w:line="240" w:lineRule="atLeast"/>
            </w:pPr>
          </w:p>
        </w:tc>
        <w:tc>
          <w:tcPr>
            <w:tcW w:w="12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EA0FD8">
            <w:pPr>
              <w:widowControl/>
              <w:spacing w:line="240" w:lineRule="atLeast"/>
              <w:jc w:val="left"/>
              <w:rPr>
                <w:color w:val="000000"/>
                <w:sz w:val="24"/>
              </w:rPr>
            </w:pPr>
            <w:r>
              <w:rPr>
                <w:rFonts w:hint="eastAsia"/>
                <w:color w:val="000000"/>
                <w:sz w:val="24"/>
              </w:rPr>
              <w:t>继续做好《藏族古籍卷》编撰工作</w:t>
            </w:r>
          </w:p>
        </w:tc>
        <w:tc>
          <w:tcPr>
            <w:tcW w:w="313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DFA03B">
            <w:pPr>
              <w:widowControl/>
              <w:spacing w:line="240" w:lineRule="atLeast"/>
              <w:jc w:val="left"/>
              <w:rPr>
                <w:color w:val="000000"/>
                <w:sz w:val="24"/>
              </w:rPr>
            </w:pPr>
            <w:r>
              <w:rPr>
                <w:rFonts w:hint="eastAsia"/>
                <w:color w:val="000000"/>
                <w:kern w:val="0"/>
                <w:sz w:val="24"/>
                <w:lang w:bidi="ar"/>
              </w:rPr>
              <w:t>继续开展阿坝州藏文古籍普查工作，做好古籍保护定级工作，积极将馆藏部分古籍申报为国家3级以上珍贵名录；开展藏文古籍图书数字化工作，加大藏文古籍修复保护力度，加强古籍保护修复人才培养</w:t>
            </w:r>
          </w:p>
        </w:tc>
      </w:tr>
      <w:tr w14:paraId="2ED313DC">
        <w:tblPrEx>
          <w:tblCellMar>
            <w:top w:w="15" w:type="dxa"/>
            <w:left w:w="15" w:type="dxa"/>
            <w:bottom w:w="15" w:type="dxa"/>
            <w:right w:w="15" w:type="dxa"/>
          </w:tblCellMar>
        </w:tblPrEx>
        <w:trPr>
          <w:trHeight w:val="23" w:hRule="atLeast"/>
          <w:jc w:val="center"/>
        </w:trPr>
        <w:tc>
          <w:tcPr>
            <w:tcW w:w="621" w:type="pct"/>
            <w:vMerge w:val="continue"/>
            <w:tcBorders>
              <w:left w:val="single" w:color="000000" w:sz="4" w:space="0"/>
              <w:right w:val="single" w:color="000000" w:sz="4" w:space="0"/>
            </w:tcBorders>
            <w:shd w:val="clear" w:color="auto" w:fill="auto"/>
            <w:vAlign w:val="center"/>
          </w:tcPr>
          <w:p w14:paraId="043B5D0E">
            <w:pPr>
              <w:spacing w:line="240" w:lineRule="atLeast"/>
            </w:pPr>
          </w:p>
        </w:tc>
        <w:tc>
          <w:tcPr>
            <w:tcW w:w="12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F09FA">
            <w:pPr>
              <w:widowControl/>
              <w:spacing w:line="240" w:lineRule="atLeast"/>
              <w:jc w:val="left"/>
              <w:rPr>
                <w:color w:val="000000"/>
                <w:sz w:val="24"/>
              </w:rPr>
            </w:pPr>
            <w:r>
              <w:rPr>
                <w:rFonts w:hint="eastAsia"/>
                <w:color w:val="000000"/>
                <w:sz w:val="24"/>
              </w:rPr>
              <w:t>做好《阿坝藏学》编辑出版</w:t>
            </w:r>
          </w:p>
        </w:tc>
        <w:tc>
          <w:tcPr>
            <w:tcW w:w="313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EB883F">
            <w:pPr>
              <w:widowControl/>
              <w:spacing w:line="240" w:lineRule="atLeast"/>
              <w:jc w:val="left"/>
              <w:rPr>
                <w:color w:val="000000"/>
                <w:sz w:val="24"/>
              </w:rPr>
            </w:pPr>
            <w:r>
              <w:rPr>
                <w:rFonts w:hint="eastAsia"/>
                <w:color w:val="000000"/>
                <w:kern w:val="0"/>
                <w:sz w:val="24"/>
                <w:lang w:bidi="ar"/>
              </w:rPr>
              <w:t>完成《阿坝藏学》总第45期、46期的文稿收集、审核、设计出版等工作</w:t>
            </w:r>
          </w:p>
        </w:tc>
      </w:tr>
      <w:tr w14:paraId="25C2C674">
        <w:tblPrEx>
          <w:tblCellMar>
            <w:top w:w="15" w:type="dxa"/>
            <w:left w:w="15" w:type="dxa"/>
            <w:bottom w:w="15" w:type="dxa"/>
            <w:right w:w="15" w:type="dxa"/>
          </w:tblCellMar>
        </w:tblPrEx>
        <w:trPr>
          <w:trHeight w:val="23" w:hRule="atLeast"/>
          <w:jc w:val="center"/>
        </w:trPr>
        <w:tc>
          <w:tcPr>
            <w:tcW w:w="621" w:type="pct"/>
            <w:vMerge w:val="continue"/>
            <w:tcBorders>
              <w:left w:val="single" w:color="000000" w:sz="4" w:space="0"/>
              <w:bottom w:val="single" w:color="000000" w:sz="4" w:space="0"/>
              <w:right w:val="single" w:color="000000" w:sz="4" w:space="0"/>
            </w:tcBorders>
            <w:shd w:val="clear" w:color="auto" w:fill="auto"/>
            <w:vAlign w:val="center"/>
          </w:tcPr>
          <w:p w14:paraId="7511C7E5">
            <w:pPr>
              <w:spacing w:line="240" w:lineRule="atLeast"/>
            </w:pPr>
          </w:p>
        </w:tc>
        <w:tc>
          <w:tcPr>
            <w:tcW w:w="12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6E4D98">
            <w:pPr>
              <w:widowControl/>
              <w:spacing w:line="240" w:lineRule="atLeast"/>
              <w:jc w:val="left"/>
              <w:rPr>
                <w:color w:val="000000"/>
                <w:sz w:val="24"/>
              </w:rPr>
            </w:pPr>
            <w:r>
              <w:rPr>
                <w:rFonts w:hint="eastAsia"/>
                <w:color w:val="000000"/>
                <w:sz w:val="24"/>
              </w:rPr>
              <w:t>管理好藏文社会用字</w:t>
            </w:r>
          </w:p>
        </w:tc>
        <w:tc>
          <w:tcPr>
            <w:tcW w:w="313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9B1BED">
            <w:pPr>
              <w:widowControl/>
              <w:spacing w:line="240" w:lineRule="atLeast"/>
              <w:jc w:val="left"/>
              <w:rPr>
                <w:color w:val="000000"/>
                <w:kern w:val="0"/>
                <w:sz w:val="24"/>
                <w:lang w:bidi="ar"/>
              </w:rPr>
            </w:pPr>
            <w:r>
              <w:rPr>
                <w:rFonts w:hint="eastAsia"/>
                <w:color w:val="000000"/>
                <w:kern w:val="0"/>
                <w:sz w:val="24"/>
                <w:lang w:bidi="ar"/>
              </w:rPr>
              <w:t>继续贯彻执行《阿坝藏族羌族自治州藏语言文字条例》，加大《条例》宣传力度，重点对景区景点及公共场所等进行藏文社会用字的督导和规范管理工作；</w:t>
            </w:r>
          </w:p>
        </w:tc>
      </w:tr>
      <w:tr w14:paraId="062E50AB">
        <w:tblPrEx>
          <w:tblCellMar>
            <w:top w:w="15" w:type="dxa"/>
            <w:left w:w="15" w:type="dxa"/>
            <w:bottom w:w="15" w:type="dxa"/>
            <w:right w:w="15" w:type="dxa"/>
          </w:tblCellMar>
        </w:tblPrEx>
        <w:trPr>
          <w:trHeight w:val="23" w:hRule="atLeast"/>
          <w:jc w:val="center"/>
        </w:trPr>
        <w:tc>
          <w:tcPr>
            <w:tcW w:w="6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F04AA1">
            <w:pPr>
              <w:widowControl/>
              <w:spacing w:line="240" w:lineRule="atLeast"/>
              <w:jc w:val="center"/>
              <w:textAlignment w:val="center"/>
              <w:rPr>
                <w:color w:val="000000"/>
                <w:kern w:val="0"/>
                <w:sz w:val="24"/>
                <w:lang w:bidi="ar"/>
              </w:rPr>
            </w:pPr>
            <w:r>
              <w:rPr>
                <w:color w:val="000000"/>
                <w:kern w:val="0"/>
                <w:sz w:val="24"/>
                <w:lang w:bidi="ar"/>
              </w:rPr>
              <w:t>年度绩效</w:t>
            </w:r>
          </w:p>
          <w:p w14:paraId="00306F30">
            <w:pPr>
              <w:widowControl/>
              <w:spacing w:line="240" w:lineRule="atLeast"/>
              <w:jc w:val="center"/>
              <w:textAlignment w:val="center"/>
              <w:rPr>
                <w:color w:val="000000"/>
                <w:sz w:val="24"/>
              </w:rPr>
            </w:pPr>
            <w:r>
              <w:rPr>
                <w:color w:val="000000"/>
                <w:kern w:val="0"/>
                <w:sz w:val="24"/>
                <w:lang w:bidi="ar"/>
              </w:rPr>
              <w:t>指标</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E0E0D">
            <w:pPr>
              <w:widowControl/>
              <w:spacing w:line="240" w:lineRule="atLeast"/>
              <w:jc w:val="center"/>
              <w:textAlignment w:val="center"/>
              <w:rPr>
                <w:color w:val="000000"/>
                <w:sz w:val="24"/>
              </w:rPr>
            </w:pPr>
            <w:r>
              <w:rPr>
                <w:color w:val="000000"/>
                <w:kern w:val="0"/>
                <w:sz w:val="24"/>
                <w:lang w:bidi="ar"/>
              </w:rPr>
              <w:t>一级指标</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96A32">
            <w:pPr>
              <w:widowControl/>
              <w:spacing w:line="240" w:lineRule="atLeast"/>
              <w:jc w:val="center"/>
              <w:textAlignment w:val="center"/>
              <w:rPr>
                <w:color w:val="000000"/>
                <w:sz w:val="24"/>
              </w:rPr>
            </w:pPr>
            <w:r>
              <w:rPr>
                <w:color w:val="000000"/>
                <w:kern w:val="0"/>
                <w:sz w:val="24"/>
                <w:lang w:bidi="ar"/>
              </w:rPr>
              <w:t>二级指标</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9C903">
            <w:pPr>
              <w:widowControl/>
              <w:spacing w:line="240" w:lineRule="atLeast"/>
              <w:jc w:val="center"/>
              <w:textAlignment w:val="center"/>
              <w:rPr>
                <w:color w:val="000000"/>
                <w:sz w:val="24"/>
              </w:rPr>
            </w:pPr>
            <w:r>
              <w:rPr>
                <w:color w:val="000000"/>
                <w:kern w:val="0"/>
                <w:sz w:val="24"/>
                <w:lang w:bidi="ar"/>
              </w:rPr>
              <w:t>三级指标</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02B2F">
            <w:pPr>
              <w:widowControl/>
              <w:spacing w:line="240" w:lineRule="atLeast"/>
              <w:jc w:val="center"/>
              <w:textAlignment w:val="center"/>
              <w:rPr>
                <w:color w:val="000000"/>
                <w:kern w:val="0"/>
                <w:sz w:val="24"/>
                <w:lang w:bidi="ar"/>
              </w:rPr>
            </w:pPr>
            <w:r>
              <w:rPr>
                <w:color w:val="000000"/>
                <w:kern w:val="0"/>
                <w:sz w:val="24"/>
                <w:lang w:bidi="ar"/>
              </w:rPr>
              <w:t>绩效指标</w:t>
            </w:r>
          </w:p>
          <w:p w14:paraId="68AD761F">
            <w:pPr>
              <w:widowControl/>
              <w:spacing w:line="240" w:lineRule="atLeast"/>
              <w:jc w:val="center"/>
              <w:textAlignment w:val="center"/>
              <w:rPr>
                <w:color w:val="000000"/>
                <w:sz w:val="24"/>
              </w:rPr>
            </w:pPr>
            <w:r>
              <w:rPr>
                <w:color w:val="000000"/>
                <w:kern w:val="0"/>
                <w:sz w:val="24"/>
                <w:lang w:bidi="ar"/>
              </w:rPr>
              <w:t>性质</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AC5E6">
            <w:pPr>
              <w:widowControl/>
              <w:spacing w:line="240" w:lineRule="atLeast"/>
              <w:jc w:val="center"/>
              <w:textAlignment w:val="center"/>
              <w:rPr>
                <w:color w:val="000000"/>
                <w:sz w:val="24"/>
              </w:rPr>
            </w:pPr>
            <w:r>
              <w:rPr>
                <w:color w:val="000000"/>
                <w:kern w:val="0"/>
                <w:sz w:val="24"/>
                <w:lang w:bidi="ar"/>
              </w:rPr>
              <w:t>绩效指标值</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6A8DD">
            <w:pPr>
              <w:widowControl/>
              <w:spacing w:line="240" w:lineRule="atLeast"/>
              <w:jc w:val="center"/>
              <w:textAlignment w:val="center"/>
              <w:rPr>
                <w:color w:val="000000"/>
                <w:sz w:val="24"/>
              </w:rPr>
            </w:pPr>
            <w:r>
              <w:rPr>
                <w:color w:val="000000"/>
                <w:kern w:val="0"/>
                <w:sz w:val="24"/>
                <w:lang w:bidi="ar"/>
              </w:rPr>
              <w:t>绩效度量单位</w:t>
            </w:r>
          </w:p>
        </w:tc>
        <w:tc>
          <w:tcPr>
            <w:tcW w:w="438" w:type="pct"/>
            <w:tcBorders>
              <w:top w:val="single" w:color="000000" w:sz="4" w:space="0"/>
              <w:left w:val="single" w:color="000000" w:sz="4" w:space="0"/>
              <w:bottom w:val="single" w:color="000000" w:sz="4" w:space="0"/>
            </w:tcBorders>
            <w:shd w:val="clear" w:color="auto" w:fill="auto"/>
            <w:vAlign w:val="center"/>
          </w:tcPr>
          <w:p w14:paraId="58CE36B2">
            <w:pPr>
              <w:widowControl/>
              <w:spacing w:line="240" w:lineRule="atLeast"/>
              <w:jc w:val="center"/>
              <w:textAlignment w:val="center"/>
              <w:rPr>
                <w:color w:val="000000"/>
                <w:sz w:val="24"/>
              </w:rPr>
            </w:pPr>
            <w:r>
              <w:rPr>
                <w:color w:val="000000"/>
                <w:kern w:val="0"/>
                <w:sz w:val="24"/>
                <w:lang w:bidi="ar"/>
              </w:rPr>
              <w:t>权重</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4AE5C">
            <w:pPr>
              <w:widowControl/>
              <w:spacing w:line="240" w:lineRule="atLeast"/>
              <w:jc w:val="center"/>
              <w:textAlignment w:val="center"/>
              <w:rPr>
                <w:color w:val="000000"/>
                <w:kern w:val="0"/>
                <w:sz w:val="24"/>
                <w:lang w:bidi="ar"/>
              </w:rPr>
            </w:pPr>
            <w:r>
              <w:rPr>
                <w:color w:val="000000"/>
                <w:kern w:val="0"/>
                <w:sz w:val="24"/>
                <w:lang w:bidi="ar"/>
              </w:rPr>
              <w:t>实际完成</w:t>
            </w:r>
          </w:p>
          <w:p w14:paraId="14EF9377">
            <w:pPr>
              <w:widowControl/>
              <w:spacing w:line="240" w:lineRule="atLeast"/>
              <w:jc w:val="center"/>
              <w:textAlignment w:val="center"/>
              <w:rPr>
                <w:color w:val="000000"/>
                <w:sz w:val="24"/>
              </w:rPr>
            </w:pPr>
            <w:r>
              <w:rPr>
                <w:color w:val="000000"/>
                <w:kern w:val="0"/>
                <w:sz w:val="24"/>
                <w:lang w:bidi="ar"/>
              </w:rPr>
              <w:t>指标值</w:t>
            </w:r>
          </w:p>
        </w:tc>
      </w:tr>
      <w:tr w14:paraId="41828095">
        <w:tblPrEx>
          <w:tblCellMar>
            <w:top w:w="15" w:type="dxa"/>
            <w:left w:w="15" w:type="dxa"/>
            <w:bottom w:w="15" w:type="dxa"/>
            <w:right w:w="15" w:type="dxa"/>
          </w:tblCellMar>
        </w:tblPrEx>
        <w:trPr>
          <w:trHeight w:val="23" w:hRule="atLeast"/>
          <w:jc w:val="center"/>
        </w:trPr>
        <w:tc>
          <w:tcPr>
            <w:tcW w:w="6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75763">
            <w:pPr>
              <w:widowControl/>
              <w:spacing w:line="240" w:lineRule="atLeast"/>
              <w:jc w:val="center"/>
              <w:rPr>
                <w:color w:val="000000"/>
                <w:sz w:val="24"/>
              </w:rPr>
            </w:pPr>
          </w:p>
        </w:tc>
        <w:tc>
          <w:tcPr>
            <w:tcW w:w="6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DA26E3">
            <w:pPr>
              <w:widowControl/>
              <w:spacing w:line="240" w:lineRule="atLeast"/>
              <w:jc w:val="center"/>
              <w:textAlignment w:val="center"/>
              <w:rPr>
                <w:color w:val="000000"/>
                <w:sz w:val="24"/>
              </w:rPr>
            </w:pPr>
            <w:r>
              <w:rPr>
                <w:color w:val="000000"/>
                <w:kern w:val="0"/>
                <w:sz w:val="24"/>
                <w:lang w:bidi="ar"/>
              </w:rPr>
              <w:t>产出指标</w:t>
            </w:r>
          </w:p>
        </w:tc>
        <w:tc>
          <w:tcPr>
            <w:tcW w:w="6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C56C1">
            <w:pPr>
              <w:widowControl/>
              <w:spacing w:line="240" w:lineRule="atLeast"/>
              <w:jc w:val="center"/>
              <w:textAlignment w:val="center"/>
              <w:rPr>
                <w:color w:val="000000"/>
                <w:sz w:val="24"/>
              </w:rPr>
            </w:pPr>
            <w:r>
              <w:rPr>
                <w:color w:val="000000"/>
                <w:kern w:val="0"/>
                <w:sz w:val="24"/>
                <w:lang w:bidi="ar"/>
              </w:rPr>
              <w:t>数量指标</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705B5">
            <w:pPr>
              <w:widowControl/>
              <w:spacing w:line="240" w:lineRule="atLeast"/>
              <w:jc w:val="left"/>
              <w:textAlignment w:val="center"/>
              <w:rPr>
                <w:color w:val="000000"/>
                <w:sz w:val="24"/>
              </w:rPr>
            </w:pPr>
            <w:r>
              <w:rPr>
                <w:rFonts w:hint="eastAsia"/>
                <w:color w:val="000000"/>
                <w:kern w:val="0"/>
                <w:sz w:val="24"/>
                <w:lang w:bidi="ar"/>
              </w:rPr>
              <w:t>出版《阿坝藏学》数量</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4D9F7">
            <w:pPr>
              <w:widowControl/>
              <w:spacing w:line="240" w:lineRule="atLeast"/>
              <w:jc w:val="left"/>
              <w:textAlignment w:val="center"/>
              <w:rPr>
                <w:color w:val="000000"/>
                <w:sz w:val="24"/>
              </w:rPr>
            </w:pPr>
            <w:r>
              <w:rPr>
                <w:rFonts w:hint="eastAsia"/>
                <w:color w:val="000000"/>
                <w:kern w:val="0"/>
                <w:sz w:val="24"/>
                <w:lang w:bidi="ar"/>
              </w:rPr>
              <w:t>≥</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07761">
            <w:pPr>
              <w:widowControl/>
              <w:spacing w:line="240" w:lineRule="atLeast"/>
              <w:jc w:val="left"/>
              <w:textAlignment w:val="center"/>
              <w:rPr>
                <w:color w:val="000000"/>
                <w:sz w:val="24"/>
              </w:rPr>
            </w:pPr>
            <w:r>
              <w:rPr>
                <w:rFonts w:hint="eastAsia"/>
                <w:color w:val="000000"/>
                <w:kern w:val="0"/>
                <w:sz w:val="24"/>
                <w:lang w:bidi="ar"/>
              </w:rPr>
              <w:t>8000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76756">
            <w:pPr>
              <w:widowControl/>
              <w:spacing w:line="240" w:lineRule="atLeast"/>
              <w:jc w:val="left"/>
              <w:textAlignment w:val="center"/>
              <w:rPr>
                <w:color w:val="000000"/>
                <w:sz w:val="24"/>
              </w:rPr>
            </w:pPr>
            <w:r>
              <w:rPr>
                <w:rFonts w:hint="eastAsia"/>
                <w:color w:val="000000"/>
                <w:kern w:val="0"/>
                <w:sz w:val="24"/>
                <w:lang w:bidi="ar"/>
              </w:rPr>
              <w:t>册</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F1B2D">
            <w:pPr>
              <w:widowControl/>
              <w:spacing w:line="240" w:lineRule="atLeast"/>
              <w:jc w:val="left"/>
              <w:textAlignment w:val="center"/>
              <w:rPr>
                <w:color w:val="000000"/>
                <w:sz w:val="24"/>
              </w:rPr>
            </w:pPr>
            <w:r>
              <w:rPr>
                <w:rFonts w:hint="eastAsia"/>
                <w:color w:val="000000"/>
                <w:kern w:val="0"/>
                <w:sz w:val="24"/>
                <w:lang w:bidi="ar"/>
              </w:rPr>
              <w:t>10</w:t>
            </w:r>
            <w:r>
              <w:rPr>
                <w:color w:val="000000"/>
                <w:kern w:val="0"/>
                <w:sz w:val="24"/>
                <w:lang w:bidi="ar"/>
              </w:rPr>
              <w:t>%</w:t>
            </w:r>
          </w:p>
        </w:tc>
        <w:tc>
          <w:tcPr>
            <w:tcW w:w="527" w:type="pct"/>
            <w:tcBorders>
              <w:left w:val="single" w:color="000000" w:sz="4" w:space="0"/>
              <w:bottom w:val="single" w:color="000000" w:sz="4" w:space="0"/>
              <w:right w:val="single" w:color="000000" w:sz="4" w:space="0"/>
            </w:tcBorders>
            <w:shd w:val="clear" w:color="auto" w:fill="auto"/>
            <w:vAlign w:val="center"/>
          </w:tcPr>
          <w:p w14:paraId="490E8438">
            <w:pPr>
              <w:widowControl/>
              <w:spacing w:line="240" w:lineRule="atLeast"/>
              <w:jc w:val="left"/>
              <w:textAlignment w:val="center"/>
              <w:rPr>
                <w:color w:val="000000"/>
                <w:sz w:val="24"/>
              </w:rPr>
            </w:pPr>
            <w:r>
              <w:rPr>
                <w:rFonts w:hint="eastAsia"/>
                <w:color w:val="000000"/>
                <w:kern w:val="0"/>
                <w:sz w:val="24"/>
                <w:lang w:bidi="ar"/>
              </w:rPr>
              <w:t>8000册</w:t>
            </w:r>
          </w:p>
        </w:tc>
      </w:tr>
      <w:tr w14:paraId="1FD76387">
        <w:tblPrEx>
          <w:tblCellMar>
            <w:top w:w="15" w:type="dxa"/>
            <w:left w:w="15" w:type="dxa"/>
            <w:bottom w:w="15" w:type="dxa"/>
            <w:right w:w="15" w:type="dxa"/>
          </w:tblCellMar>
        </w:tblPrEx>
        <w:trPr>
          <w:trHeight w:val="23" w:hRule="atLeast"/>
          <w:jc w:val="center"/>
        </w:trPr>
        <w:tc>
          <w:tcPr>
            <w:tcW w:w="6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43A26">
            <w:pPr>
              <w:widowControl/>
              <w:spacing w:line="240" w:lineRule="atLeast"/>
              <w:jc w:val="center"/>
              <w:rPr>
                <w:color w:val="000000"/>
                <w:sz w:val="24"/>
              </w:rPr>
            </w:pPr>
          </w:p>
        </w:tc>
        <w:tc>
          <w:tcPr>
            <w:tcW w:w="6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1DA73">
            <w:pPr>
              <w:widowControl/>
              <w:spacing w:line="240" w:lineRule="atLeast"/>
              <w:jc w:val="center"/>
              <w:rPr>
                <w:color w:val="000000"/>
                <w:sz w:val="24"/>
              </w:rPr>
            </w:pPr>
          </w:p>
        </w:tc>
        <w:tc>
          <w:tcPr>
            <w:tcW w:w="6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E7F86">
            <w:pPr>
              <w:widowControl/>
              <w:spacing w:line="240" w:lineRule="atLeast"/>
              <w:jc w:val="center"/>
              <w:rPr>
                <w:color w:val="000000"/>
                <w:sz w:val="24"/>
              </w:rPr>
            </w:pP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2B35F">
            <w:pPr>
              <w:widowControl/>
              <w:spacing w:line="240" w:lineRule="atLeast"/>
              <w:jc w:val="left"/>
              <w:rPr>
                <w:color w:val="000000"/>
                <w:sz w:val="24"/>
              </w:rPr>
            </w:pPr>
            <w:r>
              <w:rPr>
                <w:rFonts w:hint="eastAsia"/>
                <w:color w:val="000000"/>
                <w:sz w:val="24"/>
              </w:rPr>
              <w:t>收集古籍条目</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00DA4">
            <w:pPr>
              <w:widowControl/>
              <w:spacing w:line="240" w:lineRule="atLeast"/>
              <w:jc w:val="left"/>
              <w:rPr>
                <w:color w:val="000000"/>
                <w:sz w:val="24"/>
              </w:rPr>
            </w:pPr>
            <w:r>
              <w:rPr>
                <w:rFonts w:hint="eastAsia"/>
                <w:color w:val="000000"/>
                <w:sz w:val="24"/>
              </w:rPr>
              <w:t>≥</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C5DE1">
            <w:pPr>
              <w:widowControl/>
              <w:spacing w:line="240" w:lineRule="atLeast"/>
              <w:jc w:val="left"/>
              <w:rPr>
                <w:color w:val="000000"/>
                <w:sz w:val="24"/>
              </w:rPr>
            </w:pPr>
            <w:r>
              <w:rPr>
                <w:rFonts w:hint="eastAsia"/>
                <w:color w:val="000000"/>
                <w:sz w:val="24"/>
              </w:rPr>
              <w:t>300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47438">
            <w:pPr>
              <w:widowControl/>
              <w:spacing w:line="240" w:lineRule="atLeast"/>
              <w:jc w:val="left"/>
              <w:rPr>
                <w:color w:val="000000"/>
                <w:sz w:val="24"/>
              </w:rPr>
            </w:pPr>
            <w:r>
              <w:rPr>
                <w:rFonts w:hint="eastAsia"/>
                <w:color w:val="000000"/>
                <w:sz w:val="24"/>
              </w:rPr>
              <w:t>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18D9C">
            <w:pPr>
              <w:widowControl/>
              <w:spacing w:line="240" w:lineRule="atLeast"/>
              <w:jc w:val="left"/>
              <w:rPr>
                <w:color w:val="000000"/>
                <w:sz w:val="24"/>
              </w:rPr>
            </w:pPr>
            <w:r>
              <w:rPr>
                <w:rFonts w:hint="eastAsia"/>
                <w:color w:val="000000"/>
                <w:sz w:val="24"/>
              </w:rPr>
              <w:t>10%</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1E2D4">
            <w:pPr>
              <w:widowControl/>
              <w:spacing w:line="240" w:lineRule="atLeast"/>
              <w:jc w:val="left"/>
              <w:rPr>
                <w:color w:val="000000"/>
                <w:sz w:val="24"/>
              </w:rPr>
            </w:pPr>
            <w:r>
              <w:rPr>
                <w:rFonts w:hint="eastAsia"/>
                <w:color w:val="000000"/>
                <w:sz w:val="24"/>
              </w:rPr>
              <w:t>310条</w:t>
            </w:r>
          </w:p>
        </w:tc>
      </w:tr>
      <w:tr w14:paraId="1ECC2B9C">
        <w:tblPrEx>
          <w:tblCellMar>
            <w:top w:w="15" w:type="dxa"/>
            <w:left w:w="15" w:type="dxa"/>
            <w:bottom w:w="15" w:type="dxa"/>
            <w:right w:w="15" w:type="dxa"/>
          </w:tblCellMar>
        </w:tblPrEx>
        <w:trPr>
          <w:trHeight w:val="23" w:hRule="atLeast"/>
          <w:jc w:val="center"/>
        </w:trPr>
        <w:tc>
          <w:tcPr>
            <w:tcW w:w="6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37C24">
            <w:pPr>
              <w:widowControl/>
              <w:spacing w:line="240" w:lineRule="atLeast"/>
              <w:jc w:val="center"/>
              <w:rPr>
                <w:color w:val="000000"/>
                <w:sz w:val="24"/>
              </w:rPr>
            </w:pPr>
          </w:p>
        </w:tc>
        <w:tc>
          <w:tcPr>
            <w:tcW w:w="6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9E995">
            <w:pPr>
              <w:widowControl/>
              <w:spacing w:line="240" w:lineRule="atLeast"/>
              <w:jc w:val="center"/>
              <w:rPr>
                <w:color w:val="000000"/>
                <w:sz w:val="24"/>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513FE">
            <w:pPr>
              <w:widowControl/>
              <w:spacing w:line="240" w:lineRule="atLeast"/>
              <w:jc w:val="center"/>
              <w:textAlignment w:val="center"/>
              <w:rPr>
                <w:color w:val="000000"/>
                <w:sz w:val="24"/>
              </w:rPr>
            </w:pPr>
            <w:r>
              <w:rPr>
                <w:color w:val="000000"/>
                <w:kern w:val="0"/>
                <w:sz w:val="24"/>
                <w:lang w:bidi="ar"/>
              </w:rPr>
              <w:t>质量指标</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61782">
            <w:pPr>
              <w:widowControl/>
              <w:spacing w:line="240" w:lineRule="atLeast"/>
              <w:jc w:val="left"/>
              <w:rPr>
                <w:color w:val="000000"/>
                <w:sz w:val="24"/>
              </w:rPr>
            </w:pPr>
            <w:r>
              <w:rPr>
                <w:rFonts w:hint="eastAsia"/>
                <w:color w:val="000000"/>
                <w:sz w:val="24"/>
              </w:rPr>
              <w:t>翻译藏文合格率</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539AC">
            <w:pPr>
              <w:widowControl/>
              <w:spacing w:line="240" w:lineRule="atLeast"/>
              <w:jc w:val="left"/>
              <w:rPr>
                <w:color w:val="000000"/>
                <w:sz w:val="24"/>
              </w:rPr>
            </w:pPr>
            <w:r>
              <w:rPr>
                <w:rFonts w:hint="eastAsia"/>
                <w:color w:val="000000"/>
                <w:sz w:val="24"/>
              </w:rPr>
              <w:t>≥</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855DD">
            <w:pPr>
              <w:widowControl/>
              <w:spacing w:line="240" w:lineRule="atLeast"/>
              <w:jc w:val="left"/>
              <w:rPr>
                <w:color w:val="000000"/>
                <w:sz w:val="24"/>
              </w:rPr>
            </w:pPr>
            <w:r>
              <w:rPr>
                <w:rFonts w:hint="eastAsia"/>
                <w:color w:val="000000"/>
                <w:sz w:val="24"/>
              </w:rPr>
              <w:t>95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C4B35">
            <w:pPr>
              <w:widowControl/>
              <w:spacing w:line="240" w:lineRule="atLeast"/>
              <w:jc w:val="left"/>
              <w:rPr>
                <w:color w:val="000000"/>
                <w:sz w:val="24"/>
              </w:rPr>
            </w:pPr>
            <w:r>
              <w:rPr>
                <w:rFonts w:hint="eastAsia"/>
                <w:color w:val="000000"/>
                <w:sz w:val="24"/>
              </w:rPr>
              <w:t>%</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EDF7B">
            <w:pPr>
              <w:widowControl/>
              <w:spacing w:line="240" w:lineRule="atLeast"/>
              <w:jc w:val="left"/>
              <w:rPr>
                <w:color w:val="000000"/>
                <w:sz w:val="24"/>
              </w:rPr>
            </w:pPr>
            <w:r>
              <w:rPr>
                <w:rFonts w:hint="eastAsia"/>
                <w:color w:val="000000"/>
                <w:sz w:val="24"/>
              </w:rPr>
              <w:t>10%</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04A53">
            <w:pPr>
              <w:widowControl/>
              <w:spacing w:line="240" w:lineRule="atLeast"/>
              <w:jc w:val="left"/>
              <w:rPr>
                <w:color w:val="000000"/>
                <w:sz w:val="24"/>
              </w:rPr>
            </w:pPr>
            <w:r>
              <w:rPr>
                <w:rFonts w:hint="eastAsia"/>
                <w:color w:val="000000"/>
                <w:sz w:val="24"/>
              </w:rPr>
              <w:t>95%</w:t>
            </w:r>
          </w:p>
        </w:tc>
      </w:tr>
      <w:tr w14:paraId="4A612199">
        <w:tblPrEx>
          <w:tblCellMar>
            <w:top w:w="15" w:type="dxa"/>
            <w:left w:w="15" w:type="dxa"/>
            <w:bottom w:w="15" w:type="dxa"/>
            <w:right w:w="15" w:type="dxa"/>
          </w:tblCellMar>
        </w:tblPrEx>
        <w:trPr>
          <w:trHeight w:val="23" w:hRule="atLeast"/>
          <w:jc w:val="center"/>
        </w:trPr>
        <w:tc>
          <w:tcPr>
            <w:tcW w:w="6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2F32B">
            <w:pPr>
              <w:widowControl/>
              <w:spacing w:line="240" w:lineRule="atLeast"/>
              <w:jc w:val="center"/>
              <w:rPr>
                <w:color w:val="000000"/>
                <w:sz w:val="24"/>
              </w:rPr>
            </w:pPr>
          </w:p>
        </w:tc>
        <w:tc>
          <w:tcPr>
            <w:tcW w:w="6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1B5EE">
            <w:pPr>
              <w:widowControl/>
              <w:spacing w:line="240" w:lineRule="atLeast"/>
              <w:jc w:val="center"/>
              <w:rPr>
                <w:color w:val="000000"/>
                <w:sz w:val="24"/>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34252">
            <w:pPr>
              <w:widowControl/>
              <w:spacing w:line="240" w:lineRule="atLeast"/>
              <w:jc w:val="center"/>
              <w:textAlignment w:val="center"/>
              <w:rPr>
                <w:color w:val="000000"/>
                <w:sz w:val="24"/>
              </w:rPr>
            </w:pPr>
            <w:r>
              <w:rPr>
                <w:color w:val="000000"/>
                <w:kern w:val="0"/>
                <w:sz w:val="24"/>
                <w:lang w:bidi="ar"/>
              </w:rPr>
              <w:t>时效指标</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DB04E">
            <w:pPr>
              <w:widowControl/>
              <w:spacing w:line="240" w:lineRule="atLeast"/>
              <w:jc w:val="left"/>
              <w:rPr>
                <w:color w:val="000000"/>
                <w:sz w:val="24"/>
              </w:rPr>
            </w:pPr>
            <w:r>
              <w:rPr>
                <w:rFonts w:hint="eastAsia"/>
                <w:color w:val="000000"/>
                <w:sz w:val="24"/>
              </w:rPr>
              <w:t>项目完成时间</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91DF6">
            <w:pPr>
              <w:widowControl/>
              <w:spacing w:line="240" w:lineRule="atLeast"/>
              <w:jc w:val="left"/>
              <w:rPr>
                <w:color w:val="000000"/>
                <w:sz w:val="24"/>
              </w:rPr>
            </w:pPr>
            <w:r>
              <w:rPr>
                <w:rFonts w:hint="eastAsia"/>
                <w:color w:val="000000"/>
                <w:sz w:val="24"/>
              </w:rPr>
              <w:t>定性</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3F6C7">
            <w:pPr>
              <w:widowControl/>
              <w:spacing w:line="240" w:lineRule="atLeast"/>
              <w:jc w:val="left"/>
              <w:rPr>
                <w:color w:val="000000"/>
                <w:sz w:val="24"/>
              </w:rPr>
            </w:pPr>
            <w:r>
              <w:rPr>
                <w:rFonts w:hint="eastAsia"/>
                <w:color w:val="000000"/>
                <w:sz w:val="24"/>
              </w:rPr>
              <w:t>2024年12月中旬以前完工</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954BA">
            <w:pPr>
              <w:widowControl/>
              <w:spacing w:line="240" w:lineRule="atLeast"/>
              <w:jc w:val="left"/>
              <w:rPr>
                <w:color w:val="000000"/>
                <w:sz w:val="24"/>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320A0">
            <w:pPr>
              <w:widowControl/>
              <w:spacing w:line="240" w:lineRule="atLeast"/>
              <w:jc w:val="left"/>
              <w:rPr>
                <w:color w:val="000000"/>
                <w:sz w:val="24"/>
              </w:rPr>
            </w:pPr>
            <w:r>
              <w:rPr>
                <w:rFonts w:hint="eastAsia"/>
                <w:color w:val="000000"/>
                <w:sz w:val="24"/>
              </w:rPr>
              <w:t>10%</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6B236">
            <w:pPr>
              <w:widowControl/>
              <w:spacing w:line="240" w:lineRule="atLeast"/>
              <w:jc w:val="left"/>
              <w:rPr>
                <w:color w:val="000000"/>
                <w:sz w:val="24"/>
              </w:rPr>
            </w:pPr>
            <w:r>
              <w:rPr>
                <w:rFonts w:hint="eastAsia"/>
                <w:color w:val="000000"/>
                <w:sz w:val="24"/>
              </w:rPr>
              <w:t>2024年12月初完成</w:t>
            </w:r>
          </w:p>
        </w:tc>
      </w:tr>
      <w:tr w14:paraId="6A67A06D">
        <w:tblPrEx>
          <w:tblCellMar>
            <w:top w:w="15" w:type="dxa"/>
            <w:left w:w="15" w:type="dxa"/>
            <w:bottom w:w="15" w:type="dxa"/>
            <w:right w:w="15" w:type="dxa"/>
          </w:tblCellMar>
        </w:tblPrEx>
        <w:trPr>
          <w:trHeight w:val="23" w:hRule="atLeast"/>
          <w:jc w:val="center"/>
        </w:trPr>
        <w:tc>
          <w:tcPr>
            <w:tcW w:w="6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EADAF">
            <w:pPr>
              <w:widowControl/>
              <w:spacing w:line="240" w:lineRule="atLeast"/>
              <w:jc w:val="center"/>
              <w:rPr>
                <w:color w:val="000000"/>
                <w:sz w:val="24"/>
              </w:rPr>
            </w:pPr>
          </w:p>
        </w:tc>
        <w:tc>
          <w:tcPr>
            <w:tcW w:w="6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B6DFDD">
            <w:pPr>
              <w:widowControl/>
              <w:spacing w:line="240" w:lineRule="atLeast"/>
              <w:jc w:val="center"/>
              <w:textAlignment w:val="center"/>
              <w:rPr>
                <w:color w:val="000000"/>
                <w:sz w:val="24"/>
              </w:rPr>
            </w:pPr>
            <w:r>
              <w:rPr>
                <w:color w:val="000000"/>
                <w:kern w:val="0"/>
                <w:sz w:val="24"/>
                <w:lang w:bidi="ar"/>
              </w:rPr>
              <w:t>效益指标</w:t>
            </w:r>
          </w:p>
        </w:tc>
        <w:tc>
          <w:tcPr>
            <w:tcW w:w="603" w:type="pct"/>
            <w:tcBorders>
              <w:top w:val="single" w:color="000000" w:sz="4" w:space="0"/>
              <w:left w:val="single" w:color="000000" w:sz="4" w:space="0"/>
              <w:right w:val="single" w:color="000000" w:sz="4" w:space="0"/>
            </w:tcBorders>
            <w:shd w:val="clear" w:color="auto" w:fill="auto"/>
            <w:vAlign w:val="center"/>
          </w:tcPr>
          <w:p w14:paraId="6A24B147">
            <w:pPr>
              <w:widowControl/>
              <w:spacing w:line="240" w:lineRule="atLeast"/>
              <w:jc w:val="center"/>
              <w:textAlignment w:val="center"/>
              <w:rPr>
                <w:color w:val="000000"/>
                <w:kern w:val="0"/>
                <w:szCs w:val="21"/>
                <w:lang w:bidi="ar"/>
              </w:rPr>
            </w:pPr>
            <w:r>
              <w:rPr>
                <w:color w:val="000000"/>
                <w:kern w:val="0"/>
                <w:szCs w:val="21"/>
                <w:lang w:bidi="ar"/>
              </w:rPr>
              <w:t>社会效益</w:t>
            </w:r>
          </w:p>
          <w:p w14:paraId="260397E9">
            <w:pPr>
              <w:widowControl/>
              <w:spacing w:line="240" w:lineRule="atLeast"/>
              <w:jc w:val="center"/>
              <w:textAlignment w:val="center"/>
              <w:rPr>
                <w:color w:val="000000"/>
                <w:szCs w:val="21"/>
              </w:rPr>
            </w:pPr>
            <w:r>
              <w:rPr>
                <w:color w:val="000000"/>
                <w:kern w:val="0"/>
                <w:szCs w:val="21"/>
                <w:lang w:bidi="ar"/>
              </w:rPr>
              <w:t>指标</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FE3C5">
            <w:pPr>
              <w:widowControl/>
              <w:spacing w:line="240" w:lineRule="atLeast"/>
              <w:jc w:val="left"/>
              <w:rPr>
                <w:color w:val="000000"/>
                <w:szCs w:val="21"/>
              </w:rPr>
            </w:pPr>
            <w:r>
              <w:rPr>
                <w:rFonts w:hint="eastAsia"/>
                <w:color w:val="000000"/>
                <w:szCs w:val="21"/>
              </w:rPr>
              <w:t>藏文社会用字社会影响力提升</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3C6EF">
            <w:pPr>
              <w:widowControl/>
              <w:spacing w:line="240" w:lineRule="atLeast"/>
              <w:jc w:val="left"/>
              <w:rPr>
                <w:color w:val="000000"/>
                <w:szCs w:val="21"/>
              </w:rPr>
            </w:pPr>
            <w:r>
              <w:rPr>
                <w:rFonts w:hint="eastAsia"/>
                <w:color w:val="000000"/>
                <w:szCs w:val="21"/>
              </w:rPr>
              <w:t>定性</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4E4DC">
            <w:pPr>
              <w:widowControl/>
              <w:spacing w:line="240" w:lineRule="atLeast"/>
              <w:jc w:val="left"/>
              <w:rPr>
                <w:color w:val="000000"/>
                <w:szCs w:val="21"/>
              </w:rPr>
            </w:pPr>
            <w:r>
              <w:rPr>
                <w:rFonts w:hint="eastAsia"/>
                <w:color w:val="000000"/>
                <w:szCs w:val="21"/>
              </w:rPr>
              <w:t>规范使用藏文社会用字，促进藏文化研究及传播</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138B3">
            <w:pPr>
              <w:widowControl/>
              <w:spacing w:line="240" w:lineRule="atLeast"/>
              <w:jc w:val="left"/>
              <w:rPr>
                <w:color w:val="000000"/>
                <w:szCs w:val="21"/>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43D57">
            <w:pPr>
              <w:widowControl/>
              <w:spacing w:line="240" w:lineRule="atLeast"/>
              <w:jc w:val="left"/>
              <w:rPr>
                <w:color w:val="000000"/>
                <w:szCs w:val="21"/>
              </w:rPr>
            </w:pPr>
            <w:r>
              <w:rPr>
                <w:rFonts w:hint="eastAsia"/>
                <w:color w:val="000000"/>
                <w:szCs w:val="21"/>
              </w:rPr>
              <w:t>20%</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C449B">
            <w:pPr>
              <w:widowControl/>
              <w:spacing w:line="240" w:lineRule="atLeast"/>
              <w:jc w:val="left"/>
              <w:rPr>
                <w:color w:val="000000"/>
                <w:szCs w:val="21"/>
              </w:rPr>
            </w:pPr>
            <w:r>
              <w:rPr>
                <w:rFonts w:hint="eastAsia"/>
                <w:color w:val="000000"/>
                <w:szCs w:val="21"/>
              </w:rPr>
              <w:t>基本达到预期目标</w:t>
            </w:r>
          </w:p>
        </w:tc>
      </w:tr>
      <w:tr w14:paraId="697CD6B6">
        <w:tblPrEx>
          <w:tblCellMar>
            <w:top w:w="15" w:type="dxa"/>
            <w:left w:w="15" w:type="dxa"/>
            <w:bottom w:w="15" w:type="dxa"/>
            <w:right w:w="15" w:type="dxa"/>
          </w:tblCellMar>
        </w:tblPrEx>
        <w:trPr>
          <w:trHeight w:val="23" w:hRule="atLeast"/>
          <w:jc w:val="center"/>
        </w:trPr>
        <w:tc>
          <w:tcPr>
            <w:tcW w:w="6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F1520">
            <w:pPr>
              <w:widowControl/>
              <w:spacing w:line="240" w:lineRule="atLeast"/>
              <w:jc w:val="center"/>
              <w:rPr>
                <w:color w:val="000000"/>
                <w:sz w:val="24"/>
              </w:rPr>
            </w:pPr>
          </w:p>
        </w:tc>
        <w:tc>
          <w:tcPr>
            <w:tcW w:w="6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286F1">
            <w:pPr>
              <w:widowControl/>
              <w:spacing w:line="240" w:lineRule="atLeast"/>
              <w:jc w:val="center"/>
              <w:rPr>
                <w:color w:val="000000"/>
                <w:sz w:val="24"/>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60290">
            <w:pPr>
              <w:widowControl/>
              <w:spacing w:line="240" w:lineRule="atLeast"/>
              <w:jc w:val="center"/>
              <w:textAlignment w:val="center"/>
              <w:rPr>
                <w:color w:val="000000"/>
                <w:szCs w:val="21"/>
              </w:rPr>
            </w:pPr>
            <w:r>
              <w:rPr>
                <w:rFonts w:hint="eastAsia"/>
                <w:color w:val="000000"/>
                <w:kern w:val="0"/>
                <w:szCs w:val="21"/>
                <w:lang w:bidi="ar"/>
              </w:rPr>
              <w:t>可持续影响指标</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D5FB9">
            <w:pPr>
              <w:widowControl/>
              <w:spacing w:line="240" w:lineRule="atLeast"/>
              <w:jc w:val="left"/>
              <w:rPr>
                <w:color w:val="000000"/>
                <w:szCs w:val="21"/>
              </w:rPr>
            </w:pPr>
            <w:r>
              <w:rPr>
                <w:rFonts w:hint="eastAsia"/>
                <w:color w:val="000000"/>
                <w:szCs w:val="21"/>
              </w:rPr>
              <w:t>提升文化强州战略效果显著</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B0D3C">
            <w:pPr>
              <w:widowControl/>
              <w:spacing w:line="240" w:lineRule="atLeast"/>
              <w:jc w:val="left"/>
              <w:rPr>
                <w:color w:val="000000"/>
                <w:szCs w:val="21"/>
              </w:rPr>
            </w:pPr>
            <w:r>
              <w:rPr>
                <w:rFonts w:hint="eastAsia"/>
                <w:color w:val="000000"/>
                <w:szCs w:val="21"/>
              </w:rPr>
              <w:t>定性</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C481A">
            <w:pPr>
              <w:widowControl/>
              <w:spacing w:line="240" w:lineRule="atLeast"/>
              <w:jc w:val="left"/>
              <w:rPr>
                <w:color w:val="000000"/>
                <w:szCs w:val="21"/>
              </w:rPr>
            </w:pPr>
            <w:r>
              <w:rPr>
                <w:rFonts w:hint="eastAsia"/>
                <w:color w:val="000000"/>
                <w:szCs w:val="21"/>
              </w:rPr>
              <w:t>促进我州藏文化繁荣发展、民族团结、提升文化强州战略</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EC6A7">
            <w:pPr>
              <w:widowControl/>
              <w:spacing w:line="240" w:lineRule="atLeast"/>
              <w:jc w:val="left"/>
              <w:rPr>
                <w:color w:val="000000"/>
                <w:szCs w:val="21"/>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8FC61">
            <w:pPr>
              <w:widowControl/>
              <w:spacing w:line="240" w:lineRule="atLeast"/>
              <w:jc w:val="left"/>
              <w:rPr>
                <w:color w:val="000000"/>
                <w:szCs w:val="21"/>
              </w:rPr>
            </w:pPr>
            <w:r>
              <w:rPr>
                <w:rFonts w:hint="eastAsia"/>
                <w:color w:val="000000"/>
                <w:szCs w:val="21"/>
              </w:rPr>
              <w:t>20%</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754BB">
            <w:pPr>
              <w:widowControl/>
              <w:spacing w:line="240" w:lineRule="atLeast"/>
              <w:jc w:val="left"/>
              <w:rPr>
                <w:color w:val="000000"/>
                <w:szCs w:val="21"/>
              </w:rPr>
            </w:pPr>
            <w:r>
              <w:rPr>
                <w:rFonts w:hint="eastAsia"/>
                <w:color w:val="000000"/>
                <w:szCs w:val="21"/>
              </w:rPr>
              <w:t>基本达到预期目标</w:t>
            </w:r>
          </w:p>
        </w:tc>
      </w:tr>
      <w:tr w14:paraId="0EAB5AE5">
        <w:tblPrEx>
          <w:tblCellMar>
            <w:top w:w="15" w:type="dxa"/>
            <w:left w:w="15" w:type="dxa"/>
            <w:bottom w:w="15" w:type="dxa"/>
            <w:right w:w="15" w:type="dxa"/>
          </w:tblCellMar>
        </w:tblPrEx>
        <w:trPr>
          <w:trHeight w:val="23" w:hRule="atLeast"/>
          <w:jc w:val="center"/>
        </w:trPr>
        <w:tc>
          <w:tcPr>
            <w:tcW w:w="6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EEAEA">
            <w:pPr>
              <w:widowControl/>
              <w:spacing w:line="240" w:lineRule="atLeast"/>
              <w:jc w:val="center"/>
              <w:rPr>
                <w:color w:val="000000"/>
                <w:sz w:val="24"/>
              </w:rPr>
            </w:pP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2F051">
            <w:pPr>
              <w:widowControl/>
              <w:spacing w:line="240" w:lineRule="atLeast"/>
              <w:jc w:val="center"/>
              <w:textAlignment w:val="center"/>
              <w:rPr>
                <w:color w:val="000000"/>
                <w:sz w:val="24"/>
              </w:rPr>
            </w:pPr>
            <w:r>
              <w:rPr>
                <w:color w:val="000000"/>
                <w:kern w:val="0"/>
                <w:sz w:val="24"/>
                <w:lang w:bidi="ar"/>
              </w:rPr>
              <w:t>满意度指标</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2C2A9">
            <w:pPr>
              <w:widowControl/>
              <w:spacing w:line="240" w:lineRule="atLeast"/>
              <w:jc w:val="center"/>
              <w:textAlignment w:val="center"/>
              <w:rPr>
                <w:color w:val="000000"/>
                <w:sz w:val="24"/>
              </w:rPr>
            </w:pPr>
            <w:r>
              <w:rPr>
                <w:color w:val="000000"/>
                <w:kern w:val="0"/>
                <w:sz w:val="24"/>
                <w:lang w:bidi="ar"/>
              </w:rPr>
              <w:t>满意度指标</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64696">
            <w:pPr>
              <w:widowControl/>
              <w:spacing w:line="240" w:lineRule="atLeast"/>
              <w:jc w:val="left"/>
              <w:rPr>
                <w:color w:val="000000"/>
                <w:sz w:val="24"/>
              </w:rPr>
            </w:pPr>
            <w:r>
              <w:rPr>
                <w:rFonts w:hint="eastAsia"/>
                <w:color w:val="000000"/>
                <w:sz w:val="24"/>
              </w:rPr>
              <w:t>使用藏文书籍人员</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FCD1C">
            <w:pPr>
              <w:widowControl/>
              <w:spacing w:line="240" w:lineRule="atLeast"/>
              <w:jc w:val="left"/>
              <w:rPr>
                <w:color w:val="000000"/>
                <w:sz w:val="24"/>
              </w:rPr>
            </w:pPr>
            <w:r>
              <w:rPr>
                <w:rFonts w:hint="eastAsia"/>
                <w:color w:val="000000"/>
                <w:sz w:val="24"/>
              </w:rPr>
              <w:t>≥</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CCF7A">
            <w:pPr>
              <w:widowControl/>
              <w:spacing w:line="240" w:lineRule="atLeast"/>
              <w:jc w:val="left"/>
              <w:rPr>
                <w:color w:val="000000"/>
                <w:sz w:val="24"/>
              </w:rPr>
            </w:pPr>
            <w:r>
              <w:rPr>
                <w:rFonts w:hint="eastAsia"/>
                <w:color w:val="000000"/>
                <w:sz w:val="24"/>
              </w:rPr>
              <w:t>90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74955">
            <w:pPr>
              <w:widowControl/>
              <w:spacing w:line="240" w:lineRule="atLeast"/>
              <w:jc w:val="left"/>
              <w:rPr>
                <w:color w:val="000000"/>
                <w:sz w:val="24"/>
              </w:rPr>
            </w:pPr>
            <w:r>
              <w:rPr>
                <w:rFonts w:hint="eastAsia"/>
                <w:color w:val="000000"/>
                <w:sz w:val="24"/>
              </w:rPr>
              <w:t>%</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6A076">
            <w:pPr>
              <w:widowControl/>
              <w:spacing w:line="240" w:lineRule="atLeast"/>
              <w:jc w:val="left"/>
              <w:rPr>
                <w:color w:val="000000"/>
                <w:sz w:val="24"/>
              </w:rPr>
            </w:pPr>
            <w:r>
              <w:rPr>
                <w:rFonts w:hint="eastAsia"/>
                <w:color w:val="000000"/>
                <w:sz w:val="24"/>
              </w:rPr>
              <w:t>10%</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72714">
            <w:pPr>
              <w:widowControl/>
              <w:spacing w:line="240" w:lineRule="atLeast"/>
              <w:jc w:val="left"/>
              <w:rPr>
                <w:color w:val="000000"/>
                <w:sz w:val="24"/>
              </w:rPr>
            </w:pPr>
            <w:r>
              <w:rPr>
                <w:rFonts w:hint="eastAsia"/>
                <w:color w:val="000000"/>
                <w:sz w:val="24"/>
              </w:rPr>
              <w:t>90%</w:t>
            </w:r>
          </w:p>
        </w:tc>
      </w:tr>
    </w:tbl>
    <w:p w14:paraId="65D8A657">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36489DD9">
      <w:pPr>
        <w:widowControl/>
        <w:jc w:val="center"/>
        <w:rPr>
          <w:rFonts w:eastAsia="仿宋"/>
        </w:rPr>
      </w:pPr>
      <w:bookmarkStart w:id="53" w:name="_Toc15396618"/>
      <w:r>
        <w:rPr>
          <w:rFonts w:hint="eastAsia" w:eastAsia="黑体"/>
          <w:sz w:val="44"/>
          <w:szCs w:val="44"/>
        </w:rPr>
        <w:t>第</w:t>
      </w:r>
      <w:r>
        <w:rPr>
          <w:rStyle w:val="29"/>
          <w:rFonts w:hint="eastAsia" w:eastAsia="黑体"/>
          <w:b w:val="0"/>
        </w:rPr>
        <w:t>五部分 附表</w:t>
      </w:r>
      <w:bookmarkEnd w:id="52"/>
      <w:bookmarkEnd w:id="53"/>
      <w:bookmarkStart w:id="54" w:name="_Toc15396619"/>
    </w:p>
    <w:p w14:paraId="1DEF2075">
      <w:pPr>
        <w:pStyle w:val="14"/>
        <w:numPr>
          <w:ilvl w:val="0"/>
          <w:numId w:val="2"/>
        </w:numPr>
        <w:adjustRightInd w:val="0"/>
        <w:snapToGrid w:val="0"/>
        <w:spacing w:line="560" w:lineRule="exact"/>
        <w:ind w:leftChars="0"/>
        <w:jc w:val="left"/>
        <w:rPr>
          <w:rFonts w:eastAsia="仿宋_GB2312" w:cs="仿宋_GB2312"/>
          <w:sz w:val="32"/>
          <w:szCs w:val="32"/>
        </w:rPr>
      </w:pPr>
      <w:r>
        <w:rPr>
          <w:rFonts w:hint="eastAsia" w:eastAsia="仿宋_GB2312" w:cs="仿宋_GB2312"/>
          <w:sz w:val="32"/>
          <w:szCs w:val="32"/>
        </w:rPr>
        <w:t>收入支出决算总表</w:t>
      </w:r>
      <w:bookmarkEnd w:id="54"/>
    </w:p>
    <w:p w14:paraId="259A9A3A">
      <w:r>
        <w:drawing>
          <wp:inline distT="0" distB="0" distL="0" distR="0">
            <wp:extent cx="5271135" cy="7792085"/>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5274310" cy="7796655"/>
                    </a:xfrm>
                    <a:prstGeom prst="rect">
                      <a:avLst/>
                    </a:prstGeom>
                  </pic:spPr>
                </pic:pic>
              </a:graphicData>
            </a:graphic>
          </wp:inline>
        </w:drawing>
      </w:r>
    </w:p>
    <w:p w14:paraId="243B8088">
      <w:pPr>
        <w:pStyle w:val="14"/>
        <w:numPr>
          <w:ilvl w:val="0"/>
          <w:numId w:val="4"/>
        </w:numPr>
        <w:adjustRightInd w:val="0"/>
        <w:snapToGrid w:val="0"/>
        <w:spacing w:line="560" w:lineRule="exact"/>
        <w:ind w:leftChars="0"/>
        <w:jc w:val="left"/>
        <w:rPr>
          <w:rFonts w:eastAsia="仿宋_GB2312" w:cs="仿宋_GB2312"/>
          <w:sz w:val="32"/>
          <w:szCs w:val="32"/>
        </w:rPr>
      </w:pPr>
      <w:bookmarkStart w:id="55" w:name="_Toc15396620"/>
      <w:r>
        <w:rPr>
          <w:rFonts w:hint="eastAsia" w:eastAsia="仿宋_GB2312" w:cs="仿宋_GB2312"/>
          <w:sz w:val="32"/>
          <w:szCs w:val="32"/>
        </w:rPr>
        <w:t>收入决算表</w:t>
      </w:r>
      <w:bookmarkEnd w:id="55"/>
    </w:p>
    <w:p w14:paraId="7CA0925E">
      <w:r>
        <w:drawing>
          <wp:inline distT="0" distB="0" distL="0" distR="0">
            <wp:extent cx="5274945" cy="8460105"/>
            <wp:effectExtent l="0" t="0" r="190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5274310" cy="8458844"/>
                    </a:xfrm>
                    <a:prstGeom prst="rect">
                      <a:avLst/>
                    </a:prstGeom>
                  </pic:spPr>
                </pic:pic>
              </a:graphicData>
            </a:graphic>
          </wp:inline>
        </w:drawing>
      </w:r>
    </w:p>
    <w:p w14:paraId="731B7336"/>
    <w:p w14:paraId="3D12592B">
      <w:pPr>
        <w:pStyle w:val="14"/>
        <w:numPr>
          <w:ilvl w:val="0"/>
          <w:numId w:val="4"/>
        </w:numPr>
        <w:adjustRightInd w:val="0"/>
        <w:snapToGrid w:val="0"/>
        <w:spacing w:line="560" w:lineRule="exact"/>
        <w:ind w:leftChars="0"/>
        <w:jc w:val="left"/>
        <w:rPr>
          <w:rFonts w:hint="eastAsia" w:eastAsia="仿宋_GB2312" w:cs="仿宋_GB2312"/>
          <w:sz w:val="32"/>
          <w:szCs w:val="32"/>
        </w:rPr>
      </w:pPr>
      <w:bookmarkStart w:id="56" w:name="_Toc15396621"/>
      <w:r>
        <w:rPr>
          <w:rFonts w:hint="eastAsia" w:eastAsia="仿宋_GB2312" w:cs="仿宋_GB2312"/>
          <w:sz w:val="32"/>
          <w:szCs w:val="32"/>
        </w:rPr>
        <w:t>支出决算表</w:t>
      </w:r>
      <w:bookmarkEnd w:id="56"/>
    </w:p>
    <w:p w14:paraId="2BD0F9A8">
      <w:pPr>
        <w:rPr>
          <w:rFonts w:hint="eastAsia"/>
        </w:rPr>
      </w:pPr>
    </w:p>
    <w:p w14:paraId="1C8FD158">
      <w:r>
        <w:drawing>
          <wp:inline distT="0" distB="0" distL="0" distR="0">
            <wp:extent cx="5939155" cy="7815580"/>
            <wp:effectExtent l="0" t="0" r="444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7"/>
                    <a:stretch>
                      <a:fillRect/>
                    </a:stretch>
                  </pic:blipFill>
                  <pic:spPr>
                    <a:xfrm>
                      <a:off x="0" y="0"/>
                      <a:ext cx="5938685" cy="7814899"/>
                    </a:xfrm>
                    <a:prstGeom prst="rect">
                      <a:avLst/>
                    </a:prstGeom>
                  </pic:spPr>
                </pic:pic>
              </a:graphicData>
            </a:graphic>
          </wp:inline>
        </w:drawing>
      </w:r>
    </w:p>
    <w:p w14:paraId="46D5DB54">
      <w:pPr>
        <w:pStyle w:val="14"/>
        <w:numPr>
          <w:ilvl w:val="0"/>
          <w:numId w:val="4"/>
        </w:numPr>
        <w:adjustRightInd w:val="0"/>
        <w:snapToGrid w:val="0"/>
        <w:spacing w:line="560" w:lineRule="exact"/>
        <w:ind w:leftChars="0"/>
        <w:jc w:val="left"/>
        <w:rPr>
          <w:rFonts w:eastAsia="仿宋_GB2312" w:cs="仿宋_GB2312"/>
          <w:sz w:val="32"/>
          <w:szCs w:val="32"/>
        </w:rPr>
      </w:pPr>
      <w:bookmarkStart w:id="57" w:name="_Toc15396622"/>
      <w:r>
        <w:rPr>
          <w:rFonts w:hint="eastAsia" w:eastAsia="仿宋_GB2312" w:cs="仿宋_GB2312"/>
          <w:sz w:val="32"/>
          <w:szCs w:val="32"/>
        </w:rPr>
        <w:t>财政拨款收入支出决算总表</w:t>
      </w:r>
      <w:bookmarkEnd w:id="57"/>
    </w:p>
    <w:p w14:paraId="5B67D58B">
      <w:r>
        <w:object>
          <v:shape id="_x0000_i1025" o:spt="75" type="#_x0000_t75" style="height:632.95pt;width:457.05pt;" o:ole="t" filled="f" o:preferrelative="t" stroked="f" coordsize="21600,21600">
            <v:path/>
            <v:fill on="f" focussize="0,0"/>
            <v:stroke on="f" joinstyle="miter"/>
            <v:imagedata r:id="rId19" o:title=""/>
            <o:lock v:ext="edit" aspectratio="t"/>
            <w10:wrap type="none"/>
            <w10:anchorlock/>
          </v:shape>
          <o:OLEObject Type="Embed" ProgID="FoxitReader.Document" ShapeID="_x0000_i1025" DrawAspect="Content" ObjectID="_1468075725" r:id="rId18">
            <o:LockedField>false</o:LockedField>
          </o:OLEObject>
        </w:object>
      </w:r>
    </w:p>
    <w:p w14:paraId="580EE9B3">
      <w:pPr>
        <w:pStyle w:val="14"/>
        <w:numPr>
          <w:ilvl w:val="0"/>
          <w:numId w:val="4"/>
        </w:numPr>
        <w:adjustRightInd w:val="0"/>
        <w:snapToGrid w:val="0"/>
        <w:spacing w:line="560" w:lineRule="exact"/>
        <w:ind w:leftChars="0"/>
        <w:jc w:val="left"/>
        <w:rPr>
          <w:rFonts w:hint="eastAsia" w:eastAsia="仿宋_GB2312" w:cs="仿宋_GB2312"/>
          <w:sz w:val="32"/>
          <w:szCs w:val="32"/>
        </w:rPr>
      </w:pPr>
      <w:bookmarkStart w:id="58" w:name="_Toc15396623"/>
      <w:r>
        <w:rPr>
          <w:rFonts w:hint="eastAsia" w:eastAsia="仿宋_GB2312" w:cs="仿宋_GB2312"/>
          <w:sz w:val="32"/>
          <w:szCs w:val="32"/>
        </w:rPr>
        <w:t>财政拨款支出决算明细表</w:t>
      </w:r>
      <w:bookmarkEnd w:id="58"/>
      <w:bookmarkStart w:id="59" w:name="_Toc15396624"/>
    </w:p>
    <w:p w14:paraId="0F85B098">
      <w:r>
        <w:drawing>
          <wp:inline distT="0" distB="0" distL="0" distR="0">
            <wp:extent cx="5276215" cy="8237220"/>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0"/>
                    <a:stretch>
                      <a:fillRect/>
                    </a:stretch>
                  </pic:blipFill>
                  <pic:spPr>
                    <a:xfrm>
                      <a:off x="0" y="0"/>
                      <a:ext cx="5274310" cy="8234165"/>
                    </a:xfrm>
                    <a:prstGeom prst="rect">
                      <a:avLst/>
                    </a:prstGeom>
                  </pic:spPr>
                </pic:pic>
              </a:graphicData>
            </a:graphic>
          </wp:inline>
        </w:drawing>
      </w:r>
    </w:p>
    <w:p w14:paraId="5689AAC5">
      <w:pPr>
        <w:pStyle w:val="14"/>
        <w:numPr>
          <w:ilvl w:val="0"/>
          <w:numId w:val="4"/>
        </w:numPr>
        <w:adjustRightInd w:val="0"/>
        <w:snapToGrid w:val="0"/>
        <w:spacing w:line="560" w:lineRule="exact"/>
        <w:ind w:leftChars="0"/>
        <w:jc w:val="left"/>
        <w:rPr>
          <w:rFonts w:hint="eastAsia" w:eastAsia="仿宋_GB2312" w:cs="仿宋_GB2312"/>
          <w:sz w:val="32"/>
          <w:szCs w:val="32"/>
        </w:rPr>
      </w:pPr>
      <w:r>
        <w:rPr>
          <w:rFonts w:hint="eastAsia" w:eastAsia="仿宋_GB2312" w:cs="仿宋_GB2312"/>
          <w:sz w:val="32"/>
          <w:szCs w:val="32"/>
        </w:rPr>
        <w:t>一般公共预算财政拨款支出决算表</w:t>
      </w:r>
      <w:bookmarkEnd w:id="59"/>
    </w:p>
    <w:p w14:paraId="582C6ABE">
      <w:r>
        <w:drawing>
          <wp:inline distT="0" distB="0" distL="0" distR="0">
            <wp:extent cx="5271135" cy="8245475"/>
            <wp:effectExtent l="0" t="0" r="5715"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1"/>
                    <a:stretch>
                      <a:fillRect/>
                    </a:stretch>
                  </pic:blipFill>
                  <pic:spPr>
                    <a:xfrm>
                      <a:off x="0" y="0"/>
                      <a:ext cx="5272662" cy="8246983"/>
                    </a:xfrm>
                    <a:prstGeom prst="rect">
                      <a:avLst/>
                    </a:prstGeom>
                  </pic:spPr>
                </pic:pic>
              </a:graphicData>
            </a:graphic>
          </wp:inline>
        </w:drawing>
      </w:r>
    </w:p>
    <w:p w14:paraId="218BF5F7">
      <w:pPr>
        <w:pStyle w:val="14"/>
        <w:numPr>
          <w:ilvl w:val="0"/>
          <w:numId w:val="4"/>
        </w:numPr>
        <w:adjustRightInd w:val="0"/>
        <w:snapToGrid w:val="0"/>
        <w:spacing w:line="560" w:lineRule="exact"/>
        <w:ind w:leftChars="0"/>
        <w:jc w:val="left"/>
        <w:rPr>
          <w:rFonts w:hint="eastAsia" w:eastAsia="仿宋_GB2312" w:cs="仿宋_GB2312"/>
          <w:sz w:val="32"/>
          <w:szCs w:val="32"/>
        </w:rPr>
      </w:pPr>
      <w:bookmarkStart w:id="60" w:name="_Toc15396625"/>
      <w:r>
        <w:rPr>
          <w:rFonts w:hint="eastAsia" w:eastAsia="仿宋_GB2312" w:cs="仿宋_GB2312"/>
          <w:sz w:val="32"/>
          <w:szCs w:val="32"/>
        </w:rPr>
        <w:t>一般公共预算财政拨款支出决算明细表</w:t>
      </w:r>
      <w:bookmarkEnd w:id="60"/>
    </w:p>
    <w:p w14:paraId="79212777">
      <w:pPr>
        <w:rPr>
          <w:rFonts w:hint="eastAsia"/>
        </w:rPr>
      </w:pPr>
      <w:r>
        <w:drawing>
          <wp:inline distT="0" distB="0" distL="0" distR="0">
            <wp:extent cx="5273040" cy="3872230"/>
            <wp:effectExtent l="0" t="0" r="381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2"/>
                    <a:stretch>
                      <a:fillRect/>
                    </a:stretch>
                  </pic:blipFill>
                  <pic:spPr>
                    <a:xfrm>
                      <a:off x="0" y="0"/>
                      <a:ext cx="5274310" cy="3873170"/>
                    </a:xfrm>
                    <a:prstGeom prst="rect">
                      <a:avLst/>
                    </a:prstGeom>
                  </pic:spPr>
                </pic:pic>
              </a:graphicData>
            </a:graphic>
          </wp:inline>
        </w:drawing>
      </w:r>
    </w:p>
    <w:p w14:paraId="5C4AF66F">
      <w:pPr>
        <w:pStyle w:val="2"/>
        <w:rPr>
          <w:rFonts w:hint="eastAsia"/>
        </w:rPr>
      </w:pPr>
      <w:r>
        <w:drawing>
          <wp:inline distT="0" distB="0" distL="0" distR="0">
            <wp:extent cx="5269230" cy="4213860"/>
            <wp:effectExtent l="0" t="0" r="762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3"/>
                    <a:stretch>
                      <a:fillRect/>
                    </a:stretch>
                  </pic:blipFill>
                  <pic:spPr>
                    <a:xfrm>
                      <a:off x="0" y="0"/>
                      <a:ext cx="5274310" cy="4218226"/>
                    </a:xfrm>
                    <a:prstGeom prst="rect">
                      <a:avLst/>
                    </a:prstGeom>
                  </pic:spPr>
                </pic:pic>
              </a:graphicData>
            </a:graphic>
          </wp:inline>
        </w:drawing>
      </w:r>
    </w:p>
    <w:p w14:paraId="67E1D82C">
      <w:pPr>
        <w:pStyle w:val="3"/>
        <w:ind w:left="0" w:leftChars="0" w:firstLine="0" w:firstLineChars="0"/>
        <w:rPr>
          <w:rFonts w:hint="eastAsia"/>
        </w:rPr>
      </w:pPr>
      <w:r>
        <w:drawing>
          <wp:inline distT="0" distB="0" distL="0" distR="0">
            <wp:extent cx="5275580" cy="4015105"/>
            <wp:effectExtent l="0" t="0" r="1270"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4"/>
                    <a:stretch>
                      <a:fillRect/>
                    </a:stretch>
                  </pic:blipFill>
                  <pic:spPr>
                    <a:xfrm>
                      <a:off x="0" y="0"/>
                      <a:ext cx="5274310" cy="4014110"/>
                    </a:xfrm>
                    <a:prstGeom prst="rect">
                      <a:avLst/>
                    </a:prstGeom>
                  </pic:spPr>
                </pic:pic>
              </a:graphicData>
            </a:graphic>
          </wp:inline>
        </w:drawing>
      </w:r>
    </w:p>
    <w:p w14:paraId="7B56ACDC">
      <w:pPr>
        <w:pStyle w:val="3"/>
        <w:ind w:left="0" w:leftChars="0" w:firstLine="0" w:firstLineChars="0"/>
        <w:rPr>
          <w:rFonts w:hint="eastAsia"/>
        </w:rPr>
      </w:pPr>
      <w:r>
        <w:drawing>
          <wp:inline distT="0" distB="0" distL="0" distR="0">
            <wp:extent cx="5274310" cy="4396740"/>
            <wp:effectExtent l="0" t="0" r="2540" b="381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5"/>
                    <a:stretch>
                      <a:fillRect/>
                    </a:stretch>
                  </pic:blipFill>
                  <pic:spPr>
                    <a:xfrm>
                      <a:off x="0" y="0"/>
                      <a:ext cx="5274310" cy="4396868"/>
                    </a:xfrm>
                    <a:prstGeom prst="rect">
                      <a:avLst/>
                    </a:prstGeom>
                  </pic:spPr>
                </pic:pic>
              </a:graphicData>
            </a:graphic>
          </wp:inline>
        </w:drawing>
      </w:r>
      <w:bookmarkStart w:id="61" w:name="_Toc15396626"/>
    </w:p>
    <w:p w14:paraId="7BAB5E37">
      <w:pPr>
        <w:rPr>
          <w:rFonts w:hint="eastAsia"/>
        </w:rPr>
      </w:pPr>
      <w:r>
        <w:drawing>
          <wp:inline distT="0" distB="0" distL="0" distR="0">
            <wp:extent cx="5277485" cy="341884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5274310" cy="3416597"/>
                    </a:xfrm>
                    <a:prstGeom prst="rect">
                      <a:avLst/>
                    </a:prstGeom>
                  </pic:spPr>
                </pic:pic>
              </a:graphicData>
            </a:graphic>
          </wp:inline>
        </w:drawing>
      </w:r>
    </w:p>
    <w:p w14:paraId="2F07ED47">
      <w:pPr>
        <w:pStyle w:val="2"/>
        <w:rPr>
          <w:rFonts w:hint="eastAsia"/>
        </w:rPr>
      </w:pPr>
    </w:p>
    <w:p w14:paraId="34EDA49D">
      <w:pPr>
        <w:pStyle w:val="3"/>
        <w:ind w:left="420"/>
        <w:rPr>
          <w:rFonts w:hint="eastAsia"/>
        </w:rPr>
      </w:pPr>
    </w:p>
    <w:p w14:paraId="34DD595C">
      <w:pPr>
        <w:pStyle w:val="2"/>
        <w:rPr>
          <w:rFonts w:hint="eastAsia"/>
        </w:rPr>
      </w:pPr>
      <w:r>
        <w:drawing>
          <wp:inline distT="0" distB="0" distL="0" distR="0">
            <wp:extent cx="5273675" cy="4460240"/>
            <wp:effectExtent l="0" t="0" r="317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5274310" cy="4461211"/>
                    </a:xfrm>
                    <a:prstGeom prst="rect">
                      <a:avLst/>
                    </a:prstGeom>
                  </pic:spPr>
                </pic:pic>
              </a:graphicData>
            </a:graphic>
          </wp:inline>
        </w:drawing>
      </w:r>
    </w:p>
    <w:p w14:paraId="177D888D">
      <w:pPr>
        <w:pStyle w:val="3"/>
        <w:ind w:left="420"/>
        <w:rPr>
          <w:rFonts w:hint="eastAsia"/>
        </w:rPr>
      </w:pPr>
    </w:p>
    <w:p w14:paraId="4BFEBF53">
      <w:pPr>
        <w:pStyle w:val="3"/>
        <w:ind w:left="0" w:leftChars="0" w:firstLine="0" w:firstLineChars="0"/>
        <w:rPr>
          <w:rFonts w:hint="eastAsia"/>
        </w:rPr>
      </w:pPr>
      <w:r>
        <w:drawing>
          <wp:inline distT="0" distB="0" distL="0" distR="0">
            <wp:extent cx="5270500" cy="3601720"/>
            <wp:effectExtent l="0" t="0" r="635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5274310" cy="3604147"/>
                    </a:xfrm>
                    <a:prstGeom prst="rect">
                      <a:avLst/>
                    </a:prstGeom>
                  </pic:spPr>
                </pic:pic>
              </a:graphicData>
            </a:graphic>
          </wp:inline>
        </w:drawing>
      </w:r>
    </w:p>
    <w:p w14:paraId="23E59268">
      <w:pPr>
        <w:pStyle w:val="3"/>
        <w:ind w:left="0" w:leftChars="0" w:firstLine="0" w:firstLineChars="0"/>
        <w:rPr>
          <w:rFonts w:hint="eastAsia"/>
        </w:rPr>
      </w:pPr>
      <w:r>
        <w:drawing>
          <wp:inline distT="0" distB="0" distL="0" distR="0">
            <wp:extent cx="5267960" cy="4317365"/>
            <wp:effectExtent l="0" t="0" r="889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9"/>
                    <a:stretch>
                      <a:fillRect/>
                    </a:stretch>
                  </pic:blipFill>
                  <pic:spPr>
                    <a:xfrm>
                      <a:off x="0" y="0"/>
                      <a:ext cx="5274310" cy="4322696"/>
                    </a:xfrm>
                    <a:prstGeom prst="rect">
                      <a:avLst/>
                    </a:prstGeom>
                  </pic:spPr>
                </pic:pic>
              </a:graphicData>
            </a:graphic>
          </wp:inline>
        </w:drawing>
      </w:r>
    </w:p>
    <w:p w14:paraId="4AE33C87">
      <w:pPr>
        <w:pStyle w:val="3"/>
        <w:ind w:left="0" w:leftChars="0" w:firstLine="0" w:firstLineChars="0"/>
        <w:rPr>
          <w:rFonts w:hint="eastAsia"/>
        </w:rPr>
      </w:pPr>
    </w:p>
    <w:p w14:paraId="0A7978B4">
      <w:pPr>
        <w:pStyle w:val="14"/>
        <w:numPr>
          <w:ilvl w:val="0"/>
          <w:numId w:val="4"/>
        </w:numPr>
        <w:adjustRightInd w:val="0"/>
        <w:snapToGrid w:val="0"/>
        <w:spacing w:line="560" w:lineRule="exact"/>
        <w:ind w:leftChars="0"/>
        <w:jc w:val="left"/>
        <w:rPr>
          <w:rFonts w:hint="eastAsia" w:eastAsia="仿宋_GB2312" w:cs="仿宋_GB2312"/>
          <w:sz w:val="32"/>
          <w:szCs w:val="32"/>
        </w:rPr>
      </w:pPr>
      <w:r>
        <w:rPr>
          <w:rFonts w:hint="eastAsia" w:eastAsia="仿宋_GB2312" w:cs="仿宋_GB2312"/>
          <w:sz w:val="32"/>
          <w:szCs w:val="32"/>
        </w:rPr>
        <w:t>一般公共预算财政拨款基本支出决算表</w:t>
      </w:r>
      <w:bookmarkEnd w:id="61"/>
    </w:p>
    <w:p w14:paraId="600EDD8F">
      <w:r>
        <w:drawing>
          <wp:inline distT="0" distB="0" distL="0" distR="0">
            <wp:extent cx="5276850" cy="821309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0"/>
                    <a:stretch>
                      <a:fillRect/>
                    </a:stretch>
                  </pic:blipFill>
                  <pic:spPr>
                    <a:xfrm>
                      <a:off x="0" y="0"/>
                      <a:ext cx="5274310" cy="8209106"/>
                    </a:xfrm>
                    <a:prstGeom prst="rect">
                      <a:avLst/>
                    </a:prstGeom>
                  </pic:spPr>
                </pic:pic>
              </a:graphicData>
            </a:graphic>
          </wp:inline>
        </w:drawing>
      </w:r>
    </w:p>
    <w:p w14:paraId="63427D73">
      <w:pPr>
        <w:pStyle w:val="14"/>
        <w:numPr>
          <w:ilvl w:val="0"/>
          <w:numId w:val="4"/>
        </w:numPr>
        <w:adjustRightInd w:val="0"/>
        <w:snapToGrid w:val="0"/>
        <w:spacing w:line="560" w:lineRule="exact"/>
        <w:ind w:leftChars="0"/>
        <w:jc w:val="left"/>
        <w:rPr>
          <w:rFonts w:hint="eastAsia" w:eastAsia="仿宋_GB2312" w:cs="仿宋_GB2312"/>
          <w:sz w:val="32"/>
          <w:szCs w:val="32"/>
        </w:rPr>
      </w:pPr>
      <w:bookmarkStart w:id="62" w:name="_Toc15396627"/>
      <w:r>
        <w:rPr>
          <w:rFonts w:hint="eastAsia" w:eastAsia="仿宋_GB2312" w:cs="仿宋_GB2312"/>
          <w:sz w:val="32"/>
          <w:szCs w:val="32"/>
        </w:rPr>
        <w:t>一般公共预算财政拨款项目支出决算表</w:t>
      </w:r>
      <w:bookmarkEnd w:id="62"/>
    </w:p>
    <w:p w14:paraId="258AF1A6">
      <w:r>
        <w:drawing>
          <wp:inline distT="0" distB="0" distL="0" distR="0">
            <wp:extent cx="5279390" cy="1955800"/>
            <wp:effectExtent l="0" t="0" r="0" b="635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1"/>
                    <a:stretch>
                      <a:fillRect/>
                    </a:stretch>
                  </pic:blipFill>
                  <pic:spPr>
                    <a:xfrm>
                      <a:off x="0" y="0"/>
                      <a:ext cx="5274310" cy="1954037"/>
                    </a:xfrm>
                    <a:prstGeom prst="rect">
                      <a:avLst/>
                    </a:prstGeom>
                  </pic:spPr>
                </pic:pic>
              </a:graphicData>
            </a:graphic>
          </wp:inline>
        </w:drawing>
      </w:r>
    </w:p>
    <w:p w14:paraId="0D86BDE9">
      <w:pPr>
        <w:pStyle w:val="14"/>
        <w:numPr>
          <w:ilvl w:val="0"/>
          <w:numId w:val="4"/>
        </w:numPr>
        <w:adjustRightInd w:val="0"/>
        <w:snapToGrid w:val="0"/>
        <w:spacing w:line="560" w:lineRule="exact"/>
        <w:ind w:leftChars="0"/>
        <w:jc w:val="left"/>
        <w:rPr>
          <w:rFonts w:hint="eastAsia" w:eastAsia="仿宋_GB2312" w:cs="仿宋_GB2312"/>
          <w:sz w:val="32"/>
          <w:szCs w:val="32"/>
        </w:rPr>
      </w:pPr>
      <w:r>
        <w:rPr>
          <w:rFonts w:hint="eastAsia" w:eastAsia="仿宋_GB2312" w:cs="仿宋_GB2312"/>
          <w:sz w:val="32"/>
          <w:szCs w:val="32"/>
        </w:rPr>
        <w:t>政府性基金预算财政拨款收入支出决算表</w:t>
      </w:r>
    </w:p>
    <w:p w14:paraId="71CB7716">
      <w:r>
        <w:drawing>
          <wp:inline distT="0" distB="0" distL="0" distR="0">
            <wp:extent cx="5279390" cy="1637665"/>
            <wp:effectExtent l="0" t="0" r="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2"/>
                    <a:stretch>
                      <a:fillRect/>
                    </a:stretch>
                  </pic:blipFill>
                  <pic:spPr>
                    <a:xfrm>
                      <a:off x="0" y="0"/>
                      <a:ext cx="5274310" cy="1636306"/>
                    </a:xfrm>
                    <a:prstGeom prst="rect">
                      <a:avLst/>
                    </a:prstGeom>
                  </pic:spPr>
                </pic:pic>
              </a:graphicData>
            </a:graphic>
          </wp:inline>
        </w:drawing>
      </w:r>
    </w:p>
    <w:p w14:paraId="3BDD2D31">
      <w:pPr>
        <w:pStyle w:val="14"/>
        <w:adjustRightInd w:val="0"/>
        <w:snapToGrid w:val="0"/>
        <w:spacing w:line="560" w:lineRule="exact"/>
        <w:jc w:val="left"/>
        <w:rPr>
          <w:rFonts w:hint="eastAsia" w:eastAsia="仿宋_GB2312" w:cs="仿宋_GB2312"/>
          <w:sz w:val="32"/>
          <w:szCs w:val="32"/>
        </w:rPr>
      </w:pPr>
      <w:bookmarkStart w:id="63" w:name="_Toc15396629"/>
      <w:r>
        <w:rPr>
          <w:rFonts w:hint="eastAsia" w:eastAsia="仿宋_GB2312" w:cs="仿宋_GB2312"/>
          <w:sz w:val="32"/>
          <w:szCs w:val="32"/>
        </w:rPr>
        <w:t>十一、</w:t>
      </w:r>
      <w:bookmarkEnd w:id="63"/>
      <w:r>
        <w:rPr>
          <w:rFonts w:hint="eastAsia" w:eastAsia="仿宋_GB2312" w:cs="仿宋_GB2312"/>
          <w:sz w:val="32"/>
          <w:szCs w:val="32"/>
        </w:rPr>
        <w:t>国有资本经营预算财政拨款收入支出决算表</w:t>
      </w:r>
    </w:p>
    <w:p w14:paraId="7A2D2AF6">
      <w:r>
        <w:drawing>
          <wp:inline distT="0" distB="0" distL="0" distR="0">
            <wp:extent cx="5279390" cy="1709420"/>
            <wp:effectExtent l="0" t="0" r="0" b="50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3"/>
                    <a:stretch>
                      <a:fillRect/>
                    </a:stretch>
                  </pic:blipFill>
                  <pic:spPr>
                    <a:xfrm>
                      <a:off x="0" y="0"/>
                      <a:ext cx="5274310" cy="1707797"/>
                    </a:xfrm>
                    <a:prstGeom prst="rect">
                      <a:avLst/>
                    </a:prstGeom>
                  </pic:spPr>
                </pic:pic>
              </a:graphicData>
            </a:graphic>
          </wp:inline>
        </w:drawing>
      </w:r>
    </w:p>
    <w:p w14:paraId="7E7F4211">
      <w:pPr>
        <w:pStyle w:val="14"/>
        <w:adjustRightInd w:val="0"/>
        <w:snapToGrid w:val="0"/>
        <w:spacing w:line="560" w:lineRule="exact"/>
        <w:jc w:val="left"/>
        <w:rPr>
          <w:rFonts w:hint="eastAsia" w:eastAsia="仿宋_GB2312" w:cs="仿宋_GB2312"/>
          <w:sz w:val="32"/>
          <w:szCs w:val="32"/>
        </w:rPr>
      </w:pPr>
      <w:bookmarkStart w:id="64" w:name="_Toc15396630"/>
      <w:r>
        <w:rPr>
          <w:rFonts w:hint="eastAsia" w:eastAsia="仿宋_GB2312" w:cs="仿宋_GB2312"/>
          <w:sz w:val="32"/>
          <w:szCs w:val="32"/>
        </w:rPr>
        <w:t>十二、</w:t>
      </w:r>
      <w:bookmarkEnd w:id="64"/>
      <w:r>
        <w:rPr>
          <w:rFonts w:hint="eastAsia" w:eastAsia="仿宋_GB2312" w:cs="仿宋_GB2312"/>
          <w:sz w:val="32"/>
          <w:szCs w:val="32"/>
        </w:rPr>
        <w:t>国有资本经营预算财政拨款支出决算表</w:t>
      </w:r>
    </w:p>
    <w:p w14:paraId="38CC5EED">
      <w:r>
        <w:drawing>
          <wp:inline distT="0" distB="0" distL="0" distR="0">
            <wp:extent cx="5279390" cy="147066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4"/>
                    <a:stretch>
                      <a:fillRect/>
                    </a:stretch>
                  </pic:blipFill>
                  <pic:spPr>
                    <a:xfrm>
                      <a:off x="0" y="0"/>
                      <a:ext cx="5274310" cy="1469499"/>
                    </a:xfrm>
                    <a:prstGeom prst="rect">
                      <a:avLst/>
                    </a:prstGeom>
                  </pic:spPr>
                </pic:pic>
              </a:graphicData>
            </a:graphic>
          </wp:inline>
        </w:drawing>
      </w:r>
    </w:p>
    <w:p w14:paraId="04842B7C">
      <w:pPr>
        <w:pStyle w:val="14"/>
        <w:adjustRightInd w:val="0"/>
        <w:snapToGrid w:val="0"/>
        <w:spacing w:line="560" w:lineRule="exact"/>
        <w:jc w:val="left"/>
        <w:rPr>
          <w:rFonts w:eastAsia="仿宋_GB2312" w:cs="仿宋_GB2312"/>
          <w:sz w:val="32"/>
          <w:szCs w:val="32"/>
        </w:rPr>
      </w:pPr>
      <w:bookmarkStart w:id="65" w:name="_Toc15396631"/>
      <w:r>
        <w:rPr>
          <w:rFonts w:hint="eastAsia" w:eastAsia="仿宋_GB2312" w:cs="仿宋_GB2312"/>
          <w:sz w:val="32"/>
          <w:szCs w:val="32"/>
        </w:rPr>
        <w:t>十三、</w:t>
      </w:r>
      <w:bookmarkEnd w:id="65"/>
      <w:r>
        <w:rPr>
          <w:rFonts w:hint="eastAsia" w:eastAsia="仿宋_GB2312" w:cs="仿宋_GB2312"/>
          <w:sz w:val="32"/>
          <w:szCs w:val="32"/>
        </w:rPr>
        <w:t>财政拨款“三公”经费支出决算表</w:t>
      </w:r>
    </w:p>
    <w:p w14:paraId="33154083">
      <w:r>
        <w:drawing>
          <wp:inline distT="0" distB="0" distL="0" distR="0">
            <wp:extent cx="5269865" cy="3211830"/>
            <wp:effectExtent l="0" t="0" r="6985" b="762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5"/>
                    <a:stretch>
                      <a:fillRect/>
                    </a:stretch>
                  </pic:blipFill>
                  <pic:spPr>
                    <a:xfrm>
                      <a:off x="0" y="0"/>
                      <a:ext cx="5274310" cy="3214675"/>
                    </a:xfrm>
                    <a:prstGeom prst="rect">
                      <a:avLst/>
                    </a:prstGeom>
                  </pic:spPr>
                </pic:pic>
              </a:graphicData>
            </a:graphic>
          </wp:inline>
        </w:drawing>
      </w: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crosoft Himalaya">
    <w:panose1 w:val="01010100010101010101"/>
    <w:charset w:val="00"/>
    <w:family w:val="auto"/>
    <w:pitch w:val="default"/>
    <w:sig w:usb0="80000003" w:usb1="00010000" w:usb2="00000040" w:usb3="00000000" w:csb0="00000001" w:csb1="00000000"/>
  </w:font>
  <w:font w:name="楷体">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82974">
    <w:pPr>
      <w:pStyle w:val="11"/>
      <w:jc w:val="center"/>
    </w:pPr>
  </w:p>
  <w:p w14:paraId="205D44AE">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2782318"/>
      <w:docPartObj>
        <w:docPartGallery w:val="autotext"/>
      </w:docPartObj>
    </w:sdtPr>
    <w:sdtContent>
      <w:p w14:paraId="779033E0">
        <w:pPr>
          <w:pStyle w:val="11"/>
          <w:jc w:val="center"/>
        </w:pPr>
        <w:r>
          <w:fldChar w:fldCharType="begin"/>
        </w:r>
        <w:r>
          <w:instrText xml:space="preserve">PAGE   \* MERGEFORMAT</w:instrText>
        </w:r>
        <w:r>
          <w:fldChar w:fldCharType="separate"/>
        </w:r>
        <w:r>
          <w:rPr>
            <w:lang w:val="zh-CN"/>
          </w:rPr>
          <w:t>-</w:t>
        </w:r>
        <w:r>
          <w:t xml:space="preserve"> 4 -</w:t>
        </w:r>
        <w:r>
          <w:fldChar w:fldCharType="end"/>
        </w:r>
      </w:p>
    </w:sdtContent>
  </w:sdt>
  <w:p w14:paraId="5C0F5C43">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3836442"/>
      <w:docPartObj>
        <w:docPartGallery w:val="autotext"/>
      </w:docPartObj>
    </w:sdtPr>
    <w:sdtContent>
      <w:p w14:paraId="1FEEEFCA">
        <w:pPr>
          <w:pStyle w:val="11"/>
          <w:jc w:val="center"/>
        </w:pPr>
        <w:r>
          <w:fldChar w:fldCharType="begin"/>
        </w:r>
        <w:r>
          <w:instrText xml:space="preserve">PAGE   \* MERGEFORMAT</w:instrText>
        </w:r>
        <w:r>
          <w:fldChar w:fldCharType="separate"/>
        </w:r>
        <w:r>
          <w:rPr>
            <w:lang w:val="zh-CN"/>
          </w:rPr>
          <w:t>-</w:t>
        </w:r>
        <w:r>
          <w:t xml:space="preserve"> 1 -</w:t>
        </w:r>
        <w:r>
          <w:fldChar w:fldCharType="end"/>
        </w:r>
      </w:p>
    </w:sdtContent>
  </w:sdt>
  <w:p w14:paraId="3C53598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4B386">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C46DF5"/>
    <w:multiLevelType w:val="multilevel"/>
    <w:tmpl w:val="17C46DF5"/>
    <w:lvl w:ilvl="0" w:tentative="0">
      <w:start w:val="2"/>
      <w:numFmt w:val="japaneseCounting"/>
      <w:lvlText w:val="%1、"/>
      <w:lvlJc w:val="left"/>
      <w:pPr>
        <w:ind w:left="720" w:hanging="720"/>
      </w:pPr>
      <w:rPr>
        <w:rFonts w:hint="eastAsia" w:ascii="仿宋_GB2312" w:eastAsia="仿宋_GB2312" w:cs="Times New Roman"/>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F82BF1"/>
    <w:multiLevelType w:val="multilevel"/>
    <w:tmpl w:val="2EF82BF1"/>
    <w:lvl w:ilvl="0" w:tentative="0">
      <w:start w:val="1"/>
      <w:numFmt w:val="japaneseCounting"/>
      <w:lvlText w:val="%1、"/>
      <w:lvlJc w:val="left"/>
      <w:pPr>
        <w:ind w:left="1300" w:hanging="6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2A23D2E"/>
    <w:multiLevelType w:val="multilevel"/>
    <w:tmpl w:val="32A23D2E"/>
    <w:lvl w:ilvl="0" w:tentative="0">
      <w:start w:val="1"/>
      <w:numFmt w:val="decimal"/>
      <w:lvlText w:val="%1."/>
      <w:lvlJc w:val="left"/>
      <w:pPr>
        <w:ind w:left="970" w:hanging="33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69506E1F"/>
    <w:multiLevelType w:val="multilevel"/>
    <w:tmpl w:val="69506E1F"/>
    <w:lvl w:ilvl="0" w:tentative="0">
      <w:start w:val="1"/>
      <w:numFmt w:val="none"/>
      <w:lvlText w:val="一、"/>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2D7F"/>
    <w:rsid w:val="000768F2"/>
    <w:rsid w:val="00082442"/>
    <w:rsid w:val="000915C4"/>
    <w:rsid w:val="0009184B"/>
    <w:rsid w:val="00094236"/>
    <w:rsid w:val="0009593C"/>
    <w:rsid w:val="00095B1E"/>
    <w:rsid w:val="00097322"/>
    <w:rsid w:val="000A6A92"/>
    <w:rsid w:val="000B047F"/>
    <w:rsid w:val="000B5923"/>
    <w:rsid w:val="000B5A48"/>
    <w:rsid w:val="000B6FF3"/>
    <w:rsid w:val="000C3467"/>
    <w:rsid w:val="000C3CA6"/>
    <w:rsid w:val="000D1267"/>
    <w:rsid w:val="000D1D50"/>
    <w:rsid w:val="000D5782"/>
    <w:rsid w:val="000E6613"/>
    <w:rsid w:val="000E7119"/>
    <w:rsid w:val="001003F5"/>
    <w:rsid w:val="00112A40"/>
    <w:rsid w:val="00114E9B"/>
    <w:rsid w:val="00142216"/>
    <w:rsid w:val="00144D6A"/>
    <w:rsid w:val="00145E15"/>
    <w:rsid w:val="0014729F"/>
    <w:rsid w:val="00157BAB"/>
    <w:rsid w:val="00157E98"/>
    <w:rsid w:val="001654D1"/>
    <w:rsid w:val="00174518"/>
    <w:rsid w:val="0018106D"/>
    <w:rsid w:val="001877A7"/>
    <w:rsid w:val="00191536"/>
    <w:rsid w:val="00196687"/>
    <w:rsid w:val="001A2300"/>
    <w:rsid w:val="001C0962"/>
    <w:rsid w:val="001D7531"/>
    <w:rsid w:val="001E6FC1"/>
    <w:rsid w:val="001E737D"/>
    <w:rsid w:val="001F0592"/>
    <w:rsid w:val="001F7506"/>
    <w:rsid w:val="002006CD"/>
    <w:rsid w:val="00202B36"/>
    <w:rsid w:val="002039CD"/>
    <w:rsid w:val="00204B7A"/>
    <w:rsid w:val="00204CDE"/>
    <w:rsid w:val="0021101A"/>
    <w:rsid w:val="00220536"/>
    <w:rsid w:val="00235629"/>
    <w:rsid w:val="00250880"/>
    <w:rsid w:val="00251729"/>
    <w:rsid w:val="00260C38"/>
    <w:rsid w:val="002616C0"/>
    <w:rsid w:val="00265372"/>
    <w:rsid w:val="002662AA"/>
    <w:rsid w:val="00280496"/>
    <w:rsid w:val="00294DC9"/>
    <w:rsid w:val="00295495"/>
    <w:rsid w:val="002A31DE"/>
    <w:rsid w:val="002B2613"/>
    <w:rsid w:val="002B3B63"/>
    <w:rsid w:val="002D6D05"/>
    <w:rsid w:val="002F1818"/>
    <w:rsid w:val="002F567B"/>
    <w:rsid w:val="003216A9"/>
    <w:rsid w:val="0032171C"/>
    <w:rsid w:val="00322A5E"/>
    <w:rsid w:val="00335A74"/>
    <w:rsid w:val="0036561B"/>
    <w:rsid w:val="0037013F"/>
    <w:rsid w:val="00380C92"/>
    <w:rsid w:val="003A484F"/>
    <w:rsid w:val="003A4883"/>
    <w:rsid w:val="003B0BE0"/>
    <w:rsid w:val="003B0C1B"/>
    <w:rsid w:val="003B35CF"/>
    <w:rsid w:val="003B688C"/>
    <w:rsid w:val="003C0291"/>
    <w:rsid w:val="003C39AE"/>
    <w:rsid w:val="003C7B60"/>
    <w:rsid w:val="003D0C0F"/>
    <w:rsid w:val="003D1FB2"/>
    <w:rsid w:val="003D66DA"/>
    <w:rsid w:val="003E1310"/>
    <w:rsid w:val="003E6F55"/>
    <w:rsid w:val="003F3ECE"/>
    <w:rsid w:val="00400861"/>
    <w:rsid w:val="0040129F"/>
    <w:rsid w:val="00406254"/>
    <w:rsid w:val="004223DE"/>
    <w:rsid w:val="00434489"/>
    <w:rsid w:val="00437085"/>
    <w:rsid w:val="00443880"/>
    <w:rsid w:val="004464F4"/>
    <w:rsid w:val="00471401"/>
    <w:rsid w:val="00473F31"/>
    <w:rsid w:val="00474B29"/>
    <w:rsid w:val="0048263A"/>
    <w:rsid w:val="00484930"/>
    <w:rsid w:val="00487E5D"/>
    <w:rsid w:val="004A711F"/>
    <w:rsid w:val="004B199D"/>
    <w:rsid w:val="004B4690"/>
    <w:rsid w:val="004B78CA"/>
    <w:rsid w:val="004E0A2D"/>
    <w:rsid w:val="004E206B"/>
    <w:rsid w:val="004E6DF7"/>
    <w:rsid w:val="004F0FBD"/>
    <w:rsid w:val="00505A47"/>
    <w:rsid w:val="00512FDA"/>
    <w:rsid w:val="00520DA0"/>
    <w:rsid w:val="00542B37"/>
    <w:rsid w:val="00550998"/>
    <w:rsid w:val="005513C9"/>
    <w:rsid w:val="0055538A"/>
    <w:rsid w:val="005664BB"/>
    <w:rsid w:val="00566FFA"/>
    <w:rsid w:val="0057481D"/>
    <w:rsid w:val="0058486E"/>
    <w:rsid w:val="00585B33"/>
    <w:rsid w:val="0059014D"/>
    <w:rsid w:val="005B342D"/>
    <w:rsid w:val="005B5C64"/>
    <w:rsid w:val="005C5337"/>
    <w:rsid w:val="005C6BD0"/>
    <w:rsid w:val="005C7C52"/>
    <w:rsid w:val="005D1C8B"/>
    <w:rsid w:val="005D468D"/>
    <w:rsid w:val="005D5CED"/>
    <w:rsid w:val="005F1A4C"/>
    <w:rsid w:val="005F2847"/>
    <w:rsid w:val="005F4BAC"/>
    <w:rsid w:val="00605688"/>
    <w:rsid w:val="006070AF"/>
    <w:rsid w:val="00607E6C"/>
    <w:rsid w:val="006101B1"/>
    <w:rsid w:val="00614E44"/>
    <w:rsid w:val="0062270A"/>
    <w:rsid w:val="00622830"/>
    <w:rsid w:val="00623C57"/>
    <w:rsid w:val="00623DA0"/>
    <w:rsid w:val="00630AEF"/>
    <w:rsid w:val="006325F8"/>
    <w:rsid w:val="00633463"/>
    <w:rsid w:val="00634C9A"/>
    <w:rsid w:val="006440E4"/>
    <w:rsid w:val="00655A03"/>
    <w:rsid w:val="0066343B"/>
    <w:rsid w:val="00664777"/>
    <w:rsid w:val="006671A9"/>
    <w:rsid w:val="006748A4"/>
    <w:rsid w:val="00681A31"/>
    <w:rsid w:val="00683E73"/>
    <w:rsid w:val="006A3141"/>
    <w:rsid w:val="006A5E34"/>
    <w:rsid w:val="006B2422"/>
    <w:rsid w:val="006B2B9A"/>
    <w:rsid w:val="006C1937"/>
    <w:rsid w:val="006E005F"/>
    <w:rsid w:val="006F020C"/>
    <w:rsid w:val="007127B7"/>
    <w:rsid w:val="0071798E"/>
    <w:rsid w:val="007374C0"/>
    <w:rsid w:val="007416B6"/>
    <w:rsid w:val="00746F48"/>
    <w:rsid w:val="00747518"/>
    <w:rsid w:val="0075404D"/>
    <w:rsid w:val="00754788"/>
    <w:rsid w:val="007562FE"/>
    <w:rsid w:val="0076182A"/>
    <w:rsid w:val="00767B7E"/>
    <w:rsid w:val="007770C3"/>
    <w:rsid w:val="00784D24"/>
    <w:rsid w:val="00785FBA"/>
    <w:rsid w:val="00786E4A"/>
    <w:rsid w:val="007875EB"/>
    <w:rsid w:val="0079426B"/>
    <w:rsid w:val="007A3936"/>
    <w:rsid w:val="007D1682"/>
    <w:rsid w:val="007D312A"/>
    <w:rsid w:val="007D34E9"/>
    <w:rsid w:val="007D3F19"/>
    <w:rsid w:val="007E23B0"/>
    <w:rsid w:val="007E23E5"/>
    <w:rsid w:val="007E6EB3"/>
    <w:rsid w:val="007F0280"/>
    <w:rsid w:val="007F1991"/>
    <w:rsid w:val="007F2C2F"/>
    <w:rsid w:val="007F55FC"/>
    <w:rsid w:val="007F5665"/>
    <w:rsid w:val="00800112"/>
    <w:rsid w:val="00803A70"/>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B7839"/>
    <w:rsid w:val="008C4DB1"/>
    <w:rsid w:val="008C4EAF"/>
    <w:rsid w:val="008C5176"/>
    <w:rsid w:val="008C7FD0"/>
    <w:rsid w:val="008E1DE7"/>
    <w:rsid w:val="008E707C"/>
    <w:rsid w:val="00900B08"/>
    <w:rsid w:val="00902155"/>
    <w:rsid w:val="00902FA3"/>
    <w:rsid w:val="009135A0"/>
    <w:rsid w:val="00923564"/>
    <w:rsid w:val="0092392E"/>
    <w:rsid w:val="009315F9"/>
    <w:rsid w:val="00933499"/>
    <w:rsid w:val="009343E3"/>
    <w:rsid w:val="00935C98"/>
    <w:rsid w:val="00946945"/>
    <w:rsid w:val="00951248"/>
    <w:rsid w:val="0095152F"/>
    <w:rsid w:val="00954C49"/>
    <w:rsid w:val="00955E37"/>
    <w:rsid w:val="00967F94"/>
    <w:rsid w:val="0097099F"/>
    <w:rsid w:val="00971997"/>
    <w:rsid w:val="00971FFC"/>
    <w:rsid w:val="00985EF5"/>
    <w:rsid w:val="0098660A"/>
    <w:rsid w:val="009931C3"/>
    <w:rsid w:val="009B2C43"/>
    <w:rsid w:val="009B4EAE"/>
    <w:rsid w:val="009B7573"/>
    <w:rsid w:val="009C22F4"/>
    <w:rsid w:val="009C2A4B"/>
    <w:rsid w:val="009C2E98"/>
    <w:rsid w:val="009D3447"/>
    <w:rsid w:val="009D4711"/>
    <w:rsid w:val="009E3972"/>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759A8"/>
    <w:rsid w:val="00A90E54"/>
    <w:rsid w:val="00A91760"/>
    <w:rsid w:val="00A93B00"/>
    <w:rsid w:val="00A93C21"/>
    <w:rsid w:val="00AB64C9"/>
    <w:rsid w:val="00AC3C6A"/>
    <w:rsid w:val="00AD027E"/>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2"/>
    <w:rsid w:val="00B81598"/>
    <w:rsid w:val="00B841F1"/>
    <w:rsid w:val="00B944D6"/>
    <w:rsid w:val="00B97D98"/>
    <w:rsid w:val="00BA5673"/>
    <w:rsid w:val="00BB4DF0"/>
    <w:rsid w:val="00BB64A1"/>
    <w:rsid w:val="00BC289F"/>
    <w:rsid w:val="00BC2D50"/>
    <w:rsid w:val="00BC5361"/>
    <w:rsid w:val="00BC5460"/>
    <w:rsid w:val="00BC6B50"/>
    <w:rsid w:val="00BD02CE"/>
    <w:rsid w:val="00BD0E25"/>
    <w:rsid w:val="00BF5BD6"/>
    <w:rsid w:val="00C03E31"/>
    <w:rsid w:val="00C067BE"/>
    <w:rsid w:val="00C33E72"/>
    <w:rsid w:val="00C354B2"/>
    <w:rsid w:val="00C35554"/>
    <w:rsid w:val="00C42709"/>
    <w:rsid w:val="00C44824"/>
    <w:rsid w:val="00C52DE7"/>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75CE7"/>
    <w:rsid w:val="00DA634F"/>
    <w:rsid w:val="00DA65AC"/>
    <w:rsid w:val="00DB1913"/>
    <w:rsid w:val="00DB2554"/>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161F"/>
    <w:rsid w:val="00E64269"/>
    <w:rsid w:val="00E80A05"/>
    <w:rsid w:val="00E82267"/>
    <w:rsid w:val="00E853CE"/>
    <w:rsid w:val="00E867B6"/>
    <w:rsid w:val="00EA010F"/>
    <w:rsid w:val="00ED1B63"/>
    <w:rsid w:val="00ED3C1F"/>
    <w:rsid w:val="00ED4085"/>
    <w:rsid w:val="00ED420E"/>
    <w:rsid w:val="00ED6BCB"/>
    <w:rsid w:val="00ED6FBE"/>
    <w:rsid w:val="00EE2F57"/>
    <w:rsid w:val="00EF4C34"/>
    <w:rsid w:val="00EF5AF7"/>
    <w:rsid w:val="00EF77C6"/>
    <w:rsid w:val="00F05438"/>
    <w:rsid w:val="00F1361C"/>
    <w:rsid w:val="00F156F0"/>
    <w:rsid w:val="00F160C7"/>
    <w:rsid w:val="00F2408F"/>
    <w:rsid w:val="00F240E9"/>
    <w:rsid w:val="00F36D8F"/>
    <w:rsid w:val="00F417B1"/>
    <w:rsid w:val="00F41E1F"/>
    <w:rsid w:val="00F45853"/>
    <w:rsid w:val="00F5005A"/>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10B7D95"/>
    <w:rsid w:val="537E6D0A"/>
    <w:rsid w:val="53F74C96"/>
    <w:rsid w:val="55170BA8"/>
    <w:rsid w:val="553218C9"/>
    <w:rsid w:val="567E1AA5"/>
    <w:rsid w:val="56E47B74"/>
    <w:rsid w:val="56E707AF"/>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152C6"/>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customXml" Target="../customXml/item1.xml"/><Relationship Id="rId36" Type="http://schemas.openxmlformats.org/officeDocument/2006/relationships/numbering" Target="numbering.xml"/><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png"/><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header" Target="head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oleObject" Target="embeddings/oleObject1.bin"/><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收入、支出决算总计变动情况图</c:v>
                </c:pt>
              </c:strCache>
            </c:strRef>
          </c:tx>
          <c:invertIfNegative val="0"/>
          <c:dLbls>
            <c:delete val="1"/>
          </c:dLbls>
          <c:cat>
            <c:strRef>
              <c:f>Sheet1!$A$2:$A$5</c:f>
              <c:strCache>
                <c:ptCount val="4"/>
                <c:pt idx="0">
                  <c:v>2023年收入</c:v>
                </c:pt>
                <c:pt idx="1">
                  <c:v>2024年收入</c:v>
                </c:pt>
                <c:pt idx="2">
                  <c:v>2023年支出</c:v>
                </c:pt>
                <c:pt idx="3">
                  <c:v>2024年支出</c:v>
                </c:pt>
              </c:strCache>
            </c:strRef>
          </c:cat>
          <c:val>
            <c:numRef>
              <c:f>Sheet1!$B$2:$B$5</c:f>
              <c:numCache>
                <c:formatCode>General</c:formatCode>
                <c:ptCount val="4"/>
                <c:pt idx="0">
                  <c:v>1737.34</c:v>
                </c:pt>
                <c:pt idx="1">
                  <c:v>1132.47</c:v>
                </c:pt>
                <c:pt idx="2">
                  <c:v>1737.34</c:v>
                </c:pt>
                <c:pt idx="3">
                  <c:v>1132.47</c:v>
                </c:pt>
              </c:numCache>
            </c:numRef>
          </c:val>
        </c:ser>
        <c:dLbls>
          <c:showLegendKey val="0"/>
          <c:showVal val="0"/>
          <c:showCatName val="0"/>
          <c:showSerName val="0"/>
          <c:showPercent val="0"/>
          <c:showBubbleSize val="0"/>
        </c:dLbls>
        <c:gapWidth val="150"/>
        <c:axId val="409988480"/>
        <c:axId val="439920896"/>
      </c:barChart>
      <c:catAx>
        <c:axId val="40998848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39920896"/>
        <c:crosses val="autoZero"/>
        <c:auto val="1"/>
        <c:lblAlgn val="ctr"/>
        <c:lblOffset val="100"/>
        <c:noMultiLvlLbl val="0"/>
      </c:catAx>
      <c:valAx>
        <c:axId val="43992089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0998848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ae180f71-7114-43db-b175-346d9014bb33}"/>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Pt>
            <c:idx val="1"/>
            <c:bubble3D val="0"/>
          </c:dPt>
          <c:dLbls>
            <c:delete val="1"/>
          </c:dLbls>
          <c:cat>
            <c:strRef>
              <c:f>Sheet1!$A$2:$A$3</c:f>
              <c:strCache>
                <c:ptCount val="2"/>
                <c:pt idx="0">
                  <c:v>一般公共预算财政拨款收入</c:v>
                </c:pt>
                <c:pt idx="1">
                  <c:v>其他收入</c:v>
                </c:pt>
              </c:strCache>
            </c:strRef>
          </c:cat>
          <c:val>
            <c:numRef>
              <c:f>Sheet1!$B$2:$B$3</c:f>
              <c:numCache>
                <c:formatCode>General</c:formatCode>
                <c:ptCount val="2"/>
                <c:pt idx="0">
                  <c:v>1117.87</c:v>
                </c:pt>
                <c:pt idx="1">
                  <c:v>21.9</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d72f0acf-6382-41f7-a685-eead06fe7f61}"/>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Lbls>
            <c:delete val="1"/>
          </c:dLbls>
          <c:cat>
            <c:strRef>
              <c:f>Sheet1!$A$2:$A$3</c:f>
              <c:strCache>
                <c:ptCount val="2"/>
                <c:pt idx="0">
                  <c:v>基本支出</c:v>
                </c:pt>
                <c:pt idx="1">
                  <c:v>项目支出</c:v>
                </c:pt>
              </c:strCache>
            </c:strRef>
          </c:cat>
          <c:val>
            <c:numRef>
              <c:f>Sheet1!$B$2:$B$3</c:f>
              <c:numCache>
                <c:formatCode>General</c:formatCode>
                <c:ptCount val="2"/>
                <c:pt idx="0">
                  <c:v>787.15</c:v>
                </c:pt>
                <c:pt idx="1">
                  <c:v>325.92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ab10e839-79aa-48a5-a18b-377e32eddf18}"/>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财政拨款收、支决算总计变动情况</c:v>
                </c:pt>
              </c:strCache>
            </c:strRef>
          </c:tx>
          <c:invertIfNegative val="0"/>
          <c:dLbls>
            <c:delete val="1"/>
          </c:dLbls>
          <c:cat>
            <c:strRef>
              <c:f>Sheet1!$A$2:$A$5</c:f>
              <c:strCache>
                <c:ptCount val="4"/>
                <c:pt idx="0">
                  <c:v>2024年度财政拨款收入</c:v>
                </c:pt>
                <c:pt idx="1">
                  <c:v>2023年度财政拨款收入</c:v>
                </c:pt>
                <c:pt idx="2">
                  <c:v>2024年度财政拨款支出</c:v>
                </c:pt>
                <c:pt idx="3">
                  <c:v>2023年度财政拨款支出</c:v>
                </c:pt>
              </c:strCache>
            </c:strRef>
          </c:cat>
          <c:val>
            <c:numRef>
              <c:f>Sheet1!$B$2:$B$5</c:f>
              <c:numCache>
                <c:formatCode>General</c:formatCode>
                <c:ptCount val="4"/>
                <c:pt idx="0">
                  <c:v>1095.97</c:v>
                </c:pt>
                <c:pt idx="1">
                  <c:v>1714.8</c:v>
                </c:pt>
                <c:pt idx="2">
                  <c:v>1095.97</c:v>
                </c:pt>
                <c:pt idx="3">
                  <c:v>1714.8</c:v>
                </c:pt>
              </c:numCache>
            </c:numRef>
          </c:val>
        </c:ser>
        <c:dLbls>
          <c:showLegendKey val="0"/>
          <c:showVal val="0"/>
          <c:showCatName val="0"/>
          <c:showSerName val="0"/>
          <c:showPercent val="0"/>
          <c:showBubbleSize val="0"/>
        </c:dLbls>
        <c:gapWidth val="150"/>
        <c:axId val="312945664"/>
        <c:axId val="511456000"/>
      </c:barChart>
      <c:catAx>
        <c:axId val="3129456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11456000"/>
        <c:crosses val="autoZero"/>
        <c:auto val="1"/>
        <c:lblAlgn val="ctr"/>
        <c:lblOffset val="100"/>
        <c:noMultiLvlLbl val="0"/>
      </c:catAx>
      <c:valAx>
        <c:axId val="5114560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1294566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f6c42b5-84b5-4a1d-a957-a688778838de}"/>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invertIfNegative val="0"/>
          <c:dLbls>
            <c:delete val="1"/>
          </c:dLbls>
          <c:cat>
            <c:strRef>
              <c:f>Sheet1!$A$2:$A$3</c:f>
              <c:strCache>
                <c:ptCount val="2"/>
                <c:pt idx="0">
                  <c:v>2024年度支出</c:v>
                </c:pt>
                <c:pt idx="1">
                  <c:v>2023年度支出</c:v>
                </c:pt>
              </c:strCache>
            </c:strRef>
          </c:cat>
          <c:val>
            <c:numRef>
              <c:f>Sheet1!$B$2:$B$3</c:f>
              <c:numCache>
                <c:formatCode>General</c:formatCode>
                <c:ptCount val="2"/>
                <c:pt idx="0">
                  <c:v>1095.97</c:v>
                </c:pt>
                <c:pt idx="1">
                  <c:v>1714.8</c:v>
                </c:pt>
              </c:numCache>
            </c:numRef>
          </c:val>
        </c:ser>
        <c:dLbls>
          <c:showLegendKey val="0"/>
          <c:showVal val="0"/>
          <c:showCatName val="0"/>
          <c:showSerName val="0"/>
          <c:showPercent val="0"/>
          <c:showBubbleSize val="0"/>
        </c:dLbls>
        <c:gapWidth val="150"/>
        <c:axId val="645874432"/>
        <c:axId val="645875968"/>
      </c:barChart>
      <c:catAx>
        <c:axId val="64587443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45875968"/>
        <c:crosses val="autoZero"/>
        <c:auto val="1"/>
        <c:lblAlgn val="ctr"/>
        <c:lblOffset val="100"/>
        <c:noMultiLvlLbl val="0"/>
      </c:catAx>
      <c:valAx>
        <c:axId val="6458759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4587443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4743dd14-e756-472c-9679-44b5d908b2d2}"/>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937.17</c:v>
                </c:pt>
                <c:pt idx="1">
                  <c:v>80.11</c:v>
                </c:pt>
                <c:pt idx="2">
                  <c:v>35.01</c:v>
                </c:pt>
                <c:pt idx="3">
                  <c:v>43.67</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012d4901-96cc-460b-a29e-cb3521c5cb63}"/>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Pt>
            <c:idx val="2"/>
            <c:bubble3D val="0"/>
          </c:dPt>
          <c:dLbls>
            <c:delete val="1"/>
          </c:dLbls>
          <c:cat>
            <c:strRef>
              <c:f>Sheet1!$A$2:$A$4</c:f>
              <c:strCache>
                <c:ptCount val="3"/>
                <c:pt idx="0">
                  <c:v>公务用车购置及运行维护费支出</c:v>
                </c:pt>
                <c:pt idx="1">
                  <c:v>公务接待费</c:v>
                </c:pt>
                <c:pt idx="2">
                  <c:v>因公出国（境）费支出</c:v>
                </c:pt>
              </c:strCache>
            </c:strRef>
          </c:cat>
          <c:val>
            <c:numRef>
              <c:f>Sheet1!$B$2:$B$4</c:f>
              <c:numCache>
                <c:formatCode>General</c:formatCode>
                <c:ptCount val="3"/>
                <c:pt idx="0">
                  <c:v>19.37</c:v>
                </c:pt>
                <c:pt idx="1">
                  <c:v>0.25</c:v>
                </c:pt>
                <c:pt idx="2">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f3d12d29-1ddf-48d5-b7bd-ce387f16d769}"/>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CE837-E8D2-47FE-8432-56CB21596350}">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42</Pages>
  <Words>10398</Words>
  <Characters>12151</Characters>
  <Lines>90</Lines>
  <Paragraphs>25</Paragraphs>
  <TotalTime>963</TotalTime>
  <ScaleCrop>false</ScaleCrop>
  <LinksUpToDate>false</LinksUpToDate>
  <CharactersWithSpaces>12194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2025-09-04T08:39:00Z</dcterms:created>
  <dc:creator>曹颖</dc:creator>
  <cp:lastModifiedBy>杨&amp;羊</cp:lastModifiedBy>
  <cp:lastPrinted>2025-08-06T17:34:00Z</cp:lastPrinted>
  <dcterms:modified xsi:type="dcterms:W3CDTF">2026-04-20T03:02:43Z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04787F2533EB45DC91BCDE4AB213247F</vt:lpwstr>
  </property>
  <property fmtid="{D5CDD505-2E9C-101B-9397-08002B2CF9AE}" pid="4" name="KSOTemplateDocerSaveRecord">
    <vt:lpwstr>eyJoZGlkIjoiNjdjZmI4ZmM5NTdjMTE3MWE3Nzc4YTEzMTRmNmIxNWQiLCJ1c2VySWQiOiI4MzUyNTgyNjYifQ==</vt:lpwstr>
  </property>
</Properties>
</file>