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15EF6">
      <w:pPr>
        <w:spacing w:before="0" w:after="0" w:line="600" w:lineRule="exact"/>
        <w:jc w:val="both"/>
        <w:rPr>
          <w:rFonts w:hint="default" w:ascii="Times New Roman" w:hAnsi="Times New Roman" w:cs="Times New Roman"/>
        </w:rPr>
      </w:pPr>
    </w:p>
    <w:p w14:paraId="3B15035D">
      <w:pPr>
        <w:spacing w:before="0" w:after="0" w:line="600" w:lineRule="exact"/>
        <w:jc w:val="both"/>
        <w:rPr>
          <w:rFonts w:hint="default" w:ascii="Times New Roman" w:hAnsi="Times New Roman" w:cs="Times New Roman"/>
        </w:rPr>
      </w:pPr>
    </w:p>
    <w:p w14:paraId="69863D26">
      <w:pPr>
        <w:spacing w:before="0" w:after="0" w:line="600" w:lineRule="exact"/>
        <w:jc w:val="both"/>
        <w:rPr>
          <w:rFonts w:hint="default" w:ascii="Times New Roman" w:hAnsi="Times New Roman" w:cs="Times New Roman"/>
        </w:rPr>
      </w:pPr>
    </w:p>
    <w:p w14:paraId="1F29A69D">
      <w:pPr>
        <w:spacing w:before="0" w:after="0" w:line="600" w:lineRule="exact"/>
        <w:jc w:val="both"/>
        <w:rPr>
          <w:rFonts w:hint="default" w:ascii="Times New Roman" w:hAnsi="Times New Roman" w:cs="Times New Roman"/>
        </w:rPr>
      </w:pPr>
    </w:p>
    <w:p w14:paraId="7EF05841">
      <w:pPr>
        <w:spacing w:before="0" w:after="0" w:line="600" w:lineRule="exact"/>
        <w:jc w:val="both"/>
        <w:rPr>
          <w:rFonts w:hint="default" w:ascii="Times New Roman" w:hAnsi="Times New Roman" w:cs="Times New Roman"/>
        </w:rPr>
      </w:pPr>
    </w:p>
    <w:p w14:paraId="03ED1D74">
      <w:pPr>
        <w:spacing w:before="0" w:after="0" w:line="600" w:lineRule="exact"/>
        <w:jc w:val="both"/>
        <w:rPr>
          <w:rFonts w:hint="default" w:ascii="Times New Roman" w:hAnsi="Times New Roman" w:cs="Times New Roman"/>
        </w:rPr>
      </w:pPr>
    </w:p>
    <w:p w14:paraId="607D42ED">
      <w:pPr>
        <w:spacing w:before="0" w:after="0" w:line="600" w:lineRule="exact"/>
        <w:jc w:val="both"/>
        <w:rPr>
          <w:rFonts w:hint="default" w:ascii="Times New Roman" w:hAnsi="Times New Roman" w:cs="Times New Roman"/>
        </w:rPr>
      </w:pPr>
    </w:p>
    <w:p w14:paraId="5631C551">
      <w:pPr>
        <w:spacing w:before="0" w:after="0" w:line="600" w:lineRule="exact"/>
        <w:jc w:val="both"/>
        <w:rPr>
          <w:rFonts w:hint="default" w:ascii="Times New Roman" w:hAnsi="Times New Roman" w:cs="Times New Roman"/>
        </w:rPr>
      </w:pPr>
    </w:p>
    <w:p w14:paraId="13AADAF2">
      <w:pPr>
        <w:spacing w:before="0" w:after="120" w:line="240" w:lineRule="auto"/>
        <w:jc w:val="center"/>
        <w:rPr>
          <w:rFonts w:hint="default" w:ascii="Times New Roman" w:hAnsi="Times New Roman" w:eastAsia="方正小标宋简体" w:cs="Times New Roman"/>
          <w:b w:val="0"/>
          <w:sz w:val="72"/>
          <w:szCs w:val="72"/>
        </w:rPr>
      </w:pPr>
      <w:r>
        <w:rPr>
          <w:rFonts w:hint="default" w:ascii="Times New Roman" w:hAnsi="Times New Roman" w:eastAsia="方正小标宋简体" w:cs="Times New Roman"/>
          <w:b w:val="0"/>
          <w:sz w:val="72"/>
          <w:szCs w:val="72"/>
        </w:rPr>
        <w:t>2025年度</w:t>
      </w:r>
    </w:p>
    <w:p w14:paraId="778D3469">
      <w:pPr>
        <w:spacing w:before="0" w:after="120" w:line="240" w:lineRule="auto"/>
        <w:jc w:val="center"/>
        <w:rPr>
          <w:rFonts w:hint="default" w:ascii="Times New Roman" w:hAnsi="Times New Roman" w:eastAsia="方正小标宋简体" w:cs="Times New Roman"/>
          <w:b w:val="0"/>
          <w:sz w:val="72"/>
          <w:szCs w:val="72"/>
        </w:rPr>
      </w:pPr>
      <w:r>
        <w:rPr>
          <w:rFonts w:hint="default" w:ascii="Times New Roman" w:hAnsi="Times New Roman" w:eastAsia="方正小标宋简体" w:cs="Times New Roman"/>
          <w:b w:val="0"/>
          <w:sz w:val="72"/>
          <w:szCs w:val="72"/>
        </w:rPr>
        <w:t>阿坝州卫生健康委员会</w:t>
      </w:r>
    </w:p>
    <w:p w14:paraId="3A1802DF">
      <w:pPr>
        <w:spacing w:before="0" w:after="120" w:line="240" w:lineRule="auto"/>
        <w:jc w:val="center"/>
        <w:rPr>
          <w:rFonts w:hint="default" w:ascii="Times New Roman" w:hAnsi="Times New Roman" w:eastAsia="方正小标宋简体" w:cs="Times New Roman"/>
          <w:b w:val="0"/>
          <w:sz w:val="72"/>
          <w:szCs w:val="72"/>
        </w:rPr>
      </w:pPr>
      <w:r>
        <w:rPr>
          <w:rFonts w:hint="default" w:ascii="Times New Roman" w:hAnsi="Times New Roman" w:eastAsia="方正小标宋简体" w:cs="Times New Roman"/>
          <w:b w:val="0"/>
          <w:sz w:val="72"/>
          <w:szCs w:val="72"/>
        </w:rPr>
        <w:t>部门决算</w:t>
      </w:r>
    </w:p>
    <w:p w14:paraId="0E183EF1">
      <w:pPr>
        <w:spacing w:before="0" w:after="0" w:line="600" w:lineRule="exact"/>
        <w:jc w:val="both"/>
        <w:rPr>
          <w:rFonts w:hint="default" w:ascii="Times New Roman" w:hAnsi="Times New Roman" w:cs="Times New Roman"/>
        </w:rPr>
      </w:pPr>
    </w:p>
    <w:p w14:paraId="1A7CFAE0">
      <w:pPr>
        <w:spacing w:before="0" w:after="0" w:line="600" w:lineRule="exact"/>
        <w:jc w:val="both"/>
        <w:rPr>
          <w:rFonts w:hint="default" w:ascii="Times New Roman" w:hAnsi="Times New Roman" w:cs="Times New Roman"/>
        </w:rPr>
      </w:pPr>
    </w:p>
    <w:p w14:paraId="26B4DD11">
      <w:pPr>
        <w:spacing w:before="0" w:after="0" w:line="600" w:lineRule="exact"/>
        <w:jc w:val="both"/>
        <w:rPr>
          <w:rFonts w:hint="default" w:ascii="Times New Roman" w:hAnsi="Times New Roman" w:cs="Times New Roman"/>
        </w:rPr>
      </w:pPr>
    </w:p>
    <w:p w14:paraId="3640E5BE">
      <w:pPr>
        <w:spacing w:before="0" w:after="0" w:line="600" w:lineRule="exact"/>
        <w:jc w:val="both"/>
        <w:rPr>
          <w:rFonts w:hint="default" w:ascii="Times New Roman" w:hAnsi="Times New Roman" w:cs="Times New Roman"/>
        </w:rPr>
      </w:pPr>
      <w:bookmarkStart w:id="70" w:name="_GoBack"/>
      <w:bookmarkEnd w:id="70"/>
    </w:p>
    <w:p w14:paraId="6B67CC37">
      <w:pPr>
        <w:spacing w:before="0" w:after="0" w:line="600" w:lineRule="exact"/>
        <w:jc w:val="both"/>
        <w:rPr>
          <w:rFonts w:hint="default" w:ascii="Times New Roman" w:hAnsi="Times New Roman" w:cs="Times New Roman"/>
        </w:rPr>
      </w:pPr>
    </w:p>
    <w:p w14:paraId="0D8ED953">
      <w:pPr>
        <w:spacing w:before="0" w:after="0" w:line="600" w:lineRule="exact"/>
        <w:jc w:val="both"/>
        <w:rPr>
          <w:rFonts w:hint="default" w:ascii="Times New Roman" w:hAnsi="Times New Roman" w:cs="Times New Roman"/>
        </w:rPr>
      </w:pPr>
    </w:p>
    <w:p w14:paraId="24D0730D">
      <w:pPr>
        <w:widowControl/>
        <w:jc w:val="center"/>
        <w:rPr>
          <w:rFonts w:hint="default" w:ascii="Times New Roman" w:hAnsi="Times New Roman" w:eastAsia="仿宋" w:cs="Times New Roman"/>
          <w:b/>
          <w:sz w:val="24"/>
          <w:lang w:val="en-US"/>
        </w:rPr>
        <w:sectPr>
          <w:pgSz w:w="11906" w:h="16838"/>
          <w:pgMar w:top="1440" w:right="1800" w:bottom="1440" w:left="1800" w:header="720" w:footer="720" w:gutter="0"/>
          <w:pgNumType w:fmt="numberInDash" w:start="1"/>
          <w:cols w:space="720" w:num="1"/>
          <w:docGrid w:type="lines" w:linePitch="312" w:charSpace="0"/>
        </w:sectPr>
      </w:pPr>
      <w:r>
        <w:rPr>
          <w:rFonts w:hint="default" w:ascii="Times New Roman" w:hAnsi="Times New Roman" w:eastAsia="仿宋_GB2312" w:cs="Times New Roman"/>
          <w:sz w:val="32"/>
          <w:szCs w:val="32"/>
        </w:rPr>
        <w:t>已经保密审查、内容审定，同意对外</w:t>
      </w:r>
      <w:r>
        <w:rPr>
          <w:rFonts w:hint="default" w:ascii="Times New Roman" w:hAnsi="Times New Roman" w:eastAsia="仿宋_GB2312" w:cs="Times New Roman"/>
          <w:sz w:val="32"/>
          <w:szCs w:val="32"/>
          <w:lang w:eastAsia="zh-CN"/>
        </w:rPr>
        <w:t>公</w:t>
      </w:r>
      <w:r>
        <w:rPr>
          <w:rFonts w:hint="eastAsia" w:ascii="Times New Roman" w:hAnsi="Times New Roman" w:eastAsia="仿宋_GB2312" w:cs="Times New Roman"/>
          <w:sz w:val="32"/>
          <w:szCs w:val="32"/>
          <w:lang w:val="en-US" w:eastAsia="zh-CN"/>
        </w:rPr>
        <w:t>开</w:t>
      </w:r>
    </w:p>
    <w:sdt>
      <w:sdtPr>
        <w:rPr>
          <w:rFonts w:hint="default" w:ascii="Times New Roman" w:hAnsi="Times New Roman" w:eastAsia="黑体" w:cs="Times New Roman"/>
          <w:sz w:val="32"/>
          <w:szCs w:val="32"/>
          <w:lang w:val="en-US" w:eastAsia="en-US" w:bidi="ar-SA"/>
        </w:rPr>
        <w:id w:val="147468633"/>
        <w15:color w:val="DBDBDB"/>
        <w:docPartObj>
          <w:docPartGallery w:val="Table of Contents"/>
          <w:docPartUnique/>
        </w:docPartObj>
      </w:sdtPr>
      <w:sdtEndPr>
        <w:rPr>
          <w:rFonts w:hint="default" w:ascii="Times New Roman" w:hAnsi="Times New Roman" w:cs="Times New Roman" w:eastAsiaTheme="minorEastAsia"/>
          <w:sz w:val="22"/>
          <w:szCs w:val="22"/>
          <w:lang w:val="en-US" w:eastAsia="en-US" w:bidi="ar-SA"/>
        </w:rPr>
      </w:sdtEndPr>
      <w:sdtContent>
        <w:p w14:paraId="2B5773FC">
          <w:pPr>
            <w:spacing w:before="0" w:beforeLines="0" w:after="0" w:afterLines="0" w:line="240" w:lineRule="auto"/>
            <w:ind w:left="0" w:leftChars="0" w:right="0" w:rightChars="0" w:firstLine="0" w:firstLineChars="0"/>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目</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录</w:t>
          </w:r>
        </w:p>
        <w:p w14:paraId="4A0612D6">
          <w:pPr>
            <w:spacing w:before="0" w:after="200" w:line="560" w:lineRule="exact"/>
            <w:jc w:val="center"/>
            <w:rPr>
              <w:rFonts w:hint="default" w:ascii="Times New Roman" w:hAnsi="Times New Roman" w:cs="Times New Roman"/>
            </w:rPr>
          </w:pPr>
          <w:r>
            <w:rPr>
              <w:rFonts w:hint="default" w:ascii="Times New Roman" w:hAnsi="Times New Roman" w:eastAsia="仿宋_GB2312" w:cs="Times New Roman"/>
              <w:b w:val="0"/>
              <w:sz w:val="32"/>
            </w:rPr>
            <w:t>公开时间：2026年9月18日</w:t>
          </w:r>
        </w:p>
        <w:p w14:paraId="352D428A">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TOC \o "1-2" \h \u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_Toc5993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bCs/>
              <w:sz w:val="28"/>
              <w:szCs w:val="28"/>
              <w:lang w:val="en-US" w:eastAsia="zh-CN"/>
            </w:rPr>
            <w:t xml:space="preserve">第一部分 </w:t>
          </w:r>
          <w:r>
            <w:rPr>
              <w:rFonts w:hint="default" w:ascii="Times New Roman" w:hAnsi="Times New Roman" w:eastAsia="方正小标宋简体" w:cs="Times New Roman"/>
              <w:bCs/>
              <w:sz w:val="28"/>
              <w:szCs w:val="28"/>
            </w:rPr>
            <w:t>部门概况</w:t>
          </w:r>
          <w:r>
            <w:rPr>
              <w:sz w:val="28"/>
              <w:szCs w:val="28"/>
            </w:rPr>
            <w:tab/>
          </w:r>
          <w:r>
            <w:rPr>
              <w:sz w:val="28"/>
              <w:szCs w:val="28"/>
            </w:rPr>
            <w:fldChar w:fldCharType="begin"/>
          </w:r>
          <w:r>
            <w:rPr>
              <w:sz w:val="28"/>
              <w:szCs w:val="28"/>
            </w:rPr>
            <w:instrText xml:space="preserve"> PAGEREF _Toc5993 \h </w:instrText>
          </w:r>
          <w:r>
            <w:rPr>
              <w:sz w:val="28"/>
              <w:szCs w:val="28"/>
            </w:rPr>
            <w:fldChar w:fldCharType="separate"/>
          </w:r>
          <w:r>
            <w:rPr>
              <w:sz w:val="28"/>
              <w:szCs w:val="28"/>
            </w:rPr>
            <w:t>- 1 -</w:t>
          </w:r>
          <w:r>
            <w:rPr>
              <w:sz w:val="28"/>
              <w:szCs w:val="28"/>
            </w:rPr>
            <w:fldChar w:fldCharType="end"/>
          </w:r>
          <w:r>
            <w:rPr>
              <w:rFonts w:hint="default" w:ascii="Times New Roman" w:hAnsi="Times New Roman" w:cs="Times New Roman"/>
              <w:sz w:val="28"/>
              <w:szCs w:val="28"/>
            </w:rPr>
            <w:fldChar w:fldCharType="end"/>
          </w:r>
        </w:p>
        <w:p w14:paraId="3A6EAD8C">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_Toc24073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一、部门职责</w:t>
          </w:r>
          <w:r>
            <w:rPr>
              <w:sz w:val="28"/>
              <w:szCs w:val="28"/>
            </w:rPr>
            <w:tab/>
          </w:r>
          <w:r>
            <w:rPr>
              <w:sz w:val="28"/>
              <w:szCs w:val="28"/>
            </w:rPr>
            <w:fldChar w:fldCharType="begin"/>
          </w:r>
          <w:r>
            <w:rPr>
              <w:sz w:val="28"/>
              <w:szCs w:val="28"/>
            </w:rPr>
            <w:instrText xml:space="preserve"> PAGEREF _Toc24073 \h </w:instrText>
          </w:r>
          <w:r>
            <w:rPr>
              <w:sz w:val="28"/>
              <w:szCs w:val="28"/>
            </w:rPr>
            <w:fldChar w:fldCharType="separate"/>
          </w:r>
          <w:r>
            <w:rPr>
              <w:sz w:val="28"/>
              <w:szCs w:val="28"/>
            </w:rPr>
            <w:t>- 1 -</w:t>
          </w:r>
          <w:r>
            <w:rPr>
              <w:sz w:val="28"/>
              <w:szCs w:val="28"/>
            </w:rPr>
            <w:fldChar w:fldCharType="end"/>
          </w:r>
          <w:r>
            <w:rPr>
              <w:rFonts w:hint="default" w:ascii="Times New Roman" w:hAnsi="Times New Roman" w:cs="Times New Roman"/>
              <w:sz w:val="28"/>
              <w:szCs w:val="28"/>
            </w:rPr>
            <w:fldChar w:fldCharType="end"/>
          </w:r>
        </w:p>
        <w:p w14:paraId="332BFCD0">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_Toc32256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二、机构设置</w:t>
          </w:r>
          <w:r>
            <w:rPr>
              <w:sz w:val="28"/>
              <w:szCs w:val="28"/>
            </w:rPr>
            <w:tab/>
          </w:r>
          <w:r>
            <w:rPr>
              <w:sz w:val="28"/>
              <w:szCs w:val="28"/>
            </w:rPr>
            <w:fldChar w:fldCharType="begin"/>
          </w:r>
          <w:r>
            <w:rPr>
              <w:sz w:val="28"/>
              <w:szCs w:val="28"/>
            </w:rPr>
            <w:instrText xml:space="preserve"> PAGEREF _Toc32256 \h </w:instrText>
          </w:r>
          <w:r>
            <w:rPr>
              <w:sz w:val="28"/>
              <w:szCs w:val="28"/>
            </w:rPr>
            <w:fldChar w:fldCharType="separate"/>
          </w:r>
          <w:r>
            <w:rPr>
              <w:sz w:val="28"/>
              <w:szCs w:val="28"/>
            </w:rPr>
            <w:t>- 2 -</w:t>
          </w:r>
          <w:r>
            <w:rPr>
              <w:sz w:val="28"/>
              <w:szCs w:val="28"/>
            </w:rPr>
            <w:fldChar w:fldCharType="end"/>
          </w:r>
          <w:r>
            <w:rPr>
              <w:rFonts w:hint="default" w:ascii="Times New Roman" w:hAnsi="Times New Roman" w:cs="Times New Roman"/>
              <w:sz w:val="28"/>
              <w:szCs w:val="28"/>
            </w:rPr>
            <w:fldChar w:fldCharType="end"/>
          </w:r>
        </w:p>
        <w:p w14:paraId="50EAB4F8">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_Toc5451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bCs/>
              <w:sz w:val="28"/>
              <w:szCs w:val="28"/>
              <w:lang w:val="en-US" w:eastAsia="zh-CN"/>
            </w:rPr>
            <w:t>第二部分</w:t>
          </w:r>
          <w:r>
            <w:rPr>
              <w:rFonts w:hint="default" w:ascii="Times New Roman" w:hAnsi="Times New Roman" w:eastAsia="方正小标宋简体" w:cs="Times New Roman"/>
              <w:bCs/>
              <w:sz w:val="28"/>
              <w:szCs w:val="28"/>
            </w:rPr>
            <w:t>2025年度部门决算情况说明</w:t>
          </w:r>
          <w:r>
            <w:rPr>
              <w:sz w:val="28"/>
              <w:szCs w:val="28"/>
            </w:rPr>
            <w:tab/>
          </w:r>
          <w:r>
            <w:rPr>
              <w:sz w:val="28"/>
              <w:szCs w:val="28"/>
            </w:rPr>
            <w:fldChar w:fldCharType="begin"/>
          </w:r>
          <w:r>
            <w:rPr>
              <w:sz w:val="28"/>
              <w:szCs w:val="28"/>
            </w:rPr>
            <w:instrText xml:space="preserve"> PAGEREF _Toc5451 \h </w:instrText>
          </w:r>
          <w:r>
            <w:rPr>
              <w:sz w:val="28"/>
              <w:szCs w:val="28"/>
            </w:rPr>
            <w:fldChar w:fldCharType="separate"/>
          </w:r>
          <w:r>
            <w:rPr>
              <w:sz w:val="28"/>
              <w:szCs w:val="28"/>
            </w:rPr>
            <w:t>- 2 -</w:t>
          </w:r>
          <w:r>
            <w:rPr>
              <w:sz w:val="28"/>
              <w:szCs w:val="28"/>
            </w:rPr>
            <w:fldChar w:fldCharType="end"/>
          </w:r>
          <w:r>
            <w:rPr>
              <w:rFonts w:hint="default" w:ascii="Times New Roman" w:hAnsi="Times New Roman" w:cs="Times New Roman"/>
              <w:sz w:val="28"/>
              <w:szCs w:val="28"/>
            </w:rPr>
            <w:fldChar w:fldCharType="end"/>
          </w:r>
        </w:p>
        <w:p w14:paraId="7B7BCBFA">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_Toc12741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一、收入支出决算总体情况说明</w:t>
          </w:r>
          <w:r>
            <w:rPr>
              <w:sz w:val="28"/>
              <w:szCs w:val="28"/>
            </w:rPr>
            <w:tab/>
          </w:r>
          <w:r>
            <w:rPr>
              <w:sz w:val="28"/>
              <w:szCs w:val="28"/>
            </w:rPr>
            <w:fldChar w:fldCharType="begin"/>
          </w:r>
          <w:r>
            <w:rPr>
              <w:sz w:val="28"/>
              <w:szCs w:val="28"/>
            </w:rPr>
            <w:instrText xml:space="preserve"> PAGEREF _Toc12741 \h </w:instrText>
          </w:r>
          <w:r>
            <w:rPr>
              <w:sz w:val="28"/>
              <w:szCs w:val="28"/>
            </w:rPr>
            <w:fldChar w:fldCharType="separate"/>
          </w:r>
          <w:r>
            <w:rPr>
              <w:sz w:val="28"/>
              <w:szCs w:val="28"/>
            </w:rPr>
            <w:t>- 3 -</w:t>
          </w:r>
          <w:r>
            <w:rPr>
              <w:sz w:val="28"/>
              <w:szCs w:val="28"/>
            </w:rPr>
            <w:fldChar w:fldCharType="end"/>
          </w:r>
          <w:r>
            <w:rPr>
              <w:rFonts w:hint="default" w:ascii="Times New Roman" w:hAnsi="Times New Roman" w:cs="Times New Roman"/>
              <w:sz w:val="28"/>
              <w:szCs w:val="28"/>
            </w:rPr>
            <w:fldChar w:fldCharType="end"/>
          </w:r>
        </w:p>
        <w:p w14:paraId="3683338E">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_Toc7538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二、收入决算情况说明</w:t>
          </w:r>
          <w:r>
            <w:rPr>
              <w:sz w:val="28"/>
              <w:szCs w:val="28"/>
            </w:rPr>
            <w:tab/>
          </w:r>
          <w:r>
            <w:rPr>
              <w:sz w:val="28"/>
              <w:szCs w:val="28"/>
            </w:rPr>
            <w:fldChar w:fldCharType="begin"/>
          </w:r>
          <w:r>
            <w:rPr>
              <w:sz w:val="28"/>
              <w:szCs w:val="28"/>
            </w:rPr>
            <w:instrText xml:space="preserve"> PAGEREF _Toc7538 \h </w:instrText>
          </w:r>
          <w:r>
            <w:rPr>
              <w:sz w:val="28"/>
              <w:szCs w:val="28"/>
            </w:rPr>
            <w:fldChar w:fldCharType="separate"/>
          </w:r>
          <w:r>
            <w:rPr>
              <w:sz w:val="28"/>
              <w:szCs w:val="28"/>
            </w:rPr>
            <w:t>- 3 -</w:t>
          </w:r>
          <w:r>
            <w:rPr>
              <w:sz w:val="28"/>
              <w:szCs w:val="28"/>
            </w:rPr>
            <w:fldChar w:fldCharType="end"/>
          </w:r>
          <w:r>
            <w:rPr>
              <w:rFonts w:hint="default" w:ascii="Times New Roman" w:hAnsi="Times New Roman" w:cs="Times New Roman"/>
              <w:sz w:val="28"/>
              <w:szCs w:val="28"/>
            </w:rPr>
            <w:fldChar w:fldCharType="end"/>
          </w:r>
        </w:p>
        <w:p w14:paraId="0D9A6644">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_Toc7817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三、支出决算情况说明</w:t>
          </w:r>
          <w:r>
            <w:rPr>
              <w:sz w:val="28"/>
              <w:szCs w:val="28"/>
            </w:rPr>
            <w:tab/>
          </w:r>
          <w:r>
            <w:rPr>
              <w:sz w:val="28"/>
              <w:szCs w:val="28"/>
            </w:rPr>
            <w:fldChar w:fldCharType="begin"/>
          </w:r>
          <w:r>
            <w:rPr>
              <w:sz w:val="28"/>
              <w:szCs w:val="28"/>
            </w:rPr>
            <w:instrText xml:space="preserve"> PAGEREF _Toc7817 \h </w:instrText>
          </w:r>
          <w:r>
            <w:rPr>
              <w:sz w:val="28"/>
              <w:szCs w:val="28"/>
            </w:rPr>
            <w:fldChar w:fldCharType="separate"/>
          </w:r>
          <w:r>
            <w:rPr>
              <w:sz w:val="28"/>
              <w:szCs w:val="28"/>
            </w:rPr>
            <w:t>- 4 -</w:t>
          </w:r>
          <w:r>
            <w:rPr>
              <w:sz w:val="28"/>
              <w:szCs w:val="28"/>
            </w:rPr>
            <w:fldChar w:fldCharType="end"/>
          </w:r>
          <w:r>
            <w:rPr>
              <w:rFonts w:hint="default" w:ascii="Times New Roman" w:hAnsi="Times New Roman" w:cs="Times New Roman"/>
              <w:sz w:val="28"/>
              <w:szCs w:val="28"/>
            </w:rPr>
            <w:fldChar w:fldCharType="end"/>
          </w:r>
        </w:p>
        <w:p w14:paraId="5B60658B">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_Toc30873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四、财政拨款收支决算总体情况说明</w:t>
          </w:r>
          <w:r>
            <w:rPr>
              <w:sz w:val="28"/>
              <w:szCs w:val="28"/>
            </w:rPr>
            <w:tab/>
          </w:r>
          <w:r>
            <w:rPr>
              <w:sz w:val="28"/>
              <w:szCs w:val="28"/>
            </w:rPr>
            <w:fldChar w:fldCharType="begin"/>
          </w:r>
          <w:r>
            <w:rPr>
              <w:sz w:val="28"/>
              <w:szCs w:val="28"/>
            </w:rPr>
            <w:instrText xml:space="preserve"> PAGEREF _Toc30873 \h </w:instrText>
          </w:r>
          <w:r>
            <w:rPr>
              <w:sz w:val="28"/>
              <w:szCs w:val="28"/>
            </w:rPr>
            <w:fldChar w:fldCharType="separate"/>
          </w:r>
          <w:r>
            <w:rPr>
              <w:sz w:val="28"/>
              <w:szCs w:val="28"/>
            </w:rPr>
            <w:t>- 5 -</w:t>
          </w:r>
          <w:r>
            <w:rPr>
              <w:sz w:val="28"/>
              <w:szCs w:val="28"/>
            </w:rPr>
            <w:fldChar w:fldCharType="end"/>
          </w:r>
          <w:r>
            <w:rPr>
              <w:rFonts w:hint="default" w:ascii="Times New Roman" w:hAnsi="Times New Roman" w:cs="Times New Roman"/>
              <w:sz w:val="28"/>
              <w:szCs w:val="28"/>
            </w:rPr>
            <w:fldChar w:fldCharType="end"/>
          </w:r>
        </w:p>
        <w:p w14:paraId="02A5D2A4">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_Toc5471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五、一般公共预算财政拨款支出决算情况说明</w:t>
          </w:r>
          <w:r>
            <w:rPr>
              <w:sz w:val="28"/>
              <w:szCs w:val="28"/>
            </w:rPr>
            <w:tab/>
          </w:r>
          <w:r>
            <w:rPr>
              <w:sz w:val="28"/>
              <w:szCs w:val="28"/>
            </w:rPr>
            <w:fldChar w:fldCharType="begin"/>
          </w:r>
          <w:r>
            <w:rPr>
              <w:sz w:val="28"/>
              <w:szCs w:val="28"/>
            </w:rPr>
            <w:instrText xml:space="preserve"> PAGEREF _Toc5471 \h </w:instrText>
          </w:r>
          <w:r>
            <w:rPr>
              <w:sz w:val="28"/>
              <w:szCs w:val="28"/>
            </w:rPr>
            <w:fldChar w:fldCharType="separate"/>
          </w:r>
          <w:r>
            <w:rPr>
              <w:sz w:val="28"/>
              <w:szCs w:val="28"/>
            </w:rPr>
            <w:t>- 6 -</w:t>
          </w:r>
          <w:r>
            <w:rPr>
              <w:sz w:val="28"/>
              <w:szCs w:val="28"/>
            </w:rPr>
            <w:fldChar w:fldCharType="end"/>
          </w:r>
          <w:r>
            <w:rPr>
              <w:rFonts w:hint="default" w:ascii="Times New Roman" w:hAnsi="Times New Roman" w:cs="Times New Roman"/>
              <w:sz w:val="28"/>
              <w:szCs w:val="28"/>
            </w:rPr>
            <w:fldChar w:fldCharType="end"/>
          </w:r>
        </w:p>
        <w:p w14:paraId="617A18D2">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_Toc13664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六、一般公共预算财政拨款基本支出决算情况说明</w:t>
          </w:r>
          <w:r>
            <w:rPr>
              <w:sz w:val="28"/>
              <w:szCs w:val="28"/>
            </w:rPr>
            <w:tab/>
          </w:r>
          <w:r>
            <w:rPr>
              <w:sz w:val="28"/>
              <w:szCs w:val="28"/>
            </w:rPr>
            <w:fldChar w:fldCharType="begin"/>
          </w:r>
          <w:r>
            <w:rPr>
              <w:sz w:val="28"/>
              <w:szCs w:val="28"/>
            </w:rPr>
            <w:instrText xml:space="preserve"> PAGEREF _Toc13664 \h </w:instrText>
          </w:r>
          <w:r>
            <w:rPr>
              <w:sz w:val="28"/>
              <w:szCs w:val="28"/>
            </w:rPr>
            <w:fldChar w:fldCharType="separate"/>
          </w:r>
          <w:r>
            <w:rPr>
              <w:sz w:val="28"/>
              <w:szCs w:val="28"/>
            </w:rPr>
            <w:t>- 11 -</w:t>
          </w:r>
          <w:r>
            <w:rPr>
              <w:sz w:val="28"/>
              <w:szCs w:val="28"/>
            </w:rPr>
            <w:fldChar w:fldCharType="end"/>
          </w:r>
          <w:r>
            <w:rPr>
              <w:rFonts w:hint="default" w:ascii="Times New Roman" w:hAnsi="Times New Roman" w:cs="Times New Roman"/>
              <w:sz w:val="28"/>
              <w:szCs w:val="28"/>
            </w:rPr>
            <w:fldChar w:fldCharType="end"/>
          </w:r>
        </w:p>
        <w:p w14:paraId="40C7DDDC">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_Toc19666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七、财政拨款“三公”经费支出决算情况说明</w:t>
          </w:r>
          <w:r>
            <w:rPr>
              <w:sz w:val="28"/>
              <w:szCs w:val="28"/>
            </w:rPr>
            <w:tab/>
          </w:r>
          <w:r>
            <w:rPr>
              <w:sz w:val="28"/>
              <w:szCs w:val="28"/>
            </w:rPr>
            <w:fldChar w:fldCharType="begin"/>
          </w:r>
          <w:r>
            <w:rPr>
              <w:sz w:val="28"/>
              <w:szCs w:val="28"/>
            </w:rPr>
            <w:instrText xml:space="preserve"> PAGEREF _Toc19666 \h </w:instrText>
          </w:r>
          <w:r>
            <w:rPr>
              <w:sz w:val="28"/>
              <w:szCs w:val="28"/>
            </w:rPr>
            <w:fldChar w:fldCharType="separate"/>
          </w:r>
          <w:r>
            <w:rPr>
              <w:sz w:val="28"/>
              <w:szCs w:val="28"/>
            </w:rPr>
            <w:t>- 12 -</w:t>
          </w:r>
          <w:r>
            <w:rPr>
              <w:sz w:val="28"/>
              <w:szCs w:val="28"/>
            </w:rPr>
            <w:fldChar w:fldCharType="end"/>
          </w:r>
          <w:r>
            <w:rPr>
              <w:rFonts w:hint="default" w:ascii="Times New Roman" w:hAnsi="Times New Roman" w:cs="Times New Roman"/>
              <w:sz w:val="28"/>
              <w:szCs w:val="28"/>
            </w:rPr>
            <w:fldChar w:fldCharType="end"/>
          </w:r>
        </w:p>
        <w:p w14:paraId="063E4719">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_Toc20685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八、政府性基金预算财政拨款支出决算情况说明</w:t>
          </w:r>
          <w:r>
            <w:rPr>
              <w:sz w:val="28"/>
              <w:szCs w:val="28"/>
            </w:rPr>
            <w:tab/>
          </w:r>
          <w:r>
            <w:rPr>
              <w:sz w:val="28"/>
              <w:szCs w:val="28"/>
            </w:rPr>
            <w:fldChar w:fldCharType="begin"/>
          </w:r>
          <w:r>
            <w:rPr>
              <w:sz w:val="28"/>
              <w:szCs w:val="28"/>
            </w:rPr>
            <w:instrText xml:space="preserve"> PAGEREF _Toc20685 \h </w:instrText>
          </w:r>
          <w:r>
            <w:rPr>
              <w:sz w:val="28"/>
              <w:szCs w:val="28"/>
            </w:rPr>
            <w:fldChar w:fldCharType="separate"/>
          </w:r>
          <w:r>
            <w:rPr>
              <w:sz w:val="28"/>
              <w:szCs w:val="28"/>
            </w:rPr>
            <w:t>- 14 -</w:t>
          </w:r>
          <w:r>
            <w:rPr>
              <w:sz w:val="28"/>
              <w:szCs w:val="28"/>
            </w:rPr>
            <w:fldChar w:fldCharType="end"/>
          </w:r>
          <w:r>
            <w:rPr>
              <w:rFonts w:hint="default" w:ascii="Times New Roman" w:hAnsi="Times New Roman" w:cs="Times New Roman"/>
              <w:sz w:val="28"/>
              <w:szCs w:val="28"/>
            </w:rPr>
            <w:fldChar w:fldCharType="end"/>
          </w:r>
        </w:p>
        <w:p w14:paraId="49BC7973">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_Toc5076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九、国有资本经营预算财政拨款支出决算情况说明</w:t>
          </w:r>
          <w:r>
            <w:rPr>
              <w:sz w:val="28"/>
              <w:szCs w:val="28"/>
            </w:rPr>
            <w:tab/>
          </w:r>
          <w:r>
            <w:rPr>
              <w:sz w:val="28"/>
              <w:szCs w:val="28"/>
            </w:rPr>
            <w:fldChar w:fldCharType="begin"/>
          </w:r>
          <w:r>
            <w:rPr>
              <w:sz w:val="28"/>
              <w:szCs w:val="28"/>
            </w:rPr>
            <w:instrText xml:space="preserve"> PAGEREF _Toc5076 \h </w:instrText>
          </w:r>
          <w:r>
            <w:rPr>
              <w:sz w:val="28"/>
              <w:szCs w:val="28"/>
            </w:rPr>
            <w:fldChar w:fldCharType="separate"/>
          </w:r>
          <w:r>
            <w:rPr>
              <w:sz w:val="28"/>
              <w:szCs w:val="28"/>
            </w:rPr>
            <w:t>- 14 -</w:t>
          </w:r>
          <w:r>
            <w:rPr>
              <w:sz w:val="28"/>
              <w:szCs w:val="28"/>
            </w:rPr>
            <w:fldChar w:fldCharType="end"/>
          </w:r>
          <w:r>
            <w:rPr>
              <w:rFonts w:hint="default" w:ascii="Times New Roman" w:hAnsi="Times New Roman" w:cs="Times New Roman"/>
              <w:sz w:val="28"/>
              <w:szCs w:val="28"/>
            </w:rPr>
            <w:fldChar w:fldCharType="end"/>
          </w:r>
        </w:p>
        <w:p w14:paraId="5CA0CBCD">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_Toc5127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十、其他重要事项的情况说明</w:t>
          </w:r>
          <w:r>
            <w:rPr>
              <w:sz w:val="28"/>
              <w:szCs w:val="28"/>
            </w:rPr>
            <w:tab/>
          </w:r>
          <w:r>
            <w:rPr>
              <w:sz w:val="28"/>
              <w:szCs w:val="28"/>
            </w:rPr>
            <w:fldChar w:fldCharType="begin"/>
          </w:r>
          <w:r>
            <w:rPr>
              <w:sz w:val="28"/>
              <w:szCs w:val="28"/>
            </w:rPr>
            <w:instrText xml:space="preserve"> PAGEREF _Toc5127 \h </w:instrText>
          </w:r>
          <w:r>
            <w:rPr>
              <w:sz w:val="28"/>
              <w:szCs w:val="28"/>
            </w:rPr>
            <w:fldChar w:fldCharType="separate"/>
          </w:r>
          <w:r>
            <w:rPr>
              <w:sz w:val="28"/>
              <w:szCs w:val="28"/>
            </w:rPr>
            <w:t>- 14 -</w:t>
          </w:r>
          <w:r>
            <w:rPr>
              <w:sz w:val="28"/>
              <w:szCs w:val="28"/>
            </w:rPr>
            <w:fldChar w:fldCharType="end"/>
          </w:r>
          <w:r>
            <w:rPr>
              <w:rFonts w:hint="default" w:ascii="Times New Roman" w:hAnsi="Times New Roman" w:cs="Times New Roman"/>
              <w:sz w:val="28"/>
              <w:szCs w:val="28"/>
            </w:rPr>
            <w:fldChar w:fldCharType="end"/>
          </w:r>
        </w:p>
        <w:p w14:paraId="67489E95">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_Toc21764 </w:instrText>
          </w:r>
          <w:r>
            <w:rPr>
              <w:rFonts w:hint="default" w:ascii="Times New Roman" w:hAnsi="Times New Roman" w:cs="Times New Roman"/>
              <w:sz w:val="28"/>
              <w:szCs w:val="28"/>
            </w:rPr>
            <w:fldChar w:fldCharType="separate"/>
          </w:r>
          <w:r>
            <w:rPr>
              <w:rFonts w:hint="eastAsia" w:ascii="Times New Roman" w:hAnsi="Times New Roman" w:eastAsia="方正小标宋简体" w:cs="Times New Roman"/>
              <w:bCs/>
              <w:sz w:val="28"/>
              <w:szCs w:val="28"/>
            </w:rPr>
            <w:t xml:space="preserve">第三部分 </w:t>
          </w:r>
          <w:r>
            <w:rPr>
              <w:rFonts w:hint="default" w:ascii="Times New Roman" w:hAnsi="Times New Roman" w:eastAsia="方正小标宋简体" w:cs="Times New Roman"/>
              <w:bCs/>
              <w:sz w:val="28"/>
              <w:szCs w:val="28"/>
            </w:rPr>
            <w:t>名词解释</w:t>
          </w:r>
          <w:r>
            <w:rPr>
              <w:sz w:val="28"/>
              <w:szCs w:val="28"/>
            </w:rPr>
            <w:tab/>
          </w:r>
          <w:r>
            <w:rPr>
              <w:sz w:val="28"/>
              <w:szCs w:val="28"/>
            </w:rPr>
            <w:fldChar w:fldCharType="begin"/>
          </w:r>
          <w:r>
            <w:rPr>
              <w:sz w:val="28"/>
              <w:szCs w:val="28"/>
            </w:rPr>
            <w:instrText xml:space="preserve"> PAGEREF _Toc21764 \h </w:instrText>
          </w:r>
          <w:r>
            <w:rPr>
              <w:sz w:val="28"/>
              <w:szCs w:val="28"/>
            </w:rPr>
            <w:fldChar w:fldCharType="separate"/>
          </w:r>
          <w:r>
            <w:rPr>
              <w:sz w:val="28"/>
              <w:szCs w:val="28"/>
            </w:rPr>
            <w:t>- 15 -</w:t>
          </w:r>
          <w:r>
            <w:rPr>
              <w:sz w:val="28"/>
              <w:szCs w:val="28"/>
            </w:rPr>
            <w:fldChar w:fldCharType="end"/>
          </w:r>
          <w:r>
            <w:rPr>
              <w:rFonts w:hint="default" w:ascii="Times New Roman" w:hAnsi="Times New Roman" w:cs="Times New Roman"/>
              <w:sz w:val="28"/>
              <w:szCs w:val="28"/>
            </w:rPr>
            <w:fldChar w:fldCharType="end"/>
          </w:r>
        </w:p>
        <w:p w14:paraId="4628DAAB">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_Toc13564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bCs/>
              <w:sz w:val="28"/>
              <w:szCs w:val="28"/>
            </w:rPr>
            <w:t>第四部分  附件</w:t>
          </w:r>
          <w:r>
            <w:rPr>
              <w:rFonts w:hint="eastAsia" w:ascii="Times New Roman" w:hAnsi="Times New Roman" w:eastAsia="方正小标宋简体" w:cs="Times New Roman"/>
              <w:bCs/>
              <w:sz w:val="28"/>
              <w:szCs w:val="28"/>
              <w:lang w:val="en-US" w:eastAsia="zh-CN"/>
            </w:rPr>
            <w:t>1</w:t>
          </w:r>
          <w:r>
            <w:rPr>
              <w:sz w:val="28"/>
              <w:szCs w:val="28"/>
            </w:rPr>
            <w:tab/>
          </w:r>
          <w:r>
            <w:rPr>
              <w:sz w:val="28"/>
              <w:szCs w:val="28"/>
            </w:rPr>
            <w:fldChar w:fldCharType="begin"/>
          </w:r>
          <w:r>
            <w:rPr>
              <w:sz w:val="28"/>
              <w:szCs w:val="28"/>
            </w:rPr>
            <w:instrText xml:space="preserve"> PAGEREF _Toc13564 \h </w:instrText>
          </w:r>
          <w:r>
            <w:rPr>
              <w:sz w:val="28"/>
              <w:szCs w:val="28"/>
            </w:rPr>
            <w:fldChar w:fldCharType="separate"/>
          </w:r>
          <w:r>
            <w:rPr>
              <w:sz w:val="28"/>
              <w:szCs w:val="28"/>
            </w:rPr>
            <w:t>- 17 -</w:t>
          </w:r>
          <w:r>
            <w:rPr>
              <w:sz w:val="28"/>
              <w:szCs w:val="28"/>
            </w:rPr>
            <w:fldChar w:fldCharType="end"/>
          </w:r>
          <w:r>
            <w:rPr>
              <w:rFonts w:hint="default" w:ascii="Times New Roman" w:hAnsi="Times New Roman" w:cs="Times New Roman"/>
              <w:sz w:val="28"/>
              <w:szCs w:val="28"/>
            </w:rPr>
            <w:fldChar w:fldCharType="end"/>
          </w:r>
        </w:p>
        <w:p w14:paraId="6E52DD3B">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_Toc13628 </w:instrText>
          </w:r>
          <w:r>
            <w:rPr>
              <w:rFonts w:hint="default" w:ascii="Times New Roman" w:hAnsi="Times New Roman" w:cs="Times New Roman"/>
              <w:sz w:val="28"/>
              <w:szCs w:val="28"/>
            </w:rPr>
            <w:fldChar w:fldCharType="separate"/>
          </w:r>
          <w:r>
            <w:rPr>
              <w:rFonts w:hint="default" w:ascii="Times New Roman" w:hAnsi="Times New Roman" w:eastAsia="黑体" w:cs="Times New Roman"/>
              <w:kern w:val="0"/>
              <w:sz w:val="28"/>
              <w:szCs w:val="40"/>
              <w:shd w:val="clear" w:fill="FFFFFF"/>
              <w:lang w:val="en-US" w:eastAsia="zh-CN" w:bidi="ar"/>
            </w:rPr>
            <w:t>一、部门（单位）基本情况</w:t>
          </w:r>
          <w:r>
            <w:rPr>
              <w:sz w:val="28"/>
              <w:szCs w:val="28"/>
            </w:rPr>
            <w:tab/>
          </w:r>
          <w:r>
            <w:rPr>
              <w:sz w:val="28"/>
              <w:szCs w:val="28"/>
            </w:rPr>
            <w:fldChar w:fldCharType="begin"/>
          </w:r>
          <w:r>
            <w:rPr>
              <w:sz w:val="28"/>
              <w:szCs w:val="28"/>
            </w:rPr>
            <w:instrText xml:space="preserve"> PAGEREF _Toc13628 \h </w:instrText>
          </w:r>
          <w:r>
            <w:rPr>
              <w:sz w:val="28"/>
              <w:szCs w:val="28"/>
            </w:rPr>
            <w:fldChar w:fldCharType="separate"/>
          </w:r>
          <w:r>
            <w:rPr>
              <w:sz w:val="28"/>
              <w:szCs w:val="28"/>
            </w:rPr>
            <w:t>- 18 -</w:t>
          </w:r>
          <w:r>
            <w:rPr>
              <w:sz w:val="28"/>
              <w:szCs w:val="28"/>
            </w:rPr>
            <w:fldChar w:fldCharType="end"/>
          </w:r>
          <w:r>
            <w:rPr>
              <w:rFonts w:hint="default" w:ascii="Times New Roman" w:hAnsi="Times New Roman" w:cs="Times New Roman"/>
              <w:sz w:val="28"/>
              <w:szCs w:val="28"/>
            </w:rPr>
            <w:fldChar w:fldCharType="end"/>
          </w:r>
        </w:p>
        <w:p w14:paraId="6E5CBE7B">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_Toc31030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（一）机构组成</w:t>
          </w:r>
          <w:r>
            <w:rPr>
              <w:sz w:val="28"/>
              <w:szCs w:val="28"/>
            </w:rPr>
            <w:tab/>
          </w:r>
          <w:r>
            <w:rPr>
              <w:sz w:val="28"/>
              <w:szCs w:val="28"/>
            </w:rPr>
            <w:fldChar w:fldCharType="begin"/>
          </w:r>
          <w:r>
            <w:rPr>
              <w:sz w:val="28"/>
              <w:szCs w:val="28"/>
            </w:rPr>
            <w:instrText xml:space="preserve"> PAGEREF _Toc31030 \h </w:instrText>
          </w:r>
          <w:r>
            <w:rPr>
              <w:sz w:val="28"/>
              <w:szCs w:val="28"/>
            </w:rPr>
            <w:fldChar w:fldCharType="separate"/>
          </w:r>
          <w:r>
            <w:rPr>
              <w:sz w:val="28"/>
              <w:szCs w:val="28"/>
            </w:rPr>
            <w:t>- 18 -</w:t>
          </w:r>
          <w:r>
            <w:rPr>
              <w:sz w:val="28"/>
              <w:szCs w:val="28"/>
            </w:rPr>
            <w:fldChar w:fldCharType="end"/>
          </w:r>
          <w:r>
            <w:rPr>
              <w:rFonts w:hint="default" w:ascii="Times New Roman" w:hAnsi="Times New Roman" w:cs="Times New Roman"/>
              <w:sz w:val="28"/>
              <w:szCs w:val="28"/>
            </w:rPr>
            <w:fldChar w:fldCharType="end"/>
          </w:r>
        </w:p>
        <w:p w14:paraId="3A443B68">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_Toc12172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（二）机构职能</w:t>
          </w:r>
          <w:r>
            <w:rPr>
              <w:sz w:val="28"/>
              <w:szCs w:val="28"/>
            </w:rPr>
            <w:tab/>
          </w:r>
          <w:r>
            <w:rPr>
              <w:sz w:val="28"/>
              <w:szCs w:val="28"/>
            </w:rPr>
            <w:fldChar w:fldCharType="begin"/>
          </w:r>
          <w:r>
            <w:rPr>
              <w:sz w:val="28"/>
              <w:szCs w:val="28"/>
            </w:rPr>
            <w:instrText xml:space="preserve"> PAGEREF _Toc12172 \h </w:instrText>
          </w:r>
          <w:r>
            <w:rPr>
              <w:sz w:val="28"/>
              <w:szCs w:val="28"/>
            </w:rPr>
            <w:fldChar w:fldCharType="separate"/>
          </w:r>
          <w:r>
            <w:rPr>
              <w:sz w:val="28"/>
              <w:szCs w:val="28"/>
            </w:rPr>
            <w:t>- 18 -</w:t>
          </w:r>
          <w:r>
            <w:rPr>
              <w:sz w:val="28"/>
              <w:szCs w:val="28"/>
            </w:rPr>
            <w:fldChar w:fldCharType="end"/>
          </w:r>
          <w:r>
            <w:rPr>
              <w:rFonts w:hint="default" w:ascii="Times New Roman" w:hAnsi="Times New Roman" w:cs="Times New Roman"/>
              <w:sz w:val="28"/>
              <w:szCs w:val="28"/>
            </w:rPr>
            <w:fldChar w:fldCharType="end"/>
          </w:r>
        </w:p>
        <w:p w14:paraId="273126EE">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_Toc21614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（三）人员概况</w:t>
          </w:r>
          <w:r>
            <w:rPr>
              <w:sz w:val="28"/>
              <w:szCs w:val="28"/>
            </w:rPr>
            <w:tab/>
          </w:r>
          <w:r>
            <w:rPr>
              <w:sz w:val="28"/>
              <w:szCs w:val="28"/>
            </w:rPr>
            <w:fldChar w:fldCharType="begin"/>
          </w:r>
          <w:r>
            <w:rPr>
              <w:sz w:val="28"/>
              <w:szCs w:val="28"/>
            </w:rPr>
            <w:instrText xml:space="preserve"> PAGEREF _Toc21614 \h </w:instrText>
          </w:r>
          <w:r>
            <w:rPr>
              <w:sz w:val="28"/>
              <w:szCs w:val="28"/>
            </w:rPr>
            <w:fldChar w:fldCharType="separate"/>
          </w:r>
          <w:r>
            <w:rPr>
              <w:sz w:val="28"/>
              <w:szCs w:val="28"/>
            </w:rPr>
            <w:t>- 21 -</w:t>
          </w:r>
          <w:r>
            <w:rPr>
              <w:sz w:val="28"/>
              <w:szCs w:val="28"/>
            </w:rPr>
            <w:fldChar w:fldCharType="end"/>
          </w:r>
          <w:r>
            <w:rPr>
              <w:rFonts w:hint="default" w:ascii="Times New Roman" w:hAnsi="Times New Roman" w:cs="Times New Roman"/>
              <w:sz w:val="28"/>
              <w:szCs w:val="28"/>
            </w:rPr>
            <w:fldChar w:fldCharType="end"/>
          </w:r>
        </w:p>
        <w:p w14:paraId="0D82F03E">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_Toc25097 </w:instrText>
          </w:r>
          <w:r>
            <w:rPr>
              <w:rFonts w:hint="default" w:ascii="Times New Roman" w:hAnsi="Times New Roman" w:cs="Times New Roman"/>
              <w:sz w:val="28"/>
              <w:szCs w:val="28"/>
            </w:rPr>
            <w:fldChar w:fldCharType="separate"/>
          </w:r>
          <w:r>
            <w:rPr>
              <w:rFonts w:hint="default" w:ascii="Times New Roman" w:hAnsi="Times New Roman" w:eastAsia="黑体" w:cs="Times New Roman"/>
              <w:kern w:val="0"/>
              <w:sz w:val="28"/>
              <w:szCs w:val="40"/>
              <w:shd w:val="clear" w:fill="FFFFFF"/>
              <w:lang w:val="en-US" w:eastAsia="zh-CN" w:bidi="ar"/>
            </w:rPr>
            <w:t>二、部门资金收支情况</w:t>
          </w:r>
          <w:r>
            <w:rPr>
              <w:sz w:val="28"/>
              <w:szCs w:val="28"/>
            </w:rPr>
            <w:tab/>
          </w:r>
          <w:r>
            <w:rPr>
              <w:sz w:val="28"/>
              <w:szCs w:val="28"/>
            </w:rPr>
            <w:fldChar w:fldCharType="begin"/>
          </w:r>
          <w:r>
            <w:rPr>
              <w:sz w:val="28"/>
              <w:szCs w:val="28"/>
            </w:rPr>
            <w:instrText xml:space="preserve"> PAGEREF _Toc25097 \h </w:instrText>
          </w:r>
          <w:r>
            <w:rPr>
              <w:sz w:val="28"/>
              <w:szCs w:val="28"/>
            </w:rPr>
            <w:fldChar w:fldCharType="separate"/>
          </w:r>
          <w:r>
            <w:rPr>
              <w:sz w:val="28"/>
              <w:szCs w:val="28"/>
            </w:rPr>
            <w:t>- 21 -</w:t>
          </w:r>
          <w:r>
            <w:rPr>
              <w:sz w:val="28"/>
              <w:szCs w:val="28"/>
            </w:rPr>
            <w:fldChar w:fldCharType="end"/>
          </w:r>
          <w:r>
            <w:rPr>
              <w:rFonts w:hint="default" w:ascii="Times New Roman" w:hAnsi="Times New Roman" w:cs="Times New Roman"/>
              <w:sz w:val="28"/>
              <w:szCs w:val="28"/>
            </w:rPr>
            <w:fldChar w:fldCharType="end"/>
          </w:r>
        </w:p>
        <w:p w14:paraId="44B19A56">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_Toc2206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（一）收入情况</w:t>
          </w:r>
          <w:r>
            <w:rPr>
              <w:sz w:val="28"/>
              <w:szCs w:val="28"/>
            </w:rPr>
            <w:tab/>
          </w:r>
          <w:r>
            <w:rPr>
              <w:sz w:val="28"/>
              <w:szCs w:val="28"/>
            </w:rPr>
            <w:fldChar w:fldCharType="begin"/>
          </w:r>
          <w:r>
            <w:rPr>
              <w:sz w:val="28"/>
              <w:szCs w:val="28"/>
            </w:rPr>
            <w:instrText xml:space="preserve"> PAGEREF _Toc2206 \h </w:instrText>
          </w:r>
          <w:r>
            <w:rPr>
              <w:sz w:val="28"/>
              <w:szCs w:val="28"/>
            </w:rPr>
            <w:fldChar w:fldCharType="separate"/>
          </w:r>
          <w:r>
            <w:rPr>
              <w:sz w:val="28"/>
              <w:szCs w:val="28"/>
            </w:rPr>
            <w:t>- 21 -</w:t>
          </w:r>
          <w:r>
            <w:rPr>
              <w:sz w:val="28"/>
              <w:szCs w:val="28"/>
            </w:rPr>
            <w:fldChar w:fldCharType="end"/>
          </w:r>
          <w:r>
            <w:rPr>
              <w:rFonts w:hint="default" w:ascii="Times New Roman" w:hAnsi="Times New Roman" w:cs="Times New Roman"/>
              <w:sz w:val="28"/>
              <w:szCs w:val="28"/>
            </w:rPr>
            <w:fldChar w:fldCharType="end"/>
          </w:r>
        </w:p>
        <w:p w14:paraId="5C8FA6C9">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_Toc6685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（二）支出情况</w:t>
          </w:r>
          <w:r>
            <w:rPr>
              <w:sz w:val="28"/>
              <w:szCs w:val="28"/>
            </w:rPr>
            <w:tab/>
          </w:r>
          <w:r>
            <w:rPr>
              <w:sz w:val="28"/>
              <w:szCs w:val="28"/>
            </w:rPr>
            <w:fldChar w:fldCharType="begin"/>
          </w:r>
          <w:r>
            <w:rPr>
              <w:sz w:val="28"/>
              <w:szCs w:val="28"/>
            </w:rPr>
            <w:instrText xml:space="preserve"> PAGEREF _Toc6685 \h </w:instrText>
          </w:r>
          <w:r>
            <w:rPr>
              <w:sz w:val="28"/>
              <w:szCs w:val="28"/>
            </w:rPr>
            <w:fldChar w:fldCharType="separate"/>
          </w:r>
          <w:r>
            <w:rPr>
              <w:sz w:val="28"/>
              <w:szCs w:val="28"/>
            </w:rPr>
            <w:t>- 21 -</w:t>
          </w:r>
          <w:r>
            <w:rPr>
              <w:sz w:val="28"/>
              <w:szCs w:val="28"/>
            </w:rPr>
            <w:fldChar w:fldCharType="end"/>
          </w:r>
          <w:r>
            <w:rPr>
              <w:rFonts w:hint="default" w:ascii="Times New Roman" w:hAnsi="Times New Roman" w:cs="Times New Roman"/>
              <w:sz w:val="28"/>
              <w:szCs w:val="28"/>
            </w:rPr>
            <w:fldChar w:fldCharType="end"/>
          </w:r>
        </w:p>
        <w:p w14:paraId="7B438764">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_Toc15256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（三）</w:t>
          </w:r>
          <w:r>
            <w:rPr>
              <w:rFonts w:hint="default" w:ascii="Times New Roman" w:hAnsi="Times New Roman" w:eastAsia="楷体_GB2312" w:cs="Times New Roman"/>
              <w:bCs w:val="0"/>
              <w:kern w:val="0"/>
              <w:sz w:val="28"/>
              <w:szCs w:val="40"/>
              <w:lang w:val="en-US" w:eastAsia="zh-CN" w:bidi="ar"/>
            </w:rPr>
            <w:t>结余分配和结转结余情况</w:t>
          </w:r>
          <w:r>
            <w:rPr>
              <w:sz w:val="28"/>
              <w:szCs w:val="28"/>
            </w:rPr>
            <w:tab/>
          </w:r>
          <w:r>
            <w:rPr>
              <w:sz w:val="28"/>
              <w:szCs w:val="28"/>
            </w:rPr>
            <w:fldChar w:fldCharType="begin"/>
          </w:r>
          <w:r>
            <w:rPr>
              <w:sz w:val="28"/>
              <w:szCs w:val="28"/>
            </w:rPr>
            <w:instrText xml:space="preserve"> PAGEREF _Toc15256 \h </w:instrText>
          </w:r>
          <w:r>
            <w:rPr>
              <w:sz w:val="28"/>
              <w:szCs w:val="28"/>
            </w:rPr>
            <w:fldChar w:fldCharType="separate"/>
          </w:r>
          <w:r>
            <w:rPr>
              <w:sz w:val="28"/>
              <w:szCs w:val="28"/>
            </w:rPr>
            <w:t>- 22 -</w:t>
          </w:r>
          <w:r>
            <w:rPr>
              <w:sz w:val="28"/>
              <w:szCs w:val="28"/>
            </w:rPr>
            <w:fldChar w:fldCharType="end"/>
          </w:r>
          <w:r>
            <w:rPr>
              <w:rFonts w:hint="default" w:ascii="Times New Roman" w:hAnsi="Times New Roman" w:cs="Times New Roman"/>
              <w:sz w:val="28"/>
              <w:szCs w:val="28"/>
            </w:rPr>
            <w:fldChar w:fldCharType="end"/>
          </w:r>
        </w:p>
        <w:p w14:paraId="37F294C7">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_Toc25650 </w:instrText>
          </w:r>
          <w:r>
            <w:rPr>
              <w:rFonts w:hint="default" w:ascii="Times New Roman" w:hAnsi="Times New Roman" w:cs="Times New Roman"/>
              <w:sz w:val="28"/>
              <w:szCs w:val="28"/>
            </w:rPr>
            <w:fldChar w:fldCharType="separate"/>
          </w:r>
          <w:r>
            <w:rPr>
              <w:rFonts w:hint="default" w:ascii="Times New Roman" w:hAnsi="Times New Roman" w:eastAsia="黑体" w:cs="Times New Roman"/>
              <w:kern w:val="0"/>
              <w:sz w:val="28"/>
              <w:szCs w:val="40"/>
              <w:shd w:val="clear" w:fill="FFFFFF"/>
              <w:lang w:val="en-US" w:eastAsia="zh-CN" w:bidi="ar"/>
            </w:rPr>
            <w:t>三、部门预算绩效分析</w:t>
          </w:r>
          <w:r>
            <w:rPr>
              <w:sz w:val="28"/>
              <w:szCs w:val="28"/>
            </w:rPr>
            <w:tab/>
          </w:r>
          <w:r>
            <w:rPr>
              <w:sz w:val="28"/>
              <w:szCs w:val="28"/>
            </w:rPr>
            <w:fldChar w:fldCharType="begin"/>
          </w:r>
          <w:r>
            <w:rPr>
              <w:sz w:val="28"/>
              <w:szCs w:val="28"/>
            </w:rPr>
            <w:instrText xml:space="preserve"> PAGEREF _Toc25650 \h </w:instrText>
          </w:r>
          <w:r>
            <w:rPr>
              <w:sz w:val="28"/>
              <w:szCs w:val="28"/>
            </w:rPr>
            <w:fldChar w:fldCharType="separate"/>
          </w:r>
          <w:r>
            <w:rPr>
              <w:sz w:val="28"/>
              <w:szCs w:val="28"/>
            </w:rPr>
            <w:t>- 23 -</w:t>
          </w:r>
          <w:r>
            <w:rPr>
              <w:sz w:val="28"/>
              <w:szCs w:val="28"/>
            </w:rPr>
            <w:fldChar w:fldCharType="end"/>
          </w:r>
          <w:r>
            <w:rPr>
              <w:rFonts w:hint="default" w:ascii="Times New Roman" w:hAnsi="Times New Roman" w:cs="Times New Roman"/>
              <w:sz w:val="28"/>
              <w:szCs w:val="28"/>
            </w:rPr>
            <w:fldChar w:fldCharType="end"/>
          </w:r>
        </w:p>
        <w:p w14:paraId="14A9771C">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_Toc22129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（一）部门预算总体绩效分析</w:t>
          </w:r>
          <w:r>
            <w:rPr>
              <w:sz w:val="28"/>
              <w:szCs w:val="28"/>
            </w:rPr>
            <w:tab/>
          </w:r>
          <w:r>
            <w:rPr>
              <w:sz w:val="28"/>
              <w:szCs w:val="28"/>
            </w:rPr>
            <w:fldChar w:fldCharType="begin"/>
          </w:r>
          <w:r>
            <w:rPr>
              <w:sz w:val="28"/>
              <w:szCs w:val="28"/>
            </w:rPr>
            <w:instrText xml:space="preserve"> PAGEREF _Toc22129 \h </w:instrText>
          </w:r>
          <w:r>
            <w:rPr>
              <w:sz w:val="28"/>
              <w:szCs w:val="28"/>
            </w:rPr>
            <w:fldChar w:fldCharType="separate"/>
          </w:r>
          <w:r>
            <w:rPr>
              <w:sz w:val="28"/>
              <w:szCs w:val="28"/>
            </w:rPr>
            <w:t>- 23 -</w:t>
          </w:r>
          <w:r>
            <w:rPr>
              <w:sz w:val="28"/>
              <w:szCs w:val="28"/>
            </w:rPr>
            <w:fldChar w:fldCharType="end"/>
          </w:r>
          <w:r>
            <w:rPr>
              <w:rFonts w:hint="default" w:ascii="Times New Roman" w:hAnsi="Times New Roman" w:cs="Times New Roman"/>
              <w:sz w:val="28"/>
              <w:szCs w:val="28"/>
            </w:rPr>
            <w:fldChar w:fldCharType="end"/>
          </w:r>
        </w:p>
        <w:p w14:paraId="635B2A47">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_Toc16888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（二）部门预算项目绩效分析</w:t>
          </w:r>
          <w:r>
            <w:rPr>
              <w:sz w:val="28"/>
              <w:szCs w:val="28"/>
            </w:rPr>
            <w:tab/>
          </w:r>
          <w:r>
            <w:rPr>
              <w:sz w:val="28"/>
              <w:szCs w:val="28"/>
            </w:rPr>
            <w:fldChar w:fldCharType="begin"/>
          </w:r>
          <w:r>
            <w:rPr>
              <w:sz w:val="28"/>
              <w:szCs w:val="28"/>
            </w:rPr>
            <w:instrText xml:space="preserve"> PAGEREF _Toc16888 \h </w:instrText>
          </w:r>
          <w:r>
            <w:rPr>
              <w:sz w:val="28"/>
              <w:szCs w:val="28"/>
            </w:rPr>
            <w:fldChar w:fldCharType="separate"/>
          </w:r>
          <w:r>
            <w:rPr>
              <w:sz w:val="28"/>
              <w:szCs w:val="28"/>
            </w:rPr>
            <w:t>- 30 -</w:t>
          </w:r>
          <w:r>
            <w:rPr>
              <w:sz w:val="28"/>
              <w:szCs w:val="28"/>
            </w:rPr>
            <w:fldChar w:fldCharType="end"/>
          </w:r>
          <w:r>
            <w:rPr>
              <w:rFonts w:hint="default" w:ascii="Times New Roman" w:hAnsi="Times New Roman" w:cs="Times New Roman"/>
              <w:sz w:val="28"/>
              <w:szCs w:val="28"/>
            </w:rPr>
            <w:fldChar w:fldCharType="end"/>
          </w:r>
        </w:p>
        <w:p w14:paraId="3064FA3A">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_Toc25930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（三）</w:t>
          </w:r>
          <w:r>
            <w:rPr>
              <w:rFonts w:hint="default" w:ascii="Times New Roman" w:hAnsi="Times New Roman" w:eastAsia="楷体_GB2312" w:cs="Times New Roman"/>
              <w:bCs/>
              <w:kern w:val="0"/>
              <w:sz w:val="28"/>
              <w:szCs w:val="40"/>
              <w:lang w:val="en-US" w:eastAsia="zh-CN" w:bidi="ar"/>
            </w:rPr>
            <w:t>绩效结果应用情况</w:t>
          </w:r>
          <w:r>
            <w:rPr>
              <w:sz w:val="28"/>
              <w:szCs w:val="28"/>
            </w:rPr>
            <w:tab/>
          </w:r>
          <w:r>
            <w:rPr>
              <w:sz w:val="28"/>
              <w:szCs w:val="28"/>
            </w:rPr>
            <w:fldChar w:fldCharType="begin"/>
          </w:r>
          <w:r>
            <w:rPr>
              <w:sz w:val="28"/>
              <w:szCs w:val="28"/>
            </w:rPr>
            <w:instrText xml:space="preserve"> PAGEREF _Toc25930 \h </w:instrText>
          </w:r>
          <w:r>
            <w:rPr>
              <w:sz w:val="28"/>
              <w:szCs w:val="28"/>
            </w:rPr>
            <w:fldChar w:fldCharType="separate"/>
          </w:r>
          <w:r>
            <w:rPr>
              <w:sz w:val="28"/>
              <w:szCs w:val="28"/>
            </w:rPr>
            <w:t>- 32 -</w:t>
          </w:r>
          <w:r>
            <w:rPr>
              <w:sz w:val="28"/>
              <w:szCs w:val="28"/>
            </w:rPr>
            <w:fldChar w:fldCharType="end"/>
          </w:r>
          <w:r>
            <w:rPr>
              <w:rFonts w:hint="default" w:ascii="Times New Roman" w:hAnsi="Times New Roman" w:cs="Times New Roman"/>
              <w:sz w:val="28"/>
              <w:szCs w:val="28"/>
            </w:rPr>
            <w:fldChar w:fldCharType="end"/>
          </w:r>
        </w:p>
        <w:p w14:paraId="2E9DBC62">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_Toc914 </w:instrText>
          </w:r>
          <w:r>
            <w:rPr>
              <w:rFonts w:hint="default" w:ascii="Times New Roman" w:hAnsi="Times New Roman" w:cs="Times New Roman"/>
              <w:sz w:val="28"/>
              <w:szCs w:val="28"/>
            </w:rPr>
            <w:fldChar w:fldCharType="separate"/>
          </w:r>
          <w:r>
            <w:rPr>
              <w:rFonts w:hint="default" w:ascii="Times New Roman" w:hAnsi="Times New Roman" w:eastAsia="黑体" w:cs="Times New Roman"/>
              <w:kern w:val="0"/>
              <w:sz w:val="28"/>
              <w:szCs w:val="40"/>
              <w:shd w:val="clear" w:fill="FFFFFF"/>
              <w:lang w:val="en-US" w:eastAsia="zh-CN" w:bidi="ar"/>
            </w:rPr>
            <w:t>四、评价结论及建议</w:t>
          </w:r>
          <w:r>
            <w:rPr>
              <w:sz w:val="28"/>
              <w:szCs w:val="28"/>
            </w:rPr>
            <w:tab/>
          </w:r>
          <w:r>
            <w:rPr>
              <w:sz w:val="28"/>
              <w:szCs w:val="28"/>
            </w:rPr>
            <w:fldChar w:fldCharType="begin"/>
          </w:r>
          <w:r>
            <w:rPr>
              <w:sz w:val="28"/>
              <w:szCs w:val="28"/>
            </w:rPr>
            <w:instrText xml:space="preserve"> PAGEREF _Toc914 \h </w:instrText>
          </w:r>
          <w:r>
            <w:rPr>
              <w:sz w:val="28"/>
              <w:szCs w:val="28"/>
            </w:rPr>
            <w:fldChar w:fldCharType="separate"/>
          </w:r>
          <w:r>
            <w:rPr>
              <w:sz w:val="28"/>
              <w:szCs w:val="28"/>
            </w:rPr>
            <w:t>- 33 -</w:t>
          </w:r>
          <w:r>
            <w:rPr>
              <w:sz w:val="28"/>
              <w:szCs w:val="28"/>
            </w:rPr>
            <w:fldChar w:fldCharType="end"/>
          </w:r>
          <w:r>
            <w:rPr>
              <w:rFonts w:hint="default" w:ascii="Times New Roman" w:hAnsi="Times New Roman" w:cs="Times New Roman"/>
              <w:sz w:val="28"/>
              <w:szCs w:val="28"/>
            </w:rPr>
            <w:fldChar w:fldCharType="end"/>
          </w:r>
        </w:p>
        <w:p w14:paraId="465D64E3">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_Toc8752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（一）评价结论</w:t>
          </w:r>
          <w:r>
            <w:rPr>
              <w:sz w:val="28"/>
              <w:szCs w:val="28"/>
            </w:rPr>
            <w:tab/>
          </w:r>
          <w:r>
            <w:rPr>
              <w:sz w:val="28"/>
              <w:szCs w:val="28"/>
            </w:rPr>
            <w:fldChar w:fldCharType="begin"/>
          </w:r>
          <w:r>
            <w:rPr>
              <w:sz w:val="28"/>
              <w:szCs w:val="28"/>
            </w:rPr>
            <w:instrText xml:space="preserve"> PAGEREF _Toc8752 \h </w:instrText>
          </w:r>
          <w:r>
            <w:rPr>
              <w:sz w:val="28"/>
              <w:szCs w:val="28"/>
            </w:rPr>
            <w:fldChar w:fldCharType="separate"/>
          </w:r>
          <w:r>
            <w:rPr>
              <w:sz w:val="28"/>
              <w:szCs w:val="28"/>
            </w:rPr>
            <w:t>- 33 -</w:t>
          </w:r>
          <w:r>
            <w:rPr>
              <w:sz w:val="28"/>
              <w:szCs w:val="28"/>
            </w:rPr>
            <w:fldChar w:fldCharType="end"/>
          </w:r>
          <w:r>
            <w:rPr>
              <w:rFonts w:hint="default" w:ascii="Times New Roman" w:hAnsi="Times New Roman" w:cs="Times New Roman"/>
              <w:sz w:val="28"/>
              <w:szCs w:val="28"/>
            </w:rPr>
            <w:fldChar w:fldCharType="end"/>
          </w:r>
        </w:p>
        <w:p w14:paraId="155FEA35">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_Toc25451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（二）存在问题</w:t>
          </w:r>
          <w:r>
            <w:rPr>
              <w:sz w:val="28"/>
              <w:szCs w:val="28"/>
            </w:rPr>
            <w:tab/>
          </w:r>
          <w:r>
            <w:rPr>
              <w:sz w:val="28"/>
              <w:szCs w:val="28"/>
            </w:rPr>
            <w:fldChar w:fldCharType="begin"/>
          </w:r>
          <w:r>
            <w:rPr>
              <w:sz w:val="28"/>
              <w:szCs w:val="28"/>
            </w:rPr>
            <w:instrText xml:space="preserve"> PAGEREF _Toc25451 \h </w:instrText>
          </w:r>
          <w:r>
            <w:rPr>
              <w:sz w:val="28"/>
              <w:szCs w:val="28"/>
            </w:rPr>
            <w:fldChar w:fldCharType="separate"/>
          </w:r>
          <w:r>
            <w:rPr>
              <w:sz w:val="28"/>
              <w:szCs w:val="28"/>
            </w:rPr>
            <w:t>- 33 -</w:t>
          </w:r>
          <w:r>
            <w:rPr>
              <w:sz w:val="28"/>
              <w:szCs w:val="28"/>
            </w:rPr>
            <w:fldChar w:fldCharType="end"/>
          </w:r>
          <w:r>
            <w:rPr>
              <w:rFonts w:hint="default" w:ascii="Times New Roman" w:hAnsi="Times New Roman" w:cs="Times New Roman"/>
              <w:sz w:val="28"/>
              <w:szCs w:val="28"/>
            </w:rPr>
            <w:fldChar w:fldCharType="end"/>
          </w:r>
        </w:p>
        <w:p w14:paraId="7C9EF30F">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_Toc27690 </w:instrText>
          </w:r>
          <w:r>
            <w:rPr>
              <w:rFonts w:hint="default" w:ascii="Times New Roman" w:hAnsi="Times New Roman" w:cs="Times New Roman"/>
              <w:sz w:val="28"/>
              <w:szCs w:val="28"/>
            </w:rPr>
            <w:fldChar w:fldCharType="separate"/>
          </w:r>
          <w:r>
            <w:rPr>
              <w:rFonts w:hint="default" w:ascii="Times New Roman" w:hAnsi="Times New Roman" w:eastAsia="楷体_GB2312" w:cs="Times New Roman"/>
              <w:bCs/>
              <w:kern w:val="0"/>
              <w:sz w:val="28"/>
              <w:szCs w:val="40"/>
              <w:shd w:val="clear" w:fill="FFFFFF"/>
              <w:lang w:val="en-US" w:eastAsia="zh-CN" w:bidi="ar"/>
            </w:rPr>
            <w:t>（三）改进建议</w:t>
          </w:r>
          <w:r>
            <w:rPr>
              <w:sz w:val="28"/>
              <w:szCs w:val="28"/>
            </w:rPr>
            <w:tab/>
          </w:r>
          <w:r>
            <w:rPr>
              <w:sz w:val="28"/>
              <w:szCs w:val="28"/>
            </w:rPr>
            <w:fldChar w:fldCharType="begin"/>
          </w:r>
          <w:r>
            <w:rPr>
              <w:sz w:val="28"/>
              <w:szCs w:val="28"/>
            </w:rPr>
            <w:instrText xml:space="preserve"> PAGEREF _Toc27690 \h </w:instrText>
          </w:r>
          <w:r>
            <w:rPr>
              <w:sz w:val="28"/>
              <w:szCs w:val="28"/>
            </w:rPr>
            <w:fldChar w:fldCharType="separate"/>
          </w:r>
          <w:r>
            <w:rPr>
              <w:sz w:val="28"/>
              <w:szCs w:val="28"/>
            </w:rPr>
            <w:t>- 34 -</w:t>
          </w:r>
          <w:r>
            <w:rPr>
              <w:sz w:val="28"/>
              <w:szCs w:val="28"/>
            </w:rPr>
            <w:fldChar w:fldCharType="end"/>
          </w:r>
          <w:r>
            <w:rPr>
              <w:rFonts w:hint="default" w:ascii="Times New Roman" w:hAnsi="Times New Roman" w:cs="Times New Roman"/>
              <w:sz w:val="28"/>
              <w:szCs w:val="28"/>
            </w:rPr>
            <w:fldChar w:fldCharType="end"/>
          </w:r>
        </w:p>
        <w:p w14:paraId="2C6FF19E">
          <w:pPr>
            <w:pStyle w:val="29"/>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_Toc16779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t>第五部分  附表</w:t>
          </w:r>
          <w:r>
            <w:rPr>
              <w:sz w:val="28"/>
              <w:szCs w:val="28"/>
            </w:rPr>
            <w:tab/>
          </w:r>
          <w:r>
            <w:rPr>
              <w:sz w:val="28"/>
              <w:szCs w:val="28"/>
            </w:rPr>
            <w:fldChar w:fldCharType="begin"/>
          </w:r>
          <w:r>
            <w:rPr>
              <w:sz w:val="28"/>
              <w:szCs w:val="28"/>
            </w:rPr>
            <w:instrText xml:space="preserve"> PAGEREF _Toc16779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3850FAA3">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_Toc13246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一、收入支出决算总表（公开01表）</w:t>
          </w:r>
          <w:r>
            <w:rPr>
              <w:sz w:val="28"/>
              <w:szCs w:val="28"/>
            </w:rPr>
            <w:tab/>
          </w:r>
          <w:r>
            <w:rPr>
              <w:sz w:val="28"/>
              <w:szCs w:val="28"/>
            </w:rPr>
            <w:fldChar w:fldCharType="begin"/>
          </w:r>
          <w:r>
            <w:rPr>
              <w:sz w:val="28"/>
              <w:szCs w:val="28"/>
            </w:rPr>
            <w:instrText xml:space="preserve"> PAGEREF _Toc13246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3B6E4BE9">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_Toc663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二、收入决算表（公开02表）</w:t>
          </w:r>
          <w:r>
            <w:rPr>
              <w:sz w:val="28"/>
              <w:szCs w:val="28"/>
            </w:rPr>
            <w:tab/>
          </w:r>
          <w:r>
            <w:rPr>
              <w:sz w:val="28"/>
              <w:szCs w:val="28"/>
            </w:rPr>
            <w:fldChar w:fldCharType="begin"/>
          </w:r>
          <w:r>
            <w:rPr>
              <w:sz w:val="28"/>
              <w:szCs w:val="28"/>
            </w:rPr>
            <w:instrText xml:space="preserve"> PAGEREF _Toc663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15EAE82D">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_Toc28769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三、支出决算表（公开03表）</w:t>
          </w:r>
          <w:r>
            <w:rPr>
              <w:sz w:val="28"/>
              <w:szCs w:val="28"/>
            </w:rPr>
            <w:tab/>
          </w:r>
          <w:r>
            <w:rPr>
              <w:sz w:val="28"/>
              <w:szCs w:val="28"/>
            </w:rPr>
            <w:fldChar w:fldCharType="begin"/>
          </w:r>
          <w:r>
            <w:rPr>
              <w:sz w:val="28"/>
              <w:szCs w:val="28"/>
            </w:rPr>
            <w:instrText xml:space="preserve"> PAGEREF _Toc28769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1BA24D6A">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_Toc30702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四、财政拨款收入支出决算总表（公开04表）</w:t>
          </w:r>
          <w:r>
            <w:rPr>
              <w:sz w:val="28"/>
              <w:szCs w:val="28"/>
            </w:rPr>
            <w:tab/>
          </w:r>
          <w:r>
            <w:rPr>
              <w:sz w:val="28"/>
              <w:szCs w:val="28"/>
            </w:rPr>
            <w:fldChar w:fldCharType="begin"/>
          </w:r>
          <w:r>
            <w:rPr>
              <w:sz w:val="28"/>
              <w:szCs w:val="28"/>
            </w:rPr>
            <w:instrText xml:space="preserve"> PAGEREF _Toc30702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0B84E92B">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_Toc3768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五、财政拨款支出决算明细表（公开05表）</w:t>
          </w:r>
          <w:r>
            <w:rPr>
              <w:sz w:val="28"/>
              <w:szCs w:val="28"/>
            </w:rPr>
            <w:tab/>
          </w:r>
          <w:r>
            <w:rPr>
              <w:sz w:val="28"/>
              <w:szCs w:val="28"/>
            </w:rPr>
            <w:fldChar w:fldCharType="begin"/>
          </w:r>
          <w:r>
            <w:rPr>
              <w:sz w:val="28"/>
              <w:szCs w:val="28"/>
            </w:rPr>
            <w:instrText xml:space="preserve"> PAGEREF _Toc3768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475B2D4B">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_Toc8567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六、一般公共预算财政拨款支出决算表（公开06表）</w:t>
          </w:r>
          <w:r>
            <w:rPr>
              <w:sz w:val="28"/>
              <w:szCs w:val="28"/>
            </w:rPr>
            <w:tab/>
          </w:r>
          <w:r>
            <w:rPr>
              <w:sz w:val="28"/>
              <w:szCs w:val="28"/>
            </w:rPr>
            <w:fldChar w:fldCharType="begin"/>
          </w:r>
          <w:r>
            <w:rPr>
              <w:sz w:val="28"/>
              <w:szCs w:val="28"/>
            </w:rPr>
            <w:instrText xml:space="preserve"> PAGEREF _Toc8567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06C8E871">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_Toc1428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七、一般公共预算财政拨款支出决算明细表（公开07表）</w:t>
          </w:r>
          <w:r>
            <w:rPr>
              <w:sz w:val="28"/>
              <w:szCs w:val="28"/>
            </w:rPr>
            <w:tab/>
          </w:r>
          <w:r>
            <w:rPr>
              <w:sz w:val="28"/>
              <w:szCs w:val="28"/>
            </w:rPr>
            <w:fldChar w:fldCharType="begin"/>
          </w:r>
          <w:r>
            <w:rPr>
              <w:sz w:val="28"/>
              <w:szCs w:val="28"/>
            </w:rPr>
            <w:instrText xml:space="preserve"> PAGEREF _Toc1428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085162A3">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_Toc24351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八、一般公共预算财政拨款基本支出决算明细表（公开08表）</w:t>
          </w:r>
          <w:r>
            <w:rPr>
              <w:sz w:val="28"/>
              <w:szCs w:val="28"/>
            </w:rPr>
            <w:tab/>
          </w:r>
          <w:r>
            <w:rPr>
              <w:sz w:val="28"/>
              <w:szCs w:val="28"/>
            </w:rPr>
            <w:fldChar w:fldCharType="begin"/>
          </w:r>
          <w:r>
            <w:rPr>
              <w:sz w:val="28"/>
              <w:szCs w:val="28"/>
            </w:rPr>
            <w:instrText xml:space="preserve"> PAGEREF _Toc24351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4AFE8A56">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_Toc28681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九、一般公共预算财政拨款项目支出决算表（公开09表）</w:t>
          </w:r>
          <w:r>
            <w:rPr>
              <w:sz w:val="28"/>
              <w:szCs w:val="28"/>
            </w:rPr>
            <w:tab/>
          </w:r>
          <w:r>
            <w:rPr>
              <w:sz w:val="28"/>
              <w:szCs w:val="28"/>
            </w:rPr>
            <w:fldChar w:fldCharType="begin"/>
          </w:r>
          <w:r>
            <w:rPr>
              <w:sz w:val="28"/>
              <w:szCs w:val="28"/>
            </w:rPr>
            <w:instrText xml:space="preserve"> PAGEREF _Toc28681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7294ADB4">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_Toc5918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十、政府性基金预算财政拨款收入支出决算表（公开10表）</w:t>
          </w:r>
          <w:r>
            <w:rPr>
              <w:sz w:val="28"/>
              <w:szCs w:val="28"/>
            </w:rPr>
            <w:tab/>
          </w:r>
          <w:r>
            <w:rPr>
              <w:sz w:val="28"/>
              <w:szCs w:val="28"/>
            </w:rPr>
            <w:fldChar w:fldCharType="begin"/>
          </w:r>
          <w:r>
            <w:rPr>
              <w:sz w:val="28"/>
              <w:szCs w:val="28"/>
            </w:rPr>
            <w:instrText xml:space="preserve"> PAGEREF _Toc5918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0B35E4AA">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_Toc15638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十一、国有资本经营预算财政拨款收入支出决算表（公开11表）</w:t>
          </w:r>
          <w:r>
            <w:rPr>
              <w:sz w:val="28"/>
              <w:szCs w:val="28"/>
            </w:rPr>
            <w:tab/>
          </w:r>
          <w:r>
            <w:rPr>
              <w:sz w:val="28"/>
              <w:szCs w:val="28"/>
            </w:rPr>
            <w:fldChar w:fldCharType="begin"/>
          </w:r>
          <w:r>
            <w:rPr>
              <w:sz w:val="28"/>
              <w:szCs w:val="28"/>
            </w:rPr>
            <w:instrText xml:space="preserve"> PAGEREF _Toc15638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082CE1FF">
          <w:pPr>
            <w:pStyle w:val="33"/>
            <w:tabs>
              <w:tab w:val="right" w:leader="dot" w:pos="8845"/>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_Toc16244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rPr>
            <w:t>十二、国有资本经营预算财政拨款支出决算表（公开12表）</w:t>
          </w:r>
          <w:r>
            <w:rPr>
              <w:sz w:val="28"/>
              <w:szCs w:val="28"/>
            </w:rPr>
            <w:tab/>
          </w:r>
          <w:r>
            <w:rPr>
              <w:sz w:val="28"/>
              <w:szCs w:val="28"/>
            </w:rPr>
            <w:fldChar w:fldCharType="begin"/>
          </w:r>
          <w:r>
            <w:rPr>
              <w:sz w:val="28"/>
              <w:szCs w:val="28"/>
            </w:rPr>
            <w:instrText xml:space="preserve"> PAGEREF _Toc16244 \h </w:instrText>
          </w:r>
          <w:r>
            <w:rPr>
              <w:sz w:val="28"/>
              <w:szCs w:val="28"/>
            </w:rPr>
            <w:fldChar w:fldCharType="separate"/>
          </w:r>
          <w:r>
            <w:rPr>
              <w:sz w:val="28"/>
              <w:szCs w:val="28"/>
            </w:rPr>
            <w:t>- 41 -</w:t>
          </w:r>
          <w:r>
            <w:rPr>
              <w:sz w:val="28"/>
              <w:szCs w:val="28"/>
            </w:rPr>
            <w:fldChar w:fldCharType="end"/>
          </w:r>
          <w:r>
            <w:rPr>
              <w:rFonts w:hint="default" w:ascii="Times New Roman" w:hAnsi="Times New Roman" w:cs="Times New Roman"/>
              <w:sz w:val="28"/>
              <w:szCs w:val="28"/>
            </w:rPr>
            <w:fldChar w:fldCharType="end"/>
          </w:r>
        </w:p>
        <w:p w14:paraId="482A3F80">
          <w:pPr>
            <w:rPr>
              <w:rFonts w:hint="default" w:ascii="Times New Roman" w:hAnsi="Times New Roman" w:cs="Times New Roman"/>
            </w:rPr>
            <w:sectPr>
              <w:footerReference r:id="rId5" w:type="default"/>
              <w:pgSz w:w="11906" w:h="16838"/>
              <w:pgMar w:top="2098" w:right="1474" w:bottom="1984" w:left="1587" w:header="720" w:footer="720" w:gutter="0"/>
              <w:cols w:space="720" w:num="1"/>
              <w:docGrid w:linePitch="360" w:charSpace="0"/>
            </w:sectPr>
          </w:pPr>
          <w:r>
            <w:rPr>
              <w:rFonts w:hint="default" w:ascii="Times New Roman" w:hAnsi="Times New Roman" w:cs="Times New Roman"/>
              <w:sz w:val="28"/>
              <w:szCs w:val="28"/>
            </w:rPr>
            <w:fldChar w:fldCharType="end"/>
          </w:r>
        </w:p>
      </w:sdtContent>
    </w:sdt>
    <w:p w14:paraId="3A7B27D8">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firstLine="2640" w:firstLineChars="600"/>
        <w:jc w:val="both"/>
        <w:textAlignment w:val="auto"/>
        <w:outlineLvl w:val="0"/>
        <w:rPr>
          <w:rFonts w:hint="default" w:ascii="Times New Roman" w:hAnsi="Times New Roman" w:cs="Times New Roman"/>
        </w:rPr>
      </w:pPr>
      <w:bookmarkStart w:id="0" w:name="_Toc5993"/>
      <w:r>
        <w:rPr>
          <w:rFonts w:hint="default" w:ascii="Times New Roman" w:hAnsi="Times New Roman" w:eastAsia="方正小标宋简体" w:cs="Times New Roman"/>
          <w:b w:val="0"/>
          <w:bCs/>
          <w:color w:val="000000"/>
          <w:sz w:val="44"/>
          <w:lang w:val="en-US" w:eastAsia="zh-CN"/>
        </w:rPr>
        <w:t xml:space="preserve">第一部分 </w:t>
      </w:r>
      <w:r>
        <w:rPr>
          <w:rFonts w:hint="default" w:ascii="Times New Roman" w:hAnsi="Times New Roman" w:eastAsia="方正小标宋简体" w:cs="Times New Roman"/>
          <w:b w:val="0"/>
          <w:bCs/>
          <w:color w:val="000000"/>
          <w:sz w:val="44"/>
        </w:rPr>
        <w:t>部门概况</w:t>
      </w:r>
      <w:bookmarkEnd w:id="0"/>
    </w:p>
    <w:p w14:paraId="535AA4E8">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1" w:name="_Toc24073"/>
      <w:r>
        <w:rPr>
          <w:rFonts w:hint="default" w:ascii="Times New Roman" w:hAnsi="Times New Roman" w:eastAsia="黑体" w:cs="Times New Roman"/>
          <w:b w:val="0"/>
          <w:color w:val="000000"/>
          <w:sz w:val="32"/>
        </w:rPr>
        <w:t>一、部门职责</w:t>
      </w:r>
      <w:bookmarkEnd w:id="1"/>
    </w:p>
    <w:p w14:paraId="3AF4A2F0">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（一）拟订并组织实施全州卫生健康、中医药（民族医药）事业发展规划和政策措施，统筹规划卫生健康资源配置，推进卫生健康基本公共服务均等化、普惠化、便捷化。</w:t>
      </w:r>
    </w:p>
    <w:p w14:paraId="3A082205">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（二）协调推进深化医药卫生体制改革，组织深化公立医院综合改革，推进管办分离，健全现代医院管理制度，组织实施推动卫生健康公共服务提供主体多元化、提供方式多样化的政策措施。</w:t>
      </w:r>
    </w:p>
    <w:p w14:paraId="719470F5">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（三）制定并组织落实全州疾病预防控制规划、免疫规划及严重危害人民健康公共卫生问题的干预措施；负责卫生应急工作，组织指导突发公共卫生事件的预防控制和各类突发公共事件的医疗卫生救援。</w:t>
      </w:r>
    </w:p>
    <w:p w14:paraId="45CEC6D4">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（四）组织拟订并协调落实应对人口老龄化政策措施，负责推进老年健康服务体系建设和医养结合工作。</w:t>
      </w:r>
    </w:p>
    <w:p w14:paraId="186D787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（五）负责职责范围内的职业卫生、放射卫生、环境卫生、学校卫生、公共场所卫生、饮用水卫生等公共卫生的监督管理，负责传染病防治监督，健全卫生健康综合监督体系。</w:t>
      </w:r>
    </w:p>
    <w:p w14:paraId="33D9C90E">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六）组织实施医疗机构、医疗服务行业管理办法，建立医疗服务评价和监督管理体系；负责医疗机构及医务人员、医疗技术、大型医用设备的准入和行业监督，组织落实医疗服务规范和卫生健康专业技术人员执业规则、服务规范。</w:t>
      </w:r>
    </w:p>
    <w:p w14:paraId="4431C378">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（七）负责组织实施国家药物政策和基本药物制度，开展药品使用监测、临床综合评价和短缺药品预警，组织开展食品安全风险监测评估。</w:t>
      </w:r>
    </w:p>
    <w:p w14:paraId="219CFF4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（八）负责计划生育管理和服务、妇幼健康服务、出生人口监测预警，指导基层卫生健康、计划生育协会业务工作。</w:t>
      </w:r>
    </w:p>
    <w:p w14:paraId="735522F6">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（九）负责中医药（民族医药）事业发展，组织开展中医药、民族医药传承创新和中西医结合工作。</w:t>
      </w:r>
    </w:p>
    <w:p w14:paraId="67065FBB">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（十）负责卫生健康人才队伍建设、科技教育、信息化建设、新闻宣传、健康教育和健康促进工作，指导州级医疗卫生机构业务工作。</w:t>
      </w:r>
    </w:p>
    <w:p w14:paraId="4C97E857">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（十一）完成州委、州政府交办的其他任务。</w:t>
      </w:r>
    </w:p>
    <w:p w14:paraId="746B535B">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2" w:name="_Toc32256"/>
      <w:r>
        <w:rPr>
          <w:rFonts w:hint="default" w:ascii="Times New Roman" w:hAnsi="Times New Roman" w:eastAsia="黑体" w:cs="Times New Roman"/>
          <w:b w:val="0"/>
          <w:color w:val="000000"/>
          <w:sz w:val="32"/>
        </w:rPr>
        <w:t>二、机构设置</w:t>
      </w:r>
      <w:bookmarkEnd w:id="2"/>
    </w:p>
    <w:p w14:paraId="18A66511">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阿坝州卫生健康委员会为州级一级预算单位。2025年度部门决算为汇总决算，纳入汇总的独立编制机构8个、独立核算机构8个，其中行政单位1个（委机关），事业单位7个。按决算报表功能科目，所属单位主要涵盖卫生健康行政管理、综合医院、中医（民族医）医院、疾病预防控制、妇幼保健、采供血等医疗卫生机构。</w:t>
      </w:r>
    </w:p>
    <w:p w14:paraId="3E310343">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jc w:val="both"/>
        <w:textAlignment w:val="auto"/>
        <w:outlineLvl w:val="0"/>
        <w:rPr>
          <w:rFonts w:hint="default" w:ascii="Times New Roman" w:hAnsi="Times New Roman" w:eastAsia="方正小标宋简体" w:cs="Times New Roman"/>
          <w:b w:val="0"/>
          <w:bCs/>
          <w:color w:val="000000"/>
          <w:sz w:val="44"/>
          <w:lang w:val="en-US" w:eastAsia="zh-CN"/>
        </w:rPr>
      </w:pPr>
      <w:bookmarkStart w:id="3" w:name="_Toc5451"/>
    </w:p>
    <w:p w14:paraId="0D46852B">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jc w:val="center"/>
        <w:textAlignment w:val="auto"/>
        <w:outlineLvl w:val="0"/>
        <w:rPr>
          <w:rFonts w:hint="default" w:ascii="Times New Roman" w:hAnsi="Times New Roman" w:cs="Times New Roman"/>
        </w:rPr>
      </w:pPr>
      <w:r>
        <w:rPr>
          <w:rFonts w:hint="default" w:ascii="Times New Roman" w:hAnsi="Times New Roman" w:eastAsia="方正小标宋简体" w:cs="Times New Roman"/>
          <w:b w:val="0"/>
          <w:bCs/>
          <w:color w:val="000000"/>
          <w:sz w:val="44"/>
          <w:lang w:val="en-US" w:eastAsia="zh-CN"/>
        </w:rPr>
        <w:t>第二部分</w:t>
      </w:r>
      <w:r>
        <w:rPr>
          <w:rFonts w:hint="default" w:ascii="Times New Roman" w:hAnsi="Times New Roman" w:eastAsia="方正小标宋简体" w:cs="Times New Roman"/>
          <w:b w:val="0"/>
          <w:bCs/>
          <w:color w:val="000000"/>
          <w:sz w:val="44"/>
        </w:rPr>
        <w:t>2025年度部门决算情况说明</w:t>
      </w:r>
      <w:bookmarkEnd w:id="3"/>
    </w:p>
    <w:p w14:paraId="5E315C41">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4" w:name="_Toc12741"/>
      <w:r>
        <w:rPr>
          <w:rFonts w:hint="default" w:ascii="Times New Roman" w:hAnsi="Times New Roman" w:eastAsia="黑体" w:cs="Times New Roman"/>
          <w:b w:val="0"/>
          <w:color w:val="000000"/>
          <w:sz w:val="32"/>
        </w:rPr>
        <w:t>一、收入支出决算总体情况说明</w:t>
      </w:r>
      <w:bookmarkEnd w:id="4"/>
    </w:p>
    <w:p w14:paraId="1F0D8E6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2025年度收入总计55,430.53万元，2024年度收入总计54,137.99万元，增加1,292.53万元，增长2.4%。</w:t>
      </w:r>
    </w:p>
    <w:p w14:paraId="0651D0AA">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2025年度支出总计55,430.53万元，2024年度支出总计54,137.99万元，增加1,292.53万元，增长2.4%。</w:t>
      </w:r>
    </w:p>
    <w:p w14:paraId="515A1938">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收支总规模平稳增长，主要原因是财政对公立医院和公共卫生的投入、人员经费及社会保障缴费相应增加。</w:t>
      </w:r>
    </w:p>
    <w:p w14:paraId="4009832D">
      <w:pPr>
        <w:keepNext/>
        <w:spacing w:before="80" w:after="4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751705" cy="2891790"/>
            <wp:effectExtent l="0" t="0" r="1079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4752000" cy="2892309"/>
                    </a:xfrm>
                    <a:prstGeom prst="rect">
                      <a:avLst/>
                    </a:prstGeom>
                  </pic:spPr>
                </pic:pic>
              </a:graphicData>
            </a:graphic>
          </wp:inline>
        </w:drawing>
      </w:r>
    </w:p>
    <w:p w14:paraId="35A993DD">
      <w:pPr>
        <w:spacing w:before="0" w:after="120" w:line="400" w:lineRule="exact"/>
        <w:jc w:val="center"/>
        <w:rPr>
          <w:rFonts w:hint="default" w:ascii="Times New Roman" w:hAnsi="Times New Roman" w:cs="Times New Roman"/>
        </w:rPr>
      </w:pPr>
      <w:r>
        <w:rPr>
          <w:rFonts w:hint="default" w:ascii="Times New Roman" w:hAnsi="Times New Roman" w:eastAsia="楷体" w:cs="Times New Roman"/>
          <w:b w:val="0"/>
          <w:color w:val="000000"/>
          <w:sz w:val="24"/>
        </w:rPr>
        <w:t>图1  2024—2025年度收入、支出决算总计变动情况（万元）</w:t>
      </w:r>
    </w:p>
    <w:p w14:paraId="54FC43A3">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5" w:name="_Toc7538"/>
      <w:r>
        <w:rPr>
          <w:rFonts w:hint="default" w:ascii="Times New Roman" w:hAnsi="Times New Roman" w:eastAsia="黑体" w:cs="Times New Roman"/>
          <w:b w:val="0"/>
          <w:color w:val="000000"/>
          <w:sz w:val="32"/>
        </w:rPr>
        <w:t>二、收入决算情况说明</w:t>
      </w:r>
      <w:bookmarkEnd w:id="5"/>
    </w:p>
    <w:p w14:paraId="1BAB3290">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2025年度本年收入合计53,455.32万元，其中：</w:t>
      </w:r>
    </w:p>
    <w:p w14:paraId="7C013565">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一般公共预算财政拨款收入25,040.7万元，占46.8%；</w:t>
      </w:r>
    </w:p>
    <w:p w14:paraId="451E2491">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事业收入28,111.05万元，占52.6%；</w:t>
      </w:r>
    </w:p>
    <w:p w14:paraId="29DFD61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其他收入303.57万元，占0.6%。</w:t>
      </w:r>
    </w:p>
    <w:p w14:paraId="21A88140">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政府性基金预算财政拨款收入、国有资本经营预算财政拨款收入、上级补助收入、经营收入、附属单位上缴收入本年均为0。</w:t>
      </w:r>
    </w:p>
    <w:p w14:paraId="029D623E">
      <w:pPr>
        <w:keepNext/>
        <w:spacing w:before="80" w:after="4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751705" cy="2543810"/>
            <wp:effectExtent l="0" t="0" r="1079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4752000" cy="2544300"/>
                    </a:xfrm>
                    <a:prstGeom prst="rect">
                      <a:avLst/>
                    </a:prstGeom>
                  </pic:spPr>
                </pic:pic>
              </a:graphicData>
            </a:graphic>
          </wp:inline>
        </w:drawing>
      </w:r>
    </w:p>
    <w:p w14:paraId="302718A8">
      <w:pPr>
        <w:spacing w:before="0" w:after="120" w:line="400" w:lineRule="exact"/>
        <w:jc w:val="center"/>
        <w:rPr>
          <w:rFonts w:hint="default" w:ascii="Times New Roman" w:hAnsi="Times New Roman" w:cs="Times New Roman"/>
        </w:rPr>
      </w:pPr>
      <w:r>
        <w:rPr>
          <w:rFonts w:hint="default" w:ascii="Times New Roman" w:hAnsi="Times New Roman" w:eastAsia="楷体" w:cs="Times New Roman"/>
          <w:b w:val="0"/>
          <w:color w:val="000000"/>
          <w:sz w:val="24"/>
        </w:rPr>
        <w:t>图2  2025年度收入决算结构</w:t>
      </w:r>
    </w:p>
    <w:p w14:paraId="2DAF1281">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6" w:name="_Toc7817"/>
      <w:r>
        <w:rPr>
          <w:rFonts w:hint="default" w:ascii="Times New Roman" w:hAnsi="Times New Roman" w:eastAsia="黑体" w:cs="Times New Roman"/>
          <w:b w:val="0"/>
          <w:color w:val="000000"/>
          <w:sz w:val="32"/>
        </w:rPr>
        <w:t>三、支出决算情况说明</w:t>
      </w:r>
      <w:bookmarkEnd w:id="6"/>
    </w:p>
    <w:p w14:paraId="685C8873">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2025年度本年支出合计53,750.33万元，其中：</w:t>
      </w:r>
    </w:p>
    <w:p w14:paraId="0F78BEF1">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基本支出47,394.09万元，占88.2%；</w:t>
      </w:r>
    </w:p>
    <w:p w14:paraId="31340C79">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项目支出6,356.24万元，占11.8%。</w:t>
      </w:r>
    </w:p>
    <w:p w14:paraId="1B788564">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基本支出中，人员经费32,686.78万元，公用经费14,707.31万元。上缴上级支出、经营支出、对附属单位补助支出本年均为0。</w:t>
      </w:r>
    </w:p>
    <w:p w14:paraId="619A70B2">
      <w:pPr>
        <w:keepNext/>
        <w:spacing w:before="80" w:after="4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751705" cy="2828925"/>
            <wp:effectExtent l="0" t="0" r="1079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4752000" cy="2828925"/>
                    </a:xfrm>
                    <a:prstGeom prst="rect">
                      <a:avLst/>
                    </a:prstGeom>
                  </pic:spPr>
                </pic:pic>
              </a:graphicData>
            </a:graphic>
          </wp:inline>
        </w:drawing>
      </w:r>
    </w:p>
    <w:p w14:paraId="796B5694">
      <w:pPr>
        <w:spacing w:before="0" w:after="120" w:line="400" w:lineRule="exact"/>
        <w:jc w:val="center"/>
        <w:rPr>
          <w:rFonts w:hint="default" w:ascii="Times New Roman" w:hAnsi="Times New Roman" w:cs="Times New Roman"/>
        </w:rPr>
      </w:pPr>
      <w:r>
        <w:rPr>
          <w:rFonts w:hint="default" w:ascii="Times New Roman" w:hAnsi="Times New Roman" w:eastAsia="楷体" w:cs="Times New Roman"/>
          <w:b w:val="0"/>
          <w:color w:val="000000"/>
          <w:sz w:val="24"/>
        </w:rPr>
        <w:t>图3  2025年度支出决算结构</w:t>
      </w:r>
    </w:p>
    <w:p w14:paraId="68A2B5EA">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7" w:name="_Toc30873"/>
      <w:r>
        <w:rPr>
          <w:rFonts w:hint="default" w:ascii="Times New Roman" w:hAnsi="Times New Roman" w:eastAsia="黑体" w:cs="Times New Roman"/>
          <w:b w:val="0"/>
          <w:color w:val="000000"/>
          <w:sz w:val="32"/>
        </w:rPr>
        <w:t>四、财政拨款收支决算总体情况说明</w:t>
      </w:r>
      <w:bookmarkEnd w:id="7"/>
    </w:p>
    <w:p w14:paraId="4CB7D189">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财政拨款收入总计25,040.7万元、支出总计25,040.7万元，年初结转和结余0万元、年末结转和结余0万元。与2024年度财政拨款收支总计24,513.05万元相比，各增加527.65万元，增长2.2%。财政拨款收入、支出全部为一般公共预算财政拨款；政府性基金预算、国有资本经营预算财政拨款收支均为0。</w:t>
      </w:r>
    </w:p>
    <w:p w14:paraId="6942C6FE">
      <w:pPr>
        <w:keepNext/>
        <w:spacing w:before="80" w:after="4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751705" cy="2369185"/>
            <wp:effectExtent l="0" t="0" r="1079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4752000" cy="2369185"/>
                    </a:xfrm>
                    <a:prstGeom prst="rect">
                      <a:avLst/>
                    </a:prstGeom>
                  </pic:spPr>
                </pic:pic>
              </a:graphicData>
            </a:graphic>
          </wp:inline>
        </w:drawing>
      </w:r>
    </w:p>
    <w:p w14:paraId="7FE3B91C">
      <w:pPr>
        <w:spacing w:before="0" w:after="120" w:line="400" w:lineRule="exact"/>
        <w:jc w:val="center"/>
        <w:rPr>
          <w:rFonts w:hint="default" w:ascii="Times New Roman" w:hAnsi="Times New Roman" w:cs="Times New Roman"/>
        </w:rPr>
      </w:pPr>
      <w:r>
        <w:rPr>
          <w:rFonts w:hint="default" w:ascii="Times New Roman" w:hAnsi="Times New Roman" w:eastAsia="楷体" w:cs="Times New Roman"/>
          <w:b w:val="0"/>
          <w:color w:val="000000"/>
          <w:sz w:val="24"/>
        </w:rPr>
        <w:t>图4  2024—2025年度财政拨款收、支决算总计变动情况（万元）</w:t>
      </w:r>
    </w:p>
    <w:p w14:paraId="7BFA0C09">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8" w:name="_Toc5471"/>
      <w:r>
        <w:rPr>
          <w:rFonts w:hint="default" w:ascii="Times New Roman" w:hAnsi="Times New Roman" w:eastAsia="黑体" w:cs="Times New Roman"/>
          <w:b w:val="0"/>
          <w:color w:val="000000"/>
          <w:sz w:val="32"/>
        </w:rPr>
        <w:t>五、一般公共预算财政拨款支出决算情况说明</w:t>
      </w:r>
      <w:bookmarkEnd w:id="8"/>
    </w:p>
    <w:p w14:paraId="2F53168B">
      <w:pPr>
        <w:spacing w:before="0" w:after="0" w:line="560" w:lineRule="exact"/>
        <w:ind w:firstLine="640"/>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（一）一般公共预算财政拨款支出决算总体情况</w:t>
      </w:r>
    </w:p>
    <w:p w14:paraId="57C41E16">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2025年度一般公共预算财政拨款支出25,040.7万元，占本年支出合计53,750.33万元的46.6%。与2024年度24,513.05万元相比，增加527.65万元，增长2.2%。</w:t>
      </w:r>
    </w:p>
    <w:p w14:paraId="03AB3F94">
      <w:pPr>
        <w:keepNext/>
        <w:spacing w:before="80" w:after="4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751705" cy="2669540"/>
            <wp:effectExtent l="0" t="0" r="10795" b="165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4752000" cy="2669540"/>
                    </a:xfrm>
                    <a:prstGeom prst="rect">
                      <a:avLst/>
                    </a:prstGeom>
                  </pic:spPr>
                </pic:pic>
              </a:graphicData>
            </a:graphic>
          </wp:inline>
        </w:drawing>
      </w:r>
    </w:p>
    <w:p w14:paraId="2A579420">
      <w:pPr>
        <w:spacing w:before="0" w:after="120" w:line="400" w:lineRule="exact"/>
        <w:jc w:val="center"/>
        <w:rPr>
          <w:rFonts w:hint="default" w:ascii="Times New Roman" w:hAnsi="Times New Roman" w:cs="Times New Roman"/>
        </w:rPr>
      </w:pPr>
      <w:r>
        <w:rPr>
          <w:rFonts w:hint="default" w:ascii="Times New Roman" w:hAnsi="Times New Roman" w:eastAsia="楷体" w:cs="Times New Roman"/>
          <w:b w:val="0"/>
          <w:color w:val="000000"/>
          <w:sz w:val="24"/>
        </w:rPr>
        <w:t>图5  一般公共预算财政拨款支出决算变动情况（万元）</w:t>
      </w:r>
    </w:p>
    <w:p w14:paraId="56F02275">
      <w:pPr>
        <w:spacing w:before="0" w:after="0" w:line="560" w:lineRule="exact"/>
        <w:ind w:firstLine="640"/>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（二）一般公共预算财政拨款支出决算结构情况</w:t>
      </w:r>
    </w:p>
    <w:p w14:paraId="38DB3095">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按支出功能分类，卫生健康支出20,712.67万元，占82.7%；社会保障和就业支出2,888.22万元，占11.5%；住房保障支出1,415.27万元，占5.7%；教育支出10万元、科学技术支出14.54万元，两类合计占0.1%。</w:t>
      </w:r>
    </w:p>
    <w:p w14:paraId="60BADBAE">
      <w:pPr>
        <w:keepNext/>
        <w:spacing w:before="80" w:after="4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111750" cy="3297555"/>
            <wp:effectExtent l="0" t="0" r="12700" b="171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5112000" cy="3297600"/>
                    </a:xfrm>
                    <a:prstGeom prst="rect">
                      <a:avLst/>
                    </a:prstGeom>
                  </pic:spPr>
                </pic:pic>
              </a:graphicData>
            </a:graphic>
          </wp:inline>
        </w:drawing>
      </w:r>
    </w:p>
    <w:p w14:paraId="378DAFAD">
      <w:pPr>
        <w:spacing w:before="0" w:after="120" w:line="400" w:lineRule="exact"/>
        <w:jc w:val="center"/>
        <w:rPr>
          <w:rFonts w:hint="default" w:ascii="Times New Roman" w:hAnsi="Times New Roman" w:cs="Times New Roman"/>
        </w:rPr>
      </w:pPr>
      <w:r>
        <w:rPr>
          <w:rFonts w:hint="default" w:ascii="Times New Roman" w:hAnsi="Times New Roman" w:eastAsia="楷体" w:cs="Times New Roman"/>
          <w:b w:val="0"/>
          <w:color w:val="000000"/>
          <w:sz w:val="24"/>
        </w:rPr>
        <w:t>图6  2025年度一般公共预算财政拨款支出决算结构</w:t>
      </w:r>
    </w:p>
    <w:p w14:paraId="0D32F744">
      <w:pPr>
        <w:spacing w:before="0" w:after="0" w:line="560" w:lineRule="exact"/>
        <w:ind w:firstLine="640"/>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（三）一般公共预算财政拨款支出具体情况</w:t>
      </w:r>
    </w:p>
    <w:p w14:paraId="3FDAA19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2025年度一般公共预算财政拨款无年初、年末结转结余，财政拨款本年收入与本年支出一致，各功能分类科目支出均完成预算100%。具体如下：</w:t>
      </w:r>
    </w:p>
    <w:p w14:paraId="5F6DFF54">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1.</w:t>
      </w:r>
      <w:r>
        <w:rPr>
          <w:rFonts w:hint="default" w:ascii="Times New Roman" w:hAnsi="Times New Roman" w:eastAsia="仿宋_GB2312" w:cs="Times New Roman"/>
          <w:b w:val="0"/>
          <w:sz w:val="32"/>
        </w:rPr>
        <w:t>教育支出（205）2025年度决算支出10万元，完成预算100%。</w:t>
      </w:r>
    </w:p>
    <w:p w14:paraId="65E85FA2">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2.</w:t>
      </w:r>
      <w:r>
        <w:rPr>
          <w:rFonts w:hint="default" w:ascii="Times New Roman" w:hAnsi="Times New Roman" w:eastAsia="仿宋_GB2312" w:cs="Times New Roman"/>
          <w:b w:val="0"/>
          <w:sz w:val="32"/>
        </w:rPr>
        <w:t>其他教育支出（20599）支出10万元，完成预算100%。</w:t>
      </w:r>
    </w:p>
    <w:p w14:paraId="6199CE6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其中：其他教育支出（2059999）支出10万元，完成预算100%。</w:t>
      </w:r>
    </w:p>
    <w:p w14:paraId="7EED7B90">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科学技术支出（206）2025年度决算支出14.54万元，完成预算100%。</w:t>
      </w:r>
    </w:p>
    <w:p w14:paraId="0DC81BC8">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技术研究与开发（20604）支出5.69万元，完成预算100%。</w:t>
      </w:r>
    </w:p>
    <w:p w14:paraId="3662D359">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其中：其他技术研究与开发支出（2060499）支出5.69万元，完成预算100%。</w:t>
      </w:r>
    </w:p>
    <w:p w14:paraId="2544BA00">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3.</w:t>
      </w:r>
      <w:r>
        <w:rPr>
          <w:rFonts w:hint="default" w:ascii="Times New Roman" w:hAnsi="Times New Roman" w:eastAsia="仿宋_GB2312" w:cs="Times New Roman"/>
          <w:b w:val="0"/>
          <w:sz w:val="32"/>
        </w:rPr>
        <w:t>其他科学技术支出（20699）支出8.85万元，完成预算100%。</w:t>
      </w:r>
    </w:p>
    <w:p w14:paraId="700F1617">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其中：其他科学技术支出（2069999）支出8.85万元，完成预算100%。</w:t>
      </w:r>
    </w:p>
    <w:p w14:paraId="5EC04EE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4.</w:t>
      </w:r>
      <w:r>
        <w:rPr>
          <w:rFonts w:hint="default" w:ascii="Times New Roman" w:hAnsi="Times New Roman" w:eastAsia="仿宋_GB2312" w:cs="Times New Roman"/>
          <w:b w:val="0"/>
          <w:sz w:val="32"/>
        </w:rPr>
        <w:t>社会保障和就业支出（208）2025年度决算支出2,888.22万元，完成预算100%。</w:t>
      </w:r>
    </w:p>
    <w:p w14:paraId="1390B8DE">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行政事业单位养老支出（20805）支出2,888.22万元，完成预算100%。</w:t>
      </w:r>
    </w:p>
    <w:p w14:paraId="5F2C35A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其中：机关事业单位基本养老保险缴费支出（2080505）支出1,788.45万元，完成预算100%。</w:t>
      </w:r>
    </w:p>
    <w:p w14:paraId="4556D68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其中：机关事业单位职业年金缴费支出（2080506）支出889.65万元，完成预算100%。</w:t>
      </w:r>
    </w:p>
    <w:p w14:paraId="731177CE">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其中：其他行政事业单位养老支出（2080599）支出210.12万元，完成预算100%。</w:t>
      </w:r>
    </w:p>
    <w:p w14:paraId="7821C97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5.</w:t>
      </w:r>
      <w:r>
        <w:rPr>
          <w:rFonts w:hint="default" w:ascii="Times New Roman" w:hAnsi="Times New Roman" w:eastAsia="仿宋_GB2312" w:cs="Times New Roman"/>
          <w:b w:val="0"/>
          <w:sz w:val="32"/>
        </w:rPr>
        <w:t>卫生健康支出（210）2025年度决算支出20,712.67万元，完成预算100%。</w:t>
      </w:r>
    </w:p>
    <w:p w14:paraId="318ED52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卫生健康管理事务（21001）支出2,052.88万元，完成预算100%。</w:t>
      </w:r>
    </w:p>
    <w:p w14:paraId="4E67A03E">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其中：行政运行（2100101）支出1,311.12万元，完成预算100%。</w:t>
      </w:r>
    </w:p>
    <w:p w14:paraId="574DC966">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其中：一般行政管理事务（2100102）支出418.45万元，完成预算100%。</w:t>
      </w:r>
    </w:p>
    <w:p w14:paraId="0C22070B">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其中：其他卫生健康管理事务支出（2100199）支出323.31万元，完成预算100%。</w:t>
      </w:r>
    </w:p>
    <w:p w14:paraId="139FED63">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6.</w:t>
      </w:r>
      <w:r>
        <w:rPr>
          <w:rFonts w:hint="default" w:ascii="Times New Roman" w:hAnsi="Times New Roman" w:eastAsia="仿宋_GB2312" w:cs="Times New Roman"/>
          <w:b w:val="0"/>
          <w:sz w:val="32"/>
        </w:rPr>
        <w:t>公立医院（21002）支出9,583.85万元，完成预算100%。</w:t>
      </w:r>
    </w:p>
    <w:p w14:paraId="11AD3DCE">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其中：综合医院（2100201）支出6,477.77万元，完成预算100%。</w:t>
      </w:r>
    </w:p>
    <w:p w14:paraId="4122B222">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其中：中医（民族）医院（2100202）支出2,839.45万元，完成预算100%。</w:t>
      </w:r>
    </w:p>
    <w:p w14:paraId="69189CA0">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其中：其他公立医院支出（2100299）支出266.64万元，完成预算100%。</w:t>
      </w:r>
    </w:p>
    <w:p w14:paraId="6ACDEF17">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7.</w:t>
      </w:r>
      <w:r>
        <w:rPr>
          <w:rFonts w:hint="default" w:ascii="Times New Roman" w:hAnsi="Times New Roman" w:eastAsia="仿宋_GB2312" w:cs="Times New Roman"/>
          <w:b w:val="0"/>
          <w:sz w:val="32"/>
        </w:rPr>
        <w:t>公共卫生（21004）支出6,448.3万元，完成预算100%。</w:t>
      </w:r>
    </w:p>
    <w:p w14:paraId="62F06E78">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其中：疾病预防控制机构（2100401）支出2,740.98万元，完成预算100%。</w:t>
      </w:r>
    </w:p>
    <w:p w14:paraId="6440713B">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其中：妇幼保健机构（2100403）支出1,287.52万元，完成预算100%。</w:t>
      </w:r>
    </w:p>
    <w:p w14:paraId="406A5DB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其中：采供血机构（2100406）支出871.51万元，完成预算100%。</w:t>
      </w:r>
    </w:p>
    <w:p w14:paraId="544F450D">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其中：基本公共卫生服务（2100408）支出130.76万元，完成预算100%。</w:t>
      </w:r>
    </w:p>
    <w:p w14:paraId="036AEF07">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其中：重大公共卫生服务（2100409）支出776.17万元，完成预算100%。</w:t>
      </w:r>
    </w:p>
    <w:p w14:paraId="0969EC3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其中：其他公共卫生支出（2100499）支出641.37万元，完成预算100%。</w:t>
      </w:r>
    </w:p>
    <w:p w14:paraId="13D8EEDF">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8.</w:t>
      </w:r>
      <w:r>
        <w:rPr>
          <w:rFonts w:hint="default" w:ascii="Times New Roman" w:hAnsi="Times New Roman" w:eastAsia="仿宋_GB2312" w:cs="Times New Roman"/>
          <w:b w:val="0"/>
          <w:sz w:val="32"/>
        </w:rPr>
        <w:t>行政事业单位医疗（21011）支出1,140.92万元，完成预算100%。</w:t>
      </w:r>
    </w:p>
    <w:p w14:paraId="3DE2F21D">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其中：行政单位医疗（2101101）支出59.18万元，完成预算100%。</w:t>
      </w:r>
    </w:p>
    <w:p w14:paraId="4B4C3925">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其中：事业单位医疗（2101102）支出990.86万元，完成预算100%。</w:t>
      </w:r>
    </w:p>
    <w:p w14:paraId="63912416">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其中：公务员医疗补助（2101103）支出17.79万元，完成预算100%。</w:t>
      </w:r>
    </w:p>
    <w:p w14:paraId="5215CC0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其中：其他行政事业单位医疗支出（2101199）支出73.08万元，完成预算100%。</w:t>
      </w:r>
    </w:p>
    <w:p w14:paraId="006E278B">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9.</w:t>
      </w:r>
      <w:r>
        <w:rPr>
          <w:rFonts w:hint="default" w:ascii="Times New Roman" w:hAnsi="Times New Roman" w:eastAsia="仿宋_GB2312" w:cs="Times New Roman"/>
          <w:b w:val="0"/>
          <w:sz w:val="32"/>
        </w:rPr>
        <w:t>中医药事务（21017）支出28.47万元，完成预算100%。</w:t>
      </w:r>
    </w:p>
    <w:p w14:paraId="5A81182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其中：中医（民族医）药专项（2101704）支出28.47万元，完成预算100%。</w:t>
      </w:r>
    </w:p>
    <w:p w14:paraId="33D2C903">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10.</w:t>
      </w:r>
      <w:r>
        <w:rPr>
          <w:rFonts w:hint="default" w:ascii="Times New Roman" w:hAnsi="Times New Roman" w:eastAsia="仿宋_GB2312" w:cs="Times New Roman"/>
          <w:b w:val="0"/>
          <w:sz w:val="32"/>
        </w:rPr>
        <w:t>其他卫生健康支出（21099）支出1,458.25万元，完成预算100%。</w:t>
      </w:r>
    </w:p>
    <w:p w14:paraId="64AA911B">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其中：其他卫生健康支出（2109999）支出1,458.25万元，完成预算100%。</w:t>
      </w:r>
    </w:p>
    <w:p w14:paraId="2AC98A53">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lang w:val="en-US" w:eastAsia="zh-CN"/>
        </w:rPr>
        <w:t>11.</w:t>
      </w:r>
      <w:r>
        <w:rPr>
          <w:rFonts w:hint="default" w:ascii="Times New Roman" w:hAnsi="Times New Roman" w:eastAsia="仿宋_GB2312" w:cs="Times New Roman"/>
          <w:b w:val="0"/>
          <w:sz w:val="32"/>
        </w:rPr>
        <w:t>住房保障支出（221）2025年度决算支出1,415.27万元，完成预算100%。</w:t>
      </w:r>
    </w:p>
    <w:p w14:paraId="1DF79059">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住房改革支出（22102）支出1,415.27万元，完成预算100%。</w:t>
      </w:r>
    </w:p>
    <w:p w14:paraId="72134757">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其中：住房公积金（2210201）支出1,408.87万元，完成预算100%。</w:t>
      </w:r>
    </w:p>
    <w:p w14:paraId="766A8B70">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其中：购房补贴（2210203）支出6.4万元，完成预算100%。</w:t>
      </w:r>
    </w:p>
    <w:p w14:paraId="616B633C">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9" w:name="_Toc13664"/>
      <w:r>
        <w:rPr>
          <w:rFonts w:hint="default" w:ascii="Times New Roman" w:hAnsi="Times New Roman" w:eastAsia="黑体" w:cs="Times New Roman"/>
          <w:b w:val="0"/>
          <w:color w:val="000000"/>
          <w:sz w:val="32"/>
        </w:rPr>
        <w:t>六、一般公共预算财政拨款基本支出决算情况说明</w:t>
      </w:r>
      <w:bookmarkEnd w:id="9"/>
    </w:p>
    <w:p w14:paraId="5B31EAAB">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2025年度一般公共预算财政拨款基本支出18,696.16万元，其中：</w:t>
      </w:r>
    </w:p>
    <w:p w14:paraId="0F12242F">
      <w:pPr>
        <w:spacing w:before="0" w:after="0" w:line="560" w:lineRule="exact"/>
        <w:ind w:firstLine="640"/>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（一）人员经费</w:t>
      </w:r>
    </w:p>
    <w:p w14:paraId="687E2ED1">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人员经费16,779.52万元，主要支出科目包括基本工资3,796.43万元、津贴补贴2,426.82万元、奖金1,091.03万元、伙食补助费168.85万元、绩效工资2,514.01万元、机关事业单位基本养老保险缴费1,788.45万元、职业年金缴费889.65万元、职工基本医疗保险缴费1,047.82万元、公务员医疗补助缴费36.61万元、其他社会保障缴费197.32万元、住房公积金1,408.87万元、其他工资福利支出181.67万元、离休费36.47万元、退休费35.16万元、抚恤金22.92万元、生活补助1,137.07万元、奖励金0.38万元。</w:t>
      </w:r>
    </w:p>
    <w:p w14:paraId="6CEA4534">
      <w:pPr>
        <w:spacing w:before="0" w:after="0" w:line="560" w:lineRule="exact"/>
        <w:ind w:firstLine="640"/>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（二）公用经费</w:t>
      </w:r>
    </w:p>
    <w:p w14:paraId="5E27378A">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公用经费1,916.64万元，主要支出科目包括办公费139.23万元、印刷费2.68万元、手续费0.1万元、水费9.59万元、电费92.7万元、邮电费81.55万元、物业管理费63.5万元、差旅费188.07万元、维修（护）费133.47万元、租赁费0.23万元、会议费2.21万元、培训费16.82万元、公务接待费0.98万元、专用材料费269.18万元、劳务费315.3万元、委托业务费35.26万元、工会经费65.39万元、福利费169.03万元、公务用车运行维护费152.28万元、其他交通费用34.98万元、税金及附加费用4.69万元、其他商品和服务支出54.92万元、办公设备购置5.1万元、专用设备购置15.74万元、信息网络及软件购置更新10.68万元、公务用车购置52.98万元。</w:t>
      </w:r>
    </w:p>
    <w:p w14:paraId="75F6E35D">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eastAsia="黑体" w:cs="Times New Roman"/>
          <w:b w:val="0"/>
          <w:color w:val="000000"/>
          <w:sz w:val="32"/>
        </w:rPr>
      </w:pPr>
      <w:bookmarkStart w:id="10" w:name="_Toc19666"/>
      <w:r>
        <w:rPr>
          <w:rFonts w:hint="default" w:ascii="Times New Roman" w:hAnsi="Times New Roman" w:eastAsia="黑体" w:cs="Times New Roman"/>
          <w:b w:val="0"/>
          <w:color w:val="000000"/>
          <w:sz w:val="32"/>
        </w:rPr>
        <w:t>七、财政拨款“三公”经费支出决算情况说明</w:t>
      </w:r>
      <w:bookmarkEnd w:id="10"/>
    </w:p>
    <w:p w14:paraId="0203AC53">
      <w:pPr>
        <w:spacing w:before="0" w:after="0" w:line="560" w:lineRule="exact"/>
        <w:ind w:firstLine="640"/>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（一）“三公”经费财政拨款支出决算总体情况</w:t>
      </w:r>
    </w:p>
    <w:p w14:paraId="245AA919">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2025年度“三公”经费财政拨款支出决算219万元，完成全年预算223.81万元的97.9%；与2024年度决算201.09万元相比，增加17.92万元，增长8.9%。支出增加主要是本年度更新购置公务用车1辆</w:t>
      </w:r>
      <w:r>
        <w:rPr>
          <w:rFonts w:hint="default" w:ascii="Times New Roman" w:hAnsi="Times New Roman" w:eastAsia="仿宋_GB2312" w:cs="Times New Roman"/>
          <w:b w:val="0"/>
          <w:sz w:val="32"/>
          <w:lang w:eastAsia="zh-CN"/>
        </w:rPr>
        <w:t>，相应</w:t>
      </w:r>
      <w:r>
        <w:rPr>
          <w:rFonts w:hint="default" w:ascii="Times New Roman" w:hAnsi="Times New Roman" w:eastAsia="仿宋_GB2312" w:cs="Times New Roman"/>
          <w:b w:val="0"/>
          <w:sz w:val="32"/>
        </w:rPr>
        <w:t>增加购置费支出。</w:t>
      </w:r>
    </w:p>
    <w:p w14:paraId="2A303908">
      <w:pPr>
        <w:keepNext/>
        <w:spacing w:before="80" w:after="4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607560" cy="2759075"/>
            <wp:effectExtent l="0" t="0" r="254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4608000" cy="2759198"/>
                    </a:xfrm>
                    <a:prstGeom prst="rect">
                      <a:avLst/>
                    </a:prstGeom>
                  </pic:spPr>
                </pic:pic>
              </a:graphicData>
            </a:graphic>
          </wp:inline>
        </w:drawing>
      </w:r>
    </w:p>
    <w:p w14:paraId="036C0D11">
      <w:pPr>
        <w:spacing w:before="0" w:after="120" w:line="400" w:lineRule="exact"/>
        <w:jc w:val="center"/>
        <w:rPr>
          <w:rFonts w:hint="default" w:ascii="Times New Roman" w:hAnsi="Times New Roman" w:cs="Times New Roman"/>
        </w:rPr>
      </w:pPr>
      <w:r>
        <w:rPr>
          <w:rFonts w:hint="default" w:ascii="Times New Roman" w:hAnsi="Times New Roman" w:eastAsia="楷体" w:cs="Times New Roman"/>
          <w:b w:val="0"/>
          <w:color w:val="000000"/>
          <w:sz w:val="24"/>
        </w:rPr>
        <w:t>图7  2025年度财政拨款“三公”经费支出结构</w:t>
      </w:r>
    </w:p>
    <w:p w14:paraId="3211ADAB">
      <w:pPr>
        <w:spacing w:before="0" w:after="0" w:line="560" w:lineRule="exact"/>
        <w:ind w:firstLine="640"/>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（二）“三公”经费财政拨款支出决算具体情况</w:t>
      </w:r>
    </w:p>
    <w:p w14:paraId="13F4F8C7">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1.因公出国（境）经费支出0万元，全年安排因公出国（境）团组0个、0人次，与2024年度持平，占“三公”经费支出总额的0%。</w:t>
      </w:r>
    </w:p>
    <w:p w14:paraId="028591DE">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公务用车购置及运行维护费支出218.02万元，占“三公”经费支出总额的99.6%，完成预算222.83万元的97.8%，与2024年度195.42万元相比，增加22.6万元，增长11.6%。其中：公务用车购置费52.98万元，本年度更新购置公务用车1辆；公务用车运行维护费165.04万元，与2024年度195.42万元相比，减少30.38万元，下降15.5%，主要用于公务用车燃料费、维修费、保险费及过路过桥费等支出。年末使用财政拨款开支的公务用车保有量41辆。</w:t>
      </w:r>
    </w:p>
    <w:p w14:paraId="0C76E72C">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3.公务接待费支出0.98万元，占“三公”经费支出总额的0.4%，完成预算0.98万元的100%，与2024年度5.67万元相比，减少4.68万元，下降82.7%。其中国内公务接待10批次、66人次，支出0.98万元；外事接待0批次、0人次，支出0万元。</w:t>
      </w:r>
    </w:p>
    <w:p w14:paraId="7D31F638">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11" w:name="_Toc20685"/>
      <w:r>
        <w:rPr>
          <w:rFonts w:hint="default" w:ascii="Times New Roman" w:hAnsi="Times New Roman" w:eastAsia="黑体" w:cs="Times New Roman"/>
          <w:b w:val="0"/>
          <w:color w:val="000000"/>
          <w:sz w:val="32"/>
        </w:rPr>
        <w:t>八、政府性基金预算财政拨款支出决算情况说明</w:t>
      </w:r>
      <w:bookmarkEnd w:id="11"/>
    </w:p>
    <w:p w14:paraId="0550CCBD">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本部门2025年度无政府性基金预算财政拨款收支，年初结转和结余为0，政府性基金预算财政拨款支出为0，与2024年度持平。</w:t>
      </w:r>
    </w:p>
    <w:p w14:paraId="50210972">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12" w:name="_Toc5076"/>
      <w:r>
        <w:rPr>
          <w:rFonts w:hint="default" w:ascii="Times New Roman" w:hAnsi="Times New Roman" w:eastAsia="黑体" w:cs="Times New Roman"/>
          <w:b w:val="0"/>
          <w:color w:val="000000"/>
          <w:sz w:val="32"/>
        </w:rPr>
        <w:t>九、国有资本经营预算财政拨款支出决算情况说明</w:t>
      </w:r>
      <w:bookmarkEnd w:id="12"/>
    </w:p>
    <w:p w14:paraId="39DA5B68">
      <w:pPr>
        <w:spacing w:before="0" w:after="0" w:line="560" w:lineRule="exact"/>
        <w:ind w:firstLine="640"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本部门2025年度无国有资本经营预算财政拨款收支，年初结转和结余为0，国有资本经营预算财政拨款支出为0，与2024年度持平。</w:t>
      </w:r>
    </w:p>
    <w:p w14:paraId="6C9546C5">
      <w:pPr>
        <w:pStyle w:val="5"/>
        <w:keepNext/>
        <w:keepLines/>
        <w:pageBreakBefore w:val="0"/>
        <w:widowControl/>
        <w:kinsoku/>
        <w:wordWrap/>
        <w:overflowPunct/>
        <w:topLinePunct w:val="0"/>
        <w:autoSpaceDE/>
        <w:autoSpaceDN/>
        <w:bidi w:val="0"/>
        <w:adjustRightInd/>
        <w:snapToGrid/>
        <w:spacing w:before="160" w:after="80" w:line="560" w:lineRule="exact"/>
        <w:ind w:firstLine="640" w:firstLineChars="200"/>
        <w:jc w:val="both"/>
        <w:textAlignment w:val="auto"/>
        <w:rPr>
          <w:rFonts w:hint="default" w:ascii="Times New Roman" w:hAnsi="Times New Roman" w:cs="Times New Roman"/>
        </w:rPr>
      </w:pPr>
      <w:bookmarkStart w:id="13" w:name="_Toc5127"/>
      <w:r>
        <w:rPr>
          <w:rFonts w:hint="default" w:ascii="Times New Roman" w:hAnsi="Times New Roman" w:eastAsia="黑体" w:cs="Times New Roman"/>
          <w:b w:val="0"/>
          <w:color w:val="000000"/>
          <w:sz w:val="32"/>
        </w:rPr>
        <w:t>十、其他重要事项的情况说明</w:t>
      </w:r>
      <w:bookmarkEnd w:id="13"/>
    </w:p>
    <w:p w14:paraId="7577033D">
      <w:pPr>
        <w:spacing w:before="0" w:after="0" w:line="560" w:lineRule="exact"/>
        <w:ind w:firstLine="643" w:firstLineChars="200"/>
        <w:jc w:val="both"/>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（一）机关运行经费支出情况</w:t>
      </w:r>
    </w:p>
    <w:p w14:paraId="187DF680">
      <w:pPr>
        <w:spacing w:before="0" w:after="0" w:line="560" w:lineRule="exact"/>
        <w:ind w:firstLine="640"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2025年度机关运行经费支出185.61万元，与2024年度650.55万元相比，减少464.94万元，下降71.5%。主要是严格落实党政机关过紧日子要求，压减一般性支出，规范行政运行相关开支。</w:t>
      </w:r>
    </w:p>
    <w:p w14:paraId="59ECCB68">
      <w:pPr>
        <w:spacing w:before="0" w:after="0" w:line="560" w:lineRule="exact"/>
        <w:ind w:firstLine="643" w:firstLineChars="200"/>
        <w:jc w:val="both"/>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（二）政府采购支出情况</w:t>
      </w:r>
    </w:p>
    <w:p w14:paraId="621FB5D3">
      <w:pPr>
        <w:spacing w:before="0" w:after="0" w:line="560" w:lineRule="exact"/>
        <w:ind w:firstLine="640"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政府采购支出总额955.96万元，其中：政府采购货物支出609.87万元、政府采购工程支出0万元、政府采购服务支出346.08万元。授予中小企业合同金额539.8万元，占政府采购支出总额的56.5%，其中：授予小微企业合同金额539.8万元，占政府采购支出总额的56.5%。</w:t>
      </w:r>
    </w:p>
    <w:p w14:paraId="6D9483BC">
      <w:pPr>
        <w:spacing w:before="0" w:after="0" w:line="560" w:lineRule="exact"/>
        <w:ind w:firstLine="643" w:firstLineChars="200"/>
        <w:jc w:val="both"/>
        <w:rPr>
          <w:rFonts w:hint="default" w:ascii="Times New Roman" w:hAnsi="Times New Roman" w:eastAsia="仿宋_GB2312" w:cs="Times New Roman"/>
          <w:b/>
          <w:bCs/>
          <w:sz w:val="32"/>
        </w:rPr>
      </w:pPr>
      <w:r>
        <w:rPr>
          <w:rFonts w:hint="default" w:ascii="Times New Roman" w:hAnsi="Times New Roman" w:eastAsia="仿宋_GB2312" w:cs="Times New Roman"/>
          <w:b/>
          <w:bCs/>
          <w:sz w:val="32"/>
        </w:rPr>
        <w:t>（三）国有资产占有使用情况</w:t>
      </w:r>
    </w:p>
    <w:p w14:paraId="0D250EB1">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截至2025年12月31日，本部门共有车辆61辆，其中：特种专业技术用车33辆、其他用车28辆（主要用于医疗卫生应急、采供血配送、卫生监督执法等业务保障）；省部级领导干部用车、主要负责人用车、机要通信用车、应急保障用车、执法执勤用车、离退休干部用车均为0辆。单位价值100万元（含）以上的大型设备（不含车辆）10台（套）。</w:t>
      </w:r>
    </w:p>
    <w:p w14:paraId="0B32EAFA">
      <w:pPr>
        <w:pStyle w:val="2"/>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p w14:paraId="67DC8063">
      <w:pPr>
        <w:keepNext w:val="0"/>
        <w:keepLines w:val="0"/>
        <w:pageBreakBefore w:val="0"/>
        <w:widowControl/>
        <w:numPr>
          <w:ilvl w:val="0"/>
          <w:numId w:val="7"/>
        </w:numPr>
        <w:kinsoku/>
        <w:wordWrap/>
        <w:overflowPunct/>
        <w:topLinePunct w:val="0"/>
        <w:autoSpaceDE/>
        <w:autoSpaceDN/>
        <w:bidi w:val="0"/>
        <w:adjustRightInd/>
        <w:snapToGrid/>
        <w:spacing w:before="240" w:after="120" w:line="560" w:lineRule="exact"/>
        <w:jc w:val="center"/>
        <w:textAlignment w:val="auto"/>
        <w:outlineLvl w:val="0"/>
        <w:rPr>
          <w:rFonts w:hint="default" w:ascii="Times New Roman" w:hAnsi="Times New Roman" w:eastAsia="方正小标宋简体" w:cs="Times New Roman"/>
          <w:b w:val="0"/>
          <w:bCs/>
          <w:color w:val="000000"/>
          <w:sz w:val="44"/>
        </w:rPr>
      </w:pPr>
      <w:r>
        <w:rPr>
          <w:rFonts w:hint="default" w:ascii="Times New Roman" w:hAnsi="Times New Roman" w:eastAsia="方正小标宋简体" w:cs="Times New Roman"/>
          <w:b w:val="0"/>
          <w:bCs/>
          <w:color w:val="000000"/>
          <w:sz w:val="44"/>
        </w:rPr>
        <w:t xml:space="preserve"> </w:t>
      </w:r>
      <w:bookmarkStart w:id="14" w:name="_Toc21764"/>
      <w:r>
        <w:rPr>
          <w:rFonts w:hint="default" w:ascii="Times New Roman" w:hAnsi="Times New Roman" w:eastAsia="方正小标宋简体" w:cs="Times New Roman"/>
          <w:b w:val="0"/>
          <w:bCs/>
          <w:color w:val="000000"/>
          <w:sz w:val="44"/>
        </w:rPr>
        <w:t>名词解释</w:t>
      </w:r>
      <w:bookmarkEnd w:id="14"/>
    </w:p>
    <w:p w14:paraId="06468DAA">
      <w:pPr>
        <w:pStyle w:val="2"/>
        <w:keepNext/>
        <w:keepLines/>
        <w:pageBreakBefore w:val="0"/>
        <w:widowControl w:val="0"/>
        <w:numPr>
          <w:ilvl w:val="0"/>
          <w:numId w:val="0"/>
        </w:numPr>
        <w:kinsoku/>
        <w:wordWrap/>
        <w:overflowPunct/>
        <w:topLinePunct w:val="0"/>
        <w:autoSpaceDE/>
        <w:autoSpaceDN/>
        <w:bidi w:val="0"/>
        <w:adjustRightInd/>
        <w:snapToGrid/>
        <w:spacing w:before="280" w:after="156" w:line="560" w:lineRule="exact"/>
        <w:textAlignment w:val="auto"/>
        <w:outlineLvl w:val="4"/>
        <w:rPr>
          <w:rFonts w:hint="default" w:ascii="Times New Roman" w:hAnsi="Times New Roman" w:cs="Times New Roman"/>
        </w:rPr>
      </w:pPr>
    </w:p>
    <w:p w14:paraId="5AF4E110">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1.</w:t>
      </w:r>
      <w:r>
        <w:rPr>
          <w:rFonts w:hint="default" w:ascii="Times New Roman" w:hAnsi="Times New Roman" w:eastAsia="仿宋_GB2312" w:cs="Times New Roman"/>
          <w:b/>
          <w:bCs/>
          <w:sz w:val="32"/>
        </w:rPr>
        <w:t>一般公共预算财政拨款收入：</w:t>
      </w:r>
      <w:r>
        <w:rPr>
          <w:rFonts w:hint="default" w:ascii="Times New Roman" w:hAnsi="Times New Roman" w:eastAsia="仿宋_GB2312" w:cs="Times New Roman"/>
          <w:b w:val="0"/>
          <w:sz w:val="32"/>
        </w:rPr>
        <w:t>指单位从同级财政部门取得的财政预算资金。</w:t>
      </w:r>
    </w:p>
    <w:p w14:paraId="56672AAC">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2.</w:t>
      </w:r>
      <w:r>
        <w:rPr>
          <w:rFonts w:hint="default" w:ascii="Times New Roman" w:hAnsi="Times New Roman" w:eastAsia="仿宋_GB2312" w:cs="Times New Roman"/>
          <w:b/>
          <w:bCs/>
          <w:sz w:val="32"/>
        </w:rPr>
        <w:t>事业收入</w:t>
      </w:r>
      <w:r>
        <w:rPr>
          <w:rFonts w:hint="default" w:ascii="Times New Roman" w:hAnsi="Times New Roman" w:eastAsia="仿宋_GB2312" w:cs="Times New Roman"/>
          <w:b w:val="0"/>
          <w:sz w:val="32"/>
        </w:rPr>
        <w:t>：指事业单位开展专业业务活动及辅助活动取得的收入。</w:t>
      </w:r>
    </w:p>
    <w:p w14:paraId="427C36FD">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3.</w:t>
      </w:r>
      <w:r>
        <w:rPr>
          <w:rFonts w:hint="default" w:ascii="Times New Roman" w:hAnsi="Times New Roman" w:eastAsia="仿宋_GB2312" w:cs="Times New Roman"/>
          <w:b/>
          <w:bCs/>
          <w:sz w:val="32"/>
        </w:rPr>
        <w:t>其他收入：</w:t>
      </w:r>
      <w:r>
        <w:rPr>
          <w:rFonts w:hint="default" w:ascii="Times New Roman" w:hAnsi="Times New Roman" w:eastAsia="仿宋_GB2312" w:cs="Times New Roman"/>
          <w:b w:val="0"/>
          <w:sz w:val="32"/>
        </w:rPr>
        <w:t>指单位取得的除上述收入以外的各项收入，包括非同级财政拨款收入、利息收入、捐赠收入等。</w:t>
      </w:r>
    </w:p>
    <w:p w14:paraId="1A8185BE">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4.</w:t>
      </w:r>
      <w:r>
        <w:rPr>
          <w:rFonts w:hint="default" w:ascii="Times New Roman" w:hAnsi="Times New Roman" w:eastAsia="仿宋_GB2312" w:cs="Times New Roman"/>
          <w:b/>
          <w:bCs/>
          <w:sz w:val="32"/>
        </w:rPr>
        <w:t>年初结转和结余：</w:t>
      </w:r>
      <w:r>
        <w:rPr>
          <w:rFonts w:hint="default" w:ascii="Times New Roman" w:hAnsi="Times New Roman" w:eastAsia="仿宋_GB2312" w:cs="Times New Roman"/>
          <w:b w:val="0"/>
          <w:sz w:val="32"/>
        </w:rPr>
        <w:t>指以前年度尚未完成、结转到本年按有关规定继续使用的资金，以及项目已完成等原因产生的结余资金。</w:t>
      </w:r>
    </w:p>
    <w:p w14:paraId="69BF90CD">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5.</w:t>
      </w:r>
      <w:r>
        <w:rPr>
          <w:rFonts w:hint="default" w:ascii="Times New Roman" w:hAnsi="Times New Roman" w:eastAsia="仿宋_GB2312" w:cs="Times New Roman"/>
          <w:b/>
          <w:bCs/>
          <w:sz w:val="32"/>
        </w:rPr>
        <w:t>年末结转和结余：</w:t>
      </w:r>
      <w:r>
        <w:rPr>
          <w:rFonts w:hint="default" w:ascii="Times New Roman" w:hAnsi="Times New Roman" w:eastAsia="仿宋_GB2312" w:cs="Times New Roman"/>
          <w:b w:val="0"/>
          <w:sz w:val="32"/>
        </w:rPr>
        <w:t>指本年度或以前年度预算安排、因客观条件发生变化无法按原计划实施，需要延迟到以后年度按有关规定继续使用的资金，以及项目已完成等原因产生的结余资金。</w:t>
      </w:r>
    </w:p>
    <w:p w14:paraId="0A21AB6E">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6.</w:t>
      </w:r>
      <w:r>
        <w:rPr>
          <w:rFonts w:hint="default" w:ascii="Times New Roman" w:hAnsi="Times New Roman" w:eastAsia="仿宋_GB2312" w:cs="Times New Roman"/>
          <w:b/>
          <w:bCs/>
          <w:sz w:val="32"/>
        </w:rPr>
        <w:t>基本支出：</w:t>
      </w:r>
      <w:r>
        <w:rPr>
          <w:rFonts w:hint="default" w:ascii="Times New Roman" w:hAnsi="Times New Roman" w:eastAsia="仿宋_GB2312" w:cs="Times New Roman"/>
          <w:b w:val="0"/>
          <w:sz w:val="32"/>
        </w:rPr>
        <w:t>指为保障机构正常运转、完成日常工作任务而发生的人员支出和公用支出。</w:t>
      </w:r>
    </w:p>
    <w:p w14:paraId="14FF2913">
      <w:pPr>
        <w:spacing w:before="0" w:after="0" w:line="560" w:lineRule="exact"/>
        <w:ind w:firstLine="640"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项目支出：指在基本支出之外为完成特定行政任务和事业发展目标所发生的支出。</w:t>
      </w:r>
    </w:p>
    <w:p w14:paraId="0B583FCC">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7.</w:t>
      </w:r>
      <w:r>
        <w:rPr>
          <w:rFonts w:hint="default" w:ascii="Times New Roman" w:hAnsi="Times New Roman" w:eastAsia="仿宋_GB2312" w:cs="Times New Roman"/>
          <w:b/>
          <w:bCs/>
          <w:sz w:val="32"/>
        </w:rPr>
        <w:t>“三公”经费：</w:t>
      </w:r>
      <w:r>
        <w:rPr>
          <w:rFonts w:hint="default" w:ascii="Times New Roman" w:hAnsi="Times New Roman" w:eastAsia="仿宋_GB2312" w:cs="Times New Roman"/>
          <w:b w:val="0"/>
          <w:sz w:val="32"/>
        </w:rPr>
        <w:t>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及燃料费、维修费、过路过桥费、保险费等支出；公务接待费反映单位按规定开支的各类公务接待（含外宾接待）支出。</w:t>
      </w:r>
    </w:p>
    <w:p w14:paraId="173B8DF1">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8.</w:t>
      </w:r>
      <w:r>
        <w:rPr>
          <w:rFonts w:hint="default" w:ascii="Times New Roman" w:hAnsi="Times New Roman" w:eastAsia="仿宋_GB2312" w:cs="Times New Roman"/>
          <w:b/>
          <w:bCs/>
          <w:sz w:val="32"/>
        </w:rPr>
        <w:t>机关运行经费：</w:t>
      </w:r>
      <w:r>
        <w:rPr>
          <w:rFonts w:hint="default" w:ascii="Times New Roman" w:hAnsi="Times New Roman" w:eastAsia="仿宋_GB2312" w:cs="Times New Roman"/>
          <w:b w:val="0"/>
          <w:sz w:val="32"/>
        </w:rPr>
        <w:t>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E6A712">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9.</w:t>
      </w:r>
      <w:r>
        <w:rPr>
          <w:rFonts w:hint="default" w:ascii="Times New Roman" w:hAnsi="Times New Roman" w:eastAsia="仿宋_GB2312" w:cs="Times New Roman"/>
          <w:b/>
          <w:bCs/>
          <w:sz w:val="32"/>
        </w:rPr>
        <w:t>教育支出（205）：</w:t>
      </w:r>
      <w:r>
        <w:rPr>
          <w:rFonts w:hint="default" w:ascii="Times New Roman" w:hAnsi="Times New Roman" w:eastAsia="仿宋_GB2312" w:cs="Times New Roman"/>
          <w:b w:val="0"/>
          <w:sz w:val="32"/>
        </w:rPr>
        <w:t>反映政府教育事务和职业教育等支出。本部门仅涉及进修及培训相关的教育支出。</w:t>
      </w:r>
    </w:p>
    <w:p w14:paraId="56696820">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10.</w:t>
      </w:r>
      <w:r>
        <w:rPr>
          <w:rFonts w:hint="default" w:ascii="Times New Roman" w:hAnsi="Times New Roman" w:eastAsia="仿宋_GB2312" w:cs="Times New Roman"/>
          <w:b/>
          <w:bCs/>
          <w:sz w:val="32"/>
        </w:rPr>
        <w:t>科学技术支出（206）：</w:t>
      </w:r>
      <w:r>
        <w:rPr>
          <w:rFonts w:hint="default" w:ascii="Times New Roman" w:hAnsi="Times New Roman" w:eastAsia="仿宋_GB2312" w:cs="Times New Roman"/>
          <w:b w:val="0"/>
          <w:sz w:val="32"/>
        </w:rPr>
        <w:t>反映科学技术管理事务、技术研究与开发等支出。</w:t>
      </w:r>
    </w:p>
    <w:p w14:paraId="61A4CDE9">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11.</w:t>
      </w:r>
      <w:r>
        <w:rPr>
          <w:rFonts w:hint="default" w:ascii="Times New Roman" w:hAnsi="Times New Roman" w:eastAsia="仿宋_GB2312" w:cs="Times New Roman"/>
          <w:b/>
          <w:bCs/>
          <w:sz w:val="32"/>
        </w:rPr>
        <w:t>社会保障和就业支出（208）：</w:t>
      </w:r>
      <w:r>
        <w:rPr>
          <w:rFonts w:hint="default" w:ascii="Times New Roman" w:hAnsi="Times New Roman" w:eastAsia="仿宋_GB2312" w:cs="Times New Roman"/>
          <w:b w:val="0"/>
          <w:sz w:val="32"/>
        </w:rPr>
        <w:t>反映行政事业单位养老、就业补助等社会保障和就业方面的支出。本部门主要为机关事业单位基本养老保险缴费支出。</w:t>
      </w:r>
    </w:p>
    <w:p w14:paraId="189D607F">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12.</w:t>
      </w:r>
      <w:r>
        <w:rPr>
          <w:rFonts w:hint="default" w:ascii="Times New Roman" w:hAnsi="Times New Roman" w:eastAsia="仿宋_GB2312" w:cs="Times New Roman"/>
          <w:b/>
          <w:bCs/>
          <w:sz w:val="32"/>
        </w:rPr>
        <w:t>卫生健康支出（210）：</w:t>
      </w:r>
      <w:r>
        <w:rPr>
          <w:rFonts w:hint="default" w:ascii="Times New Roman" w:hAnsi="Times New Roman" w:eastAsia="仿宋_GB2312" w:cs="Times New Roman"/>
          <w:b w:val="0"/>
          <w:sz w:val="32"/>
        </w:rPr>
        <w:t>反映卫生健康管理、公立医院、基层医疗卫生、公共卫生、中医药、计划生育和行政事业单位医疗等方面的支出，是本部门支出的主体。</w:t>
      </w:r>
    </w:p>
    <w:p w14:paraId="48926D61">
      <w:pPr>
        <w:spacing w:before="0" w:after="0" w:line="560" w:lineRule="exact"/>
        <w:ind w:firstLine="643" w:firstLineChars="200"/>
        <w:jc w:val="both"/>
        <w:rPr>
          <w:rFonts w:hint="default" w:ascii="Times New Roman" w:hAnsi="Times New Roman" w:eastAsia="仿宋_GB2312" w:cs="Times New Roman"/>
          <w:b w:val="0"/>
          <w:sz w:val="32"/>
        </w:rPr>
      </w:pPr>
      <w:r>
        <w:rPr>
          <w:rFonts w:hint="default" w:ascii="Times New Roman" w:hAnsi="Times New Roman" w:eastAsia="仿宋_GB2312" w:cs="Times New Roman"/>
          <w:b/>
          <w:bCs/>
          <w:sz w:val="32"/>
          <w:lang w:val="en-US" w:eastAsia="zh-CN"/>
        </w:rPr>
        <w:t>13.</w:t>
      </w:r>
      <w:r>
        <w:rPr>
          <w:rFonts w:hint="default" w:ascii="Times New Roman" w:hAnsi="Times New Roman" w:eastAsia="仿宋_GB2312" w:cs="Times New Roman"/>
          <w:b/>
          <w:bCs/>
          <w:sz w:val="32"/>
        </w:rPr>
        <w:t>住房保障支出（221）：</w:t>
      </w:r>
      <w:r>
        <w:rPr>
          <w:rFonts w:hint="default" w:ascii="Times New Roman" w:hAnsi="Times New Roman" w:eastAsia="仿宋_GB2312" w:cs="Times New Roman"/>
          <w:b w:val="0"/>
          <w:sz w:val="32"/>
        </w:rPr>
        <w:t>反映住房改革等方面的支出。本部门主要为按规定为职工缴纳的住房公积金支出。</w:t>
      </w:r>
    </w:p>
    <w:p w14:paraId="000257ED">
      <w:pPr>
        <w:pStyle w:val="2"/>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p w14:paraId="08692F62">
      <w:pPr>
        <w:rPr>
          <w:rFonts w:hint="default" w:ascii="Times New Roman" w:hAnsi="Times New Roman" w:cs="Times New Roman"/>
        </w:rPr>
      </w:pPr>
    </w:p>
    <w:p w14:paraId="70990B2E">
      <w:pPr>
        <w:pStyle w:val="2"/>
        <w:rPr>
          <w:rFonts w:hint="default"/>
        </w:rPr>
      </w:pPr>
    </w:p>
    <w:p w14:paraId="1DA74D73">
      <w:pPr>
        <w:keepNext w:val="0"/>
        <w:keepLines w:val="0"/>
        <w:pageBreakBefore w:val="0"/>
        <w:widowControl/>
        <w:numPr>
          <w:ilvl w:val="0"/>
          <w:numId w:val="0"/>
        </w:numPr>
        <w:kinsoku/>
        <w:wordWrap/>
        <w:overflowPunct/>
        <w:topLinePunct w:val="0"/>
        <w:autoSpaceDE/>
        <w:autoSpaceDN/>
        <w:bidi w:val="0"/>
        <w:adjustRightInd/>
        <w:snapToGrid/>
        <w:spacing w:before="240" w:after="120" w:line="560" w:lineRule="exact"/>
        <w:ind w:firstLine="440" w:firstLineChars="100"/>
        <w:jc w:val="center"/>
        <w:textAlignment w:val="auto"/>
        <w:outlineLvl w:val="0"/>
        <w:rPr>
          <w:rFonts w:hint="default" w:ascii="Times New Roman" w:hAnsi="Times New Roman" w:eastAsia="方正小标宋简体" w:cs="Times New Roman"/>
          <w:b w:val="0"/>
          <w:bCs/>
          <w:color w:val="000000"/>
          <w:sz w:val="44"/>
        </w:rPr>
      </w:pPr>
      <w:bookmarkStart w:id="15" w:name="_Toc13564"/>
      <w:r>
        <w:rPr>
          <w:rFonts w:hint="default" w:ascii="Times New Roman" w:hAnsi="Times New Roman" w:eastAsia="方正小标宋简体" w:cs="Times New Roman"/>
          <w:b w:val="0"/>
          <w:bCs/>
          <w:color w:val="000000"/>
          <w:sz w:val="44"/>
        </w:rPr>
        <w:t>第四部分  附件</w:t>
      </w:r>
      <w:bookmarkEnd w:id="15"/>
    </w:p>
    <w:p w14:paraId="2BDAA73B">
      <w:pPr>
        <w:keepNext w:val="0"/>
        <w:keepLines w:val="0"/>
        <w:pageBreakBefore w:val="0"/>
        <w:widowControl/>
        <w:suppressLineNumbers w:val="0"/>
        <w:kinsoku/>
        <w:wordWrap/>
        <w:overflowPunct/>
        <w:topLinePunct w:val="0"/>
        <w:autoSpaceDE/>
        <w:autoSpaceDN/>
        <w:bidi w:val="0"/>
        <w:adjustRightInd/>
        <w:snapToGrid/>
        <w:spacing w:before="0" w:beforeAutospacing="1" w:after="200" w:afterAutospacing="0" w:line="560" w:lineRule="exact"/>
        <w:ind w:right="0"/>
        <w:contextualSpacing/>
        <w:jc w:val="left"/>
        <w:textAlignment w:val="auto"/>
        <w:rPr>
          <w:rFonts w:hint="default" w:ascii="Times New Roman" w:hAnsi="Times New Roman" w:eastAsia="黑体" w:cs="Times New Roman"/>
          <w:b w:val="0"/>
          <w:color w:val="000000"/>
          <w:sz w:val="32"/>
        </w:rPr>
      </w:pPr>
      <w:r>
        <w:rPr>
          <w:rFonts w:hint="default" w:ascii="Times New Roman" w:hAnsi="Times New Roman" w:eastAsia="黑体" w:cs="Times New Roman"/>
          <w:b w:val="0"/>
          <w:color w:val="000000"/>
          <w:sz w:val="32"/>
        </w:rPr>
        <w:t>附件1</w:t>
      </w:r>
    </w:p>
    <w:p w14:paraId="6F2D5D3D">
      <w:pPr>
        <w:keepNext w:val="0"/>
        <w:keepLines w:val="0"/>
        <w:pageBreakBefore w:val="0"/>
        <w:widowControl/>
        <w:suppressLineNumbers w:val="0"/>
        <w:kinsoku/>
        <w:wordWrap/>
        <w:overflowPunct/>
        <w:topLinePunct w:val="0"/>
        <w:autoSpaceDE/>
        <w:autoSpaceDN/>
        <w:bidi w:val="0"/>
        <w:adjustRightInd/>
        <w:snapToGrid/>
        <w:spacing w:before="0" w:beforeAutospacing="1" w:after="200" w:afterAutospacing="0" w:line="560" w:lineRule="exact"/>
        <w:ind w:left="0" w:right="0"/>
        <w:contextualSpacing/>
        <w:jc w:val="center"/>
        <w:textAlignment w:val="auto"/>
        <w:rPr>
          <w:rFonts w:hint="default" w:ascii="Times New Roman" w:hAnsi="Times New Roman" w:eastAsia="方正小标宋简体" w:cs="Times New Roman"/>
          <w:bCs/>
          <w:sz w:val="44"/>
          <w:szCs w:val="44"/>
          <w:shd w:val="clear" w:fill="FFFFFF"/>
        </w:rPr>
      </w:pPr>
      <w:r>
        <w:rPr>
          <w:rFonts w:hint="default" w:ascii="Times New Roman" w:hAnsi="Times New Roman" w:eastAsia="仿宋" w:cs="Times New Roman"/>
          <w:b w:val="0"/>
          <w:color w:val="000000"/>
          <w:sz w:val="32"/>
        </w:rPr>
        <w:t xml:space="preserve">  </w:t>
      </w:r>
      <w:r>
        <w:rPr>
          <w:rFonts w:hint="default" w:ascii="Times New Roman" w:hAnsi="Times New Roman" w:eastAsia="方正小标宋简体" w:cs="Times New Roman"/>
          <w:bCs/>
          <w:kern w:val="0"/>
          <w:sz w:val="44"/>
          <w:szCs w:val="44"/>
          <w:shd w:val="clear" w:fill="FFFFFF"/>
          <w:lang w:val="en-US" w:eastAsia="zh-CN" w:bidi="ar"/>
        </w:rPr>
        <w:t>阿坝州卫生健康委员会部门</w:t>
      </w:r>
    </w:p>
    <w:p w14:paraId="72265F40">
      <w:pPr>
        <w:keepNext w:val="0"/>
        <w:keepLines w:val="0"/>
        <w:widowControl/>
        <w:suppressLineNumbers w:val="0"/>
        <w:spacing w:before="0" w:beforeAutospacing="1" w:after="200" w:afterAutospacing="0" w:line="578" w:lineRule="exact"/>
        <w:ind w:left="0" w:right="0"/>
        <w:contextualSpacing/>
        <w:jc w:val="center"/>
        <w:rPr>
          <w:rFonts w:hint="default" w:ascii="Times New Roman" w:hAnsi="Times New Roman" w:eastAsia="方正小标宋简体" w:cs="Times New Roman"/>
          <w:bCs/>
          <w:sz w:val="44"/>
          <w:szCs w:val="44"/>
          <w:shd w:val="clear" w:fill="FFFFFF"/>
        </w:rPr>
      </w:pPr>
      <w:r>
        <w:rPr>
          <w:rFonts w:hint="default" w:ascii="Times New Roman" w:hAnsi="Times New Roman" w:eastAsia="方正小标宋简体" w:cs="Times New Roman"/>
          <w:bCs/>
          <w:kern w:val="0"/>
          <w:sz w:val="44"/>
          <w:szCs w:val="44"/>
          <w:shd w:val="clear" w:fill="FFFFFF"/>
          <w:lang w:val="en-US" w:eastAsia="zh-CN" w:bidi="ar"/>
        </w:rPr>
        <w:t>预算绩效自评报告</w:t>
      </w:r>
    </w:p>
    <w:p w14:paraId="5F6F2EF5">
      <w:pPr>
        <w:keepNext w:val="0"/>
        <w:keepLines w:val="0"/>
        <w:widowControl/>
        <w:suppressLineNumbers w:val="0"/>
        <w:adjustRightInd w:val="0"/>
        <w:snapToGrid w:val="0"/>
        <w:spacing w:before="0" w:beforeAutospacing="1" w:after="200" w:afterAutospacing="0" w:line="578" w:lineRule="exact"/>
        <w:ind w:left="0" w:right="0"/>
        <w:contextualSpacing/>
        <w:jc w:val="left"/>
        <w:rPr>
          <w:rFonts w:hint="default" w:ascii="Times New Roman" w:hAnsi="Times New Roman" w:eastAsia="黑体" w:cs="Times New Roman"/>
          <w:color w:val="000000"/>
          <w:kern w:val="0"/>
          <w:sz w:val="24"/>
          <w:szCs w:val="24"/>
          <w:shd w:val="clear" w:fill="FFFFFF"/>
        </w:rPr>
      </w:pPr>
      <w:r>
        <w:rPr>
          <w:rFonts w:hint="default" w:ascii="Times New Roman" w:hAnsi="Times New Roman" w:eastAsia="黑体" w:cs="Times New Roman"/>
          <w:color w:val="000000"/>
          <w:kern w:val="0"/>
          <w:sz w:val="24"/>
          <w:szCs w:val="24"/>
          <w:shd w:val="clear" w:fill="FFFFFF"/>
          <w:lang w:val="en-US" w:eastAsia="zh-CN" w:bidi="ar"/>
        </w:rPr>
        <w:t xml:space="preserve"> </w:t>
      </w:r>
    </w:p>
    <w:p w14:paraId="4730A4F7">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仿宋_GB2312" w:cs="Times New Roman"/>
          <w:sz w:val="32"/>
          <w:szCs w:val="32"/>
        </w:rPr>
      </w:pPr>
      <w:bookmarkStart w:id="16" w:name="_Toc13628"/>
      <w:r>
        <w:rPr>
          <w:rFonts w:hint="default" w:ascii="Times New Roman" w:hAnsi="Times New Roman" w:eastAsia="黑体" w:cs="Times New Roman"/>
          <w:color w:val="000000"/>
          <w:kern w:val="0"/>
          <w:sz w:val="32"/>
          <w:szCs w:val="32"/>
          <w:shd w:val="clear" w:fill="FFFFFF"/>
          <w:lang w:val="en-US" w:eastAsia="zh-CN" w:bidi="ar"/>
        </w:rPr>
        <w:t>一、部门（单位）基本情况</w:t>
      </w:r>
      <w:bookmarkEnd w:id="16"/>
    </w:p>
    <w:p w14:paraId="69AC16C5">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17" w:name="_Toc31030"/>
      <w:r>
        <w:rPr>
          <w:rFonts w:hint="default" w:ascii="Times New Roman" w:hAnsi="Times New Roman" w:eastAsia="楷体_GB2312" w:cs="Times New Roman"/>
          <w:b/>
          <w:bCs/>
          <w:color w:val="000000"/>
          <w:kern w:val="0"/>
          <w:sz w:val="32"/>
          <w:szCs w:val="32"/>
          <w:shd w:val="clear" w:fill="FFFFFF"/>
          <w:lang w:val="en-US" w:eastAsia="zh-CN" w:bidi="ar"/>
        </w:rPr>
        <w:t>（一）机构组成</w:t>
      </w:r>
      <w:bookmarkEnd w:id="17"/>
    </w:p>
    <w:p w14:paraId="0A3BD745">
      <w:pPr>
        <w:keepNext w:val="0"/>
        <w:keepLines w:val="0"/>
        <w:widowControl/>
        <w:suppressLineNumbers w:val="0"/>
        <w:tabs>
          <w:tab w:val="left" w:pos="613"/>
        </w:tabs>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仿宋_GB2312" w:cs="Times New Roman"/>
          <w:caps w:val="0"/>
          <w:kern w:val="0"/>
          <w:sz w:val="32"/>
          <w:szCs w:val="32"/>
          <w:lang w:val="en-US" w:eastAsia="zh-CN" w:bidi="ar"/>
        </w:rPr>
        <w:t>阿坝州卫生健康委员会（以下简称“我单位”）是阿坝州人民政府工作部门，为正县级。下设12个内设机构，分别是：办公室、人事教育科、规划发展与信息化科、体制改革与政策研究科、法规审批监督科、医疗卫生应急科、疾病预防控制科、医政与基层卫生科、中藏羌医科、妇幼健康与家庭发展科、爱国卫生与健康促进科和老龄健康科。</w:t>
      </w:r>
    </w:p>
    <w:p w14:paraId="11E2EB89">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18" w:name="_Toc12172"/>
      <w:r>
        <w:rPr>
          <w:rFonts w:hint="default" w:ascii="Times New Roman" w:hAnsi="Times New Roman" w:eastAsia="楷体_GB2312" w:cs="Times New Roman"/>
          <w:b/>
          <w:bCs/>
          <w:color w:val="000000"/>
          <w:kern w:val="0"/>
          <w:sz w:val="32"/>
          <w:szCs w:val="32"/>
          <w:shd w:val="clear" w:fill="FFFFFF"/>
          <w:lang w:val="en-US" w:eastAsia="zh-CN" w:bidi="ar"/>
        </w:rPr>
        <w:t>（二）机构职能</w:t>
      </w:r>
      <w:bookmarkEnd w:id="18"/>
    </w:p>
    <w:p w14:paraId="27F48166">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我单位主要承担以下职责和功能：</w:t>
      </w:r>
    </w:p>
    <w:p w14:paraId="1BB44E9E">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1.拟订并组织实施卫生健康基本公共卫生服务均等化、普惠化、便捷化和公共资源向基层延伸等政策措施。拟订并组织实施全州卫生健康、中（藏羌）医发展政策。制定并组织实施全州卫生健康、中（藏羌）医技术规范、实施方案。统筹规划全州卫生健康、中（藏羌）医服务资源配置。</w:t>
      </w:r>
    </w:p>
    <w:p w14:paraId="1D2823CE">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2.牵头推进全州深化医药卫生体制改革。研究提出深化改革重大政策和措施的建议。牵头负责全州分级诊疗、现代医院管理、全民医保、药品供应保障、综合监管5项基本医疗卫生制度建设。拟订并组织实施卫生健康公共服务提供主体多元化、提供方式多样化的政策措施。</w:t>
      </w:r>
    </w:p>
    <w:p w14:paraId="7FACC613">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3.负责制定并推动落实全州疾病预防控制规划、免疫规划以及严重危害人民健康的艾滋病等重大传染病、地方病等公共卫生问题的干预措施。负责全州医疗卫生应急工作，组织和指导全州突发公共卫生事件预防控制和各类突发公共事件的医疗卫生救援，报告传染病疫情信息、突发公共卫生事件应急处置信息。</w:t>
      </w:r>
    </w:p>
    <w:p w14:paraId="2104BD84">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4.负责拟订并组织实施医养结合政策，建立和完善老年健康服务体系，推进老年健康管理与服务。</w:t>
      </w:r>
    </w:p>
    <w:p w14:paraId="50B78638">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5.贯彻落实国家药物政策和国家基本药物制度。开展药械使用监测、临床综合评价和短缺药品预警，组织执行国家药典和国家基本药物目录，拟订基本药物采购的政策措施。按照国家和省相关要求会同有关部门制定并实施食品安全风险监测计划。依法开展食品安全企业标准备案。</w:t>
      </w:r>
    </w:p>
    <w:p w14:paraId="41F4FC1B">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6.负责职责范围内的职业卫生、放射卫生、环境卫生、学校卫生、公共场所卫生、饮用水卫生等公共卫生的监督管理。负责传染病防治监督，健全卫生健康综合监管体系。</w:t>
      </w:r>
    </w:p>
    <w:p w14:paraId="4F11FE8C">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7.拟订全州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516201B8">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8.负责承担全州人口监测预警工作并提出人口与家庭发展相关健康政策建议。监督实施计划生育家庭扶助政策和计划生育特殊家庭扶助关怀制度。</w:t>
      </w:r>
    </w:p>
    <w:p w14:paraId="6874A6F6">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9.指导县（市）卫生健康工作。指导基层医疗卫生、妇幼健康服务体系和基层卫生队伍建设。推进卫生健康科技创新发展。</w:t>
      </w:r>
    </w:p>
    <w:p w14:paraId="5DB7EEC3">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10.贯彻落实干部医疗保健政策措施，负责州级保健对象的医疗保健工作。负责州级部门有关干部医疗服务工作。负责重要会议与重大活动的医疗卫生保障工作。</w:t>
      </w:r>
    </w:p>
    <w:p w14:paraId="6731F8F7">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11.依法依规履行卫生健康行业安全生产监管职责。负责职责范围内的生态环境保护、审批服务便民化等工作。负责全州职业病防治工作。负责本级系统内公共机构节能工作。</w:t>
      </w:r>
    </w:p>
    <w:p w14:paraId="0BA7D1E1">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仿宋_GB2312" w:cs="Times New Roman"/>
          <w:caps w:val="0"/>
          <w:kern w:val="2"/>
          <w:sz w:val="32"/>
          <w:szCs w:val="32"/>
          <w:lang w:val="en-US" w:eastAsia="zh-CN" w:bidi="ar"/>
        </w:rPr>
        <w:t>12.完成州委、州政府交办的其他任务。</w:t>
      </w:r>
    </w:p>
    <w:p w14:paraId="7A9D8CB8">
      <w:pPr>
        <w:keepNext w:val="0"/>
        <w:keepLines w:val="0"/>
        <w:widowControl w:val="0"/>
        <w:suppressLineNumbers w:val="0"/>
        <w:autoSpaceDE w:val="0"/>
        <w:autoSpaceDN/>
        <w:spacing w:before="0" w:beforeAutospacing="1" w:after="200" w:afterAutospacing="0" w:line="578" w:lineRule="exact"/>
        <w:ind w:left="0" w:right="0" w:firstLine="643" w:firstLineChars="200"/>
        <w:jc w:val="both"/>
        <w:outlineLvl w:val="1"/>
        <w:rPr>
          <w:rFonts w:hint="default" w:ascii="Times New Roman" w:hAnsi="Times New Roman" w:eastAsia="楷体_GB2312" w:cs="Times New Roman"/>
          <w:b/>
          <w:bCs/>
          <w:color w:val="000000"/>
          <w:kern w:val="0"/>
          <w:sz w:val="32"/>
          <w:szCs w:val="32"/>
          <w:shd w:val="clear" w:fill="FFFFFF"/>
        </w:rPr>
      </w:pPr>
      <w:bookmarkStart w:id="19" w:name="_Toc21614"/>
      <w:r>
        <w:rPr>
          <w:rFonts w:hint="default" w:ascii="Times New Roman" w:hAnsi="Times New Roman" w:eastAsia="楷体_GB2312" w:cs="Times New Roman"/>
          <w:b/>
          <w:bCs/>
          <w:color w:val="000000"/>
          <w:kern w:val="0"/>
          <w:sz w:val="32"/>
          <w:szCs w:val="32"/>
          <w:shd w:val="clear" w:fill="FFFFFF"/>
          <w:lang w:val="en-US" w:eastAsia="zh-CN" w:bidi="ar"/>
        </w:rPr>
        <w:t>（三）人员概况</w:t>
      </w:r>
      <w:bookmarkEnd w:id="19"/>
    </w:p>
    <w:p w14:paraId="047F9A3E">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截至2025年12月31日，我单位年末编制内在职人员1051人，其中公务员25人，参照公务员法管理人员9人，事业管理人员和专业技术人员765人，机关和事业工人22人，经费自理人员230人，年末编制内在职人员较上年增加31人。</w:t>
      </w:r>
    </w:p>
    <w:p w14:paraId="07BE64EC">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黑体" w:cs="Times New Roman"/>
          <w:color w:val="000000"/>
          <w:kern w:val="0"/>
          <w:sz w:val="32"/>
          <w:szCs w:val="32"/>
          <w:shd w:val="clear" w:fill="FFFFFF"/>
        </w:rPr>
      </w:pPr>
      <w:bookmarkStart w:id="20" w:name="_Toc25097"/>
      <w:r>
        <w:rPr>
          <w:rFonts w:hint="default" w:ascii="Times New Roman" w:hAnsi="Times New Roman" w:eastAsia="黑体" w:cs="Times New Roman"/>
          <w:color w:val="000000"/>
          <w:kern w:val="0"/>
          <w:sz w:val="32"/>
          <w:szCs w:val="32"/>
          <w:shd w:val="clear" w:fill="FFFFFF"/>
          <w:lang w:val="en-US" w:eastAsia="zh-CN" w:bidi="ar"/>
        </w:rPr>
        <w:t>二、部门资金收支情况</w:t>
      </w:r>
      <w:bookmarkEnd w:id="20"/>
    </w:p>
    <w:p w14:paraId="1D832B72">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21" w:name="_Toc2206"/>
      <w:r>
        <w:rPr>
          <w:rFonts w:hint="default" w:ascii="Times New Roman" w:hAnsi="Times New Roman" w:eastAsia="楷体_GB2312" w:cs="Times New Roman"/>
          <w:b/>
          <w:bCs/>
          <w:color w:val="000000"/>
          <w:kern w:val="0"/>
          <w:sz w:val="32"/>
          <w:szCs w:val="32"/>
          <w:shd w:val="clear" w:fill="FFFFFF"/>
          <w:lang w:val="en-US" w:eastAsia="zh-CN" w:bidi="ar"/>
        </w:rPr>
        <w:t>（一）收入情况</w:t>
      </w:r>
      <w:bookmarkEnd w:id="21"/>
    </w:p>
    <w:p w14:paraId="765B8EF1">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default" w:ascii="Times New Roman" w:hAnsi="Times New Roman" w:eastAsia="仿宋_GB2312" w:cs="Times New Roman"/>
          <w:kern w:val="0"/>
          <w:sz w:val="32"/>
          <w:szCs w:val="32"/>
          <w:lang w:val="en-US" w:eastAsia="zh-CN" w:bidi="ar"/>
        </w:rPr>
        <w:t>年年初收入预算数为</w:t>
      </w:r>
      <w:r>
        <w:rPr>
          <w:rFonts w:hint="default" w:ascii="Times New Roman" w:hAnsi="Times New Roman" w:eastAsia="仿宋_GB2312" w:cs="Times New Roman"/>
          <w:kern w:val="2"/>
          <w:sz w:val="32"/>
          <w:szCs w:val="32"/>
          <w:lang w:val="en-US" w:eastAsia="zh-CN" w:bidi="ar"/>
        </w:rPr>
        <w:t>47,505.73</w:t>
      </w:r>
      <w:r>
        <w:rPr>
          <w:rFonts w:hint="default" w:ascii="Times New Roman" w:hAnsi="Times New Roman" w:eastAsia="仿宋_GB2312" w:cs="Times New Roman"/>
          <w:kern w:val="0"/>
          <w:sz w:val="32"/>
          <w:szCs w:val="32"/>
          <w:lang w:val="en-US" w:eastAsia="zh-CN" w:bidi="ar"/>
        </w:rPr>
        <w:t>万元，其中：一般公共预算财政拨款收入</w:t>
      </w:r>
      <w:r>
        <w:rPr>
          <w:rFonts w:hint="default" w:ascii="Times New Roman" w:hAnsi="Times New Roman" w:eastAsia="仿宋_GB2312" w:cs="Times New Roman"/>
          <w:kern w:val="2"/>
          <w:sz w:val="32"/>
          <w:szCs w:val="32"/>
          <w:lang w:val="en-US" w:eastAsia="zh-CN" w:bidi="ar"/>
        </w:rPr>
        <w:t>18,185.37</w:t>
      </w:r>
      <w:r>
        <w:rPr>
          <w:rFonts w:hint="default" w:ascii="Times New Roman" w:hAnsi="Times New Roman" w:eastAsia="仿宋_GB2312" w:cs="Times New Roman"/>
          <w:kern w:val="0"/>
          <w:sz w:val="32"/>
          <w:szCs w:val="32"/>
          <w:lang w:val="en-US" w:eastAsia="zh-CN" w:bidi="ar"/>
        </w:rPr>
        <w:t>万元，占总预算的</w:t>
      </w:r>
      <w:r>
        <w:rPr>
          <w:rFonts w:hint="default" w:ascii="Times New Roman" w:hAnsi="Times New Roman" w:eastAsia="仿宋_GB2312" w:cs="Times New Roman"/>
          <w:kern w:val="2"/>
          <w:sz w:val="32"/>
          <w:szCs w:val="32"/>
          <w:lang w:val="en-US" w:eastAsia="zh-CN" w:bidi="ar"/>
        </w:rPr>
        <w:t>38.28</w:t>
      </w:r>
      <w:r>
        <w:rPr>
          <w:rFonts w:hint="default" w:ascii="Times New Roman" w:hAnsi="Times New Roman" w:eastAsia="仿宋_GB2312" w:cs="Times New Roman"/>
          <w:kern w:val="0"/>
          <w:sz w:val="32"/>
          <w:szCs w:val="32"/>
          <w:lang w:val="en-US" w:eastAsia="zh-CN" w:bidi="ar"/>
        </w:rPr>
        <w:t>%；事业收入</w:t>
      </w:r>
      <w:r>
        <w:rPr>
          <w:rFonts w:hint="default" w:ascii="Times New Roman" w:hAnsi="Times New Roman" w:eastAsia="仿宋_GB2312" w:cs="Times New Roman"/>
          <w:kern w:val="2"/>
          <w:sz w:val="32"/>
          <w:szCs w:val="32"/>
          <w:lang w:val="en-US" w:eastAsia="zh-CN" w:bidi="ar"/>
        </w:rPr>
        <w:t>29,302.68万元，</w:t>
      </w:r>
      <w:r>
        <w:rPr>
          <w:rFonts w:hint="default" w:ascii="Times New Roman" w:hAnsi="Times New Roman" w:eastAsia="仿宋_GB2312" w:cs="Times New Roman"/>
          <w:kern w:val="0"/>
          <w:sz w:val="32"/>
          <w:szCs w:val="32"/>
          <w:lang w:val="en-US" w:eastAsia="zh-CN" w:bidi="ar"/>
        </w:rPr>
        <w:t>占总预算的</w:t>
      </w:r>
      <w:r>
        <w:rPr>
          <w:rFonts w:hint="default" w:ascii="Times New Roman" w:hAnsi="Times New Roman" w:eastAsia="仿宋_GB2312" w:cs="Times New Roman"/>
          <w:kern w:val="2"/>
          <w:sz w:val="32"/>
          <w:szCs w:val="32"/>
          <w:lang w:val="en-US" w:eastAsia="zh-CN" w:bidi="ar"/>
        </w:rPr>
        <w:t>61.68</w:t>
      </w:r>
      <w:r>
        <w:rPr>
          <w:rFonts w:hint="default" w:ascii="Times New Roman" w:hAnsi="Times New Roman" w:eastAsia="仿宋_GB2312" w:cs="Times New Roman"/>
          <w:kern w:val="0"/>
          <w:sz w:val="32"/>
          <w:szCs w:val="32"/>
          <w:lang w:val="en-US" w:eastAsia="zh-CN" w:bidi="ar"/>
        </w:rPr>
        <w:t>%；其他收入</w:t>
      </w:r>
      <w:r>
        <w:rPr>
          <w:rFonts w:hint="default" w:ascii="Times New Roman" w:hAnsi="Times New Roman" w:eastAsia="仿宋_GB2312" w:cs="Times New Roman"/>
          <w:kern w:val="2"/>
          <w:sz w:val="32"/>
          <w:szCs w:val="32"/>
          <w:lang w:val="en-US" w:eastAsia="zh-CN" w:bidi="ar"/>
        </w:rPr>
        <w:t>17.68万元，</w:t>
      </w:r>
      <w:r>
        <w:rPr>
          <w:rFonts w:hint="default" w:ascii="Times New Roman" w:hAnsi="Times New Roman" w:eastAsia="仿宋_GB2312" w:cs="Times New Roman"/>
          <w:kern w:val="0"/>
          <w:sz w:val="32"/>
          <w:szCs w:val="32"/>
          <w:lang w:val="en-US" w:eastAsia="zh-CN" w:bidi="ar"/>
        </w:rPr>
        <w:t>占总预算的</w:t>
      </w:r>
      <w:r>
        <w:rPr>
          <w:rFonts w:hint="default" w:ascii="Times New Roman" w:hAnsi="Times New Roman" w:eastAsia="仿宋_GB2312" w:cs="Times New Roman"/>
          <w:kern w:val="2"/>
          <w:sz w:val="32"/>
          <w:szCs w:val="32"/>
          <w:lang w:val="en-US" w:eastAsia="zh-CN" w:bidi="ar"/>
        </w:rPr>
        <w:t>0.04</w:t>
      </w:r>
      <w:r>
        <w:rPr>
          <w:rFonts w:hint="default" w:ascii="Times New Roman" w:hAnsi="Times New Roman" w:eastAsia="仿宋_GB2312" w:cs="Times New Roman"/>
          <w:kern w:val="0"/>
          <w:sz w:val="32"/>
          <w:szCs w:val="32"/>
          <w:lang w:val="en-US" w:eastAsia="zh-CN" w:bidi="ar"/>
        </w:rPr>
        <w:t>%。</w:t>
      </w:r>
    </w:p>
    <w:p w14:paraId="2EE70606">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default" w:ascii="Times New Roman" w:hAnsi="Times New Roman" w:eastAsia="仿宋_GB2312" w:cs="Times New Roman"/>
          <w:kern w:val="0"/>
          <w:sz w:val="32"/>
          <w:szCs w:val="32"/>
          <w:lang w:val="en-US" w:eastAsia="zh-CN" w:bidi="ar"/>
        </w:rPr>
        <w:t>年收入决算数为</w:t>
      </w:r>
      <w:r>
        <w:rPr>
          <w:rFonts w:hint="default" w:ascii="Times New Roman" w:hAnsi="Times New Roman" w:eastAsia="仿宋_GB2312" w:cs="Times New Roman"/>
          <w:kern w:val="2"/>
          <w:sz w:val="32"/>
          <w:szCs w:val="32"/>
          <w:lang w:val="en-US" w:eastAsia="zh-CN" w:bidi="ar"/>
        </w:rPr>
        <w:t>55,430.53</w:t>
      </w:r>
      <w:r>
        <w:rPr>
          <w:rFonts w:hint="default" w:ascii="Times New Roman" w:hAnsi="Times New Roman" w:eastAsia="仿宋_GB2312" w:cs="Times New Roman"/>
          <w:kern w:val="0"/>
          <w:sz w:val="32"/>
          <w:szCs w:val="32"/>
          <w:lang w:val="en-US" w:eastAsia="zh-CN" w:bidi="ar"/>
        </w:rPr>
        <w:t>万元，其中：一般公共预算财政拨款收入</w:t>
      </w:r>
      <w:r>
        <w:rPr>
          <w:rFonts w:hint="default" w:ascii="Times New Roman" w:hAnsi="Times New Roman" w:eastAsia="仿宋_GB2312" w:cs="Times New Roman"/>
          <w:kern w:val="2"/>
          <w:sz w:val="32"/>
          <w:szCs w:val="32"/>
          <w:lang w:val="en-US" w:eastAsia="zh-CN" w:bidi="ar"/>
        </w:rPr>
        <w:t>25,040.70</w:t>
      </w:r>
      <w:r>
        <w:rPr>
          <w:rFonts w:hint="default" w:ascii="Times New Roman" w:hAnsi="Times New Roman" w:eastAsia="仿宋_GB2312" w:cs="Times New Roman"/>
          <w:kern w:val="0"/>
          <w:sz w:val="32"/>
          <w:szCs w:val="32"/>
          <w:lang w:val="en-US" w:eastAsia="zh-CN" w:bidi="ar"/>
        </w:rPr>
        <w:t>万元，占总决算的</w:t>
      </w:r>
      <w:r>
        <w:rPr>
          <w:rFonts w:hint="default" w:ascii="Times New Roman" w:hAnsi="Times New Roman" w:eastAsia="仿宋_GB2312" w:cs="Times New Roman"/>
          <w:kern w:val="2"/>
          <w:sz w:val="32"/>
          <w:szCs w:val="32"/>
          <w:lang w:val="en-US" w:eastAsia="zh-CN" w:bidi="ar"/>
        </w:rPr>
        <w:t>45.17</w:t>
      </w:r>
      <w:r>
        <w:rPr>
          <w:rFonts w:hint="default" w:ascii="Times New Roman" w:hAnsi="Times New Roman" w:eastAsia="仿宋_GB2312" w:cs="Times New Roman"/>
          <w:kern w:val="0"/>
          <w:sz w:val="32"/>
          <w:szCs w:val="32"/>
          <w:lang w:val="en-US" w:eastAsia="zh-CN" w:bidi="ar"/>
        </w:rPr>
        <w:t>%；事业收入</w:t>
      </w:r>
      <w:r>
        <w:rPr>
          <w:rFonts w:hint="default" w:ascii="Times New Roman" w:hAnsi="Times New Roman" w:eastAsia="仿宋_GB2312" w:cs="Times New Roman"/>
          <w:kern w:val="2"/>
          <w:sz w:val="32"/>
          <w:szCs w:val="32"/>
          <w:lang w:val="en-US" w:eastAsia="zh-CN" w:bidi="ar"/>
        </w:rPr>
        <w:t>28,111.05万元，</w:t>
      </w:r>
      <w:r>
        <w:rPr>
          <w:rFonts w:hint="default" w:ascii="Times New Roman" w:hAnsi="Times New Roman" w:eastAsia="仿宋_GB2312" w:cs="Times New Roman"/>
          <w:kern w:val="0"/>
          <w:sz w:val="32"/>
          <w:szCs w:val="32"/>
          <w:lang w:val="en-US" w:eastAsia="zh-CN" w:bidi="ar"/>
        </w:rPr>
        <w:t>占总决算的</w:t>
      </w:r>
      <w:r>
        <w:rPr>
          <w:rFonts w:hint="default" w:ascii="Times New Roman" w:hAnsi="Times New Roman" w:eastAsia="仿宋_GB2312" w:cs="Times New Roman"/>
          <w:kern w:val="2"/>
          <w:sz w:val="32"/>
          <w:szCs w:val="32"/>
          <w:lang w:val="en-US" w:eastAsia="zh-CN" w:bidi="ar"/>
        </w:rPr>
        <w:t>50.71</w:t>
      </w:r>
      <w:r>
        <w:rPr>
          <w:rFonts w:hint="default" w:ascii="Times New Roman" w:hAnsi="Times New Roman" w:eastAsia="仿宋_GB2312" w:cs="Times New Roman"/>
          <w:kern w:val="0"/>
          <w:sz w:val="32"/>
          <w:szCs w:val="32"/>
          <w:lang w:val="en-US" w:eastAsia="zh-CN" w:bidi="ar"/>
        </w:rPr>
        <w:t>%；其他收入</w:t>
      </w:r>
      <w:r>
        <w:rPr>
          <w:rFonts w:hint="default" w:ascii="Times New Roman" w:hAnsi="Times New Roman" w:eastAsia="仿宋_GB2312" w:cs="Times New Roman"/>
          <w:kern w:val="2"/>
          <w:sz w:val="32"/>
          <w:szCs w:val="32"/>
          <w:lang w:val="en-US" w:eastAsia="zh-CN" w:bidi="ar"/>
        </w:rPr>
        <w:t>303.57万元，</w:t>
      </w:r>
      <w:r>
        <w:rPr>
          <w:rFonts w:hint="default" w:ascii="Times New Roman" w:hAnsi="Times New Roman" w:eastAsia="仿宋_GB2312" w:cs="Times New Roman"/>
          <w:kern w:val="0"/>
          <w:sz w:val="32"/>
          <w:szCs w:val="32"/>
          <w:lang w:val="en-US" w:eastAsia="zh-CN" w:bidi="ar"/>
        </w:rPr>
        <w:t>占总决算的</w:t>
      </w:r>
      <w:r>
        <w:rPr>
          <w:rFonts w:hint="default" w:ascii="Times New Roman" w:hAnsi="Times New Roman" w:eastAsia="仿宋_GB2312" w:cs="Times New Roman"/>
          <w:kern w:val="2"/>
          <w:sz w:val="32"/>
          <w:szCs w:val="32"/>
          <w:lang w:val="en-US" w:eastAsia="zh-CN" w:bidi="ar"/>
        </w:rPr>
        <w:t>0.55</w:t>
      </w:r>
      <w:r>
        <w:rPr>
          <w:rFonts w:hint="default" w:ascii="Times New Roman" w:hAnsi="Times New Roman" w:eastAsia="仿宋_GB2312" w:cs="Times New Roman"/>
          <w:kern w:val="0"/>
          <w:sz w:val="32"/>
          <w:szCs w:val="32"/>
          <w:lang w:val="en-US" w:eastAsia="zh-CN" w:bidi="ar"/>
        </w:rPr>
        <w:t>%，年初结转和结余1,975.21万元，占总决算的</w:t>
      </w:r>
      <w:r>
        <w:rPr>
          <w:rFonts w:hint="default" w:ascii="Times New Roman" w:hAnsi="Times New Roman" w:eastAsia="仿宋_GB2312" w:cs="Times New Roman"/>
          <w:kern w:val="2"/>
          <w:sz w:val="32"/>
          <w:szCs w:val="32"/>
          <w:lang w:val="en-US" w:eastAsia="zh-CN" w:bidi="ar"/>
        </w:rPr>
        <w:t>3.56</w:t>
      </w:r>
      <w:r>
        <w:rPr>
          <w:rFonts w:hint="default" w:ascii="Times New Roman" w:hAnsi="Times New Roman" w:eastAsia="仿宋_GB2312" w:cs="Times New Roman"/>
          <w:kern w:val="0"/>
          <w:sz w:val="32"/>
          <w:szCs w:val="32"/>
          <w:lang w:val="en-US" w:eastAsia="zh-CN" w:bidi="ar"/>
        </w:rPr>
        <w:t>%。</w:t>
      </w:r>
    </w:p>
    <w:p w14:paraId="64271E6C">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22" w:name="_Toc6685"/>
      <w:r>
        <w:rPr>
          <w:rFonts w:hint="default" w:ascii="Times New Roman" w:hAnsi="Times New Roman" w:eastAsia="楷体_GB2312" w:cs="Times New Roman"/>
          <w:b/>
          <w:bCs/>
          <w:color w:val="000000"/>
          <w:kern w:val="0"/>
          <w:sz w:val="32"/>
          <w:szCs w:val="32"/>
          <w:shd w:val="clear" w:fill="FFFFFF"/>
          <w:lang w:val="en-US" w:eastAsia="zh-CN" w:bidi="ar"/>
        </w:rPr>
        <w:t>（二）支出情况</w:t>
      </w:r>
      <w:bookmarkEnd w:id="22"/>
    </w:p>
    <w:p w14:paraId="5B55AD23">
      <w:pPr>
        <w:keepNext w:val="0"/>
        <w:keepLines w:val="0"/>
        <w:widowControl/>
        <w:suppressLineNumbers w:val="0"/>
        <w:autoSpaceDE w:val="0"/>
        <w:autoSpaceDN/>
        <w:adjustRightInd w:val="0"/>
        <w:snapToGrid w:val="0"/>
        <w:spacing w:before="0" w:beforeAutospacing="1" w:after="200" w:afterAutospacing="0" w:line="600" w:lineRule="exact"/>
        <w:ind w:left="0" w:right="0" w:firstLine="640" w:firstLineChars="200"/>
        <w:contextualSpacing/>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default" w:ascii="Times New Roman" w:hAnsi="Times New Roman" w:eastAsia="仿宋_GB2312" w:cs="Times New Roman"/>
          <w:kern w:val="0"/>
          <w:sz w:val="32"/>
          <w:szCs w:val="32"/>
          <w:lang w:val="en-US" w:eastAsia="zh-CN" w:bidi="ar"/>
        </w:rPr>
        <w:t>年年初支出预算数为</w:t>
      </w:r>
      <w:r>
        <w:rPr>
          <w:rFonts w:hint="default" w:ascii="Times New Roman" w:hAnsi="Times New Roman" w:eastAsia="仿宋_GB2312" w:cs="Times New Roman"/>
          <w:kern w:val="2"/>
          <w:sz w:val="32"/>
          <w:szCs w:val="32"/>
          <w:lang w:val="en-US" w:eastAsia="zh-CN" w:bidi="ar"/>
        </w:rPr>
        <w:t>47,505.73</w:t>
      </w:r>
      <w:r>
        <w:rPr>
          <w:rFonts w:hint="default" w:ascii="Times New Roman" w:hAnsi="Times New Roman" w:eastAsia="仿宋_GB2312" w:cs="Times New Roman"/>
          <w:kern w:val="0"/>
          <w:sz w:val="32"/>
          <w:szCs w:val="32"/>
          <w:lang w:val="en-US" w:eastAsia="zh-CN" w:bidi="ar"/>
        </w:rPr>
        <w:t>万元，其中：基本支出</w:t>
      </w:r>
      <w:r>
        <w:rPr>
          <w:rFonts w:hint="default" w:ascii="Times New Roman" w:hAnsi="Times New Roman" w:eastAsia="仿宋_GB2312" w:cs="Times New Roman"/>
          <w:kern w:val="2"/>
          <w:sz w:val="32"/>
          <w:szCs w:val="32"/>
          <w:lang w:val="en-US" w:eastAsia="zh-CN" w:bidi="ar"/>
        </w:rPr>
        <w:t>44,821.85</w:t>
      </w:r>
      <w:r>
        <w:rPr>
          <w:rFonts w:hint="default" w:ascii="Times New Roman" w:hAnsi="Times New Roman" w:eastAsia="仿宋_GB2312" w:cs="Times New Roman"/>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94.35</w:t>
      </w:r>
      <w:r>
        <w:rPr>
          <w:rFonts w:hint="default" w:ascii="Times New Roman" w:hAnsi="Times New Roman" w:eastAsia="仿宋_GB2312" w:cs="Times New Roman"/>
          <w:kern w:val="0"/>
          <w:sz w:val="32"/>
          <w:szCs w:val="32"/>
          <w:lang w:val="en-US" w:eastAsia="zh-CN" w:bidi="ar"/>
        </w:rPr>
        <w:t>%；项目支出</w:t>
      </w:r>
      <w:r>
        <w:rPr>
          <w:rFonts w:hint="default" w:ascii="Times New Roman" w:hAnsi="Times New Roman" w:eastAsia="仿宋_GB2312" w:cs="Times New Roman"/>
          <w:kern w:val="2"/>
          <w:sz w:val="32"/>
          <w:szCs w:val="32"/>
          <w:lang w:val="en-US" w:eastAsia="zh-CN" w:bidi="ar"/>
        </w:rPr>
        <w:t>2,683.88</w:t>
      </w:r>
      <w:r>
        <w:rPr>
          <w:rFonts w:hint="default" w:ascii="Times New Roman" w:hAnsi="Times New Roman" w:eastAsia="仿宋_GB2312" w:cs="Times New Roman"/>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5.65</w:t>
      </w:r>
      <w:r>
        <w:rPr>
          <w:rFonts w:hint="default" w:ascii="Times New Roman" w:hAnsi="Times New Roman" w:eastAsia="仿宋_GB2312" w:cs="Times New Roman"/>
          <w:kern w:val="0"/>
          <w:sz w:val="32"/>
          <w:szCs w:val="32"/>
          <w:lang w:val="en-US" w:eastAsia="zh-CN" w:bidi="ar"/>
        </w:rPr>
        <w:t>%。</w:t>
      </w:r>
    </w:p>
    <w:p w14:paraId="4B405DD2">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default" w:ascii="Times New Roman" w:hAnsi="Times New Roman" w:eastAsia="仿宋_GB2312" w:cs="Times New Roman"/>
          <w:kern w:val="0"/>
          <w:sz w:val="32"/>
          <w:szCs w:val="32"/>
          <w:lang w:val="en-US" w:eastAsia="zh-CN" w:bidi="ar"/>
        </w:rPr>
        <w:t>年支出决算数为</w:t>
      </w:r>
      <w:r>
        <w:rPr>
          <w:rFonts w:hint="default" w:ascii="Times New Roman" w:hAnsi="Times New Roman" w:eastAsia="仿宋_GB2312" w:cs="Times New Roman"/>
          <w:kern w:val="2"/>
          <w:sz w:val="32"/>
          <w:szCs w:val="32"/>
          <w:lang w:val="en-US" w:eastAsia="zh-CN" w:bidi="ar"/>
        </w:rPr>
        <w:t>53,750.33</w:t>
      </w:r>
      <w:r>
        <w:rPr>
          <w:rFonts w:hint="default" w:ascii="Times New Roman" w:hAnsi="Times New Roman" w:eastAsia="仿宋_GB2312" w:cs="Times New Roman"/>
          <w:kern w:val="0"/>
          <w:sz w:val="32"/>
          <w:szCs w:val="32"/>
          <w:lang w:val="en-US" w:eastAsia="zh-CN" w:bidi="ar"/>
        </w:rPr>
        <w:t>万元，其中：基本支出</w:t>
      </w:r>
      <w:r>
        <w:rPr>
          <w:rFonts w:hint="default" w:ascii="Times New Roman" w:hAnsi="Times New Roman" w:eastAsia="仿宋_GB2312" w:cs="Times New Roman"/>
          <w:kern w:val="2"/>
          <w:sz w:val="32"/>
          <w:szCs w:val="32"/>
          <w:lang w:val="en-US" w:eastAsia="zh-CN" w:bidi="ar"/>
        </w:rPr>
        <w:t>47,394.09</w:t>
      </w:r>
      <w:r>
        <w:rPr>
          <w:rFonts w:hint="default" w:ascii="Times New Roman" w:hAnsi="Times New Roman" w:eastAsia="仿宋_GB2312" w:cs="Times New Roman"/>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88.17</w:t>
      </w:r>
      <w:r>
        <w:rPr>
          <w:rFonts w:hint="default" w:ascii="Times New Roman" w:hAnsi="Times New Roman" w:eastAsia="仿宋_GB2312" w:cs="Times New Roman"/>
          <w:kern w:val="0"/>
          <w:sz w:val="32"/>
          <w:szCs w:val="32"/>
          <w:lang w:val="en-US" w:eastAsia="zh-CN" w:bidi="ar"/>
        </w:rPr>
        <w:t>%；项目支出</w:t>
      </w:r>
      <w:r>
        <w:rPr>
          <w:rFonts w:hint="default" w:ascii="Times New Roman" w:hAnsi="Times New Roman" w:eastAsia="仿宋_GB2312" w:cs="Times New Roman"/>
          <w:kern w:val="2"/>
          <w:sz w:val="32"/>
          <w:szCs w:val="32"/>
          <w:lang w:val="en-US" w:eastAsia="zh-CN" w:bidi="ar"/>
        </w:rPr>
        <w:t>6,356.24</w:t>
      </w:r>
      <w:r>
        <w:rPr>
          <w:rFonts w:hint="default" w:ascii="Times New Roman" w:hAnsi="Times New Roman" w:eastAsia="仿宋_GB2312" w:cs="Times New Roman"/>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11.83</w:t>
      </w:r>
      <w:r>
        <w:rPr>
          <w:rFonts w:hint="default" w:ascii="Times New Roman" w:hAnsi="Times New Roman" w:eastAsia="仿宋_GB2312" w:cs="Times New Roman"/>
          <w:kern w:val="0"/>
          <w:sz w:val="32"/>
          <w:szCs w:val="32"/>
          <w:lang w:val="en-US" w:eastAsia="zh-CN" w:bidi="ar"/>
        </w:rPr>
        <w:t>%。</w:t>
      </w:r>
    </w:p>
    <w:p w14:paraId="24656C5A">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2025年，我单位紧扣“十四五”规划收官要求和“攻坚年、创新年、强基年”主题，在州委、州政府领导和省卫健委指导下，圆满完成各项工作任务。聚焦区域医疗高地建设，高原病防治研究基地稳步推进，6个在建卫生项目开工率100%、投资完成率81.28%，建设进度连续3季度居全省红榜，新增11个州级重点专科，4家智慧医院创建成功，区域医疗能级显著提升。深入开展“石榴籽”工程健康保障行动，统筹46.2万人次医疗力量提供682.9万人次服务，减免费用2.06亿元，72万人免费体检、体检率98.26%，群众健康福祉持续增强。推进健康阿坝建设，成功救治95例危重孕产妇，新增100个托位，组建61支卫生应急队伍，筑牢健康保障防线。深化医改获评全国A级，实现13个县（市）紧密型县域医共体全覆盖，每万人全科医生数居全省第一。推动中（藏羌）医药传承创新，7个专科入选省级优势专科，基层中医药服务量稳定在40%以上。筑牢公共卫生防线，传染病发病率低于全省平均，疫苗接种率刷新建州新高。强化行业治理，办结414件“新生儿出生一件事”和817件行政审批，无重大安全事故，圆满为“十四五”卫生健康发展收官。</w:t>
      </w:r>
    </w:p>
    <w:p w14:paraId="2BD2EBE4">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val="0"/>
          <w:sz w:val="32"/>
          <w:szCs w:val="32"/>
        </w:rPr>
      </w:pPr>
      <w:bookmarkStart w:id="23" w:name="_Toc15256"/>
      <w:r>
        <w:rPr>
          <w:rFonts w:hint="default" w:ascii="Times New Roman" w:hAnsi="Times New Roman" w:eastAsia="楷体_GB2312" w:cs="Times New Roman"/>
          <w:b/>
          <w:bCs/>
          <w:color w:val="000000"/>
          <w:kern w:val="0"/>
          <w:sz w:val="32"/>
          <w:szCs w:val="32"/>
          <w:shd w:val="clear" w:fill="FFFFFF"/>
          <w:lang w:val="en-US" w:eastAsia="zh-CN" w:bidi="ar"/>
        </w:rPr>
        <w:t>（三）</w:t>
      </w:r>
      <w:r>
        <w:rPr>
          <w:rFonts w:hint="default" w:ascii="Times New Roman" w:hAnsi="Times New Roman" w:eastAsia="楷体_GB2312" w:cs="Times New Roman"/>
          <w:b/>
          <w:bCs w:val="0"/>
          <w:kern w:val="0"/>
          <w:sz w:val="32"/>
          <w:szCs w:val="32"/>
          <w:lang w:val="en-US" w:eastAsia="zh-CN" w:bidi="ar"/>
        </w:rPr>
        <w:t>结余分配和结转结余情况</w:t>
      </w:r>
      <w:bookmarkEnd w:id="23"/>
    </w:p>
    <w:p w14:paraId="3619C44F">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我单位2025年</w:t>
      </w:r>
      <w:r>
        <w:rPr>
          <w:rFonts w:hint="default" w:ascii="Times New Roman" w:hAnsi="Times New Roman" w:eastAsia="仿宋_GB2312" w:cs="Times New Roman"/>
          <w:color w:val="000000"/>
          <w:kern w:val="0"/>
          <w:sz w:val="32"/>
          <w:szCs w:val="32"/>
          <w:shd w:val="clear" w:fill="FFFFFF"/>
          <w:lang w:val="en-US" w:eastAsia="zh-CN" w:bidi="ar"/>
        </w:rPr>
        <w:t>结余分配17.27万元，年末结转和结余1,662.92万元。</w:t>
      </w:r>
    </w:p>
    <w:p w14:paraId="28774C55">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黑体" w:cs="Times New Roman"/>
          <w:color w:val="000000"/>
          <w:kern w:val="0"/>
          <w:sz w:val="32"/>
          <w:szCs w:val="32"/>
          <w:shd w:val="clear" w:fill="FFFFFF"/>
        </w:rPr>
      </w:pPr>
      <w:bookmarkStart w:id="24" w:name="_Toc25650"/>
      <w:r>
        <w:rPr>
          <w:rFonts w:hint="default" w:ascii="Times New Roman" w:hAnsi="Times New Roman" w:eastAsia="黑体" w:cs="Times New Roman"/>
          <w:color w:val="000000"/>
          <w:kern w:val="0"/>
          <w:sz w:val="32"/>
          <w:szCs w:val="32"/>
          <w:shd w:val="clear" w:fill="FFFFFF"/>
          <w:lang w:val="en-US" w:eastAsia="zh-CN" w:bidi="ar"/>
        </w:rPr>
        <w:t>三、部门预算绩效分析</w:t>
      </w:r>
      <w:bookmarkEnd w:id="24"/>
    </w:p>
    <w:p w14:paraId="57FB509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仿宋_GB2312" w:cs="Times New Roman"/>
          <w:color w:val="000000"/>
          <w:kern w:val="0"/>
          <w:sz w:val="32"/>
          <w:szCs w:val="32"/>
          <w:shd w:val="clear" w:fill="FFFFFF"/>
        </w:rPr>
      </w:pPr>
      <w:bookmarkStart w:id="25" w:name="_Toc22129"/>
      <w:r>
        <w:rPr>
          <w:rFonts w:hint="default" w:ascii="Times New Roman" w:hAnsi="Times New Roman" w:eastAsia="楷体_GB2312" w:cs="Times New Roman"/>
          <w:b/>
          <w:bCs/>
          <w:color w:val="000000"/>
          <w:kern w:val="0"/>
          <w:sz w:val="32"/>
          <w:szCs w:val="32"/>
          <w:shd w:val="clear" w:fill="FFFFFF"/>
          <w:lang w:val="en-US" w:eastAsia="zh-CN" w:bidi="ar"/>
        </w:rPr>
        <w:t>（一）部门预算总体绩效分析</w:t>
      </w:r>
      <w:bookmarkEnd w:id="25"/>
    </w:p>
    <w:p w14:paraId="28D2F85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1.履职效能</w:t>
      </w:r>
    </w:p>
    <w:p w14:paraId="54FBEA1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为充分反映我单位2025年度部门职能履行成效，本次绩效自评根据要求，结合部门职能职责和2025年度重点工作任务，选取了“培训场次、加强人才队伍建设、提升基层医疗机构服务能力”3个绩效指标作为核心职能目标，各职能目标具体完成情况如下：</w:t>
      </w:r>
    </w:p>
    <w:p w14:paraId="416179C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（1）培训场次</w:t>
      </w:r>
    </w:p>
    <w:p w14:paraId="010A4453">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全年开展各类医务人员培训1.8万人次，依托“传帮带”“组团式”帮扶等机制，开展中（藏羌）医药巡诊培训讲座189场，广泛提升基层医务人员专业技术能力和业务水平，有效补齐基层医疗人才技术短板，夯实了卫生健康事业发展根基。</w:t>
      </w:r>
    </w:p>
    <w:p w14:paraId="206FDA7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根据评分标准，该项指标不扣分，得5分。</w:t>
      </w:r>
    </w:p>
    <w:p w14:paraId="452C8AD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（2）加强人才队伍建设</w:t>
      </w:r>
    </w:p>
    <w:p w14:paraId="0C193C3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全年引进培养骨干人才233名，结成“师带徒”434对，引进开展新技术378项，选派37人赴四川大学华西医院深造，遴选100名优秀人才赴外脱产进修，完成全科医生转岗培训17名，累计培养全科医生610名，每万人全科医生数达7.39人，位居全省第一；新增3人获评“四川省名中医”，20人入选省民族地区基层卫生优秀人才，人才结构持续优化，有效强化了卫生健康事业发展的人才支撑。</w:t>
      </w:r>
    </w:p>
    <w:p w14:paraId="6B880F8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根据评分标准，该项指标不扣分，得5分。</w:t>
      </w:r>
    </w:p>
    <w:p w14:paraId="2A463183">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（3）提升基层医疗机构服务能力</w:t>
      </w:r>
    </w:p>
    <w:p w14:paraId="0409777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扎实推进基层医疗机构标准化建设，阿坝、壤塘等4县人民医院、6县中（藏）医院顺利通过“二甲”“二乙”复审，持续巩固基层服务网络；建成13个血透中心、45个州级医疗质控中心等各类服务中心，基层医疗机构AI辅助诊疗在3县成功试点，基层中医药服务量稳定保持在40%以上，群众在家门口就能享受优质、便捷的医疗卫生服务，基层医疗服务水平显著提升。</w:t>
      </w:r>
    </w:p>
    <w:p w14:paraId="4601D08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根据评分标准，该项指标不扣分，得5分。</w:t>
      </w:r>
    </w:p>
    <w:p w14:paraId="3E4663E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综上，根据评分标准，我单位履职效能指标不扣分，得15分。</w:t>
      </w:r>
    </w:p>
    <w:p w14:paraId="36D3931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2.预算管理</w:t>
      </w:r>
    </w:p>
    <w:p w14:paraId="3E45858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（1）预算编制质量</w:t>
      </w:r>
    </w:p>
    <w:p w14:paraId="5E87166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我单位财政拨款预算执行数为25,040.70万元，财政拨款年初预算数为18,185.37万元，财政拨款预算偏离度为37.70%。</w:t>
      </w:r>
    </w:p>
    <w:p w14:paraId="2F276B5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我单位资产配置预算执行数为1,966.67万元，资产配置年初预算数为167.45万元，资产配置预算偏离度为1074.48%。</w:t>
      </w:r>
    </w:p>
    <w:p w14:paraId="499FADF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我单位政府采购预算执行数为955.96万元，政府采购年初预算数为441.37万元，政府采购预算偏离度为116.59%。</w:t>
      </w:r>
    </w:p>
    <w:p w14:paraId="7F44127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综上，根据评分标准，该项指标扣5.51分，得2.49分。</w:t>
      </w:r>
    </w:p>
    <w:p w14:paraId="6DFEDC4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（2）单位收入统筹</w:t>
      </w:r>
    </w:p>
    <w:p w14:paraId="1FE0356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我单位自有收入年初预算数29,320.36万元，预算执行数28,414.62万元，执行率96.91%；但不涉及财政核定的综合补助比例。</w:t>
      </w:r>
    </w:p>
    <w:p w14:paraId="70F75A4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根据评分标准，该项指标扣0.06分，得3.94分。</w:t>
      </w:r>
    </w:p>
    <w:p w14:paraId="650B926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（3）支出执行管理</w:t>
      </w:r>
    </w:p>
    <w:p w14:paraId="002373D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2025年我单位全年预算数为55,430.53万元，1至6月预算执行数为11,679.67万元，支出预警金额为0万元，支出预警金额占比为0%，支出违规金额为0万元，支出违规金额占比为0%。</w:t>
      </w:r>
    </w:p>
    <w:p w14:paraId="4BE70FF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1至10月预算执行数为19,342.19万元，支出预警金额为0万元，支出预警金额占比为0%，支出违规金额为0万元，支出违规金额占比为0%。</w:t>
      </w:r>
    </w:p>
    <w:p w14:paraId="013C6CA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综上，根据评分标准，该项指标扣2.32分，得3.68分。</w:t>
      </w:r>
    </w:p>
    <w:p w14:paraId="38B1F2A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（4）预算年终结余</w:t>
      </w:r>
    </w:p>
    <w:p w14:paraId="15684E6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shd w:val="clear" w:fill="FFFFFF"/>
          <w:lang w:val="en-US" w:eastAsia="zh-CN" w:bidi="ar"/>
        </w:rPr>
        <w:t>2025年我单位预算注销金额和结转金额1,680.20万元，全年预算数为55,430.53万元，预算结余率为3.03%。</w:t>
      </w:r>
    </w:p>
    <w:p w14:paraId="6D3EE8B0">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根据评分标准，该项指标扣0.06分，得1.94分。</w:t>
      </w:r>
    </w:p>
    <w:p w14:paraId="2B8E703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（5）严控一般性支出</w:t>
      </w:r>
    </w:p>
    <w:p w14:paraId="7C39B06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b/>
          <w:bCs/>
          <w:color w:val="000000"/>
          <w:kern w:val="60"/>
          <w:sz w:val="28"/>
          <w:szCs w:val="28"/>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我单位“三公”经费、会议、培训、差旅、办节办展、办公设备购置、信息网络及软件购置更新经费、课题经费等8项一般性支出情况详见表31。</w:t>
      </w:r>
    </w:p>
    <w:p w14:paraId="2696EE4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562" w:firstLineChars="200"/>
        <w:contextualSpacing/>
        <w:jc w:val="center"/>
        <w:rPr>
          <w:rFonts w:hint="default" w:ascii="Times New Roman" w:hAnsi="Times New Roman" w:eastAsia="仿宋_GB2312" w:cs="Times New Roman"/>
          <w:b/>
          <w:bCs/>
          <w:color w:val="000000"/>
          <w:kern w:val="60"/>
          <w:sz w:val="28"/>
          <w:szCs w:val="28"/>
          <w:shd w:val="clear" w:fill="FFFFFF"/>
        </w:rPr>
      </w:pPr>
      <w:r>
        <w:rPr>
          <w:rFonts w:hint="default" w:ascii="Times New Roman" w:hAnsi="Times New Roman" w:eastAsia="仿宋_GB2312" w:cs="Times New Roman"/>
          <w:b/>
          <w:bCs/>
          <w:color w:val="000000"/>
          <w:kern w:val="60"/>
          <w:sz w:val="28"/>
          <w:szCs w:val="28"/>
          <w:shd w:val="clear" w:fill="FFFFFF"/>
          <w:lang w:val="en-US" w:eastAsia="zh-CN" w:bidi="ar"/>
        </w:rPr>
        <w:t>表31 一般性支出情况表</w:t>
      </w:r>
    </w:p>
    <w:p w14:paraId="294ED6C1">
      <w:pPr>
        <w:keepNext w:val="0"/>
        <w:keepLines w:val="0"/>
        <w:widowControl w:val="0"/>
        <w:suppressLineNumbers w:val="0"/>
        <w:autoSpaceDE w:val="0"/>
        <w:autoSpaceDN/>
        <w:adjustRightInd w:val="0"/>
        <w:snapToGrid w:val="0"/>
        <w:spacing w:before="0" w:beforeAutospacing="1" w:after="200" w:afterAutospacing="0" w:line="600" w:lineRule="exact"/>
        <w:ind w:left="0" w:right="0" w:firstLine="562" w:firstLineChars="200"/>
        <w:contextualSpacing/>
        <w:jc w:val="right"/>
        <w:rPr>
          <w:rFonts w:hint="default" w:ascii="Times New Roman" w:hAnsi="Times New Roman" w:eastAsia="楷体_GB2312" w:cs="Times New Roman"/>
          <w:color w:val="000000"/>
          <w:kern w:val="60"/>
          <w:sz w:val="32"/>
          <w:szCs w:val="32"/>
          <w:shd w:val="clear" w:fill="FFFFFF"/>
        </w:rPr>
      </w:pPr>
      <w:r>
        <w:rPr>
          <w:rFonts w:hint="default" w:ascii="Times New Roman" w:hAnsi="Times New Roman" w:eastAsia="仿宋_GB2312" w:cs="Times New Roman"/>
          <w:b/>
          <w:bCs/>
          <w:color w:val="000000"/>
          <w:kern w:val="60"/>
          <w:sz w:val="28"/>
          <w:szCs w:val="28"/>
          <w:shd w:val="clear" w:fill="FFFFFF"/>
          <w:lang w:val="en-US" w:eastAsia="zh-CN" w:bidi="ar"/>
        </w:rPr>
        <w:t>单位：万元</w:t>
      </w:r>
    </w:p>
    <w:tbl>
      <w:tblPr>
        <w:tblStyle w:val="40"/>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12"/>
        <w:gridCol w:w="1515"/>
        <w:gridCol w:w="1428"/>
        <w:gridCol w:w="1476"/>
        <w:gridCol w:w="1068"/>
        <w:gridCol w:w="1392"/>
        <w:gridCol w:w="1344"/>
        <w:gridCol w:w="1208"/>
      </w:tblGrid>
      <w:tr w14:paraId="2E42E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12"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4C66928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序号</w:t>
            </w:r>
          </w:p>
        </w:tc>
        <w:tc>
          <w:tcPr>
            <w:tcW w:w="1515"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73DF78F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项目名称</w:t>
            </w:r>
          </w:p>
        </w:tc>
        <w:tc>
          <w:tcPr>
            <w:tcW w:w="1428" w:type="dxa"/>
            <w:tcBorders>
              <w:top w:val="single" w:color="auto" w:sz="4" w:space="0"/>
              <w:left w:val="single" w:color="auto" w:sz="4" w:space="0"/>
              <w:bottom w:val="single" w:color="auto" w:sz="4" w:space="0"/>
              <w:right w:val="single" w:color="auto" w:sz="4" w:space="0"/>
            </w:tcBorders>
            <w:shd w:val="clear" w:color="auto" w:fill="D7D7D7"/>
            <w:vAlign w:val="center"/>
          </w:tcPr>
          <w:p w14:paraId="28085D6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2024年</w:t>
            </w:r>
          </w:p>
        </w:tc>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3695B58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2025年</w:t>
            </w:r>
          </w:p>
        </w:tc>
        <w:tc>
          <w:tcPr>
            <w:tcW w:w="1068"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20063B8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变动情况</w:t>
            </w:r>
          </w:p>
        </w:tc>
        <w:tc>
          <w:tcPr>
            <w:tcW w:w="1392" w:type="dxa"/>
            <w:tcBorders>
              <w:top w:val="single" w:color="auto" w:sz="4" w:space="0"/>
              <w:left w:val="single" w:color="auto" w:sz="4" w:space="0"/>
              <w:bottom w:val="single" w:color="auto" w:sz="4" w:space="0"/>
              <w:right w:val="single" w:color="auto" w:sz="4" w:space="0"/>
            </w:tcBorders>
            <w:shd w:val="clear" w:color="auto" w:fill="D7D7D7"/>
            <w:vAlign w:val="center"/>
          </w:tcPr>
          <w:p w14:paraId="0D164CD0">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2024年</w:t>
            </w:r>
          </w:p>
        </w:tc>
        <w:tc>
          <w:tcPr>
            <w:tcW w:w="1344" w:type="dxa"/>
            <w:tcBorders>
              <w:top w:val="single" w:color="auto" w:sz="4" w:space="0"/>
              <w:left w:val="single" w:color="auto" w:sz="4" w:space="0"/>
              <w:bottom w:val="single" w:color="auto" w:sz="4" w:space="0"/>
              <w:right w:val="single" w:color="auto" w:sz="4" w:space="0"/>
            </w:tcBorders>
            <w:shd w:val="clear" w:color="auto" w:fill="D7D7D7"/>
            <w:vAlign w:val="center"/>
          </w:tcPr>
          <w:p w14:paraId="47A50A1B">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2025年</w:t>
            </w:r>
          </w:p>
        </w:tc>
        <w:tc>
          <w:tcPr>
            <w:tcW w:w="1208"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22D0065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变动情况</w:t>
            </w:r>
          </w:p>
        </w:tc>
      </w:tr>
      <w:tr w14:paraId="0F28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5CDB3E6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7BCB475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428" w:type="dxa"/>
            <w:tcBorders>
              <w:top w:val="single" w:color="auto" w:sz="4" w:space="0"/>
              <w:left w:val="single" w:color="auto" w:sz="4" w:space="0"/>
              <w:bottom w:val="single" w:color="auto" w:sz="4" w:space="0"/>
              <w:right w:val="single" w:color="auto" w:sz="4" w:space="0"/>
            </w:tcBorders>
            <w:shd w:val="clear" w:color="auto" w:fill="D7D7D7"/>
            <w:vAlign w:val="center"/>
          </w:tcPr>
          <w:p w14:paraId="10C7908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财政拨款年初预算数</w:t>
            </w:r>
          </w:p>
        </w:tc>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14024236">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财政拨款年初预算数</w:t>
            </w:r>
          </w:p>
        </w:tc>
        <w:tc>
          <w:tcPr>
            <w:tcW w:w="1068"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7E7C05F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392" w:type="dxa"/>
            <w:tcBorders>
              <w:top w:val="single" w:color="auto" w:sz="4" w:space="0"/>
              <w:left w:val="single" w:color="auto" w:sz="4" w:space="0"/>
              <w:bottom w:val="single" w:color="auto" w:sz="4" w:space="0"/>
              <w:right w:val="single" w:color="auto" w:sz="4" w:space="0"/>
            </w:tcBorders>
            <w:shd w:val="clear" w:color="auto" w:fill="D7D7D7"/>
            <w:vAlign w:val="center"/>
          </w:tcPr>
          <w:p w14:paraId="547BAB5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财政拨款预算执行数</w:t>
            </w:r>
          </w:p>
        </w:tc>
        <w:tc>
          <w:tcPr>
            <w:tcW w:w="1344" w:type="dxa"/>
            <w:tcBorders>
              <w:top w:val="single" w:color="auto" w:sz="4" w:space="0"/>
              <w:left w:val="single" w:color="auto" w:sz="4" w:space="0"/>
              <w:bottom w:val="single" w:color="auto" w:sz="4" w:space="0"/>
              <w:right w:val="single" w:color="auto" w:sz="4" w:space="0"/>
            </w:tcBorders>
            <w:shd w:val="clear" w:color="auto" w:fill="D7D7D7"/>
            <w:vAlign w:val="center"/>
          </w:tcPr>
          <w:p w14:paraId="21D0EE6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财政拨款预算执行数</w:t>
            </w:r>
          </w:p>
        </w:tc>
        <w:tc>
          <w:tcPr>
            <w:tcW w:w="1208"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5EF8576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r>
      <w:tr w14:paraId="0C3C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6A20CA5D">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61674FBB">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“三公”经费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5F6EFA3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313.53</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A008665">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368.86</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3A969CB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增加</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6685DB0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207.71</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0260D483">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253.05</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35040DF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增加</w:t>
            </w:r>
          </w:p>
        </w:tc>
      </w:tr>
      <w:tr w14:paraId="0B8E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56CD573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1B4B647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会议经费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0630F1E1">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01CE923">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F3F5F4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2CD6A53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42.65</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6E440F8A">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2.21</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558A6AAA">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r>
      <w:tr w14:paraId="17DC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506757EC">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5E50E7C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培训经费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2CFA83D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263.63</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9BDE14A">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240.72</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1DBEF31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1EACDDE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399.52</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77ACCEA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406.02</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588583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增加</w:t>
            </w:r>
          </w:p>
        </w:tc>
      </w:tr>
      <w:tr w14:paraId="3090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0214056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1DB54F7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差旅经费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67A64AC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442.22</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F6D9E1A">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457.26</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46AF7DFF">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增加</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318C1486">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502.04</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6C43DF5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474.37</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53E81D7F">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r>
      <w:tr w14:paraId="051A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5910A3F1">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5</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0D7746B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办节办展</w:t>
            </w:r>
          </w:p>
          <w:p w14:paraId="121C4200">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18D3F760">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90E7961">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38192C98">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持平</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4231346C">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49F03966">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63D9E66F">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持平</w:t>
            </w:r>
          </w:p>
        </w:tc>
      </w:tr>
      <w:tr w14:paraId="68E5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4C360BBF">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6</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3D59130C">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办公设备</w:t>
            </w:r>
          </w:p>
          <w:p w14:paraId="7108FD9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购置经费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58866655">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22.38</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006B344">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5.50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501178F6">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4756DF6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48.86</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7682EF7E">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12.84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3D2394AF">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r>
      <w:tr w14:paraId="076B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17433A36">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7</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48BC41D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信息网络及软件购置更新经费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567750B0">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FAC7A62">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8B7FC87">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持平</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1A81373B">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756.03</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267317AF">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271.34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36D925CC">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r>
      <w:tr w14:paraId="2D01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6C0407C0">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8</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156F3D7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课题经费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70A8400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02A5684">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5152D628">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持平</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12B1C23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211F0E0F">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1AE4503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持平</w:t>
            </w:r>
          </w:p>
        </w:tc>
      </w:tr>
      <w:tr w14:paraId="2EE6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55BF05">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合计</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6162254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1,071.76</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FB714AF">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1,072.34</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317BD32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增加</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2BD37EA6">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1,956.81</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08082B56">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1,419.83</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1B7A6AE6">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减少</w:t>
            </w:r>
          </w:p>
        </w:tc>
      </w:tr>
    </w:tbl>
    <w:p w14:paraId="763E7AC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kern w:val="60"/>
          <w:sz w:val="32"/>
          <w:szCs w:val="32"/>
          <w:lang w:val="en-US" w:eastAsia="zh-CN" w:bidi="ar"/>
        </w:rPr>
        <w:t>我单位2025年一般性支出财政拨款年初预算较2024年一般性支出财政拨款年初预算未实现压减；2025年一般性支出财政拨款预算执行较2024年一般性支出财政拨款预算执行实现压减，压减率27.44%。</w:t>
      </w:r>
    </w:p>
    <w:p w14:paraId="0BDEC28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综上，根据评分标准，该项指标扣2分，得3分。</w:t>
      </w:r>
    </w:p>
    <w:p w14:paraId="7BD658B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3.财务管理</w:t>
      </w:r>
    </w:p>
    <w:p w14:paraId="6D9294F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（1）财务管理制度</w:t>
      </w:r>
    </w:p>
    <w:p w14:paraId="23B79DD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kern w:val="60"/>
          <w:sz w:val="32"/>
          <w:szCs w:val="32"/>
          <w:lang w:val="en-US" w:eastAsia="zh-CN" w:bidi="ar"/>
        </w:rPr>
        <w:t>我单位为进一步规范机关财务运行，加强财务管理，提高财务经费使用效益，根据财政部《行政单位财务规则》及相关财经法规制度，结合我单位实际，制订了</w:t>
      </w:r>
      <w:r>
        <w:rPr>
          <w:rFonts w:hint="default" w:ascii="Times New Roman" w:hAnsi="Times New Roman" w:eastAsia="仿宋_GB2312" w:cs="Times New Roman"/>
          <w:kern w:val="0"/>
          <w:sz w:val="32"/>
          <w:szCs w:val="32"/>
          <w:lang w:val="en-US" w:eastAsia="zh-CN" w:bidi="ar"/>
        </w:rPr>
        <w:t>《阿坝州卫生健康委员会机关财务管理办法》《阿坝州卫生健康委员会专项资金管理办法》等</w:t>
      </w:r>
      <w:r>
        <w:rPr>
          <w:rFonts w:hint="default" w:ascii="Times New Roman" w:hAnsi="Times New Roman" w:eastAsia="仿宋_GB2312" w:cs="Times New Roman"/>
          <w:kern w:val="60"/>
          <w:sz w:val="32"/>
          <w:szCs w:val="32"/>
          <w:lang w:val="en-US" w:eastAsia="zh-CN" w:bidi="ar"/>
        </w:rPr>
        <w:t>，细化财务管理规范、开支报销规范、经费支出管理、会计档案管理等，并将制度严格落到实处。</w:t>
      </w:r>
    </w:p>
    <w:p w14:paraId="33B3FA70">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4D3811A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（2）财务岗位设置</w:t>
      </w:r>
    </w:p>
    <w:p w14:paraId="54E7D2E6">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我单位合理设置了财务工作岗位，明确了各岗位的职责权限，并严格实行不相容岗位分离，确保财务收支统一核算管理，会计与出纳岗位分设，出纳人员不得兼管审核、会计档案保管等工作，做到了会计与出纳、审核与执行等岗位有效分离。</w:t>
      </w:r>
    </w:p>
    <w:p w14:paraId="1B2AA9F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aps w:val="0"/>
          <w:kern w:val="0"/>
          <w:sz w:val="32"/>
          <w:szCs w:val="32"/>
          <w:lang w:val="en-US" w:eastAsia="zh-CN" w:bidi="ar"/>
        </w:rPr>
        <w:t>根据评分标准，该项指标不扣分，得2分。</w:t>
      </w:r>
    </w:p>
    <w:p w14:paraId="248DF4B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（3）资金使用规范</w:t>
      </w:r>
    </w:p>
    <w:p w14:paraId="02565C9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严格按照相关财务管理制度使用资金，坚持量入为出、确保重点、厉行节约、注重实效的原则，重大经济事项支出由集体决策确定，各级领导严把经费审批关，对无预算、超预算开支、开支不明、手续不全、虚列开支等情况不予审批，资金使用合法合规。</w:t>
      </w:r>
    </w:p>
    <w:p w14:paraId="1818478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aps w:val="0"/>
          <w:kern w:val="0"/>
          <w:sz w:val="32"/>
          <w:szCs w:val="32"/>
          <w:lang w:val="en-US" w:eastAsia="zh-CN" w:bidi="ar"/>
        </w:rPr>
        <w:t>根据评分标准，该项指标不扣分，得4分。</w:t>
      </w:r>
    </w:p>
    <w:p w14:paraId="3B3B9B20">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4.资产管理</w:t>
      </w:r>
    </w:p>
    <w:p w14:paraId="22DAD80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（1）人均资产变化率</w:t>
      </w:r>
    </w:p>
    <w:p w14:paraId="01EDF5C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我单位2024年末实有在编在职人数为1020人，固定资产和无形资产期末账面值净值合计1,813.08万元，人均占有资产为1.78万元/人。</w:t>
      </w:r>
    </w:p>
    <w:p w14:paraId="5B434FA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我单位2025年末实有在职在编人数为1051人，固定资产和无形资产净值合计4,388.21万元，人均占有资产为4.18万元/人。</w:t>
      </w:r>
    </w:p>
    <w:p w14:paraId="7578DA7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highlight w:val="yellow"/>
          <w:shd w:val="clear" w:fill="FFFFFF"/>
        </w:rPr>
      </w:pPr>
      <w:r>
        <w:rPr>
          <w:rFonts w:hint="default" w:ascii="Times New Roman" w:hAnsi="Times New Roman" w:eastAsia="仿宋_GB2312" w:cs="Times New Roman"/>
          <w:color w:val="000000"/>
          <w:kern w:val="0"/>
          <w:sz w:val="32"/>
          <w:szCs w:val="32"/>
          <w:shd w:val="clear" w:fill="FFFFFF"/>
          <w:lang w:val="en-US" w:eastAsia="zh-CN" w:bidi="ar"/>
        </w:rPr>
        <w:t>综上，2025年我单位人均资产变化率和人均资产增长率为134.83%，阿坝州州直行政事业单位2025年人均资产变化率3.49%，2025年我单位人均资产变化率大于1.4倍州直行政事业单位人均资产变化率；阿坝州州级2025年财政收入增长率为17.10%，我单位人均资产变化率大于2倍州级2025年财政收入增长率。</w:t>
      </w:r>
    </w:p>
    <w:p w14:paraId="62FFEDA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根据评分标准，该项指标扣2.7分，得0.3分。</w:t>
      </w:r>
    </w:p>
    <w:p w14:paraId="359C1A1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（2）资产利用率</w:t>
      </w:r>
    </w:p>
    <w:p w14:paraId="177AD246">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我单位2025年办公家具账面价值为280.70万元，超最低使用年限的办公家具账面价值为28.08万元，故办公家具超最低使用年限资产利用率=超最低使用年限的办公家具账面价值÷办公家具账面价值×100%=10.00%，州属行政事业单位办公家具资产利用率平均值为12.93%。</w:t>
      </w:r>
    </w:p>
    <w:p w14:paraId="4BF1C1E1">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2025年办公设备账面价值为3,451.81万元，超最低使用年限的办公设备账面价值为1,183.62万元，故办公设备超最低使用年限资产利用率=超最低使用年限的办公设备账面价值÷办公设备账面价值×100%=34.29%，州属行政事业单位办公设备资产利用率平均值为53.14%。</w:t>
      </w:r>
    </w:p>
    <w:p w14:paraId="27F6A1D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aps w:val="0"/>
          <w:kern w:val="0"/>
          <w:sz w:val="32"/>
          <w:szCs w:val="32"/>
          <w:lang w:val="en-US" w:eastAsia="zh-CN" w:bidi="ar"/>
        </w:rPr>
        <w:t>综上，根据评分标准，该项指标扣1.8分，得1.2分。</w:t>
      </w:r>
    </w:p>
    <w:p w14:paraId="1FE2D3A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（3）资产盘活率</w:t>
      </w:r>
    </w:p>
    <w:p w14:paraId="201042F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我单位2024年、2025年均无闲置资产。自评年度我单位部门闲置资产占比变化率为0%。</w:t>
      </w:r>
    </w:p>
    <w:p w14:paraId="025A55E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根据评分标准，该项指标不扣分，得3分。</w:t>
      </w:r>
    </w:p>
    <w:p w14:paraId="026B871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5.采购管理</w:t>
      </w:r>
    </w:p>
    <w:p w14:paraId="5D7AC45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（1）支持中小企业发展</w:t>
      </w:r>
    </w:p>
    <w:p w14:paraId="3F1C6840">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我单位严格执行政府采购促进中小企业发展相关管理办法，对适宜由中小企业提供的采购项目和采购包，预留了采购份额专门面向中小企业采购，并在采购预算中单独列示。2025年，我单位政府采购授予中小企业合同金额为539.80万元。</w:t>
      </w:r>
    </w:p>
    <w:p w14:paraId="1C0011E3">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根据评分标准，该项指标不扣分，得3分。</w:t>
      </w:r>
    </w:p>
    <w:p w14:paraId="44D0EAA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（2）采购执行率</w:t>
      </w:r>
    </w:p>
    <w:p w14:paraId="198E1E7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我单位2025年度的政府采购总预算数为955.56万元，当年政府采购预算执行数为955.56万元，已完成采购项目节约金额为0万元，采购执行率为100%。</w:t>
      </w:r>
    </w:p>
    <w:p w14:paraId="04A2FB9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根据评分标准，该项指标不扣分，得3分。</w:t>
      </w:r>
    </w:p>
    <w:p w14:paraId="36F3DC73">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仿宋_GB2312" w:cs="Times New Roman"/>
          <w:color w:val="000000"/>
          <w:kern w:val="0"/>
          <w:sz w:val="32"/>
          <w:szCs w:val="32"/>
          <w:shd w:val="clear" w:fill="FFFFFF"/>
        </w:rPr>
      </w:pPr>
      <w:bookmarkStart w:id="26" w:name="_Toc16888"/>
      <w:r>
        <w:rPr>
          <w:rFonts w:hint="default" w:ascii="Times New Roman" w:hAnsi="Times New Roman" w:eastAsia="楷体_GB2312" w:cs="Times New Roman"/>
          <w:b/>
          <w:bCs/>
          <w:color w:val="000000"/>
          <w:kern w:val="0"/>
          <w:sz w:val="32"/>
          <w:szCs w:val="32"/>
          <w:shd w:val="clear" w:fill="FFFFFF"/>
          <w:lang w:val="en-US" w:eastAsia="zh-CN" w:bidi="ar"/>
        </w:rPr>
        <w:t>（二）部门预算项目绩效分析</w:t>
      </w:r>
      <w:bookmarkEnd w:id="26"/>
    </w:p>
    <w:p w14:paraId="3F46F32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常年项目绩效分析。该类项目总数101个，涉及预算总金额21,638.22万元，1—12月预算执行总体进度为100%，其中：预算结余率大于10%的项目共计0个。</w:t>
      </w:r>
    </w:p>
    <w:p w14:paraId="6F8DAA9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阶段（含一次性）项目绩效分析。该类项目总数56个，涉及预算总金额5,122.37万元，1—12月预算执行总体进度为100%，其中：预算结余率大于10%的项目共计0个。</w:t>
      </w:r>
    </w:p>
    <w:p w14:paraId="20AC73B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1.项目决策</w:t>
      </w:r>
    </w:p>
    <w:p w14:paraId="24B2ECD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（1）决策程序</w:t>
      </w:r>
    </w:p>
    <w:p w14:paraId="2DD2562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我单位预算阶段项目（含一次性项目）总数为56个，无未履行事前评估程序的部门预算阶段项目。</w:t>
      </w:r>
    </w:p>
    <w:p w14:paraId="32D4248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0132947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（2）目标设置</w:t>
      </w:r>
    </w:p>
    <w:p w14:paraId="35A00AA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年，我单位在编制部门预算阶段项目（含一次性项目）绩效目标时，紧紧围绕计划期内的任务量进行统筹规划，确保绩效目标与预算安排的资金量相匹配。各项目标设置科学合理、规范完整，做到了量化细化，既明确了预期产出和效果，也与财政预算安排紧密衔接，为预算执行和绩效监控提供了清晰依据。</w:t>
      </w:r>
    </w:p>
    <w:p w14:paraId="1CCD333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65937BA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（3）项目入库</w:t>
      </w:r>
    </w:p>
    <w:p w14:paraId="3C25FFB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2025年我单位需在规定时间内进行入库的部门预算阶段项目（含一次性项目）共有56个，均在规定时间内完成了项目入库。</w:t>
      </w:r>
    </w:p>
    <w:p w14:paraId="37B28D8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04BDFF1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2.项目执行</w:t>
      </w:r>
    </w:p>
    <w:p w14:paraId="1B6F4D4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（1）资金执行同向</w:t>
      </w:r>
    </w:p>
    <w:p w14:paraId="6E895A9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我单位严格按照部门预算批复内容组织实施，部门预算阶段项目（含一次性项目）资金使用符合预算批复用途，与项目总体绩效目标设置方向保持一致，无相悖或不合理之处。</w:t>
      </w:r>
    </w:p>
    <w:p w14:paraId="1B690F5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62804FE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（2）项目调整</w:t>
      </w:r>
    </w:p>
    <w:p w14:paraId="1868BB8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年，我单位严格按照预算绩效管理要求，对部门预算阶段项目（含一次性项目）实施动态监控，针对应采取收回预算、调整目标等处置措施的项目，及时按规定履行程序并落实相应调整。经统计，我单位应采取处置措施的部门预算阶段项目（含一次性项目）均已按要求完成调整，未出现“应采取未采取”的情形。</w:t>
      </w:r>
    </w:p>
    <w:p w14:paraId="731CB8A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0E5B5DF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（3）执行结果</w:t>
      </w:r>
    </w:p>
    <w:p w14:paraId="48AE046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2025年我单位常年项目共计101个，预算结余率小于10%的常年项目数量为101个；一次性项目和阶段项目共计56个，预算结余率小于10%的一次性项目和阶段项目数量为56个。</w:t>
      </w:r>
    </w:p>
    <w:p w14:paraId="1622CDD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0FA826C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3.目标实现</w:t>
      </w:r>
    </w:p>
    <w:p w14:paraId="52BAA58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（1）目标完成</w:t>
      </w:r>
    </w:p>
    <w:p w14:paraId="4B56150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2025年我单位部门预算阶段项目（含一次性项目）共有56个，结合项目实施情况，我单位所涉及的部门预算阶段项目（含一次性项目）各项数量指标全部完成。</w:t>
      </w:r>
    </w:p>
    <w:p w14:paraId="7B6CEBD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03652C9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（2）目标偏离</w:t>
      </w:r>
    </w:p>
    <w:p w14:paraId="44698F1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2025年我单位部门预算阶段项目（含一次性项目）共有56个，所有项目的数量指标完成情况良好，与预期目标的偏离度均未超过30%。</w:t>
      </w:r>
    </w:p>
    <w:p w14:paraId="751BA9C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根据评分标准，该项指标不扣分，得4分。</w:t>
      </w:r>
    </w:p>
    <w:p w14:paraId="52D9DE4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（3）实现效果</w:t>
      </w:r>
    </w:p>
    <w:p w14:paraId="1081AF03">
      <w:pPr>
        <w:keepNext w:val="0"/>
        <w:keepLines w:val="0"/>
        <w:widowControl w:val="0"/>
        <w:suppressLineNumbers w:val="0"/>
        <w:autoSpaceDE w:val="0"/>
        <w:autoSpaceDN/>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2025年我单位纳入绩效目标管理的部门预算阶段项目（含一次性项目）共计</w:t>
      </w:r>
      <w:r>
        <w:rPr>
          <w:rFonts w:hint="default" w:ascii="Times New Roman" w:hAnsi="Times New Roman" w:eastAsia="仿宋_GB2312" w:cs="Times New Roman"/>
          <w:color w:val="000000"/>
          <w:kern w:val="0"/>
          <w:sz w:val="32"/>
          <w:szCs w:val="32"/>
          <w:shd w:val="clear" w:fill="FFFFFF"/>
          <w:lang w:val="en-US" w:eastAsia="zh-CN" w:bidi="ar"/>
        </w:rPr>
        <w:t>56</w:t>
      </w:r>
      <w:r>
        <w:rPr>
          <w:rFonts w:hint="default" w:ascii="Times New Roman" w:hAnsi="Times New Roman" w:eastAsia="仿宋_GB2312" w:cs="Times New Roman"/>
          <w:caps w:val="0"/>
          <w:kern w:val="0"/>
          <w:sz w:val="32"/>
          <w:szCs w:val="32"/>
          <w:lang w:val="en-US" w:eastAsia="zh-CN" w:bidi="ar"/>
        </w:rPr>
        <w:t>个，项目均已完成预期设定的效益指标。</w:t>
      </w:r>
    </w:p>
    <w:p w14:paraId="366EADED">
      <w:pPr>
        <w:keepNext w:val="0"/>
        <w:keepLines w:val="0"/>
        <w:widowControl w:val="0"/>
        <w:suppressLineNumbers w:val="0"/>
        <w:autoSpaceDE w:val="0"/>
        <w:autoSpaceDN/>
        <w:spacing w:before="0" w:beforeAutospacing="1" w:after="200" w:afterAutospacing="0" w:line="578" w:lineRule="exact"/>
        <w:ind w:left="0" w:right="0"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caps w:val="0"/>
          <w:kern w:val="0"/>
          <w:sz w:val="32"/>
          <w:szCs w:val="32"/>
          <w:lang w:val="en-US" w:eastAsia="zh-CN" w:bidi="ar"/>
        </w:rPr>
        <w:t>根据评分标准，该项指标不扣分，得3分。</w:t>
      </w:r>
    </w:p>
    <w:p w14:paraId="513B3AF3">
      <w:pPr>
        <w:keepNext w:val="0"/>
        <w:keepLines w:val="0"/>
        <w:widowControl w:val="0"/>
        <w:suppressLineNumbers w:val="0"/>
        <w:autoSpaceDE w:val="0"/>
        <w:autoSpaceDN/>
        <w:snapToGrid w:val="0"/>
        <w:spacing w:before="0" w:beforeAutospacing="1" w:after="200" w:afterAutospacing="0" w:line="578" w:lineRule="exact"/>
        <w:ind w:left="0" w:right="0" w:firstLine="643" w:firstLineChars="200"/>
        <w:jc w:val="both"/>
        <w:outlineLvl w:val="1"/>
        <w:rPr>
          <w:rFonts w:hint="default" w:ascii="Times New Roman" w:hAnsi="Times New Roman" w:eastAsia="楷体_GB2312" w:cs="Times New Roman"/>
          <w:b/>
          <w:bCs/>
          <w:sz w:val="32"/>
          <w:szCs w:val="32"/>
        </w:rPr>
      </w:pPr>
      <w:bookmarkStart w:id="27" w:name="_Toc25930"/>
      <w:r>
        <w:rPr>
          <w:rFonts w:hint="default" w:ascii="Times New Roman" w:hAnsi="Times New Roman" w:eastAsia="楷体_GB2312" w:cs="Times New Roman"/>
          <w:b/>
          <w:bCs/>
          <w:color w:val="000000"/>
          <w:kern w:val="0"/>
          <w:sz w:val="32"/>
          <w:szCs w:val="32"/>
          <w:shd w:val="clear" w:fill="FFFFFF"/>
          <w:lang w:val="en-US" w:eastAsia="zh-CN" w:bidi="ar"/>
        </w:rPr>
        <w:t>（三）</w:t>
      </w:r>
      <w:r>
        <w:rPr>
          <w:rFonts w:hint="default" w:ascii="Times New Roman" w:hAnsi="Times New Roman" w:eastAsia="楷体_GB2312" w:cs="Times New Roman"/>
          <w:b/>
          <w:bCs/>
          <w:kern w:val="0"/>
          <w:sz w:val="32"/>
          <w:szCs w:val="32"/>
          <w:lang w:val="en-US" w:eastAsia="zh-CN" w:bidi="ar"/>
        </w:rPr>
        <w:t>绩效结果应用情况</w:t>
      </w:r>
      <w:bookmarkEnd w:id="27"/>
    </w:p>
    <w:p w14:paraId="26EAC6E4">
      <w:pPr>
        <w:keepNext w:val="0"/>
        <w:keepLines w:val="0"/>
        <w:widowControl w:val="0"/>
        <w:suppressLineNumbers w:val="0"/>
        <w:autoSpaceDE w:val="0"/>
        <w:autoSpaceDN/>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我单位严格按照要求，自觉接受财政、审计等监督部门开展的重点绩效评价，评价结果作为以后年度重点项目资金预算安排的参考依据。将项目绩效与预算资金安排挂钩。项目实施效果不佳、预算执行进度不符合要求的，进行通报并作为年度评优时的参考依据；对于造成财政资金损失的，按照有关规定追究责任。明确预算编制、预算分解、预算执行与分析、预算调整、决算管理、预算绩效管理及预决算信息公开管理等业务环节的管理要求，加强预算业务各环节的风险管控。</w:t>
      </w:r>
    </w:p>
    <w:p w14:paraId="1A8FE22F">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黑体" w:cs="Times New Roman"/>
          <w:color w:val="000000"/>
          <w:kern w:val="0"/>
          <w:sz w:val="32"/>
          <w:szCs w:val="32"/>
          <w:shd w:val="clear" w:fill="FFFFFF"/>
        </w:rPr>
      </w:pPr>
      <w:bookmarkStart w:id="28" w:name="_Toc914"/>
      <w:r>
        <w:rPr>
          <w:rFonts w:hint="default" w:ascii="Times New Roman" w:hAnsi="Times New Roman" w:eastAsia="黑体" w:cs="Times New Roman"/>
          <w:color w:val="000000"/>
          <w:kern w:val="0"/>
          <w:sz w:val="32"/>
          <w:szCs w:val="32"/>
          <w:shd w:val="clear" w:fill="FFFFFF"/>
          <w:lang w:val="en-US" w:eastAsia="zh-CN" w:bidi="ar"/>
        </w:rPr>
        <w:t>四、评价结论及建议</w:t>
      </w:r>
      <w:bookmarkEnd w:id="28"/>
    </w:p>
    <w:p w14:paraId="736BAA89">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29" w:name="_Toc8752"/>
      <w:r>
        <w:rPr>
          <w:rFonts w:hint="default" w:ascii="Times New Roman" w:hAnsi="Times New Roman" w:eastAsia="楷体_GB2312" w:cs="Times New Roman"/>
          <w:b/>
          <w:bCs/>
          <w:color w:val="000000"/>
          <w:kern w:val="0"/>
          <w:sz w:val="32"/>
          <w:szCs w:val="32"/>
          <w:shd w:val="clear" w:fill="FFFFFF"/>
          <w:lang w:val="en-US" w:eastAsia="zh-CN" w:bidi="ar"/>
        </w:rPr>
        <w:t>（一）评价结论</w:t>
      </w:r>
      <w:bookmarkEnd w:id="29"/>
    </w:p>
    <w:p w14:paraId="71BEF983">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在2025年度财政预算绩效自评工作中，我单位严格按照《部门预算绩效评价指标体系》进行逐项打分。总体来看，年度内我单位切实履行部门职责，预算执行情况良好，财务管理与采购管理规范有序，决策程序合规，绩效目标设置合理，各项指标实现情况良好，整体绩效水平稳步提升，绩效评价综合得分85.55分。</w:t>
      </w:r>
    </w:p>
    <w:p w14:paraId="3944AD7C">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30" w:name="_Toc25451"/>
      <w:r>
        <w:rPr>
          <w:rFonts w:hint="default" w:ascii="Times New Roman" w:hAnsi="Times New Roman" w:eastAsia="楷体_GB2312" w:cs="Times New Roman"/>
          <w:b/>
          <w:bCs/>
          <w:color w:val="000000"/>
          <w:kern w:val="0"/>
          <w:sz w:val="32"/>
          <w:szCs w:val="32"/>
          <w:shd w:val="clear" w:fill="FFFFFF"/>
          <w:lang w:val="en-US" w:eastAsia="zh-CN" w:bidi="ar"/>
        </w:rPr>
        <w:t>（二）存在问题</w:t>
      </w:r>
      <w:bookmarkEnd w:id="30"/>
    </w:p>
    <w:p w14:paraId="319CE13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1.预算执行偏离度较高</w:t>
      </w:r>
    </w:p>
    <w:p w14:paraId="655FFEF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2025年我单位财政拨款预算执行偏离度为37.70%，资产配置预算执行偏离度为1074.48%，政府采购预算执行偏离度为116.59%，预算编制精准性不足，执行偏离度较高。</w:t>
      </w:r>
    </w:p>
    <w:p w14:paraId="0FDEE5F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2.预算执行进度未达序时进度要求</w:t>
      </w:r>
    </w:p>
    <w:p w14:paraId="2C8F25D7">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2025年我单位1至6月预算执行数11,679.67万元，执行率为21.07%，未达到序时进度50%的要求；1至10月预算执行数19,342.19万元，执行率为34.89%，未达到序时进度83.33%的要求。</w:t>
      </w:r>
    </w:p>
    <w:p w14:paraId="2D793ED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3.</w:t>
      </w:r>
      <w:r>
        <w:rPr>
          <w:rFonts w:hint="default" w:ascii="Times New Roman" w:hAnsi="Times New Roman" w:eastAsia="楷体_GB2312" w:cs="Times New Roman"/>
          <w:color w:val="000000"/>
          <w:kern w:val="0"/>
          <w:sz w:val="32"/>
          <w:szCs w:val="32"/>
          <w:shd w:val="clear" w:fill="FFFFFF"/>
          <w:lang w:val="en-US" w:eastAsia="zh-CN" w:bidi="ar"/>
        </w:rPr>
        <w:t>一般性支出控制有待加强</w:t>
      </w:r>
    </w:p>
    <w:p w14:paraId="65ED26E9">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我单位2025年一般性支出财政拨款年初预算较2024年一般性支出财政拨款年初预算未实现压减。</w:t>
      </w:r>
    </w:p>
    <w:p w14:paraId="036C599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4.</w:t>
      </w:r>
      <w:r>
        <w:rPr>
          <w:rFonts w:hint="default" w:ascii="Times New Roman" w:hAnsi="Times New Roman" w:eastAsia="楷体_GB2312" w:cs="Times New Roman"/>
          <w:color w:val="000000"/>
          <w:kern w:val="0"/>
          <w:sz w:val="32"/>
          <w:szCs w:val="32"/>
          <w:shd w:val="clear" w:fill="FFFFFF"/>
          <w:lang w:val="en-US" w:eastAsia="zh-CN" w:bidi="ar"/>
        </w:rPr>
        <w:t>人均资产变化率较高</w:t>
      </w:r>
    </w:p>
    <w:p w14:paraId="03ED3FC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2"/>
          <w:sz w:val="32"/>
          <w:szCs w:val="32"/>
          <w:lang w:val="en-US" w:eastAsia="zh-CN" w:bidi="ar"/>
        </w:rPr>
        <w:t>2025年我单位人均资产变化率为134.83%，阿坝州州直行政事业单位2025年人均资产变化率3.49%，2025年我单位人均资产变化率大于1.4倍州直行政事业单位人均资产变化率；阿坝州州级2025年财政收入增长率为17.10%，我单位人均资产变化率大于2倍州级2025年财政收入增长率。</w:t>
      </w:r>
    </w:p>
    <w:p w14:paraId="7548A03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5.部门资产超最低使用年限资产利用率较低</w:t>
      </w:r>
    </w:p>
    <w:p w14:paraId="17CA679C">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年我单位办公家具超最低使用年限资产利用率为10.00%，低于州属行政事业单位办公家具资产利用率平均值12.93%；我单位办公设备超最低使用年限资产利用率为34.29%，低于州属行政事业单位办公设备资产利用率平均值53.14%。</w:t>
      </w:r>
    </w:p>
    <w:p w14:paraId="69533932">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31" w:name="_Toc27690"/>
      <w:r>
        <w:rPr>
          <w:rFonts w:hint="default" w:ascii="Times New Roman" w:hAnsi="Times New Roman" w:eastAsia="楷体_GB2312" w:cs="Times New Roman"/>
          <w:b/>
          <w:bCs/>
          <w:color w:val="000000"/>
          <w:kern w:val="0"/>
          <w:sz w:val="32"/>
          <w:szCs w:val="32"/>
          <w:shd w:val="clear" w:fill="FFFFFF"/>
          <w:lang w:val="en-US" w:eastAsia="zh-CN" w:bidi="ar"/>
        </w:rPr>
        <w:t>（三）改进建议</w:t>
      </w:r>
      <w:bookmarkEnd w:id="31"/>
    </w:p>
    <w:p w14:paraId="79900FE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1.提高预算编制精准度</w:t>
      </w:r>
    </w:p>
    <w:p w14:paraId="59DF782A">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一是我单位在今后预算编制中强化前期论证与需求测算，紧密结合司法行政工作实际，提升预算精准性；二是加强对资产配置和政府采购项目的统筹规划，提前明确采购需求，确保预算与执行有效衔接；三是建立健全预算执行动态监控机制，定期分析偏差并及时调整，切实提高财政资金使用效益和预算执行效率。</w:t>
      </w:r>
    </w:p>
    <w:p w14:paraId="7E17DC9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2.严格把控预算执行进度</w:t>
      </w:r>
    </w:p>
    <w:p w14:paraId="60801030">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我单位将加强资金调度与支出管理，提前研判影响执行进度的因素，及时协调解决堵点难点；同时推动预算执行与业务开展深度融合，确保全年支出达到目标进度要求。</w:t>
      </w:r>
    </w:p>
    <w:p w14:paraId="2A3C688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3.加强一般性支出控制</w:t>
      </w:r>
    </w:p>
    <w:p w14:paraId="02BBB42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b w:val="0"/>
          <w:bCs w:val="0"/>
          <w:kern w:val="0"/>
          <w:sz w:val="32"/>
          <w:szCs w:val="32"/>
          <w:lang w:val="en-US" w:eastAsia="zh-CN" w:bidi="ar"/>
        </w:rPr>
        <w:t>我单位将严格执行一般性支出有关政策与制度要求，有效落实中央八项规定及其“过紧日子”的要求，强化纪律约束和内外部监督；同时严格执行各项经费开支标准，按照务实节俭原则，从严审核会议费、培训费、差旅费、“三公”经费等一般性支出，严禁超标准、超范围列支经费。</w:t>
      </w:r>
    </w:p>
    <w:p w14:paraId="5816D9E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4.加强资产绩效管理</w:t>
      </w:r>
    </w:p>
    <w:p w14:paraId="2E74EBE9">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我单位后续将加强资产配置的预算约束和绩效管理，严格审核新增资产的必要性和合理性，避免盲目购置或重复建设；同时开展全面的资产清查，核实资产净值大幅增长的具体原因，确保数据真实准确，并建立动态监控机制，将人均资产变化率纳入考核指标，促进资产合理配置与高效使用，防止资产过度膨胀。</w:t>
      </w:r>
    </w:p>
    <w:p w14:paraId="5A1A8F9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5.提高资产使用效率</w:t>
      </w:r>
    </w:p>
    <w:p w14:paraId="6F5D0B9D">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黑体" w:cs="Times New Roman"/>
          <w:b/>
          <w:bCs w:val="0"/>
          <w:kern w:val="2"/>
          <w:sz w:val="24"/>
          <w:szCs w:val="24"/>
        </w:rPr>
      </w:pPr>
      <w:r>
        <w:rPr>
          <w:rFonts w:hint="default" w:ascii="Times New Roman" w:hAnsi="Times New Roman" w:eastAsia="仿宋_GB2312" w:cs="Times New Roman"/>
          <w:color w:val="000000"/>
          <w:kern w:val="0"/>
          <w:sz w:val="32"/>
          <w:szCs w:val="32"/>
          <w:shd w:val="clear" w:fill="FFFFFF"/>
          <w:lang w:val="en-US" w:eastAsia="zh-CN" w:bidi="ar"/>
        </w:rPr>
        <w:t>我单位将全面开展超年限办公家具、办公设备清查盘点，建立专项台账并区分资产使用状态，对仍具有使用价值的资产加强维护并通过内部调剂实现资源共享，对确需报废的资产按规定规范处置，同时健全资产配置与使用衔接机制，强化使用管控，着力提升资产周转效率、降低闲置率，切实改善资产利用率偏低的现状。</w:t>
      </w:r>
    </w:p>
    <w:p w14:paraId="3E3B8F98">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shd w:val="clear" w:fill="FFFFFF"/>
          <w:lang w:val="en-US" w:eastAsia="zh-CN" w:bidi="ar"/>
        </w:rPr>
        <w:t>附表：1.</w:t>
      </w:r>
      <w:r>
        <w:rPr>
          <w:rFonts w:hint="default" w:ascii="Times New Roman" w:hAnsi="Times New Roman" w:eastAsia="仿宋_GB2312" w:cs="Times New Roman"/>
          <w:kern w:val="0"/>
          <w:sz w:val="32"/>
          <w:szCs w:val="32"/>
          <w:lang w:val="en-US" w:eastAsia="zh-CN" w:bidi="ar"/>
        </w:rPr>
        <w:t>部门预算绩效自评打分表</w:t>
      </w:r>
    </w:p>
    <w:p w14:paraId="2AF127E4">
      <w:pPr>
        <w:keepNext w:val="0"/>
        <w:keepLines w:val="0"/>
        <w:widowControl/>
        <w:suppressLineNumbers w:val="0"/>
        <w:spacing w:before="0" w:beforeAutospacing="1" w:after="200" w:afterAutospacing="0" w:line="578" w:lineRule="exact"/>
        <w:ind w:left="0" w:right="0" w:firstLine="1600" w:firstLineChars="500"/>
        <w:jc w:val="left"/>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2.</w:t>
      </w:r>
      <w:r>
        <w:rPr>
          <w:rFonts w:hint="default" w:ascii="Times New Roman" w:hAnsi="Times New Roman" w:eastAsia="仿宋_GB2312" w:cs="Times New Roman"/>
          <w:color w:val="000000"/>
          <w:kern w:val="0"/>
          <w:sz w:val="32"/>
          <w:szCs w:val="32"/>
          <w:shd w:val="clear" w:fill="FFFFFF"/>
          <w:lang w:val="en-US" w:eastAsia="zh-CN" w:bidi="ar"/>
        </w:rPr>
        <w:t>部门整体支出绩效目标完成情况自评表</w:t>
      </w:r>
    </w:p>
    <w:p w14:paraId="406279AC">
      <w:pPr>
        <w:keepNext w:val="0"/>
        <w:keepLines w:val="0"/>
        <w:widowControl/>
        <w:suppressLineNumbers w:val="0"/>
        <w:spacing w:before="0" w:beforeAutospacing="1" w:after="200" w:afterAutospacing="0" w:line="578" w:lineRule="exact"/>
        <w:ind w:left="0" w:right="0"/>
        <w:jc w:val="left"/>
        <w:rPr>
          <w:rFonts w:hint="default" w:ascii="Times New Roman" w:hAnsi="Times New Roman" w:eastAsia="黑体" w:cs="Times New Roman"/>
          <w:sz w:val="32"/>
          <w:szCs w:val="32"/>
        </w:rPr>
      </w:pPr>
      <w:r>
        <w:rPr>
          <w:rFonts w:hint="default" w:ascii="Times New Roman" w:hAnsi="Times New Roman" w:eastAsia="仿宋_GB2312" w:cs="Times New Roman"/>
          <w:color w:val="000000"/>
          <w:kern w:val="0"/>
          <w:sz w:val="32"/>
          <w:szCs w:val="32"/>
          <w:shd w:val="clear" w:fill="FFFFFF"/>
          <w:lang w:val="en-US" w:eastAsia="zh-CN" w:bidi="ar"/>
        </w:rPr>
        <w:br w:type="page"/>
      </w:r>
      <w:r>
        <w:rPr>
          <w:rFonts w:hint="default" w:ascii="Times New Roman" w:hAnsi="Times New Roman" w:eastAsia="黑体" w:cs="Times New Roman"/>
          <w:kern w:val="0"/>
          <w:sz w:val="32"/>
          <w:szCs w:val="32"/>
          <w:lang w:val="en-US" w:eastAsia="zh-CN" w:bidi="ar"/>
        </w:rPr>
        <w:t>附表1</w:t>
      </w:r>
    </w:p>
    <w:p w14:paraId="266CA236">
      <w:pPr>
        <w:keepNext w:val="0"/>
        <w:keepLines w:val="0"/>
        <w:widowControl/>
        <w:suppressLineNumbers w:val="0"/>
        <w:spacing w:before="0" w:beforeAutospacing="1" w:after="200" w:afterAutospacing="0" w:line="600" w:lineRule="exact"/>
        <w:ind w:left="0" w:right="0"/>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lang w:val="en-US" w:eastAsia="zh-CN" w:bidi="ar"/>
        </w:rPr>
        <w:t>部门预算绩效自评打分表</w:t>
      </w:r>
    </w:p>
    <w:tbl>
      <w:tblPr>
        <w:tblStyle w:val="39"/>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1929"/>
        <w:gridCol w:w="717"/>
        <w:gridCol w:w="4760"/>
        <w:gridCol w:w="730"/>
        <w:gridCol w:w="478"/>
      </w:tblGrid>
      <w:tr w14:paraId="42A2E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F7FC8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lang w:val="en-US" w:eastAsia="zh-CN" w:bidi="ar"/>
              </w:rPr>
              <w:t>绩效评价指标分值</w:t>
            </w:r>
          </w:p>
        </w:tc>
        <w:tc>
          <w:tcPr>
            <w:tcW w:w="4760" w:type="dxa"/>
            <w:vMerge w:val="restart"/>
            <w:tcBorders>
              <w:top w:val="single" w:color="000000" w:sz="4" w:space="0"/>
              <w:left w:val="nil"/>
              <w:bottom w:val="single" w:color="000000" w:sz="4" w:space="0"/>
              <w:right w:val="single" w:color="000000" w:sz="4" w:space="0"/>
            </w:tcBorders>
            <w:shd w:val="clear" w:color="auto" w:fill="auto"/>
            <w:vAlign w:val="center"/>
          </w:tcPr>
          <w:p w14:paraId="1760BE7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lang w:val="en-US" w:eastAsia="zh-CN" w:bidi="ar"/>
              </w:rPr>
              <w:t>指标解释</w:t>
            </w:r>
          </w:p>
        </w:tc>
        <w:tc>
          <w:tcPr>
            <w:tcW w:w="730" w:type="dxa"/>
            <w:vMerge w:val="restart"/>
            <w:tcBorders>
              <w:top w:val="single" w:color="000000" w:sz="4" w:space="0"/>
              <w:left w:val="nil"/>
              <w:bottom w:val="nil"/>
              <w:right w:val="single" w:color="000000" w:sz="4" w:space="0"/>
            </w:tcBorders>
            <w:shd w:val="clear" w:color="auto" w:fill="auto"/>
            <w:vAlign w:val="center"/>
          </w:tcPr>
          <w:p w14:paraId="3B68CC0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lang w:val="en-US" w:eastAsia="zh-CN" w:bidi="ar"/>
              </w:rPr>
              <w:t>自评得分</w:t>
            </w:r>
          </w:p>
        </w:tc>
        <w:tc>
          <w:tcPr>
            <w:tcW w:w="478" w:type="dxa"/>
            <w:vMerge w:val="restart"/>
            <w:tcBorders>
              <w:top w:val="single" w:color="000000" w:sz="4" w:space="0"/>
              <w:left w:val="nil"/>
              <w:bottom w:val="nil"/>
              <w:right w:val="single" w:color="000000" w:sz="4" w:space="0"/>
            </w:tcBorders>
            <w:shd w:val="clear" w:color="auto" w:fill="auto"/>
            <w:vAlign w:val="center"/>
          </w:tcPr>
          <w:p w14:paraId="43F814D4">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lang w:val="en-US" w:eastAsia="zh-CN" w:bidi="ar"/>
              </w:rPr>
              <w:t>备注</w:t>
            </w:r>
          </w:p>
        </w:tc>
      </w:tr>
      <w:tr w14:paraId="423AD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21E3A95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370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lang w:val="en-US" w:eastAsia="zh-CN" w:bidi="ar"/>
              </w:rPr>
              <w:t>二级指标</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AE8EF5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lang w:val="en-US" w:eastAsia="zh-CN" w:bidi="ar"/>
              </w:rPr>
              <w:t>三级指标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32F4C5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lang w:val="en-US" w:eastAsia="zh-CN" w:bidi="ar"/>
              </w:rPr>
              <w:t>指标</w:t>
            </w:r>
            <w:r>
              <w:rPr>
                <w:rFonts w:hint="default" w:ascii="Times New Roman" w:hAnsi="Times New Roman" w:eastAsia="黑体" w:cs="Times New Roman"/>
                <w:color w:val="000000"/>
                <w:kern w:val="0"/>
                <w:sz w:val="24"/>
                <w:szCs w:val="24"/>
                <w:lang w:val="en-US" w:eastAsia="zh-CN" w:bidi="ar"/>
              </w:rPr>
              <w:br w:type="textWrapping"/>
            </w:r>
            <w:r>
              <w:rPr>
                <w:rFonts w:hint="default" w:ascii="Times New Roman" w:hAnsi="Times New Roman" w:eastAsia="黑体" w:cs="Times New Roman"/>
                <w:color w:val="000000"/>
                <w:kern w:val="0"/>
                <w:sz w:val="24"/>
                <w:szCs w:val="24"/>
                <w:lang w:val="en-US" w:eastAsia="zh-CN" w:bidi="ar"/>
              </w:rPr>
              <w:t>分值</w:t>
            </w:r>
          </w:p>
        </w:tc>
        <w:tc>
          <w:tcPr>
            <w:tcW w:w="4760" w:type="dxa"/>
            <w:vMerge w:val="continue"/>
            <w:tcBorders>
              <w:top w:val="single" w:color="000000" w:sz="4" w:space="0"/>
              <w:left w:val="nil"/>
              <w:bottom w:val="single" w:color="000000" w:sz="4" w:space="0"/>
              <w:right w:val="single" w:color="000000" w:sz="4" w:space="0"/>
            </w:tcBorders>
            <w:shd w:val="clear" w:color="auto" w:fill="auto"/>
            <w:vAlign w:val="center"/>
          </w:tcPr>
          <w:p w14:paraId="411ECF0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30" w:type="dxa"/>
            <w:vMerge w:val="continue"/>
            <w:tcBorders>
              <w:top w:val="single" w:color="000000" w:sz="4" w:space="0"/>
              <w:left w:val="nil"/>
              <w:bottom w:val="nil"/>
              <w:right w:val="single" w:color="000000" w:sz="4" w:space="0"/>
            </w:tcBorders>
            <w:shd w:val="clear" w:color="auto" w:fill="auto"/>
            <w:vAlign w:val="center"/>
          </w:tcPr>
          <w:p w14:paraId="23F1CFB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78" w:type="dxa"/>
            <w:vMerge w:val="continue"/>
            <w:tcBorders>
              <w:top w:val="single" w:color="000000" w:sz="4" w:space="0"/>
              <w:left w:val="nil"/>
              <w:bottom w:val="nil"/>
              <w:right w:val="single" w:color="000000" w:sz="4" w:space="0"/>
            </w:tcBorders>
            <w:shd w:val="clear" w:color="auto" w:fill="auto"/>
            <w:vAlign w:val="center"/>
          </w:tcPr>
          <w:p w14:paraId="4EE27D8E">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r>
      <w:tr w14:paraId="271AF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nil"/>
              <w:left w:val="single" w:color="000000" w:sz="4" w:space="0"/>
              <w:bottom w:val="nil"/>
              <w:right w:val="single" w:color="000000" w:sz="4" w:space="0"/>
            </w:tcBorders>
            <w:shd w:val="clear" w:color="auto" w:fill="auto"/>
            <w:vAlign w:val="center"/>
          </w:tcPr>
          <w:p w14:paraId="72A5379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总体绩效（65分）</w:t>
            </w:r>
          </w:p>
        </w:tc>
        <w:tc>
          <w:tcPr>
            <w:tcW w:w="1201" w:type="dxa"/>
            <w:vMerge w:val="restart"/>
            <w:tcBorders>
              <w:top w:val="nil"/>
              <w:left w:val="nil"/>
              <w:bottom w:val="nil"/>
              <w:right w:val="single" w:color="000000" w:sz="4" w:space="0"/>
            </w:tcBorders>
            <w:shd w:val="clear" w:color="auto" w:fill="auto"/>
            <w:vAlign w:val="center"/>
          </w:tcPr>
          <w:p w14:paraId="580DCBD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履职效能</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（15分）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7288F1D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培训场次</w:t>
            </w:r>
          </w:p>
        </w:tc>
        <w:tc>
          <w:tcPr>
            <w:tcW w:w="717" w:type="dxa"/>
            <w:tcBorders>
              <w:top w:val="nil"/>
              <w:left w:val="nil"/>
              <w:bottom w:val="single" w:color="000000" w:sz="4" w:space="0"/>
              <w:right w:val="single" w:color="000000" w:sz="4" w:space="0"/>
            </w:tcBorders>
            <w:shd w:val="clear" w:color="auto" w:fill="auto"/>
            <w:vAlign w:val="center"/>
          </w:tcPr>
          <w:p w14:paraId="7531854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5</w:t>
            </w:r>
          </w:p>
        </w:tc>
        <w:tc>
          <w:tcPr>
            <w:tcW w:w="4760" w:type="dxa"/>
            <w:vMerge w:val="restart"/>
            <w:tcBorders>
              <w:top w:val="nil"/>
              <w:left w:val="nil"/>
              <w:bottom w:val="nil"/>
              <w:right w:val="single" w:color="000000" w:sz="4" w:space="0"/>
            </w:tcBorders>
            <w:shd w:val="clear" w:color="auto" w:fill="auto"/>
            <w:vAlign w:val="center"/>
          </w:tcPr>
          <w:p w14:paraId="0D8759DB">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部门整体绩效目标中选定35个核心职能目标，反映该项职能目标完成效果情况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4691250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2"/>
                <w:sz w:val="24"/>
                <w:szCs w:val="24"/>
              </w:rPr>
            </w:pPr>
            <w:r>
              <w:rPr>
                <w:rFonts w:hint="default" w:ascii="Times New Roman" w:hAnsi="Times New Roman" w:eastAsia="宋体" w:cs="Times New Roman"/>
                <w:color w:val="000000"/>
                <w:kern w:val="0"/>
                <w:sz w:val="24"/>
                <w:szCs w:val="24"/>
                <w:lang w:val="en-US" w:eastAsia="zh-CN" w:bidi="ar"/>
              </w:rPr>
              <w:t>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70870D2">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0C17D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278A126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70EE03F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14262FA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加强人才队伍建设</w:t>
            </w:r>
          </w:p>
        </w:tc>
        <w:tc>
          <w:tcPr>
            <w:tcW w:w="717" w:type="dxa"/>
            <w:tcBorders>
              <w:top w:val="nil"/>
              <w:left w:val="nil"/>
              <w:bottom w:val="single" w:color="000000" w:sz="4" w:space="0"/>
              <w:right w:val="single" w:color="000000" w:sz="4" w:space="0"/>
            </w:tcBorders>
            <w:shd w:val="clear" w:color="auto" w:fill="auto"/>
            <w:vAlign w:val="center"/>
          </w:tcPr>
          <w:p w14:paraId="1CA0C08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5</w:t>
            </w:r>
          </w:p>
        </w:tc>
        <w:tc>
          <w:tcPr>
            <w:tcW w:w="4760" w:type="dxa"/>
            <w:vMerge w:val="continue"/>
            <w:tcBorders>
              <w:top w:val="nil"/>
              <w:left w:val="nil"/>
              <w:bottom w:val="nil"/>
              <w:right w:val="single" w:color="000000" w:sz="4" w:space="0"/>
            </w:tcBorders>
            <w:shd w:val="clear" w:color="auto" w:fill="auto"/>
            <w:vAlign w:val="center"/>
          </w:tcPr>
          <w:p w14:paraId="0F1E4E7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CA527F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01631D2">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35380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4337C57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07FA2BB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0D1862C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提升基层医疗机构服务能力</w:t>
            </w:r>
          </w:p>
        </w:tc>
        <w:tc>
          <w:tcPr>
            <w:tcW w:w="717" w:type="dxa"/>
            <w:tcBorders>
              <w:top w:val="nil"/>
              <w:left w:val="nil"/>
              <w:bottom w:val="single" w:color="000000" w:sz="4" w:space="0"/>
              <w:right w:val="single" w:color="000000" w:sz="4" w:space="0"/>
            </w:tcBorders>
            <w:shd w:val="clear" w:color="auto" w:fill="auto"/>
            <w:vAlign w:val="center"/>
          </w:tcPr>
          <w:p w14:paraId="2AF6A38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5</w:t>
            </w:r>
          </w:p>
        </w:tc>
        <w:tc>
          <w:tcPr>
            <w:tcW w:w="4760" w:type="dxa"/>
            <w:vMerge w:val="continue"/>
            <w:tcBorders>
              <w:top w:val="nil"/>
              <w:left w:val="nil"/>
              <w:bottom w:val="nil"/>
              <w:right w:val="single" w:color="000000" w:sz="4" w:space="0"/>
            </w:tcBorders>
            <w:shd w:val="clear" w:color="auto" w:fill="auto"/>
            <w:vAlign w:val="center"/>
          </w:tcPr>
          <w:p w14:paraId="6FB8C48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1A3F82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158A21D">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2A26B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35E7960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nil"/>
              <w:left w:val="nil"/>
              <w:bottom w:val="nil"/>
              <w:right w:val="single" w:color="000000" w:sz="4" w:space="0"/>
            </w:tcBorders>
            <w:shd w:val="clear" w:color="auto" w:fill="auto"/>
            <w:vAlign w:val="center"/>
          </w:tcPr>
          <w:p w14:paraId="07323CCE">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预算管理</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（25分）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4A35124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预算编制质量</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6437D7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8</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59EB909C">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部门是否严格按要求编制年初部门预算，年初预算编制的科学性和准确性</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079738B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2.49</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6E083CC">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5CFC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741FABC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6C627E4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11F8FDD7">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单位收入统筹</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25AAF34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62BCD16">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部门统筹自有收入努力程度</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DEF6E2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3.94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DAA7B37">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6B3EA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4BE958C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42BFA3A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1F9156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支出执行管理</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E14313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6</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239EA3C">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部门1至6月、1至10月预算执行情况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099C3907">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3.68</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768942E">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37D2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2299812E">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4FF7D97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14AD85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预算年终结余</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68C657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2</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5817CC0D">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部门整体年终预算结余情况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6C4A065E">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1.94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043AA98">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6CFB5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74140B1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6D00A8A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1792FD1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严控一般性支出</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0450BB0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5</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67E1569">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部门严控“三公”经费、会议、培训、差旅、办节办展、办公设备购置、信息化建设和运维、课题经费、竞赛活动、规划编制等一般性支出情况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3731356D">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0025655">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3E7F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11C5A1B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14:paraId="0430C30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财务管理</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（10分）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0AF035F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财务管理制度</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06DA6F7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7F51F2E1">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部门财务管理制度建立情况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EC56E5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F192807">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1193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1B0FF4BE">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297A36F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253D245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财务岗位设置</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3E52657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2</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C257B4F">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部门财务岗位设置是否符合相关财务管理制度要求</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2B7DB2DD">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98DBBE0">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1886E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4E94A48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7B74D34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747B8218">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资金使用规范</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BE5757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891B2A5">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部门资金使用是否符合相关财务管理制度规定</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630F19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8E2CB78">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0E14F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464919D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nil"/>
              <w:left w:val="nil"/>
              <w:bottom w:val="single" w:color="000000" w:sz="4" w:space="0"/>
              <w:right w:val="single" w:color="000000" w:sz="4" w:space="0"/>
            </w:tcBorders>
            <w:shd w:val="clear" w:color="auto" w:fill="auto"/>
            <w:vAlign w:val="center"/>
          </w:tcPr>
          <w:p w14:paraId="65195F0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资产管理</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（9分）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037496DD">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人均资产变化率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E35D76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0808029C">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部门人均资产变化情况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7C18DE7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0.30</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D3E3CB4">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19BF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0E764F8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single" w:color="000000" w:sz="4" w:space="0"/>
              <w:right w:val="single" w:color="000000" w:sz="4" w:space="0"/>
            </w:tcBorders>
            <w:shd w:val="clear" w:color="auto" w:fill="auto"/>
            <w:vAlign w:val="center"/>
          </w:tcPr>
          <w:p w14:paraId="642CA1E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7BA4C13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资产利用率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7661E71E">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59FB4DAA">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部门资产超最低使用年限情况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02A691C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1.20</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437FAE8">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40E22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780FFA9C">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tcBorders>
              <w:top w:val="single" w:color="000000" w:sz="4" w:space="0"/>
              <w:left w:val="nil"/>
              <w:bottom w:val="single" w:color="000000" w:sz="4" w:space="0"/>
              <w:right w:val="single" w:color="000000" w:sz="4" w:space="0"/>
            </w:tcBorders>
            <w:shd w:val="clear" w:color="auto" w:fill="auto"/>
            <w:vAlign w:val="center"/>
          </w:tcPr>
          <w:p w14:paraId="3BE04C1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资产管理</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（9分）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DBC285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资产盘活率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746960E8">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B58F68B">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部门闲置一年以上的资产盘活情况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8B87DD0">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6A7AAE9">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38976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1AE4815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nil"/>
              <w:left w:val="nil"/>
              <w:bottom w:val="single" w:color="000000" w:sz="4" w:space="0"/>
              <w:right w:val="single" w:color="000000" w:sz="4" w:space="0"/>
            </w:tcBorders>
            <w:shd w:val="clear" w:color="auto" w:fill="auto"/>
            <w:vAlign w:val="center"/>
          </w:tcPr>
          <w:p w14:paraId="3CBD2860">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采购管理</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（6分）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22A934D">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支持中小企业发展</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B37CAF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2AAC5B2C">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部门是否严格执行政府采购促进中小企业发展相关管理办法</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003EBF6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9A96725">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695BB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0444FB4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single" w:color="000000" w:sz="4" w:space="0"/>
              <w:right w:val="single" w:color="000000" w:sz="4" w:space="0"/>
            </w:tcBorders>
            <w:shd w:val="clear" w:color="auto" w:fill="auto"/>
            <w:vAlign w:val="center"/>
          </w:tcPr>
          <w:p w14:paraId="45257ED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652DC9F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采购执行率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79C7A9A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BCB65C1">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部门政府采购项目资金支付比例情况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4B42D7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2366D440">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1BE2B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nil"/>
              <w:left w:val="single" w:color="000000" w:sz="4" w:space="0"/>
              <w:bottom w:val="single" w:color="000000" w:sz="4" w:space="0"/>
              <w:right w:val="single" w:color="000000" w:sz="4" w:space="0"/>
            </w:tcBorders>
            <w:shd w:val="clear" w:color="auto" w:fill="auto"/>
            <w:vAlign w:val="center"/>
          </w:tcPr>
          <w:p w14:paraId="3E7ACB8D">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项目绩效（35分）</w:t>
            </w:r>
          </w:p>
        </w:tc>
        <w:tc>
          <w:tcPr>
            <w:tcW w:w="1201" w:type="dxa"/>
            <w:vMerge w:val="restart"/>
            <w:tcBorders>
              <w:top w:val="nil"/>
              <w:left w:val="nil"/>
              <w:bottom w:val="nil"/>
              <w:right w:val="single" w:color="000000" w:sz="4" w:space="0"/>
            </w:tcBorders>
            <w:shd w:val="clear" w:color="auto" w:fill="auto"/>
            <w:vAlign w:val="center"/>
          </w:tcPr>
          <w:p w14:paraId="527C5934">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项目决策</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（12分）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DEC6CB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决策程序</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2A2B46C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3C10AF6C">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部门预算项目设立是否按规定履行评估论证、申报程序</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CE1348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B821F5C">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64C5B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2446240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3ABB6CF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A32714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目标设置</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674E5D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3A8E62C4">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部门预算项目绩效目标与计划期内的任务量、预算安排的资金量匹配情况，绩效目标设置是否科学合理、规范完整、量化细化、预算匹配</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2964CAA7">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1EA62C3">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13C3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07921D0E">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09DE35C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1332AD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项目入库</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363A9C8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41AF40F6">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部门预算项目是否在规定时间内完成项目入库</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A19C3E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0B3EDE1">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600F1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2941982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nil"/>
              <w:right w:val="single" w:color="000000" w:sz="4" w:space="0"/>
            </w:tcBorders>
            <w:shd w:val="clear" w:color="auto" w:fill="auto"/>
            <w:vAlign w:val="center"/>
          </w:tcPr>
          <w:p w14:paraId="3036149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项目执行</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（12分）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9329CF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执行同向</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3614FF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33396579">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部门预算项目实际列支内容是否与绩效目标设置方向相符</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727A2C8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F3C4A12">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7CA8A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6E48190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nil"/>
              <w:right w:val="single" w:color="000000" w:sz="4" w:space="0"/>
            </w:tcBorders>
            <w:shd w:val="clear" w:color="auto" w:fill="auto"/>
            <w:vAlign w:val="center"/>
          </w:tcPr>
          <w:p w14:paraId="4825376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nil"/>
              <w:right w:val="single" w:color="000000" w:sz="4" w:space="0"/>
            </w:tcBorders>
            <w:shd w:val="clear" w:color="auto" w:fill="auto"/>
            <w:vAlign w:val="center"/>
          </w:tcPr>
          <w:p w14:paraId="731F629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项目调整</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09717D1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4C1F3DBE">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部门预算项目是否采取对应调整措施</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61D085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DEAFCAA">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7A666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6E817A6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nil"/>
              <w:right w:val="single" w:color="000000" w:sz="4" w:space="0"/>
            </w:tcBorders>
            <w:shd w:val="clear" w:color="auto" w:fill="auto"/>
            <w:vAlign w:val="center"/>
          </w:tcPr>
          <w:p w14:paraId="38C9245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2D75D75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执行结果</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693F92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AF481E7">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部门预算项目预算执行情况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30B2E66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589CF79">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1051A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4E5269B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14:paraId="2C56A00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目标实现</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（11分）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9AE845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目标完成</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30EE927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7D6388F">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部门预算项目绩效目标数量指标完成情况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77F62DE">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42EE743">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35FC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6595F47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3F6F36A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4BB184B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目标偏离</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A4BB3E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4720FEA5">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部门预算项目绩效目标数量指标实现程度与预期目标的偏离情况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20A2133E">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8D28DDD">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1BEAE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6230B84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0056B22E">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23017C4D">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实现效果</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E9F937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7AADF5BB">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部门预算项目绩效目标效益指标实施效果</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23467ED7">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C4DAB5F">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r w14:paraId="624AE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D15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kern w:val="0"/>
                <w:sz w:val="24"/>
                <w:szCs w:val="24"/>
                <w:lang w:val="en-US" w:eastAsia="zh-CN" w:bidi="ar"/>
              </w:rPr>
              <w:t>扣分项</w:t>
            </w:r>
            <w:r>
              <w:rPr>
                <w:rFonts w:hint="default" w:ascii="Times New Roman" w:hAnsi="Times New Roman" w:eastAsia="宋体" w:cs="Times New Roman"/>
                <w:b/>
                <w:bCs w:val="0"/>
                <w:color w:val="000000"/>
                <w:kern w:val="0"/>
                <w:sz w:val="24"/>
                <w:szCs w:val="24"/>
                <w:lang w:val="en-US" w:eastAsia="zh-CN" w:bidi="ar"/>
              </w:rPr>
              <w:br w:type="textWrapping"/>
            </w:r>
            <w:r>
              <w:rPr>
                <w:rFonts w:hint="default" w:ascii="Times New Roman" w:hAnsi="Times New Roman" w:eastAsia="宋体" w:cs="Times New Roman"/>
                <w:b/>
                <w:bCs w:val="0"/>
                <w:color w:val="000000"/>
                <w:kern w:val="0"/>
                <w:sz w:val="24"/>
                <w:szCs w:val="24"/>
                <w:lang w:val="en-US" w:eastAsia="zh-CN" w:bidi="ar"/>
              </w:rPr>
              <w:t>（10分）</w:t>
            </w:r>
          </w:p>
        </w:tc>
        <w:tc>
          <w:tcPr>
            <w:tcW w:w="3130" w:type="dxa"/>
            <w:gridSpan w:val="2"/>
            <w:tcBorders>
              <w:top w:val="single" w:color="000000" w:sz="4" w:space="0"/>
              <w:left w:val="nil"/>
              <w:bottom w:val="single" w:color="000000" w:sz="4" w:space="0"/>
              <w:right w:val="single" w:color="000000" w:sz="4" w:space="0"/>
            </w:tcBorders>
            <w:shd w:val="clear" w:color="auto" w:fill="auto"/>
            <w:vAlign w:val="center"/>
          </w:tcPr>
          <w:p w14:paraId="2F52AA0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被评价部门配合度</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4F270618">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sz w:val="24"/>
                <w:szCs w:val="24"/>
              </w:rPr>
            </w:pP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27E41C86">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被评价对象工作配合情况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5993DC4">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C201BC6">
            <w:pPr>
              <w:keepNext w:val="0"/>
              <w:keepLines w:val="0"/>
              <w:widowControl/>
              <w:suppressLineNumbers w:val="0"/>
              <w:spacing w:before="0" w:beforeAutospacing="1" w:after="200" w:afterAutospacing="0" w:line="240" w:lineRule="exact"/>
              <w:ind w:left="0" w:right="0"/>
              <w:jc w:val="left"/>
              <w:textAlignment w:val="center"/>
              <w:rPr>
                <w:rFonts w:hint="default" w:ascii="Times New Roman" w:hAnsi="Times New Roman" w:eastAsia="宋体" w:cs="Times New Roman"/>
                <w:color w:val="000000"/>
                <w:kern w:val="0"/>
                <w:sz w:val="24"/>
                <w:szCs w:val="24"/>
              </w:rPr>
            </w:pPr>
          </w:p>
        </w:tc>
      </w:tr>
    </w:tbl>
    <w:p w14:paraId="6D59AB34">
      <w:pPr>
        <w:rPr>
          <w:rFonts w:hint="default" w:ascii="Times New Roman" w:hAnsi="Times New Roman" w:eastAsia="仿宋_GB2312" w:cs="Times New Roman"/>
          <w:sz w:val="32"/>
          <w:szCs w:val="32"/>
        </w:rPr>
        <w:sectPr>
          <w:footerReference r:id="rId6" w:type="default"/>
          <w:pgSz w:w="11906" w:h="16838"/>
          <w:pgMar w:top="2098" w:right="1474" w:bottom="1984" w:left="1587" w:header="851" w:footer="992" w:gutter="0"/>
          <w:pgNumType w:fmt="numberInDash" w:start="1"/>
          <w:cols w:space="720" w:num="1"/>
          <w:docGrid w:type="lines" w:linePitch="435" w:charSpace="0"/>
        </w:sectPr>
      </w:pPr>
    </w:p>
    <w:p w14:paraId="2738AADC">
      <w:pPr>
        <w:keepNext w:val="0"/>
        <w:keepLines w:val="0"/>
        <w:widowControl/>
        <w:suppressLineNumbers w:val="0"/>
        <w:spacing w:before="0" w:beforeAutospacing="1" w:after="200" w:afterAutospacing="0" w:line="578" w:lineRule="exact"/>
        <w:ind w:left="0" w:right="0"/>
        <w:jc w:val="left"/>
        <w:rPr>
          <w:rFonts w:hint="default" w:ascii="Times New Roman" w:hAnsi="Times New Roman" w:eastAsia="黑体" w:cs="Times New Roman"/>
          <w:sz w:val="32"/>
          <w:szCs w:val="32"/>
        </w:rPr>
      </w:pPr>
      <w:r>
        <w:rPr>
          <w:rFonts w:hint="default" w:ascii="Times New Roman" w:hAnsi="Times New Roman" w:eastAsia="黑体" w:cs="Times New Roman"/>
          <w:kern w:val="0"/>
          <w:sz w:val="32"/>
          <w:szCs w:val="32"/>
          <w:lang w:val="en-US" w:eastAsia="zh-CN" w:bidi="ar"/>
        </w:rPr>
        <w:t>附表2</w:t>
      </w:r>
    </w:p>
    <w:p w14:paraId="5913173E">
      <w:pPr>
        <w:keepNext w:val="0"/>
        <w:keepLines w:val="0"/>
        <w:widowControl/>
        <w:suppressLineNumbers w:val="0"/>
        <w:spacing w:before="0" w:beforeAutospacing="1" w:after="200" w:afterAutospacing="0" w:line="578" w:lineRule="exact"/>
        <w:ind w:left="0" w:right="0"/>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lang w:val="en-US" w:eastAsia="zh-CN" w:bidi="ar"/>
        </w:rPr>
        <w:t>部门整体支出绩效目标完成情况自评表</w:t>
      </w:r>
    </w:p>
    <w:tbl>
      <w:tblPr>
        <w:tblStyle w:val="39"/>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488"/>
        <w:gridCol w:w="803"/>
        <w:gridCol w:w="1246"/>
        <w:gridCol w:w="803"/>
        <w:gridCol w:w="777"/>
        <w:gridCol w:w="1018"/>
        <w:gridCol w:w="1045"/>
        <w:gridCol w:w="1111"/>
        <w:gridCol w:w="1931"/>
      </w:tblGrid>
      <w:tr w14:paraId="4F87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14:paraId="07BC1398">
            <w:pPr>
              <w:keepNext w:val="0"/>
              <w:keepLines w:val="0"/>
              <w:widowControl/>
              <w:suppressLineNumbers w:val="0"/>
              <w:spacing w:before="0" w:beforeAutospacing="1" w:after="200" w:afterAutospacing="0" w:line="273" w:lineRule="auto"/>
              <w:ind w:left="0" w:right="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部门名称</w:t>
            </w:r>
          </w:p>
        </w:tc>
        <w:tc>
          <w:tcPr>
            <w:tcW w:w="7931" w:type="dxa"/>
            <w:gridSpan w:val="7"/>
            <w:tcBorders>
              <w:top w:val="single" w:color="000000" w:sz="4" w:space="0"/>
              <w:left w:val="nil"/>
              <w:bottom w:val="single" w:color="000000" w:sz="4" w:space="0"/>
              <w:right w:val="single" w:color="000000" w:sz="4" w:space="0"/>
            </w:tcBorders>
            <w:shd w:val="clear" w:color="auto" w:fill="auto"/>
            <w:noWrap/>
            <w:vAlign w:val="center"/>
          </w:tcPr>
          <w:p w14:paraId="1598598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阿坝州卫生健康委员会</w:t>
            </w:r>
          </w:p>
        </w:tc>
      </w:tr>
      <w:tr w14:paraId="52B8A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FF771D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年度部门整体预算</w:t>
            </w:r>
          </w:p>
        </w:tc>
        <w:tc>
          <w:tcPr>
            <w:tcW w:w="2049" w:type="dxa"/>
            <w:gridSpan w:val="2"/>
            <w:tcBorders>
              <w:top w:val="single" w:color="000000" w:sz="4" w:space="0"/>
              <w:left w:val="nil"/>
              <w:bottom w:val="single" w:color="000000" w:sz="4" w:space="0"/>
              <w:right w:val="single" w:color="auto" w:sz="4" w:space="0"/>
            </w:tcBorders>
            <w:shd w:val="clear" w:color="auto" w:fill="auto"/>
            <w:noWrap/>
            <w:vAlign w:val="center"/>
          </w:tcPr>
          <w:p w14:paraId="49AEC9A8">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资金总额</w:t>
            </w:r>
          </w:p>
        </w:tc>
        <w:tc>
          <w:tcPr>
            <w:tcW w:w="1795" w:type="dxa"/>
            <w:gridSpan w:val="2"/>
            <w:tcBorders>
              <w:top w:val="single" w:color="auto" w:sz="4" w:space="0"/>
              <w:left w:val="nil"/>
              <w:bottom w:val="single" w:color="auto" w:sz="4" w:space="0"/>
              <w:right w:val="single" w:color="auto" w:sz="4" w:space="0"/>
            </w:tcBorders>
            <w:shd w:val="clear" w:color="auto" w:fill="auto"/>
            <w:noWrap/>
            <w:vAlign w:val="center"/>
          </w:tcPr>
          <w:p w14:paraId="23A86B0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财政拨款</w:t>
            </w:r>
          </w:p>
        </w:tc>
        <w:tc>
          <w:tcPr>
            <w:tcW w:w="4087" w:type="dxa"/>
            <w:gridSpan w:val="3"/>
            <w:tcBorders>
              <w:top w:val="single" w:color="auto" w:sz="4" w:space="0"/>
              <w:left w:val="nil"/>
              <w:bottom w:val="single" w:color="auto" w:sz="4" w:space="0"/>
              <w:right w:val="single" w:color="auto" w:sz="4" w:space="0"/>
            </w:tcBorders>
            <w:shd w:val="clear" w:color="auto" w:fill="auto"/>
            <w:noWrap/>
            <w:vAlign w:val="center"/>
          </w:tcPr>
          <w:p w14:paraId="3013AC3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其他资金</w:t>
            </w:r>
          </w:p>
        </w:tc>
      </w:tr>
      <w:tr w14:paraId="0FE92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664C52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收入预算</w:t>
            </w:r>
          </w:p>
        </w:tc>
        <w:tc>
          <w:tcPr>
            <w:tcW w:w="2049" w:type="dxa"/>
            <w:gridSpan w:val="2"/>
            <w:tcBorders>
              <w:top w:val="single" w:color="000000" w:sz="4" w:space="0"/>
              <w:left w:val="nil"/>
              <w:bottom w:val="single" w:color="000000" w:sz="4" w:space="0"/>
              <w:right w:val="single" w:color="auto" w:sz="4" w:space="0"/>
            </w:tcBorders>
            <w:shd w:val="clear" w:color="auto" w:fill="auto"/>
            <w:noWrap/>
            <w:vAlign w:val="center"/>
          </w:tcPr>
          <w:p w14:paraId="75A16BD8">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47505.73</w:t>
            </w:r>
          </w:p>
        </w:tc>
        <w:tc>
          <w:tcPr>
            <w:tcW w:w="1795" w:type="dxa"/>
            <w:gridSpan w:val="2"/>
            <w:tcBorders>
              <w:top w:val="single" w:color="auto" w:sz="4" w:space="0"/>
              <w:left w:val="nil"/>
              <w:bottom w:val="single" w:color="auto" w:sz="4" w:space="0"/>
              <w:right w:val="single" w:color="auto" w:sz="4" w:space="0"/>
            </w:tcBorders>
            <w:shd w:val="clear" w:color="auto" w:fill="auto"/>
            <w:noWrap/>
            <w:vAlign w:val="center"/>
          </w:tcPr>
          <w:p w14:paraId="1DC24F04">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18185.37</w:t>
            </w:r>
          </w:p>
        </w:tc>
        <w:tc>
          <w:tcPr>
            <w:tcW w:w="4087" w:type="dxa"/>
            <w:gridSpan w:val="3"/>
            <w:tcBorders>
              <w:top w:val="single" w:color="auto" w:sz="4" w:space="0"/>
              <w:left w:val="nil"/>
              <w:bottom w:val="single" w:color="auto" w:sz="4" w:space="0"/>
              <w:right w:val="single" w:color="auto" w:sz="4" w:space="0"/>
            </w:tcBorders>
            <w:shd w:val="clear" w:color="auto" w:fill="auto"/>
            <w:noWrap/>
            <w:vAlign w:val="center"/>
          </w:tcPr>
          <w:p w14:paraId="793D5EF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29320.36</w:t>
            </w:r>
          </w:p>
        </w:tc>
      </w:tr>
      <w:tr w14:paraId="52875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66DE7E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支出预算</w:t>
            </w:r>
          </w:p>
        </w:tc>
        <w:tc>
          <w:tcPr>
            <w:tcW w:w="2049" w:type="dxa"/>
            <w:gridSpan w:val="2"/>
            <w:tcBorders>
              <w:top w:val="single" w:color="000000" w:sz="4" w:space="0"/>
              <w:left w:val="nil"/>
              <w:bottom w:val="single" w:color="000000" w:sz="4" w:space="0"/>
              <w:right w:val="single" w:color="000000" w:sz="4" w:space="0"/>
            </w:tcBorders>
            <w:shd w:val="clear" w:color="auto" w:fill="auto"/>
            <w:noWrap/>
            <w:vAlign w:val="center"/>
          </w:tcPr>
          <w:p w14:paraId="0277CF8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47505.73</w:t>
            </w:r>
          </w:p>
        </w:tc>
        <w:tc>
          <w:tcPr>
            <w:tcW w:w="1795" w:type="dxa"/>
            <w:gridSpan w:val="2"/>
            <w:tcBorders>
              <w:top w:val="single" w:color="auto" w:sz="4" w:space="0"/>
              <w:left w:val="nil"/>
              <w:bottom w:val="single" w:color="000000" w:sz="4" w:space="0"/>
              <w:right w:val="single" w:color="000000" w:sz="4" w:space="0"/>
            </w:tcBorders>
            <w:shd w:val="clear" w:color="auto" w:fill="auto"/>
            <w:noWrap/>
            <w:vAlign w:val="center"/>
          </w:tcPr>
          <w:p w14:paraId="127E034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18185.37</w:t>
            </w:r>
          </w:p>
        </w:tc>
        <w:tc>
          <w:tcPr>
            <w:tcW w:w="4087" w:type="dxa"/>
            <w:gridSpan w:val="3"/>
            <w:tcBorders>
              <w:top w:val="single" w:color="auto" w:sz="4" w:space="0"/>
              <w:left w:val="nil"/>
              <w:bottom w:val="single" w:color="000000" w:sz="4" w:space="0"/>
              <w:right w:val="single" w:color="000000" w:sz="4" w:space="0"/>
            </w:tcBorders>
            <w:shd w:val="clear" w:color="auto" w:fill="auto"/>
            <w:noWrap/>
            <w:vAlign w:val="center"/>
          </w:tcPr>
          <w:p w14:paraId="31D358B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29320.36</w:t>
            </w:r>
          </w:p>
        </w:tc>
      </w:tr>
      <w:tr w14:paraId="7D00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4C1A9B40">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年度总体目标</w:t>
            </w:r>
          </w:p>
        </w:tc>
        <w:tc>
          <w:tcPr>
            <w:tcW w:w="7931" w:type="dxa"/>
            <w:gridSpan w:val="7"/>
            <w:tcBorders>
              <w:top w:val="single" w:color="000000" w:sz="4" w:space="0"/>
              <w:left w:val="nil"/>
              <w:bottom w:val="single" w:color="000000" w:sz="4" w:space="0"/>
              <w:right w:val="single" w:color="000000" w:sz="4" w:space="0"/>
            </w:tcBorders>
            <w:shd w:val="clear" w:color="auto" w:fill="auto"/>
            <w:noWrap/>
            <w:vAlign w:val="center"/>
          </w:tcPr>
          <w:p w14:paraId="15A17E47">
            <w:pPr>
              <w:keepNext w:val="0"/>
              <w:keepLines w:val="0"/>
              <w:widowControl/>
              <w:suppressLineNumbers w:val="0"/>
              <w:spacing w:before="0" w:beforeAutospacing="1" w:after="200" w:afterAutospacing="0" w:line="273" w:lineRule="auto"/>
              <w:ind w:left="0" w:right="0"/>
              <w:jc w:val="left"/>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州卫生健康部门聚焦“川甘青结合部区域医疗高地”建设目标，以推动医疗卫生质量提升“六大提升行动”和健康惠民“十大举措”为抓手，以“十五五”规划编制为契机，不断深化改革、完善体制机制、优化功能布局、培育优质资源、提升服务效能、推动城乡一体化发展。做好辖区内的公共卫生监督管理，健全卫生健康综合监督体系；推进卫生健康基本公共服务均等化、普惠化、便捷化、公共资源向基层延伸。任务1：抓实卫生项目投资，加快提标扩能项目建设，完成“互联网+医疗健康”二期项目，加快区域龙头医院建设。任务2：加强人才队伍建设，加强定向医学生、医疗骨干人才培养，为全州基层医疗卫生机构培养优秀人才，为建设川甘青结合部区域医疗高地提供人才保障。任务3：深化医药卫生体制改革，加快紧密型县域医共体建设，加强专科联盟协作，促进“三医”协同发展，深化医疗服务价格、医保支付方式改革。任务4：加强医养结合示范，支持茂县、九寨沟县建设“医养康养示范区”，持续深化“中医药+”模式。任务5：民生保障持续夯实，农村妇女“两癌”筛查有精度。</w:t>
            </w:r>
          </w:p>
        </w:tc>
      </w:tr>
      <w:tr w14:paraId="72348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436" w:type="dxa"/>
            <w:vMerge w:val="restart"/>
            <w:tcBorders>
              <w:top w:val="nil"/>
              <w:left w:val="single" w:color="000000" w:sz="4" w:space="0"/>
              <w:bottom w:val="single" w:color="000000" w:sz="4" w:space="0"/>
              <w:right w:val="single" w:color="000000" w:sz="4" w:space="0"/>
            </w:tcBorders>
            <w:shd w:val="clear" w:color="auto" w:fill="auto"/>
            <w:noWrap/>
            <w:vAlign w:val="center"/>
          </w:tcPr>
          <w:p w14:paraId="2CE2374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管理效率</w:t>
            </w:r>
          </w:p>
        </w:tc>
        <w:tc>
          <w:tcPr>
            <w:tcW w:w="488" w:type="dxa"/>
            <w:vMerge w:val="restart"/>
            <w:tcBorders>
              <w:top w:val="nil"/>
              <w:left w:val="nil"/>
              <w:bottom w:val="single" w:color="000000" w:sz="4" w:space="0"/>
              <w:right w:val="single" w:color="000000" w:sz="4" w:space="0"/>
            </w:tcBorders>
            <w:shd w:val="clear" w:color="auto" w:fill="auto"/>
            <w:noWrap/>
            <w:vAlign w:val="center"/>
          </w:tcPr>
          <w:p w14:paraId="78693D3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一级指标</w:t>
            </w:r>
          </w:p>
        </w:tc>
        <w:tc>
          <w:tcPr>
            <w:tcW w:w="803" w:type="dxa"/>
            <w:vMerge w:val="restart"/>
            <w:tcBorders>
              <w:top w:val="single" w:color="000000" w:sz="4" w:space="0"/>
              <w:left w:val="nil"/>
              <w:bottom w:val="single" w:color="000000" w:sz="4" w:space="0"/>
              <w:right w:val="single" w:color="000000" w:sz="4" w:space="0"/>
            </w:tcBorders>
            <w:shd w:val="clear" w:color="auto" w:fill="auto"/>
            <w:noWrap/>
            <w:vAlign w:val="center"/>
          </w:tcPr>
          <w:p w14:paraId="022B5AA6">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二级指标</w:t>
            </w:r>
          </w:p>
        </w:tc>
        <w:tc>
          <w:tcPr>
            <w:tcW w:w="1246" w:type="dxa"/>
            <w:vMerge w:val="restart"/>
            <w:tcBorders>
              <w:top w:val="single" w:color="000000" w:sz="4" w:space="0"/>
              <w:left w:val="nil"/>
              <w:bottom w:val="single" w:color="000000" w:sz="4" w:space="0"/>
              <w:right w:val="single" w:color="000000" w:sz="4" w:space="0"/>
            </w:tcBorders>
            <w:shd w:val="clear" w:color="auto" w:fill="auto"/>
            <w:noWrap/>
            <w:vAlign w:val="center"/>
          </w:tcPr>
          <w:p w14:paraId="68CFA9A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三级指标</w:t>
            </w:r>
          </w:p>
        </w:tc>
        <w:tc>
          <w:tcPr>
            <w:tcW w:w="803" w:type="dxa"/>
            <w:vMerge w:val="restart"/>
            <w:tcBorders>
              <w:top w:val="single" w:color="000000" w:sz="4" w:space="0"/>
              <w:left w:val="nil"/>
              <w:bottom w:val="single" w:color="000000" w:sz="4" w:space="0"/>
              <w:right w:val="single" w:color="000000" w:sz="4" w:space="0"/>
            </w:tcBorders>
            <w:shd w:val="clear" w:color="auto" w:fill="auto"/>
            <w:noWrap/>
            <w:vAlign w:val="center"/>
          </w:tcPr>
          <w:p w14:paraId="6FB7E30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指标值</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14:paraId="69312CD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指标设置参考值</w:t>
            </w:r>
          </w:p>
        </w:tc>
        <w:tc>
          <w:tcPr>
            <w:tcW w:w="1931" w:type="dxa"/>
            <w:vMerge w:val="restart"/>
            <w:tcBorders>
              <w:top w:val="single" w:color="000000" w:sz="4" w:space="0"/>
              <w:left w:val="nil"/>
              <w:bottom w:val="nil"/>
              <w:right w:val="single" w:color="000000" w:sz="4" w:space="0"/>
            </w:tcBorders>
            <w:shd w:val="clear" w:color="auto" w:fill="auto"/>
            <w:noWrap/>
            <w:vAlign w:val="center"/>
          </w:tcPr>
          <w:p w14:paraId="506FE4D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指标实际完成值</w:t>
            </w:r>
          </w:p>
        </w:tc>
      </w:tr>
      <w:tr w14:paraId="7B557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EB096B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7E46D5C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81FE2F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4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73097D6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single" w:color="000000" w:sz="4" w:space="0"/>
              <w:left w:val="nil"/>
              <w:bottom w:val="single" w:color="000000" w:sz="4" w:space="0"/>
              <w:right w:val="single" w:color="000000" w:sz="4" w:space="0"/>
            </w:tcBorders>
            <w:shd w:val="clear" w:color="auto" w:fill="auto"/>
            <w:noWrap/>
            <w:vAlign w:val="center"/>
          </w:tcPr>
          <w:p w14:paraId="6128B4D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77" w:type="dxa"/>
            <w:tcBorders>
              <w:top w:val="single" w:color="000000" w:sz="4" w:space="0"/>
              <w:left w:val="nil"/>
              <w:bottom w:val="nil"/>
              <w:right w:val="single" w:color="000000" w:sz="4" w:space="0"/>
            </w:tcBorders>
            <w:shd w:val="clear" w:color="auto" w:fill="auto"/>
            <w:noWrap/>
            <w:vAlign w:val="center"/>
          </w:tcPr>
          <w:p w14:paraId="1CC42DE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三年</w:t>
            </w:r>
          </w:p>
          <w:p w14:paraId="7FD1404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均值</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14:paraId="7D541C5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2022年</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14:paraId="1422EAD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2023年</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14:paraId="2207070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2024年</w:t>
            </w:r>
          </w:p>
        </w:tc>
        <w:tc>
          <w:tcPr>
            <w:tcW w:w="1931" w:type="dxa"/>
            <w:vMerge w:val="continue"/>
            <w:tcBorders>
              <w:top w:val="single" w:color="000000" w:sz="4" w:space="0"/>
              <w:left w:val="nil"/>
              <w:bottom w:val="nil"/>
              <w:right w:val="single" w:color="000000" w:sz="4" w:space="0"/>
            </w:tcBorders>
            <w:shd w:val="clear" w:color="auto" w:fill="auto"/>
            <w:noWrap/>
            <w:vAlign w:val="center"/>
          </w:tcPr>
          <w:p w14:paraId="5E79E65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r>
      <w:tr w14:paraId="20A34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0AF3AD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restart"/>
            <w:tcBorders>
              <w:top w:val="nil"/>
              <w:left w:val="nil"/>
              <w:bottom w:val="single" w:color="000000" w:sz="4" w:space="0"/>
              <w:right w:val="single" w:color="000000" w:sz="4" w:space="0"/>
            </w:tcBorders>
            <w:shd w:val="clear" w:color="auto" w:fill="auto"/>
            <w:noWrap/>
            <w:vAlign w:val="center"/>
          </w:tcPr>
          <w:p w14:paraId="4A129FC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成本指标</w:t>
            </w:r>
          </w:p>
        </w:tc>
        <w:tc>
          <w:tcPr>
            <w:tcW w:w="803" w:type="dxa"/>
            <w:vMerge w:val="restart"/>
            <w:tcBorders>
              <w:top w:val="nil"/>
              <w:left w:val="nil"/>
              <w:bottom w:val="single" w:color="000000" w:sz="4" w:space="0"/>
              <w:right w:val="single" w:color="000000" w:sz="4" w:space="0"/>
            </w:tcBorders>
            <w:shd w:val="clear" w:color="auto" w:fill="auto"/>
            <w:noWrap/>
            <w:vAlign w:val="center"/>
          </w:tcPr>
          <w:p w14:paraId="6A7C4D0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预算管理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006267A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财政拨款预算编制偏离度</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1D490213">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43%</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14:paraId="534E369B">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43.22%</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14:paraId="170E3D29">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57.7%</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14:paraId="3EFC56BB">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39.3%</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14:paraId="404AA69F">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32.67%</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012AAFD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37.70%</w:t>
            </w:r>
          </w:p>
        </w:tc>
      </w:tr>
      <w:tr w14:paraId="322CB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329242F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05ADDB0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nil"/>
              <w:left w:val="nil"/>
              <w:bottom w:val="single" w:color="000000" w:sz="4" w:space="0"/>
              <w:right w:val="single" w:color="000000" w:sz="4" w:space="0"/>
            </w:tcBorders>
            <w:shd w:val="clear" w:color="auto" w:fill="auto"/>
            <w:noWrap/>
            <w:vAlign w:val="center"/>
          </w:tcPr>
          <w:p w14:paraId="3B6B682C">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691E616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预算年终结余率</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28B1DCC9">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6.65%</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14:paraId="6AF420CD">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6.67%</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14:paraId="55941057">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4%</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14:paraId="5A0FE9CB">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8%</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14:paraId="3FEDB677">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8%</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5AE056F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3.03%</w:t>
            </w:r>
          </w:p>
        </w:tc>
      </w:tr>
      <w:tr w14:paraId="019CF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C86FC1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4E73B2C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nil"/>
              <w:left w:val="nil"/>
              <w:bottom w:val="single" w:color="000000" w:sz="4" w:space="0"/>
              <w:right w:val="single" w:color="000000" w:sz="4" w:space="0"/>
            </w:tcBorders>
            <w:shd w:val="clear" w:color="auto" w:fill="auto"/>
            <w:noWrap/>
            <w:vAlign w:val="center"/>
          </w:tcPr>
          <w:p w14:paraId="2E800FE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2657C63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一般性支出金额</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399C5B4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12439.16万元</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14:paraId="0A2B2BF8">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5F7D5B1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仿宋_GB2312" w:cs="Times New Roman"/>
                <w:color w:val="000000"/>
                <w:kern w:val="60"/>
                <w:sz w:val="24"/>
                <w:szCs w:val="24"/>
                <w:shd w:val="clear" w:fill="FFFFFF"/>
                <w:lang w:val="en-US" w:eastAsia="zh-CN" w:bidi="ar"/>
              </w:rPr>
              <w:t>1,419.83</w:t>
            </w:r>
            <w:r>
              <w:rPr>
                <w:rFonts w:hint="default" w:ascii="Times New Roman" w:hAnsi="Times New Roman" w:eastAsia="宋体" w:cs="Times New Roman"/>
                <w:color w:val="000000"/>
                <w:kern w:val="0"/>
                <w:sz w:val="24"/>
                <w:szCs w:val="24"/>
                <w:lang w:val="en-US" w:eastAsia="zh-CN" w:bidi="ar"/>
              </w:rPr>
              <w:t>万元</w:t>
            </w:r>
          </w:p>
        </w:tc>
      </w:tr>
      <w:tr w14:paraId="405A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A90B8F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51476B4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22137A2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财务管理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7F7D40F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财务管理规范</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17985DBC">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良</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14:paraId="2B74ECA2">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195B339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良</w:t>
            </w:r>
          </w:p>
        </w:tc>
      </w:tr>
      <w:tr w14:paraId="611CA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436" w:type="dxa"/>
            <w:vMerge w:val="restart"/>
            <w:tcBorders>
              <w:top w:val="nil"/>
              <w:left w:val="single" w:color="auto" w:sz="4" w:space="0"/>
              <w:bottom w:val="single" w:color="auto" w:sz="4" w:space="0"/>
              <w:right w:val="single" w:color="auto" w:sz="4" w:space="0"/>
            </w:tcBorders>
            <w:shd w:val="clear" w:color="auto" w:fill="auto"/>
            <w:noWrap/>
            <w:vAlign w:val="center"/>
          </w:tcPr>
          <w:p w14:paraId="5D42FD53">
            <w:pPr>
              <w:keepNext w:val="0"/>
              <w:keepLines w:val="0"/>
              <w:widowControl/>
              <w:suppressLineNumbers w:val="0"/>
              <w:autoSpaceDE w:val="0"/>
              <w:autoSpaceDN/>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履职效能</w:t>
            </w:r>
          </w:p>
        </w:tc>
        <w:tc>
          <w:tcPr>
            <w:tcW w:w="488" w:type="dxa"/>
            <w:tcBorders>
              <w:top w:val="single" w:color="auto" w:sz="4" w:space="0"/>
              <w:left w:val="nil"/>
              <w:bottom w:val="single" w:color="auto" w:sz="4" w:space="0"/>
              <w:right w:val="single" w:color="auto" w:sz="4" w:space="0"/>
            </w:tcBorders>
            <w:shd w:val="clear" w:color="auto" w:fill="auto"/>
            <w:noWrap/>
            <w:vAlign w:val="center"/>
          </w:tcPr>
          <w:p w14:paraId="78520B9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一级指标</w:t>
            </w: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0A0AD553">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二级指标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5E3022F7">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三级指标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70D2AF0A">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指标值（包含数字及文字描述）</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32E4307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p>
        </w:tc>
      </w:tr>
      <w:tr w14:paraId="4867E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681F2B4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restart"/>
            <w:tcBorders>
              <w:top w:val="nil"/>
              <w:left w:val="nil"/>
              <w:bottom w:val="nil"/>
              <w:right w:val="single" w:color="auto" w:sz="4" w:space="0"/>
            </w:tcBorders>
            <w:shd w:val="clear" w:color="auto" w:fill="auto"/>
            <w:noWrap/>
            <w:vAlign w:val="center"/>
          </w:tcPr>
          <w:p w14:paraId="2C6F2B0E">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黑体" w:cs="Times New Roman"/>
                <w:i w:val="0"/>
                <w:iCs w:val="0"/>
                <w:color w:val="000000"/>
                <w:kern w:val="0"/>
                <w:sz w:val="18"/>
                <w:szCs w:val="18"/>
              </w:rPr>
            </w:pPr>
            <w:r>
              <w:rPr>
                <w:rFonts w:hint="default" w:ascii="Times New Roman" w:hAnsi="Times New Roman" w:eastAsia="黑体" w:cs="Times New Roman"/>
                <w:i w:val="0"/>
                <w:iCs w:val="0"/>
                <w:color w:val="000000"/>
                <w:kern w:val="0"/>
                <w:sz w:val="24"/>
                <w:szCs w:val="24"/>
                <w:lang w:val="en-US" w:eastAsia="zh-CN" w:bidi="ar"/>
              </w:rPr>
              <w:t>产出指标</w:t>
            </w:r>
          </w:p>
          <w:p w14:paraId="3FF2F482">
            <w:pPr>
              <w:keepNext w:val="0"/>
              <w:keepLines w:val="0"/>
              <w:widowControl/>
              <w:suppressLineNumbers w:val="0"/>
              <w:spacing w:before="0" w:beforeAutospacing="1" w:after="200" w:afterAutospacing="0" w:line="273" w:lineRule="auto"/>
              <w:ind w:left="0" w:right="0"/>
              <w:jc w:val="left"/>
              <w:textAlignment w:val="center"/>
              <w:rPr>
                <w:rFonts w:hint="default" w:ascii="Times New Roman" w:hAnsi="Times New Roman" w:eastAsia="黑体" w:cs="Times New Roman"/>
                <w:i w:val="0"/>
                <w:iCs w:val="0"/>
                <w:color w:val="000000"/>
                <w:kern w:val="0"/>
                <w:sz w:val="18"/>
                <w:szCs w:val="18"/>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2BF831B3">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时效指标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615DBC37">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项目完成时间</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15F2362A">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2"/>
                <w:sz w:val="18"/>
                <w:szCs w:val="18"/>
              </w:rPr>
            </w:pPr>
            <w:r>
              <w:rPr>
                <w:rFonts w:hint="default" w:ascii="Times New Roman" w:hAnsi="Times New Roman" w:eastAsia="宋体" w:cs="Times New Roman"/>
                <w:i w:val="0"/>
                <w:iCs w:val="0"/>
                <w:color w:val="000000"/>
                <w:kern w:val="0"/>
                <w:sz w:val="24"/>
                <w:szCs w:val="24"/>
                <w:lang w:val="en-US" w:eastAsia="zh-CN" w:bidi="ar"/>
              </w:rPr>
              <w:t>2025年12月底完成各类项目支付</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1C4B7A27">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2025年12月底完成各类项目支付</w:t>
            </w:r>
          </w:p>
        </w:tc>
      </w:tr>
      <w:tr w14:paraId="59103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65EF793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5644D5C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2FAFA46B">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数量指标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17913748">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考试人员</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42690EB3">
            <w:pPr>
              <w:keepNext w:val="0"/>
              <w:keepLines w:val="0"/>
              <w:widowControl/>
              <w:suppressLineNumbers w:val="0"/>
              <w:spacing w:before="0" w:beforeLines="0" w:beforeAutospacing="0" w:after="200" w:afterLines="0" w:afterAutospacing="0" w:line="273" w:lineRule="auto"/>
              <w:ind w:left="0" w:right="0"/>
              <w:jc w:val="center"/>
              <w:rPr>
                <w:rFonts w:hint="default" w:ascii="Times New Roman" w:hAnsi="Times New Roman" w:eastAsia="宋体" w:cs="Times New Roman"/>
                <w:color w:val="000000"/>
                <w:kern w:val="2"/>
                <w:sz w:val="18"/>
                <w:szCs w:val="18"/>
              </w:rPr>
            </w:pPr>
            <w:r>
              <w:rPr>
                <w:rFonts w:hint="default" w:ascii="Times New Roman" w:hAnsi="Times New Roman" w:eastAsia="宋体" w:cs="Times New Roman"/>
                <w:i w:val="0"/>
                <w:iCs w:val="0"/>
                <w:color w:val="000000"/>
                <w:kern w:val="0"/>
                <w:sz w:val="24"/>
                <w:szCs w:val="24"/>
                <w:lang w:val="en-US" w:eastAsia="zh-CN" w:bidi="ar"/>
              </w:rPr>
              <w:t>≥6000人次</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21C6844E">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6000人次</w:t>
            </w:r>
          </w:p>
        </w:tc>
      </w:tr>
      <w:tr w14:paraId="6D622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149F967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2173864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2CF6C5FA">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数量指标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50A770F3">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培训次数</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0D980D39">
            <w:pPr>
              <w:keepNext w:val="0"/>
              <w:keepLines w:val="0"/>
              <w:widowControl/>
              <w:suppressLineNumbers w:val="0"/>
              <w:spacing w:before="0" w:beforeLines="0" w:beforeAutospacing="0" w:after="200" w:afterLines="0" w:afterAutospacing="0" w:line="273" w:lineRule="auto"/>
              <w:ind w:left="0" w:right="0"/>
              <w:jc w:val="center"/>
              <w:rPr>
                <w:rFonts w:hint="default"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≥24次</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24D22245">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24次</w:t>
            </w:r>
          </w:p>
        </w:tc>
      </w:tr>
      <w:tr w14:paraId="53785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18CB482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7E6704E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210D90E6">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质量指标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14B0F3CB">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培训合格率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05274803">
            <w:pPr>
              <w:keepNext w:val="0"/>
              <w:keepLines w:val="0"/>
              <w:widowControl/>
              <w:suppressLineNumbers w:val="0"/>
              <w:spacing w:before="0" w:beforeLines="0" w:beforeAutospacing="0" w:after="200" w:afterLines="0" w:afterAutospacing="0" w:line="273" w:lineRule="auto"/>
              <w:ind w:left="0" w:right="0"/>
              <w:jc w:val="center"/>
              <w:rPr>
                <w:rFonts w:hint="default" w:ascii="Times New Roman" w:hAnsi="Times New Roman" w:eastAsia="宋体" w:cs="Times New Roman"/>
                <w:color w:val="000000"/>
                <w:kern w:val="2"/>
                <w:sz w:val="18"/>
                <w:szCs w:val="18"/>
              </w:rPr>
            </w:pPr>
            <w:r>
              <w:rPr>
                <w:rFonts w:hint="default" w:ascii="Times New Roman" w:hAnsi="Times New Roman" w:eastAsia="宋体" w:cs="Times New Roman"/>
                <w:i w:val="0"/>
                <w:iCs w:val="0"/>
                <w:color w:val="000000"/>
                <w:kern w:val="0"/>
                <w:sz w:val="24"/>
                <w:szCs w:val="24"/>
                <w:lang w:val="en-US" w:eastAsia="zh-CN" w:bidi="ar"/>
              </w:rPr>
              <w:t>≥90%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573CC62C">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黑体" w:cs="Times New Roman"/>
                <w:i w:val="0"/>
                <w:iCs w:val="0"/>
                <w:color w:val="000000"/>
                <w:kern w:val="0"/>
                <w:sz w:val="18"/>
                <w:szCs w:val="18"/>
              </w:rPr>
            </w:pPr>
            <w:r>
              <w:rPr>
                <w:rFonts w:hint="default" w:ascii="Times New Roman" w:hAnsi="Times New Roman" w:eastAsia="宋体" w:cs="Times New Roman"/>
                <w:i w:val="0"/>
                <w:iCs w:val="0"/>
                <w:color w:val="000000"/>
                <w:kern w:val="0"/>
                <w:sz w:val="24"/>
                <w:szCs w:val="24"/>
                <w:lang w:val="en-US" w:eastAsia="zh-CN" w:bidi="ar"/>
              </w:rPr>
              <w:t>90%</w:t>
            </w:r>
          </w:p>
        </w:tc>
      </w:tr>
      <w:tr w14:paraId="197F8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1C7B6B2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00B41A2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462457B8">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质量指标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3D3FAD51">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考试通过率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40AA6ED4">
            <w:pPr>
              <w:keepNext w:val="0"/>
              <w:keepLines w:val="0"/>
              <w:widowControl/>
              <w:suppressLineNumbers w:val="0"/>
              <w:spacing w:before="0" w:beforeLines="0" w:beforeAutospacing="0" w:after="200" w:afterLines="0" w:afterAutospacing="0" w:line="273" w:lineRule="auto"/>
              <w:ind w:left="0" w:right="0"/>
              <w:jc w:val="center"/>
              <w:rPr>
                <w:rFonts w:hint="default"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56740950">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60%</w:t>
            </w:r>
          </w:p>
        </w:tc>
      </w:tr>
      <w:tr w14:paraId="368E9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4640718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restart"/>
            <w:tcBorders>
              <w:top w:val="nil"/>
              <w:left w:val="nil"/>
              <w:bottom w:val="single" w:color="auto" w:sz="4" w:space="0"/>
              <w:right w:val="single" w:color="auto" w:sz="4" w:space="0"/>
            </w:tcBorders>
            <w:shd w:val="clear" w:color="auto" w:fill="auto"/>
            <w:noWrap/>
            <w:vAlign w:val="center"/>
          </w:tcPr>
          <w:p w14:paraId="616210C4">
            <w:pPr>
              <w:keepNext w:val="0"/>
              <w:keepLines w:val="0"/>
              <w:widowControl/>
              <w:suppressLineNumbers w:val="0"/>
              <w:spacing w:before="0" w:beforeAutospacing="1" w:after="200" w:afterAutospacing="0" w:line="273" w:lineRule="auto"/>
              <w:ind w:left="0" w:right="0"/>
              <w:jc w:val="left"/>
              <w:textAlignment w:val="center"/>
              <w:rPr>
                <w:rFonts w:hint="default" w:ascii="Times New Roman" w:hAnsi="Times New Roman" w:eastAsia="黑体" w:cs="Times New Roman"/>
                <w:i w:val="0"/>
                <w:iCs w:val="0"/>
                <w:color w:val="000000"/>
                <w:kern w:val="0"/>
                <w:sz w:val="24"/>
                <w:szCs w:val="24"/>
              </w:rPr>
            </w:pPr>
            <w:r>
              <w:rPr>
                <w:rFonts w:hint="default" w:ascii="Times New Roman" w:hAnsi="Times New Roman" w:eastAsia="黑体" w:cs="Times New Roman"/>
                <w:i w:val="0"/>
                <w:iCs w:val="0"/>
                <w:color w:val="000000"/>
                <w:kern w:val="0"/>
                <w:sz w:val="24"/>
                <w:szCs w:val="24"/>
                <w:lang w:val="en-US" w:eastAsia="zh-CN" w:bidi="ar"/>
              </w:rPr>
              <w:t>效益指标</w:t>
            </w: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7941C286">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社会效益指标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36A40014">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加强人才队伍建设</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333F3695">
            <w:pPr>
              <w:keepNext w:val="0"/>
              <w:keepLines w:val="0"/>
              <w:widowControl/>
              <w:suppressLineNumbers w:val="0"/>
              <w:spacing w:before="0" w:beforeLines="0" w:beforeAutospacing="0" w:after="200" w:afterLines="0" w:afterAutospacing="0" w:line="273" w:lineRule="auto"/>
              <w:ind w:left="0" w:right="0"/>
              <w:jc w:val="center"/>
              <w:rPr>
                <w:rFonts w:hint="default" w:ascii="Times New Roman" w:hAnsi="Times New Roman" w:eastAsia="宋体" w:cs="Times New Roman"/>
                <w:color w:val="000000"/>
                <w:kern w:val="2"/>
                <w:sz w:val="18"/>
                <w:szCs w:val="18"/>
              </w:rPr>
            </w:pPr>
            <w:r>
              <w:rPr>
                <w:rFonts w:hint="default" w:ascii="Times New Roman" w:hAnsi="Times New Roman" w:eastAsia="宋体" w:cs="Times New Roman"/>
                <w:i w:val="0"/>
                <w:iCs w:val="0"/>
                <w:color w:val="000000"/>
                <w:kern w:val="0"/>
                <w:sz w:val="24"/>
                <w:szCs w:val="24"/>
                <w:lang w:val="en-US" w:eastAsia="zh-CN" w:bidi="ar"/>
              </w:rPr>
              <w:t>不断加强</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745E09B7">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不断加强</w:t>
            </w:r>
          </w:p>
        </w:tc>
      </w:tr>
      <w:tr w14:paraId="54BCB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0DDDC61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auto" w:sz="4" w:space="0"/>
              <w:right w:val="single" w:color="auto" w:sz="4" w:space="0"/>
            </w:tcBorders>
            <w:shd w:val="clear" w:color="auto" w:fill="auto"/>
            <w:noWrap/>
            <w:vAlign w:val="center"/>
          </w:tcPr>
          <w:p w14:paraId="54645F2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3AE0D7D9">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社会效益指标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35B42BE5">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提升基层医疗机构服务能力</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5C11D09B">
            <w:pPr>
              <w:keepNext w:val="0"/>
              <w:keepLines w:val="0"/>
              <w:widowControl/>
              <w:suppressLineNumbers w:val="0"/>
              <w:spacing w:before="0" w:beforeLines="0" w:beforeAutospacing="0" w:after="200" w:afterLines="0" w:afterAutospacing="0" w:line="273" w:lineRule="auto"/>
              <w:ind w:left="0" w:right="0"/>
              <w:jc w:val="center"/>
              <w:rPr>
                <w:rFonts w:hint="default" w:ascii="Times New Roman" w:hAnsi="Times New Roman" w:eastAsia="宋体" w:cs="Times New Roman"/>
                <w:color w:val="000000"/>
                <w:kern w:val="2"/>
                <w:sz w:val="18"/>
                <w:szCs w:val="18"/>
              </w:rPr>
            </w:pPr>
            <w:r>
              <w:rPr>
                <w:rFonts w:hint="default" w:ascii="Times New Roman" w:hAnsi="Times New Roman" w:eastAsia="宋体" w:cs="Times New Roman"/>
                <w:i w:val="0"/>
                <w:iCs w:val="0"/>
                <w:color w:val="000000"/>
                <w:kern w:val="0"/>
                <w:sz w:val="24"/>
                <w:szCs w:val="24"/>
                <w:lang w:val="en-US" w:eastAsia="zh-CN" w:bidi="ar"/>
              </w:rPr>
              <w:t>不断提升</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43CCE57B">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不断提升</w:t>
            </w:r>
          </w:p>
        </w:tc>
      </w:tr>
    </w:tbl>
    <w:p w14:paraId="3DCAFBF4">
      <w:pPr>
        <w:spacing w:before="0" w:after="0" w:line="560" w:lineRule="exact"/>
        <w:ind w:firstLine="440" w:firstLineChars="200"/>
        <w:jc w:val="both"/>
        <w:rPr>
          <w:rFonts w:hint="default" w:ascii="Times New Roman" w:hAnsi="Times New Roman" w:cs="Times New Roman"/>
        </w:rPr>
      </w:pPr>
    </w:p>
    <w:p w14:paraId="63D2A059">
      <w:pPr>
        <w:pStyle w:val="4"/>
        <w:pageBreakBefore/>
        <w:spacing w:before="120" w:after="200" w:line="600" w:lineRule="exact"/>
        <w:jc w:val="center"/>
        <w:rPr>
          <w:rFonts w:hint="default" w:ascii="Times New Roman" w:hAnsi="Times New Roman" w:cs="Times New Roman"/>
        </w:rPr>
      </w:pPr>
      <w:bookmarkStart w:id="32" w:name="_Toc16779"/>
      <w:r>
        <w:rPr>
          <w:rFonts w:hint="default" w:ascii="Times New Roman" w:hAnsi="Times New Roman" w:eastAsia="黑体" w:cs="Times New Roman"/>
          <w:b/>
          <w:color w:val="000000"/>
          <w:sz w:val="32"/>
        </w:rPr>
        <w:t>第五部分  附表</w:t>
      </w:r>
      <w:bookmarkEnd w:id="32"/>
    </w:p>
    <w:p w14:paraId="5AF20CC8">
      <w:pPr>
        <w:spacing w:before="0" w:after="0" w:line="560" w:lineRule="exact"/>
        <w:ind w:firstLine="640" w:firstLineChars="200"/>
        <w:jc w:val="both"/>
        <w:rPr>
          <w:rFonts w:hint="default" w:ascii="Times New Roman" w:hAnsi="Times New Roman" w:cs="Times New Roman"/>
        </w:rPr>
      </w:pPr>
      <w:r>
        <w:rPr>
          <w:rFonts w:hint="default" w:ascii="Times New Roman" w:hAnsi="Times New Roman" w:eastAsia="仿宋" w:cs="Times New Roman"/>
          <w:b w:val="0"/>
          <w:color w:val="000000"/>
          <w:sz w:val="32"/>
        </w:rPr>
        <w:t>本报告所附《2025年度阿坝州卫生健康委员会部门决算公开表》共13张，具体包括：</w:t>
      </w:r>
    </w:p>
    <w:p w14:paraId="51FED030">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33" w:name="_Toc1728"/>
      <w:bookmarkStart w:id="34" w:name="_Toc26373"/>
      <w:bookmarkStart w:id="35" w:name="_Toc13246"/>
      <w:r>
        <w:rPr>
          <w:rFonts w:hint="default" w:ascii="Times New Roman" w:hAnsi="Times New Roman" w:eastAsia="黑体" w:cs="Times New Roman"/>
          <w:b w:val="0"/>
          <w:bCs/>
          <w:color w:val="000000"/>
          <w:sz w:val="32"/>
        </w:rPr>
        <w:t>一、收入支出决算总表（公开01表）</w:t>
      </w:r>
      <w:bookmarkEnd w:id="33"/>
      <w:bookmarkEnd w:id="34"/>
      <w:bookmarkEnd w:id="35"/>
    </w:p>
    <w:p w14:paraId="26EBAE1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36" w:name="_Toc14855"/>
      <w:bookmarkStart w:id="37" w:name="_Toc23361"/>
      <w:bookmarkStart w:id="38" w:name="_Toc663"/>
      <w:r>
        <w:rPr>
          <w:rFonts w:hint="default" w:ascii="Times New Roman" w:hAnsi="Times New Roman" w:eastAsia="黑体" w:cs="Times New Roman"/>
          <w:b w:val="0"/>
          <w:bCs/>
          <w:color w:val="000000"/>
          <w:sz w:val="32"/>
        </w:rPr>
        <w:t>二、收入决算表（公开02表）</w:t>
      </w:r>
      <w:bookmarkEnd w:id="36"/>
      <w:bookmarkEnd w:id="37"/>
      <w:bookmarkEnd w:id="38"/>
    </w:p>
    <w:p w14:paraId="7CD9748D">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39" w:name="_Toc26249"/>
      <w:bookmarkStart w:id="40" w:name="_Toc19329"/>
      <w:bookmarkStart w:id="41" w:name="_Toc28769"/>
      <w:r>
        <w:rPr>
          <w:rFonts w:hint="default" w:ascii="Times New Roman" w:hAnsi="Times New Roman" w:eastAsia="黑体" w:cs="Times New Roman"/>
          <w:b w:val="0"/>
          <w:bCs/>
          <w:color w:val="000000"/>
          <w:sz w:val="32"/>
        </w:rPr>
        <w:t>三、支出决算表（公开03表）</w:t>
      </w:r>
      <w:bookmarkEnd w:id="39"/>
      <w:bookmarkEnd w:id="40"/>
      <w:bookmarkEnd w:id="41"/>
    </w:p>
    <w:p w14:paraId="2DA69A1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2" w:name="_Toc20252"/>
      <w:bookmarkStart w:id="43" w:name="_Toc26791"/>
      <w:bookmarkStart w:id="44" w:name="_Toc30702"/>
      <w:r>
        <w:rPr>
          <w:rFonts w:hint="default" w:ascii="Times New Roman" w:hAnsi="Times New Roman" w:eastAsia="黑体" w:cs="Times New Roman"/>
          <w:b w:val="0"/>
          <w:bCs/>
          <w:color w:val="000000"/>
          <w:sz w:val="32"/>
        </w:rPr>
        <w:t>四、财政拨款收入支出决算总表（公开04表）</w:t>
      </w:r>
      <w:bookmarkEnd w:id="42"/>
      <w:bookmarkEnd w:id="43"/>
      <w:bookmarkEnd w:id="44"/>
    </w:p>
    <w:p w14:paraId="7CADF86C">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5" w:name="_Toc25080"/>
      <w:bookmarkStart w:id="46" w:name="_Toc28427"/>
      <w:bookmarkStart w:id="47" w:name="_Toc3768"/>
      <w:r>
        <w:rPr>
          <w:rFonts w:hint="default" w:ascii="Times New Roman" w:hAnsi="Times New Roman" w:eastAsia="黑体" w:cs="Times New Roman"/>
          <w:b w:val="0"/>
          <w:bCs/>
          <w:color w:val="000000"/>
          <w:sz w:val="32"/>
        </w:rPr>
        <w:t>五、财政拨款支出决算明细表（公开05表）</w:t>
      </w:r>
      <w:bookmarkEnd w:id="45"/>
      <w:bookmarkEnd w:id="46"/>
      <w:bookmarkEnd w:id="47"/>
    </w:p>
    <w:p w14:paraId="45890568">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8" w:name="_Toc29801"/>
      <w:bookmarkStart w:id="49" w:name="_Toc22136"/>
      <w:bookmarkStart w:id="50" w:name="_Toc8567"/>
      <w:r>
        <w:rPr>
          <w:rFonts w:hint="default" w:ascii="Times New Roman" w:hAnsi="Times New Roman" w:eastAsia="黑体" w:cs="Times New Roman"/>
          <w:b w:val="0"/>
          <w:bCs/>
          <w:color w:val="000000"/>
          <w:sz w:val="32"/>
        </w:rPr>
        <w:t>六、一般公共预算财政拨款支出决算表（公开06表）</w:t>
      </w:r>
      <w:bookmarkEnd w:id="48"/>
      <w:bookmarkEnd w:id="49"/>
      <w:bookmarkEnd w:id="50"/>
    </w:p>
    <w:p w14:paraId="776C2F73">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51" w:name="_Toc3570"/>
      <w:bookmarkStart w:id="52" w:name="_Toc12252"/>
      <w:bookmarkStart w:id="53" w:name="_Toc1428"/>
      <w:r>
        <w:rPr>
          <w:rFonts w:hint="default" w:ascii="Times New Roman" w:hAnsi="Times New Roman" w:eastAsia="黑体" w:cs="Times New Roman"/>
          <w:b w:val="0"/>
          <w:bCs/>
          <w:color w:val="000000"/>
          <w:sz w:val="32"/>
        </w:rPr>
        <w:t>七、一般公共预算财政拨款支出决算明细表（公开07表）</w:t>
      </w:r>
      <w:bookmarkEnd w:id="51"/>
      <w:bookmarkEnd w:id="52"/>
      <w:bookmarkEnd w:id="53"/>
    </w:p>
    <w:p w14:paraId="5EF88A41">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54" w:name="_Toc7004"/>
      <w:bookmarkStart w:id="55" w:name="_Toc5104"/>
      <w:bookmarkStart w:id="56" w:name="_Toc24351"/>
      <w:r>
        <w:rPr>
          <w:rFonts w:hint="default" w:ascii="Times New Roman" w:hAnsi="Times New Roman" w:eastAsia="黑体" w:cs="Times New Roman"/>
          <w:b w:val="0"/>
          <w:bCs/>
          <w:color w:val="000000"/>
          <w:sz w:val="32"/>
        </w:rPr>
        <w:t>八、一般公共预算财政拨款基本支出决算明细表（公开08表）</w:t>
      </w:r>
      <w:bookmarkEnd w:id="54"/>
      <w:bookmarkEnd w:id="55"/>
      <w:bookmarkEnd w:id="56"/>
    </w:p>
    <w:p w14:paraId="757D781E">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57" w:name="_Toc23747"/>
      <w:bookmarkStart w:id="58" w:name="_Toc23462"/>
      <w:bookmarkStart w:id="59" w:name="_Toc28681"/>
      <w:r>
        <w:rPr>
          <w:rFonts w:hint="default" w:ascii="Times New Roman" w:hAnsi="Times New Roman" w:eastAsia="黑体" w:cs="Times New Roman"/>
          <w:b w:val="0"/>
          <w:bCs/>
          <w:color w:val="000000"/>
          <w:sz w:val="32"/>
        </w:rPr>
        <w:t>九、一般公共预算财政拨款项目支出决算表（公开09表）</w:t>
      </w:r>
      <w:bookmarkEnd w:id="57"/>
      <w:bookmarkEnd w:id="58"/>
      <w:bookmarkEnd w:id="59"/>
    </w:p>
    <w:p w14:paraId="122D8CE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60" w:name="_Toc13450"/>
      <w:bookmarkStart w:id="61" w:name="_Toc6822"/>
      <w:bookmarkStart w:id="62" w:name="_Toc5918"/>
      <w:r>
        <w:rPr>
          <w:rFonts w:hint="default" w:ascii="Times New Roman" w:hAnsi="Times New Roman" w:eastAsia="黑体" w:cs="Times New Roman"/>
          <w:b w:val="0"/>
          <w:bCs/>
          <w:color w:val="000000"/>
          <w:sz w:val="32"/>
        </w:rPr>
        <w:t>十、政府性基金预算财政拨款收入支出决算表（公开10表）</w:t>
      </w:r>
      <w:bookmarkEnd w:id="60"/>
      <w:bookmarkEnd w:id="61"/>
      <w:bookmarkEnd w:id="62"/>
    </w:p>
    <w:p w14:paraId="3CEE6DA9">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63" w:name="_Toc29100"/>
      <w:bookmarkStart w:id="64" w:name="_Toc8749"/>
      <w:bookmarkStart w:id="65" w:name="_Toc15638"/>
      <w:r>
        <w:rPr>
          <w:rFonts w:hint="default" w:ascii="Times New Roman" w:hAnsi="Times New Roman" w:eastAsia="黑体" w:cs="Times New Roman"/>
          <w:b w:val="0"/>
          <w:bCs/>
          <w:color w:val="000000"/>
          <w:sz w:val="32"/>
        </w:rPr>
        <w:t>十一、国有资本经营预算财政拨款收入支出决算表（公开11表）</w:t>
      </w:r>
      <w:bookmarkEnd w:id="63"/>
      <w:bookmarkEnd w:id="64"/>
      <w:bookmarkEnd w:id="65"/>
    </w:p>
    <w:p w14:paraId="460D926A">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66" w:name="_Toc9472"/>
      <w:bookmarkStart w:id="67" w:name="_Toc27957"/>
      <w:bookmarkStart w:id="68" w:name="_Toc16244"/>
      <w:r>
        <w:rPr>
          <w:rFonts w:hint="default" w:ascii="Times New Roman" w:hAnsi="Times New Roman" w:eastAsia="黑体" w:cs="Times New Roman"/>
          <w:b w:val="0"/>
          <w:bCs/>
          <w:color w:val="000000"/>
          <w:sz w:val="32"/>
        </w:rPr>
        <w:t>十二、国有资本经营预算财政拨款支出决算表（公开12表）</w:t>
      </w:r>
      <w:bookmarkEnd w:id="66"/>
      <w:bookmarkEnd w:id="67"/>
      <w:bookmarkEnd w:id="68"/>
    </w:p>
    <w:p w14:paraId="752597B1">
      <w:pPr>
        <w:pStyle w:val="32"/>
        <w:ind w:firstLine="640" w:firstLineChars="200"/>
        <w:rPr>
          <w:rFonts w:hint="default" w:ascii="Times New Roman" w:hAnsi="Times New Roman" w:cs="Times New Roman"/>
        </w:rPr>
      </w:pPr>
      <w:bookmarkStart w:id="69" w:name="_Toc700"/>
      <w:r>
        <w:rPr>
          <w:rFonts w:hint="default" w:ascii="Times New Roman" w:hAnsi="Times New Roman" w:eastAsia="黑体" w:cs="Times New Roman"/>
          <w:b w:val="0"/>
          <w:bCs/>
          <w:color w:val="000000"/>
          <w:sz w:val="32"/>
        </w:rPr>
        <w:t>十三、财政拨款“三公”经费支出决算表（公开13表）</w:t>
      </w:r>
      <w:bookmarkEnd w:id="69"/>
    </w:p>
    <w:p w14:paraId="6642341A">
      <w:pPr>
        <w:spacing w:before="0" w:after="0" w:line="560" w:lineRule="exact"/>
        <w:ind w:firstLine="640" w:firstLineChars="200"/>
        <w:jc w:val="both"/>
        <w:rPr>
          <w:rFonts w:hint="default" w:ascii="Times New Roman" w:hAnsi="Times New Roman" w:cs="Times New Roman"/>
        </w:rPr>
      </w:pPr>
      <w:r>
        <w:rPr>
          <w:rFonts w:hint="default" w:ascii="Times New Roman" w:hAnsi="Times New Roman" w:eastAsia="仿宋" w:cs="Times New Roman"/>
          <w:b w:val="0"/>
          <w:color w:val="000000"/>
          <w:sz w:val="32"/>
        </w:rPr>
        <w:t>（其中政府性基金预算、国有资本经营预算相关表式本部门无数据，按规定保留表式并注明“本表无数据”。）</w:t>
      </w:r>
    </w:p>
    <w:sectPr>
      <w:pgSz w:w="11906" w:h="16838"/>
      <w:pgMar w:top="2098" w:right="1474" w:bottom="1984" w:left="1587"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29C9C5-D29C-4442-84E4-4BF27164243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embedRegular r:id="rId2" w:fontKey="{5241902C-87B5-4BC9-A7AB-B8F00A7C432F}"/>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_GB2312">
    <w:panose1 w:val="02010609030101010101"/>
    <w:charset w:val="86"/>
    <w:family w:val="auto"/>
    <w:pitch w:val="default"/>
    <w:sig w:usb0="00000001" w:usb1="080E0000" w:usb2="00000000" w:usb3="00000000" w:csb0="00040000" w:csb1="00000000"/>
    <w:embedRegular r:id="rId3" w:fontKey="{331B9AB7-F962-4800-87AF-07CC860CCC94}"/>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C033BF9E-AB6D-4B70-B967-2AEEF1A9E909}"/>
  </w:font>
  <w:font w:name="楷体_GB2312">
    <w:panose1 w:val="02010609030101010101"/>
    <w:charset w:val="86"/>
    <w:family w:val="auto"/>
    <w:pitch w:val="default"/>
    <w:sig w:usb0="00000001" w:usb1="080E0000" w:usb2="00000000" w:usb3="00000000" w:csb0="00040000" w:csb1="00000000"/>
    <w:embedRegular r:id="rId5" w:fontKey="{5B26D4E5-64CE-446E-A545-85CAFA708B08}"/>
  </w:font>
  <w:font w:name="楷体">
    <w:panose1 w:val="02010609060101010101"/>
    <w:charset w:val="86"/>
    <w:family w:val="auto"/>
    <w:pitch w:val="default"/>
    <w:sig w:usb0="800002BF" w:usb1="38CF7CFA" w:usb2="00000016" w:usb3="00000000" w:csb0="00040001" w:csb1="00000000"/>
    <w:embedRegular r:id="rId6" w:fontKey="{C4E8D279-5543-4506-9ABB-FDFE7A1219DF}"/>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32115">
    <w:pPr>
      <w:pStyle w:val="2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BB0FC">
    <w:pPr>
      <w:pStyle w:val="27"/>
      <w:jc w:val="center"/>
    </w:pPr>
    <w:r>
      <w:rPr>
        <w:sz w:val="22"/>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8A1D3">
                          <w:pPr>
                            <w:pStyle w:val="27"/>
                            <w:jc w:val="center"/>
                          </w:pPr>
                          <w:r>
                            <w:rPr>
                              <w:rFonts w:ascii="Times New Roman" w:hAnsi="Times New Roman" w:eastAsia="仿宋" w:cs="Times New Roman"/>
                              <w:b w:val="0"/>
                              <w:color w:val="000000"/>
                              <w:sz w:val="21"/>
                            </w:rPr>
                            <w:fldChar w:fldCharType="begin"/>
                          </w:r>
                          <w:r>
                            <w:rPr>
                              <w:rFonts w:ascii="Times New Roman" w:hAnsi="Times New Roman" w:eastAsia="仿宋" w:cs="Times New Roman"/>
                              <w:b w:val="0"/>
                              <w:color w:val="000000"/>
                              <w:sz w:val="21"/>
                            </w:rPr>
                            <w:instrText xml:space="preserve">PAGE</w:instrText>
                          </w:r>
                          <w:r>
                            <w:rPr>
                              <w:rFonts w:ascii="Times New Roman" w:hAnsi="Times New Roman" w:eastAsia="仿宋" w:cs="Times New Roman"/>
                              <w:b w:val="0"/>
                              <w:color w:val="000000"/>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E88A1D3">
                    <w:pPr>
                      <w:pStyle w:val="27"/>
                      <w:jc w:val="center"/>
                    </w:pPr>
                    <w:r>
                      <w:rPr>
                        <w:rFonts w:ascii="Times New Roman" w:hAnsi="Times New Roman" w:eastAsia="仿宋" w:cs="Times New Roman"/>
                        <w:b w:val="0"/>
                        <w:color w:val="000000"/>
                        <w:sz w:val="21"/>
                      </w:rPr>
                      <w:fldChar w:fldCharType="begin"/>
                    </w:r>
                    <w:r>
                      <w:rPr>
                        <w:rFonts w:ascii="Times New Roman" w:hAnsi="Times New Roman" w:eastAsia="仿宋" w:cs="Times New Roman"/>
                        <w:b w:val="0"/>
                        <w:color w:val="000000"/>
                        <w:sz w:val="21"/>
                      </w:rPr>
                      <w:instrText xml:space="preserve">PAGE</w:instrText>
                    </w:r>
                    <w:r>
                      <w:rPr>
                        <w:rFonts w:ascii="Times New Roman" w:hAnsi="Times New Roman" w:eastAsia="仿宋" w:cs="Times New Roman"/>
                        <w:b w:val="0"/>
                        <w:color w:val="000000"/>
                        <w:sz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3"/>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6"/>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6">
    <w:nsid w:val="28F8C326"/>
    <w:multiLevelType w:val="singleLevel"/>
    <w:tmpl w:val="28F8C326"/>
    <w:lvl w:ilvl="0" w:tentative="0">
      <w:start w:val="3"/>
      <w:numFmt w:val="chineseCounting"/>
      <w:suff w:val="space"/>
      <w:lvlText w:val="第%1部分"/>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624AE8"/>
    <w:rsid w:val="028440C8"/>
    <w:rsid w:val="06D80E87"/>
    <w:rsid w:val="24EC63FC"/>
    <w:rsid w:val="262227B8"/>
    <w:rsid w:val="2D885DEC"/>
    <w:rsid w:val="3C1E78A5"/>
    <w:rsid w:val="5FA25E8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45"/>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6"/>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7"/>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7"/>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8"/>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9"/>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60"/>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61"/>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62"/>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9">
    <w:name w:val="Default Paragraph Font"/>
    <w:semiHidden/>
    <w:unhideWhenUsed/>
    <w:uiPriority w:val="1"/>
  </w:style>
  <w:style w:type="table" w:default="1" w:styleId="39">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macro"/>
    <w:link w:val="154"/>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uiPriority w:val="99"/>
    <w:pPr>
      <w:ind w:left="1080" w:hanging="360"/>
      <w:contextualSpacing/>
    </w:pPr>
  </w:style>
  <w:style w:type="paragraph" w:styleId="14">
    <w:name w:val="List Number 2"/>
    <w:basedOn w:val="1"/>
    <w:unhideWhenUsed/>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uiPriority w:val="99"/>
    <w:pPr>
      <w:numPr>
        <w:ilvl w:val="0"/>
        <w:numId w:val="3"/>
      </w:numPr>
      <w:contextualSpacing/>
    </w:pPr>
  </w:style>
  <w:style w:type="paragraph" w:styleId="18">
    <w:name w:val="Body Text 3"/>
    <w:basedOn w:val="1"/>
    <w:link w:val="153"/>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51"/>
    <w:unhideWhenUsed/>
    <w:uiPriority w:val="99"/>
    <w:pPr>
      <w:spacing w:after="120"/>
    </w:pPr>
  </w:style>
  <w:style w:type="paragraph" w:styleId="21">
    <w:name w:val="Body Text Indent"/>
    <w:basedOn w:val="1"/>
    <w:next w:val="22"/>
    <w:qFormat/>
    <w:uiPriority w:val="0"/>
    <w:pPr>
      <w:spacing w:after="120"/>
      <w:ind w:leftChars="200"/>
    </w:pPr>
    <w:rPr>
      <w:rFonts w:ascii="仿宋_GB2312"/>
      <w:szCs w:val="32"/>
    </w:rPr>
  </w:style>
  <w:style w:type="paragraph" w:styleId="22">
    <w:name w:val="Body Text First Indent 2"/>
    <w:basedOn w:val="21"/>
    <w:next w:val="1"/>
    <w:unhideWhenUsed/>
    <w:qFormat/>
    <w:uiPriority w:val="99"/>
    <w:pPr>
      <w:ind w:firstLine="420" w:firstLineChars="200"/>
    </w:pPr>
  </w:style>
  <w:style w:type="paragraph" w:styleId="23">
    <w:name w:val="List Number 3"/>
    <w:basedOn w:val="1"/>
    <w:unhideWhenUsed/>
    <w:uiPriority w:val="99"/>
    <w:pPr>
      <w:numPr>
        <w:ilvl w:val="0"/>
        <w:numId w:val="5"/>
      </w:numPr>
      <w:contextualSpacing/>
    </w:pPr>
  </w:style>
  <w:style w:type="paragraph" w:styleId="24">
    <w:name w:val="List 2"/>
    <w:basedOn w:val="1"/>
    <w:unhideWhenUsed/>
    <w:qFormat/>
    <w:uiPriority w:val="99"/>
    <w:pPr>
      <w:ind w:left="720" w:hanging="360"/>
      <w:contextualSpacing/>
    </w:pPr>
  </w:style>
  <w:style w:type="paragraph" w:styleId="25">
    <w:name w:val="List Continue"/>
    <w:basedOn w:val="1"/>
    <w:unhideWhenUsed/>
    <w:qFormat/>
    <w:uiPriority w:val="99"/>
    <w:pPr>
      <w:spacing w:after="120"/>
      <w:ind w:left="360"/>
      <w:contextualSpacing/>
    </w:pPr>
  </w:style>
  <w:style w:type="paragraph" w:styleId="26">
    <w:name w:val="List Bullet 2"/>
    <w:basedOn w:val="1"/>
    <w:unhideWhenUsed/>
    <w:uiPriority w:val="99"/>
    <w:pPr>
      <w:numPr>
        <w:ilvl w:val="0"/>
        <w:numId w:val="6"/>
      </w:numPr>
      <w:contextualSpacing/>
    </w:pPr>
  </w:style>
  <w:style w:type="paragraph" w:styleId="27">
    <w:name w:val="footer"/>
    <w:basedOn w:val="1"/>
    <w:link w:val="143"/>
    <w:unhideWhenUsed/>
    <w:qFormat/>
    <w:uiPriority w:val="99"/>
    <w:pPr>
      <w:tabs>
        <w:tab w:val="center" w:pos="4680"/>
        <w:tab w:val="right" w:pos="9360"/>
      </w:tabs>
      <w:spacing w:after="0" w:line="240" w:lineRule="auto"/>
    </w:pPr>
  </w:style>
  <w:style w:type="paragraph" w:styleId="28">
    <w:name w:val="header"/>
    <w:basedOn w:val="1"/>
    <w:link w:val="142"/>
    <w:unhideWhenUsed/>
    <w:qFormat/>
    <w:uiPriority w:val="99"/>
    <w:pPr>
      <w:tabs>
        <w:tab w:val="center" w:pos="4680"/>
        <w:tab w:val="right" w:pos="9360"/>
      </w:tabs>
      <w:spacing w:after="0" w:line="240" w:lineRule="auto"/>
    </w:pPr>
  </w:style>
  <w:style w:type="paragraph" w:styleId="29">
    <w:name w:val="toc 1"/>
    <w:basedOn w:val="1"/>
    <w:next w:val="1"/>
    <w:semiHidden/>
    <w:unhideWhenUsed/>
    <w:uiPriority w:val="39"/>
  </w:style>
  <w:style w:type="paragraph" w:styleId="30">
    <w:name w:val="Subtitle"/>
    <w:basedOn w:val="1"/>
    <w:next w:val="1"/>
    <w:link w:val="14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footnote text"/>
    <w:basedOn w:val="1"/>
    <w:next w:val="22"/>
    <w:semiHidden/>
    <w:qFormat/>
    <w:uiPriority w:val="0"/>
    <w:pPr>
      <w:snapToGrid w:val="0"/>
      <w:jc w:val="left"/>
    </w:pPr>
    <w:rPr>
      <w:sz w:val="18"/>
      <w:szCs w:val="18"/>
    </w:rPr>
  </w:style>
  <w:style w:type="paragraph" w:styleId="33">
    <w:name w:val="toc 2"/>
    <w:basedOn w:val="1"/>
    <w:next w:val="1"/>
    <w:semiHidden/>
    <w:unhideWhenUsed/>
    <w:uiPriority w:val="39"/>
    <w:pPr>
      <w:ind w:left="420" w:leftChars="200"/>
    </w:pPr>
  </w:style>
  <w:style w:type="paragraph" w:styleId="34">
    <w:name w:val="Body Text 2"/>
    <w:basedOn w:val="1"/>
    <w:link w:val="152"/>
    <w:unhideWhenUsed/>
    <w:qFormat/>
    <w:uiPriority w:val="99"/>
    <w:pPr>
      <w:spacing w:after="120" w:line="480" w:lineRule="auto"/>
    </w:pPr>
  </w:style>
  <w:style w:type="paragraph" w:styleId="35">
    <w:name w:val="List Continue 2"/>
    <w:basedOn w:val="1"/>
    <w:unhideWhenUsed/>
    <w:qFormat/>
    <w:uiPriority w:val="99"/>
    <w:pPr>
      <w:spacing w:after="120"/>
      <w:ind w:left="720"/>
      <w:contextualSpacing/>
    </w:pPr>
  </w:style>
  <w:style w:type="paragraph" w:styleId="36">
    <w:name w:val="Normal (Web)"/>
    <w:basedOn w:val="1"/>
    <w:semiHidden/>
    <w:unhideWhenUsed/>
    <w:uiPriority w:val="99"/>
    <w:rPr>
      <w:sz w:val="24"/>
    </w:rPr>
  </w:style>
  <w:style w:type="paragraph" w:styleId="37">
    <w:name w:val="List Continue 3"/>
    <w:basedOn w:val="1"/>
    <w:unhideWhenUsed/>
    <w:qFormat/>
    <w:uiPriority w:val="99"/>
    <w:pPr>
      <w:spacing w:after="120"/>
      <w:ind w:left="1080"/>
      <w:contextualSpacing/>
    </w:pPr>
  </w:style>
  <w:style w:type="paragraph" w:styleId="38">
    <w:name w:val="Title"/>
    <w:basedOn w:val="1"/>
    <w:next w:val="1"/>
    <w:link w:val="148"/>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40">
    <w:name w:val="Table Grid"/>
    <w:basedOn w:val="3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1">
    <w:name w:val="Light Shading"/>
    <w:basedOn w:val="39"/>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2">
    <w:name w:val="Light Shading Accent 1"/>
    <w:basedOn w:val="39"/>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3">
    <w:name w:val="Light Shading Accent 2"/>
    <w:basedOn w:val="39"/>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4">
    <w:name w:val="Light Shading Accent 3"/>
    <w:basedOn w:val="39"/>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39"/>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6">
    <w:name w:val="Light Shading Accent 5"/>
    <w:basedOn w:val="39"/>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7">
    <w:name w:val="Light Shading Accent 6"/>
    <w:basedOn w:val="39"/>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8">
    <w:name w:val="Light List"/>
    <w:basedOn w:val="39"/>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9">
    <w:name w:val="Light List Accent 1"/>
    <w:basedOn w:val="39"/>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0">
    <w:name w:val="Light List Accent 2"/>
    <w:basedOn w:val="39"/>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1">
    <w:name w:val="Light List Accent 3"/>
    <w:basedOn w:val="39"/>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2">
    <w:name w:val="Light List Accent 4"/>
    <w:basedOn w:val="39"/>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3">
    <w:name w:val="Light List Accent 5"/>
    <w:basedOn w:val="39"/>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4">
    <w:name w:val="Light List Accent 6"/>
    <w:basedOn w:val="39"/>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5">
    <w:name w:val="Light Grid"/>
    <w:basedOn w:val="39"/>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6">
    <w:name w:val="Light Grid Accent 1"/>
    <w:basedOn w:val="39"/>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7">
    <w:name w:val="Light Grid Accent 2"/>
    <w:basedOn w:val="39"/>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8">
    <w:name w:val="Light Grid Accent 3"/>
    <w:basedOn w:val="39"/>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9">
    <w:name w:val="Light Grid Accent 4"/>
    <w:basedOn w:val="39"/>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0">
    <w:name w:val="Light Grid Accent 5"/>
    <w:basedOn w:val="39"/>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1">
    <w:name w:val="Light Grid Accent 6"/>
    <w:basedOn w:val="39"/>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2">
    <w:name w:val="Medium Shading 1"/>
    <w:basedOn w:val="39"/>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3">
    <w:name w:val="Medium Shading 1 Accent 1"/>
    <w:basedOn w:val="39"/>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4">
    <w:name w:val="Medium Shading 1 Accent 2"/>
    <w:basedOn w:val="39"/>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5">
    <w:name w:val="Medium Shading 1 Accent 3"/>
    <w:basedOn w:val="39"/>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6">
    <w:name w:val="Medium Shading 1 Accent 4"/>
    <w:basedOn w:val="39"/>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7">
    <w:name w:val="Medium Shading 1 Accent 5"/>
    <w:basedOn w:val="39"/>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8">
    <w:name w:val="Medium Shading 1 Accent 6"/>
    <w:basedOn w:val="39"/>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9">
    <w:name w:val="Medium Shading 2"/>
    <w:basedOn w:val="39"/>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1"/>
    <w:basedOn w:val="39"/>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2"/>
    <w:basedOn w:val="39"/>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3"/>
    <w:basedOn w:val="39"/>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4"/>
    <w:basedOn w:val="39"/>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5"/>
    <w:basedOn w:val="39"/>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6"/>
    <w:basedOn w:val="39"/>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List 1"/>
    <w:basedOn w:val="39"/>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7">
    <w:name w:val="Medium List 1 Accent 1"/>
    <w:basedOn w:val="39"/>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8">
    <w:name w:val="Medium List 1 Accent 2"/>
    <w:basedOn w:val="39"/>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9">
    <w:name w:val="Medium List 1 Accent 3"/>
    <w:basedOn w:val="39"/>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0">
    <w:name w:val="Medium List 1 Accent 4"/>
    <w:basedOn w:val="39"/>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1">
    <w:name w:val="Medium List 1 Accent 5"/>
    <w:basedOn w:val="39"/>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2">
    <w:name w:val="Medium List 1 Accent 6"/>
    <w:basedOn w:val="39"/>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3">
    <w:name w:val="Medium List 2"/>
    <w:basedOn w:val="39"/>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1"/>
    <w:basedOn w:val="39"/>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2"/>
    <w:basedOn w:val="39"/>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3"/>
    <w:basedOn w:val="39"/>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4"/>
    <w:basedOn w:val="39"/>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5"/>
    <w:basedOn w:val="39"/>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6"/>
    <w:basedOn w:val="39"/>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Grid 1"/>
    <w:basedOn w:val="39"/>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1">
    <w:name w:val="Medium Grid 1 Accent 1"/>
    <w:basedOn w:val="39"/>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2">
    <w:name w:val="Medium Grid 1 Accent 2"/>
    <w:basedOn w:val="39"/>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3">
    <w:name w:val="Medium Grid 1 Accent 3"/>
    <w:basedOn w:val="39"/>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4">
    <w:name w:val="Medium Grid 1 Accent 4"/>
    <w:basedOn w:val="39"/>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5">
    <w:name w:val="Medium Grid 1 Accent 5"/>
    <w:basedOn w:val="39"/>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6">
    <w:name w:val="Medium Grid 1 Accent 6"/>
    <w:basedOn w:val="39"/>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7">
    <w:name w:val="Medium Grid 2"/>
    <w:basedOn w:val="39"/>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8">
    <w:name w:val="Medium Grid 2 Accent 1"/>
    <w:basedOn w:val="39"/>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9">
    <w:name w:val="Medium Grid 2 Accent 2"/>
    <w:basedOn w:val="39"/>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0">
    <w:name w:val="Medium Grid 2 Accent 3"/>
    <w:basedOn w:val="39"/>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1">
    <w:name w:val="Medium Grid 2 Accent 4"/>
    <w:basedOn w:val="39"/>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2">
    <w:name w:val="Medium Grid 2 Accent 5"/>
    <w:basedOn w:val="39"/>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3">
    <w:name w:val="Medium Grid 2 Accent 6"/>
    <w:basedOn w:val="39"/>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4">
    <w:name w:val="Medium Grid 3"/>
    <w:basedOn w:val="39"/>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5">
    <w:name w:val="Medium Grid 3 Accent 1"/>
    <w:basedOn w:val="39"/>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6">
    <w:name w:val="Medium Grid 3 Accent 2"/>
    <w:basedOn w:val="39"/>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7">
    <w:name w:val="Medium Grid 3 Accent 3"/>
    <w:basedOn w:val="39"/>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8">
    <w:name w:val="Medium Grid 3 Accent 4"/>
    <w:basedOn w:val="39"/>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9">
    <w:name w:val="Medium Grid 3 Accent 5"/>
    <w:basedOn w:val="39"/>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0">
    <w:name w:val="Medium Grid 3 Accent 6"/>
    <w:basedOn w:val="39"/>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1">
    <w:name w:val="Dark List"/>
    <w:basedOn w:val="39"/>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2">
    <w:name w:val="Dark List Accent 1"/>
    <w:basedOn w:val="39"/>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3">
    <w:name w:val="Dark List Accent 2"/>
    <w:basedOn w:val="39"/>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4">
    <w:name w:val="Dark List Accent 3"/>
    <w:basedOn w:val="39"/>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5">
    <w:name w:val="Dark List Accent 4"/>
    <w:basedOn w:val="39"/>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6">
    <w:name w:val="Dark List Accent 5"/>
    <w:basedOn w:val="39"/>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7">
    <w:name w:val="Dark List Accent 6"/>
    <w:basedOn w:val="39"/>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8">
    <w:name w:val="Colorful Shading"/>
    <w:basedOn w:val="39"/>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1"/>
    <w:basedOn w:val="39"/>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2"/>
    <w:basedOn w:val="39"/>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3"/>
    <w:basedOn w:val="39"/>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2">
    <w:name w:val="Colorful Shading Accent 4"/>
    <w:basedOn w:val="39"/>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5"/>
    <w:basedOn w:val="39"/>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6"/>
    <w:basedOn w:val="39"/>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List"/>
    <w:basedOn w:val="39"/>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6">
    <w:name w:val="Colorful List Accent 1"/>
    <w:basedOn w:val="39"/>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7">
    <w:name w:val="Colorful List Accent 2"/>
    <w:basedOn w:val="39"/>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8">
    <w:name w:val="Colorful List Accent 3"/>
    <w:basedOn w:val="39"/>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9">
    <w:name w:val="Colorful List Accent 4"/>
    <w:basedOn w:val="39"/>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0">
    <w:name w:val="Colorful List Accent 5"/>
    <w:basedOn w:val="39"/>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1">
    <w:name w:val="Colorful List Accent 6"/>
    <w:basedOn w:val="39"/>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2">
    <w:name w:val="Colorful Grid"/>
    <w:basedOn w:val="39"/>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3">
    <w:name w:val="Colorful Grid Accent 1"/>
    <w:basedOn w:val="39"/>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4">
    <w:name w:val="Colorful Grid Accent 2"/>
    <w:basedOn w:val="39"/>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5">
    <w:name w:val="Colorful Grid Accent 3"/>
    <w:basedOn w:val="39"/>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6">
    <w:name w:val="Colorful Grid Accent 4"/>
    <w:basedOn w:val="39"/>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7">
    <w:name w:val="Colorful Grid Accent 5"/>
    <w:basedOn w:val="39"/>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8">
    <w:name w:val="Colorful Grid Accent 6"/>
    <w:basedOn w:val="39"/>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0">
    <w:name w:val="Strong"/>
    <w:basedOn w:val="139"/>
    <w:qFormat/>
    <w:uiPriority w:val="22"/>
    <w:rPr>
      <w:b/>
      <w:bCs/>
    </w:rPr>
  </w:style>
  <w:style w:type="character" w:styleId="141">
    <w:name w:val="Emphasis"/>
    <w:basedOn w:val="139"/>
    <w:qFormat/>
    <w:uiPriority w:val="20"/>
    <w:rPr>
      <w:i/>
      <w:iCs/>
    </w:rPr>
  </w:style>
  <w:style w:type="character" w:customStyle="1" w:styleId="142">
    <w:name w:val="Header Char"/>
    <w:basedOn w:val="139"/>
    <w:link w:val="28"/>
    <w:qFormat/>
    <w:uiPriority w:val="99"/>
  </w:style>
  <w:style w:type="character" w:customStyle="1" w:styleId="143">
    <w:name w:val="Footer Char"/>
    <w:basedOn w:val="139"/>
    <w:link w:val="27"/>
    <w:qFormat/>
    <w:uiPriority w:val="99"/>
  </w:style>
  <w:style w:type="paragraph" w:styleId="144">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5">
    <w:name w:val="Heading 1 Char"/>
    <w:basedOn w:val="139"/>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6">
    <w:name w:val="Heading 2 Char"/>
    <w:basedOn w:val="139"/>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7">
    <w:name w:val="Heading 3 Char"/>
    <w:basedOn w:val="139"/>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8">
    <w:name w:val="Title Char"/>
    <w:basedOn w:val="139"/>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9">
    <w:name w:val="Subtitle Char"/>
    <w:basedOn w:val="139"/>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0">
    <w:name w:val="List Paragraph"/>
    <w:basedOn w:val="1"/>
    <w:qFormat/>
    <w:uiPriority w:val="34"/>
    <w:pPr>
      <w:ind w:left="720"/>
      <w:contextualSpacing/>
    </w:pPr>
  </w:style>
  <w:style w:type="character" w:customStyle="1" w:styleId="151">
    <w:name w:val="Body Text Char"/>
    <w:basedOn w:val="139"/>
    <w:link w:val="20"/>
    <w:qFormat/>
    <w:uiPriority w:val="99"/>
  </w:style>
  <w:style w:type="character" w:customStyle="1" w:styleId="152">
    <w:name w:val="Body Text 2 Char"/>
    <w:basedOn w:val="139"/>
    <w:link w:val="34"/>
    <w:qFormat/>
    <w:uiPriority w:val="99"/>
  </w:style>
  <w:style w:type="character" w:customStyle="1" w:styleId="153">
    <w:name w:val="Body Text 3 Char"/>
    <w:basedOn w:val="139"/>
    <w:link w:val="18"/>
    <w:qFormat/>
    <w:uiPriority w:val="99"/>
    <w:rPr>
      <w:sz w:val="16"/>
      <w:szCs w:val="16"/>
    </w:rPr>
  </w:style>
  <w:style w:type="character" w:customStyle="1" w:styleId="154">
    <w:name w:val="Macro Text Char"/>
    <w:basedOn w:val="139"/>
    <w:link w:val="3"/>
    <w:qFormat/>
    <w:uiPriority w:val="99"/>
    <w:rPr>
      <w:rFonts w:ascii="Courier" w:hAnsi="Courier"/>
      <w:sz w:val="20"/>
      <w:szCs w:val="20"/>
    </w:rPr>
  </w:style>
  <w:style w:type="paragraph" w:styleId="155">
    <w:name w:val="Quote"/>
    <w:basedOn w:val="1"/>
    <w:next w:val="1"/>
    <w:link w:val="156"/>
    <w:qFormat/>
    <w:uiPriority w:val="29"/>
    <w:rPr>
      <w:i/>
      <w:iCs/>
      <w:color w:val="000000" w:themeColor="text1"/>
      <w14:textFill>
        <w14:solidFill>
          <w14:schemeClr w14:val="tx1"/>
        </w14:solidFill>
      </w14:textFill>
    </w:rPr>
  </w:style>
  <w:style w:type="character" w:customStyle="1" w:styleId="156">
    <w:name w:val="Quote Char"/>
    <w:basedOn w:val="139"/>
    <w:link w:val="155"/>
    <w:qFormat/>
    <w:uiPriority w:val="29"/>
    <w:rPr>
      <w:i/>
      <w:iCs/>
      <w:color w:val="000000" w:themeColor="text1"/>
      <w14:textFill>
        <w14:solidFill>
          <w14:schemeClr w14:val="tx1"/>
        </w14:solidFill>
      </w14:textFill>
    </w:rPr>
  </w:style>
  <w:style w:type="character" w:customStyle="1" w:styleId="157">
    <w:name w:val="Heading 4 Char"/>
    <w:basedOn w:val="139"/>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8">
    <w:name w:val="Heading 5 Char"/>
    <w:basedOn w:val="139"/>
    <w:link w:val="8"/>
    <w:semiHidden/>
    <w:qFormat/>
    <w:uiPriority w:val="9"/>
    <w:rPr>
      <w:rFonts w:asciiTheme="majorHAnsi" w:hAnsiTheme="majorHAnsi" w:eastAsiaTheme="majorEastAsia" w:cstheme="majorBidi"/>
      <w:color w:val="254061" w:themeColor="accent1" w:themeShade="80"/>
    </w:rPr>
  </w:style>
  <w:style w:type="character" w:customStyle="1" w:styleId="159">
    <w:name w:val="Heading 6 Char"/>
    <w:basedOn w:val="139"/>
    <w:link w:val="9"/>
    <w:semiHidden/>
    <w:qFormat/>
    <w:uiPriority w:val="9"/>
    <w:rPr>
      <w:rFonts w:asciiTheme="majorHAnsi" w:hAnsiTheme="majorHAnsi" w:eastAsiaTheme="majorEastAsia" w:cstheme="majorBidi"/>
      <w:i/>
      <w:iCs/>
      <w:color w:val="254061" w:themeColor="accent1" w:themeShade="80"/>
    </w:rPr>
  </w:style>
  <w:style w:type="character" w:customStyle="1" w:styleId="160">
    <w:name w:val="Heading 7 Char"/>
    <w:basedOn w:val="139"/>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1">
    <w:name w:val="Heading 8 Char"/>
    <w:basedOn w:val="139"/>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2">
    <w:name w:val="Heading 9 Char"/>
    <w:basedOn w:val="139"/>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3">
    <w:name w:val="Intense Quote"/>
    <w:basedOn w:val="1"/>
    <w:next w:val="1"/>
    <w:link w:val="164"/>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4">
    <w:name w:val="Intense Quote Char"/>
    <w:basedOn w:val="139"/>
    <w:link w:val="163"/>
    <w:qFormat/>
    <w:uiPriority w:val="30"/>
    <w:rPr>
      <w:b/>
      <w:bCs/>
      <w:i/>
      <w:iCs/>
      <w:color w:val="4F81BD" w:themeColor="accent1"/>
      <w14:textFill>
        <w14:solidFill>
          <w14:schemeClr w14:val="accent1"/>
        </w14:solidFill>
      </w14:textFill>
    </w:rPr>
  </w:style>
  <w:style w:type="character" w:customStyle="1" w:styleId="165">
    <w:name w:val="Subtle Emphasis"/>
    <w:basedOn w:val="139"/>
    <w:qFormat/>
    <w:uiPriority w:val="19"/>
    <w:rPr>
      <w:i/>
      <w:iCs/>
      <w:color w:val="808080" w:themeColor="text1" w:themeTint="80"/>
      <w14:textFill>
        <w14:solidFill>
          <w14:schemeClr w14:val="tx1">
            <w14:lumMod w14:val="50000"/>
            <w14:lumOff w14:val="50000"/>
          </w14:schemeClr>
        </w14:solidFill>
      </w14:textFill>
    </w:rPr>
  </w:style>
  <w:style w:type="character" w:customStyle="1" w:styleId="166">
    <w:name w:val="Intense Emphasis"/>
    <w:basedOn w:val="139"/>
    <w:qFormat/>
    <w:uiPriority w:val="21"/>
    <w:rPr>
      <w:b/>
      <w:bCs/>
      <w:i/>
      <w:iCs/>
      <w:color w:val="4F81BD" w:themeColor="accent1"/>
      <w14:textFill>
        <w14:solidFill>
          <w14:schemeClr w14:val="accent1"/>
        </w14:solidFill>
      </w14:textFill>
    </w:rPr>
  </w:style>
  <w:style w:type="character" w:customStyle="1" w:styleId="167">
    <w:name w:val="Subtle Reference"/>
    <w:basedOn w:val="139"/>
    <w:qFormat/>
    <w:uiPriority w:val="31"/>
    <w:rPr>
      <w:smallCaps/>
      <w:color w:val="C0504D" w:themeColor="accent2"/>
      <w:u w:val="single"/>
      <w14:textFill>
        <w14:solidFill>
          <w14:schemeClr w14:val="accent2"/>
        </w14:solidFill>
      </w14:textFill>
    </w:rPr>
  </w:style>
  <w:style w:type="character" w:customStyle="1" w:styleId="168">
    <w:name w:val="Intense Reference"/>
    <w:basedOn w:val="139"/>
    <w:qFormat/>
    <w:uiPriority w:val="32"/>
    <w:rPr>
      <w:b/>
      <w:bCs/>
      <w:smallCaps/>
      <w:color w:val="C0504D" w:themeColor="accent2"/>
      <w:spacing w:val="5"/>
      <w:u w:val="single"/>
      <w14:textFill>
        <w14:solidFill>
          <w14:schemeClr w14:val="accent2"/>
        </w14:solidFill>
      </w14:textFill>
    </w:rPr>
  </w:style>
  <w:style w:type="character" w:customStyle="1" w:styleId="169">
    <w:name w:val="Book Title"/>
    <w:basedOn w:val="139"/>
    <w:qFormat/>
    <w:uiPriority w:val="33"/>
    <w:rPr>
      <w:b/>
      <w:bCs/>
      <w:smallCaps/>
      <w:spacing w:val="5"/>
    </w:rPr>
  </w:style>
  <w:style w:type="paragraph" w:customStyle="1" w:styleId="170">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99a06e2e-6d35-4edd-909e-23e65fdfa615</errorID>
      <errorWord>2059999</errorWord>
      <group>L1_Grammar</group>
      <groupName>语法问题</groupName>
      <ability>L2_Grammar</ability>
      <abilityName>语法错误</abilityName>
      <candidateList>
        <item>20599</item>
      </candidateList>
      <explain/>
      <paraID>6199CE6F</paraID>
      <start>10</start>
      <end>17</end>
      <status>ignored</status>
      <modifiedWord/>
      <trackRevisions>false</trackRevisions>
    </reviewItem>
    <reviewItem>
      <errorID>211abd46-d814-49c5-88ee-449661867fc4</errorID>
      <errorWord>）支出</errorWord>
      <group>L1_Grammar</group>
      <groupName>语法问题</groupName>
      <ability>L2_Grammar</ability>
      <abilityName>语法错误</abilityName>
      <candidateList>
        <item>）</item>
      </candidateList>
      <explain/>
      <paraID>1DF79059</paraID>
      <start>12</start>
      <end>15</end>
      <status>ignored</status>
      <modifiedWord/>
      <trackRevisions>false</trackRevisions>
    </reviewItem>
    <reviewItem>
      <errorID>acbf5fd2-bd6e-4c8e-8fb0-dad327b6b3f0</errorID>
      <errorWord>：</errorWord>
      <group>L1_Punc</group>
      <groupName>标点问题</groupName>
      <ability>L2_Punc_CN</ability>
      <abilityName>标点符号问题</abilityName>
      <candidateList>
        <item/>
      </candidateList>
      <explain/>
      <paraID>687E2ED1</paraID>
      <start>24</start>
      <end>24</end>
      <status>modified</status>
      <modifiedWord/>
      <trackRevisions>false</trackRevisions>
    </reviewItem>
    <reviewItem>
      <errorID>ec0e3975-9506-4465-a2d6-65ce3894108d</errorID>
      <errorWord>：</errorWord>
      <group>L1_Punc</group>
      <groupName>标点问题</groupName>
      <ability>L2_Punc_CN</ability>
      <abilityName>标点符号问题</abilityName>
      <candidateList>
        <item/>
      </candidateList>
      <explain/>
      <paraID>5E27378A</paraID>
      <start>23</start>
      <end>23</end>
      <status>modified</status>
      <modifiedWord/>
      <trackRevisions>false</trackRevisions>
    </reviewItem>
    <reviewItem>
      <errorID>b819c6f6-ac0a-41cb-af3f-b952fcb6230b</errorID>
      <errorWord>相应</errorWord>
      <group>L1_Punc</group>
      <groupName>标点问题</groupName>
      <ability>L2_Punc_CN</ability>
      <abilityName>标点符号问题</abilityName>
      <candidateList>
        <item>，相应</item>
      </candidateList>
      <explain/>
      <paraID>245AA919</paraID>
      <start>104</start>
      <end>107</end>
      <status>modified</status>
      <modifiedWord>，相应</modifiedWord>
      <trackRevisions>false</trackRevisions>
    </reviewItem>
    <reviewItem>
      <errorID>0e5b4f98-cb28-418a-ae6c-115fd15c367a</errorID>
      <errorWord>195</errorWord>
      <group>L1_Grammar</group>
      <groupName>语法问题</groupName>
      <ability>L2_Grammar</ability>
      <abilityName>语法错误</abilityName>
      <candidateList>
        <item>决算195</item>
      </candidateList>
      <explain/>
      <paraID> 28591DE</paraID>
      <start>69</start>
      <end>72</end>
      <status>ignored</status>
      <modifiedWord/>
      <trackRevisions>false</trackRevisions>
    </reviewItem>
    <reviewItem>
      <errorID>6395a2de-5f1a-46b3-9b91-7c55c921e7db</errorID>
      <errorWord>5</errorWord>
      <group>L1_Grammar</group>
      <groupName>语法问题</groupName>
      <ability>L2_Grammar</ability>
      <abilityName>语法错误</abilityName>
      <candidateList>
        <item>决算5</item>
      </candidateList>
      <explain/>
      <paraID> C76E72C</paraID>
      <start>56</start>
      <end>57</end>
      <status>ignored</status>
      <modifiedWord/>
      <trackRevisions>false</trackRevisions>
    </reviewItem>
    <reviewItem>
      <errorID>4cb2a11b-b00e-4d4c-9341-2b4fc410c956</errorID>
      <errorWord>采取</errorWord>
      <group>L1_Word</group>
      <groupName>字词问题</groupName>
      <ability>L2_Typo</ability>
      <abilityName>字词错误</abilityName>
      <candidateList>
        <item>采购</item>
      </candidateList>
      <explain/>
      <paraID>50B78638</paraID>
      <start>69</start>
      <end>71</end>
      <status>modified</status>
      <modifiedWord>采购</modifiedWord>
      <trackRevisions>false</trackRevisions>
    </reviewItem>
    <reviewItem>
      <errorID>93568631-2a94-4fda-9089-2feefa638301</errorID>
      <errorWord>详见下</errorWord>
      <group>L1_Word</group>
      <groupName>字词问题</groupName>
      <ability>L2_Typo</ability>
      <abilityName>字词错误</abilityName>
      <candidateList>
        <item>详见</item>
      </candidateList>
      <explain/>
      <paraID>7C39B066</paraID>
      <start>59</start>
      <end>61</end>
      <status>modified</status>
      <modifiedWord>详见</modifiedWord>
      <trackRevisions>false</trackRevisions>
    </reviewItem>
    <reviewItem>
      <errorID>d0bf49e5-40a5-4001-b181-6d27f50544ff</errorID>
      <errorWord>研究决定</errorWord>
      <group>L1_Grammar</group>
      <groupName>语法问题</groupName>
      <ability>L2_Grammar</ability>
      <abilityName>语法错误</abilityName>
      <candidateList>
        <item>确定</item>
      </candidateList>
      <explain/>
      <paraID> 2565C99</paraID>
      <start>58</start>
      <end>60</end>
      <status>modified</status>
      <modifiedWord>确定</modifiedWord>
      <trackRevisions>false</trackRevisions>
    </reviewItem>
    <reviewItem>
      <errorID>efeabd6c-de18-4961-a8ae-ce2c55205bdf</errorID>
      <errorWord>以以</errorWord>
      <group>L1_Word</group>
      <groupName>字词问题</groupName>
      <ability>L2_Typo</ability>
      <abilityName>字词错误</abilityName>
      <candidateList>
        <item>以</item>
      </candidateList>
      <explain/>
      <paraID>15A17E47</paraID>
      <start>62</start>
      <end>63</end>
      <status>modified</status>
      <modifiedWord>以</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465cf5-0985-4492-8750-079187b44492}">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9471</Words>
  <Characters>11342</Characters>
  <Lines>1</Lines>
  <Paragraphs>1</Paragraphs>
  <TotalTime>6</TotalTime>
  <ScaleCrop>false</ScaleCrop>
  <LinksUpToDate>false</LinksUpToDate>
  <CharactersWithSpaces>11597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靜勤行遠</cp:lastModifiedBy>
  <dcterms:modified xsi:type="dcterms:W3CDTF">2026-09-18T04:47:08Z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879C9DF891BE4AB3A66F09D9617C2B9A_13</vt:lpwstr>
  </property>
  <property fmtid="{D5CDD505-2E9C-101B-9397-08002B2CF9AE}" pid="4" name="KSOTemplateDocerSaveRecord">
    <vt:lpwstr>eyJoZGlkIjoiNzgzOWU2Nzk0NjY4OWEzNzhjZmIzMzEwZDdlZmRiNmUiLCJ1c2VySWQiOiIzODQ4NzQ5NDAifQ==</vt:lpwstr>
  </property>
</Properties>
</file>