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CE78B">
      <w:pPr>
        <w:keepNext w:val="0"/>
        <w:keepLines w:val="0"/>
        <w:pageBreakBefore w:val="0"/>
        <w:widowControl/>
        <w:kinsoku/>
        <w:wordWrap/>
        <w:overflowPunct/>
        <w:topLinePunct w:val="0"/>
        <w:autoSpaceDE/>
        <w:autoSpaceDN/>
        <w:bidi w:val="0"/>
        <w:adjustRightInd/>
        <w:snapToGrid/>
        <w:spacing w:before="120" w:after="120" w:line="240" w:lineRule="auto"/>
        <w:jc w:val="center"/>
        <w:textAlignment w:val="auto"/>
        <w:rPr>
          <w:rFonts w:ascii="Times New Roman" w:hAnsi="Times New Roman" w:eastAsia="方正小标宋简体"/>
          <w:b/>
          <w:color w:val="000000"/>
          <w:sz w:val="84"/>
          <w:szCs w:val="84"/>
        </w:rPr>
      </w:pPr>
    </w:p>
    <w:p w14:paraId="60C59088">
      <w:pPr>
        <w:keepNext w:val="0"/>
        <w:keepLines w:val="0"/>
        <w:pageBreakBefore w:val="0"/>
        <w:widowControl/>
        <w:kinsoku/>
        <w:wordWrap/>
        <w:overflowPunct/>
        <w:topLinePunct w:val="0"/>
        <w:autoSpaceDE/>
        <w:autoSpaceDN/>
        <w:bidi w:val="0"/>
        <w:adjustRightInd/>
        <w:snapToGrid/>
        <w:spacing w:before="120" w:after="120" w:line="240" w:lineRule="auto"/>
        <w:jc w:val="center"/>
        <w:textAlignment w:val="auto"/>
        <w:rPr>
          <w:rFonts w:ascii="Times New Roman" w:hAnsi="Times New Roman" w:eastAsia="方正小标宋简体"/>
          <w:b/>
          <w:color w:val="000000"/>
          <w:sz w:val="84"/>
          <w:szCs w:val="84"/>
        </w:rPr>
      </w:pPr>
    </w:p>
    <w:p w14:paraId="057B7068">
      <w:pPr>
        <w:keepNext w:val="0"/>
        <w:keepLines w:val="0"/>
        <w:pageBreakBefore w:val="0"/>
        <w:widowControl/>
        <w:kinsoku/>
        <w:wordWrap/>
        <w:overflowPunct/>
        <w:topLinePunct w:val="0"/>
        <w:autoSpaceDE/>
        <w:autoSpaceDN/>
        <w:bidi w:val="0"/>
        <w:adjustRightInd/>
        <w:snapToGrid/>
        <w:spacing w:before="120" w:after="120" w:line="240" w:lineRule="auto"/>
        <w:jc w:val="center"/>
        <w:textAlignment w:val="auto"/>
        <w:rPr>
          <w:rFonts w:ascii="Times New Roman" w:hAnsi="Times New Roman" w:eastAsia="方正小标宋简体"/>
          <w:b/>
          <w:color w:val="000000"/>
          <w:sz w:val="84"/>
          <w:szCs w:val="84"/>
        </w:rPr>
      </w:pPr>
    </w:p>
    <w:p w14:paraId="0E247514">
      <w:pPr>
        <w:pStyle w:val="20"/>
        <w:widowControl w:val="0"/>
        <w:suppressAutoHyphens/>
        <w:spacing w:before="0" w:after="140"/>
        <w:jc w:val="center"/>
        <w:rPr>
          <w:rFonts w:hint="eastAsia" w:ascii="方正小标宋简体" w:hAnsi="宋体" w:eastAsia="方正小标宋简体" w:cs="Times New Roman"/>
          <w:kern w:val="2"/>
          <w:sz w:val="72"/>
          <w:szCs w:val="72"/>
          <w:lang w:eastAsia="zh-CN"/>
        </w:rPr>
      </w:pPr>
      <w:r>
        <w:rPr>
          <w:rFonts w:hint="eastAsia" w:ascii="方正小标宋简体" w:hAnsi="宋体" w:eastAsia="方正小标宋简体" w:cs="Times New Roman"/>
          <w:kern w:val="2"/>
          <w:sz w:val="72"/>
          <w:szCs w:val="72"/>
          <w:lang w:eastAsia="zh-CN"/>
        </w:rPr>
        <w:t>2025年度</w:t>
      </w:r>
    </w:p>
    <w:p w14:paraId="6D929817">
      <w:pPr>
        <w:pStyle w:val="20"/>
        <w:widowControl w:val="0"/>
        <w:suppressAutoHyphens/>
        <w:spacing w:before="0" w:after="140"/>
        <w:jc w:val="center"/>
        <w:rPr>
          <w:rFonts w:hint="eastAsia" w:ascii="方正小标宋简体" w:hAnsi="宋体" w:eastAsia="方正小标宋简体" w:cs="Times New Roman"/>
          <w:kern w:val="2"/>
          <w:sz w:val="72"/>
          <w:szCs w:val="72"/>
          <w:lang w:eastAsia="zh-CN"/>
        </w:rPr>
      </w:pPr>
      <w:r>
        <w:rPr>
          <w:rFonts w:hint="eastAsia" w:ascii="方正小标宋简体" w:hAnsi="宋体" w:eastAsia="方正小标宋简体" w:cs="Times New Roman"/>
          <w:kern w:val="2"/>
          <w:sz w:val="72"/>
          <w:szCs w:val="72"/>
          <w:lang w:eastAsia="zh-CN"/>
        </w:rPr>
        <w:t>阿坝州深化医药卫生体制改革领导小组办公室决算</w:t>
      </w:r>
    </w:p>
    <w:p w14:paraId="4C359B59">
      <w:pPr>
        <w:spacing w:before="0" w:after="0" w:line="400" w:lineRule="exact"/>
      </w:pPr>
    </w:p>
    <w:p w14:paraId="04D502E2">
      <w:pPr>
        <w:spacing w:before="0" w:after="120" w:line="560" w:lineRule="exact"/>
        <w:jc w:val="left"/>
        <w:rPr>
          <w:rFonts w:ascii="Times New Roman" w:hAnsi="Times New Roman" w:eastAsia="仿宋_GB2312"/>
          <w:b w:val="0"/>
          <w:color w:val="000000"/>
          <w:sz w:val="32"/>
        </w:rPr>
      </w:pPr>
    </w:p>
    <w:p w14:paraId="47F48929">
      <w:pPr>
        <w:spacing w:before="0" w:after="120" w:line="560" w:lineRule="exact"/>
        <w:jc w:val="left"/>
        <w:rPr>
          <w:rFonts w:ascii="Times New Roman" w:hAnsi="Times New Roman" w:eastAsia="仿宋_GB2312"/>
          <w:b w:val="0"/>
          <w:color w:val="000000"/>
          <w:sz w:val="32"/>
        </w:rPr>
      </w:pPr>
    </w:p>
    <w:p w14:paraId="562A0605">
      <w:pPr>
        <w:spacing w:before="0" w:after="120" w:line="560" w:lineRule="exact"/>
        <w:jc w:val="left"/>
        <w:rPr>
          <w:rFonts w:ascii="Times New Roman" w:hAnsi="Times New Roman" w:eastAsia="仿宋_GB2312"/>
          <w:b w:val="0"/>
          <w:color w:val="000000"/>
          <w:sz w:val="32"/>
        </w:rPr>
      </w:pPr>
    </w:p>
    <w:p w14:paraId="7D7037D4">
      <w:pPr>
        <w:spacing w:before="0" w:after="120" w:line="560" w:lineRule="exact"/>
        <w:jc w:val="left"/>
        <w:rPr>
          <w:rFonts w:ascii="Times New Roman" w:hAnsi="Times New Roman" w:eastAsia="仿宋_GB2312"/>
          <w:b w:val="0"/>
          <w:color w:val="000000"/>
          <w:sz w:val="32"/>
        </w:rPr>
      </w:pPr>
    </w:p>
    <w:p w14:paraId="1ABCCB68">
      <w:pPr>
        <w:spacing w:before="0" w:after="120" w:line="560" w:lineRule="exact"/>
        <w:jc w:val="left"/>
        <w:rPr>
          <w:rFonts w:ascii="Times New Roman" w:hAnsi="Times New Roman" w:eastAsia="仿宋_GB2312"/>
          <w:b w:val="0"/>
          <w:color w:val="000000"/>
          <w:sz w:val="32"/>
        </w:rPr>
      </w:pPr>
      <w:bookmarkStart w:id="45" w:name="_GoBack"/>
      <w:bookmarkEnd w:id="45"/>
    </w:p>
    <w:p w14:paraId="1F621F2A">
      <w:pPr>
        <w:spacing w:before="0" w:after="120" w:line="560" w:lineRule="exact"/>
        <w:jc w:val="left"/>
        <w:rPr>
          <w:rFonts w:ascii="Times New Roman" w:hAnsi="Times New Roman" w:eastAsia="仿宋_GB2312"/>
          <w:b w:val="0"/>
          <w:color w:val="000000"/>
          <w:sz w:val="32"/>
        </w:rPr>
      </w:pPr>
    </w:p>
    <w:p w14:paraId="1673EA4F">
      <w:pPr>
        <w:pStyle w:val="33"/>
      </w:pPr>
    </w:p>
    <w:p w14:paraId="24D0730D">
      <w:pPr>
        <w:widowControl/>
        <w:jc w:val="center"/>
        <w:rPr>
          <w:rFonts w:hint="default" w:ascii="仿宋" w:hAnsi="仿宋" w:eastAsia="仿宋"/>
          <w:b/>
          <w:sz w:val="24"/>
          <w:lang w:val="en-US"/>
        </w:rPr>
        <w:sectPr>
          <w:pgSz w:w="11906" w:h="16838"/>
          <w:pgMar w:top="1440" w:right="1800" w:bottom="1440" w:left="1800" w:header="720" w:footer="720" w:gutter="0"/>
          <w:pgNumType w:fmt="numberInDash" w:start="1"/>
          <w:cols w:space="720" w:num="1"/>
          <w:docGrid w:type="lines" w:linePitch="312" w:charSpace="0"/>
        </w:sectPr>
      </w:pPr>
      <w:r>
        <w:rPr>
          <w:rFonts w:hint="eastAsia" w:ascii="仿宋_GB2312" w:eastAsia="仿宋_GB2312" w:cs="仿宋_GB2312"/>
          <w:sz w:val="32"/>
          <w:szCs w:val="32"/>
        </w:rPr>
        <w:t>已经保密审查、内容审定，同意对外</w:t>
      </w:r>
      <w:r>
        <w:rPr>
          <w:rFonts w:hint="eastAsia" w:ascii="仿宋_GB2312" w:eastAsia="仿宋_GB2312" w:cs="仿宋_GB2312"/>
          <w:sz w:val="32"/>
          <w:szCs w:val="32"/>
          <w:lang w:eastAsia="zh-CN"/>
        </w:rPr>
        <w:t>公</w:t>
      </w:r>
      <w:r>
        <w:rPr>
          <w:rFonts w:hint="eastAsia" w:ascii="仿宋_GB2312" w:eastAsia="仿宋_GB2312" w:cs="仿宋_GB2312"/>
          <w:sz w:val="32"/>
          <w:szCs w:val="32"/>
          <w:lang w:val="en-US" w:eastAsia="zh-CN"/>
        </w:rPr>
        <w:t>开</w:t>
      </w:r>
    </w:p>
    <w:sdt>
      <w:sdtPr>
        <w:rPr>
          <w:rFonts w:hint="eastAsia" w:ascii="黑体" w:hAnsi="黑体" w:eastAsia="黑体" w:cs="黑体"/>
          <w:sz w:val="32"/>
          <w:szCs w:val="32"/>
          <w:lang w:val="en-US" w:eastAsia="en-US" w:bidi="ar-SA"/>
        </w:rPr>
        <w:id w:val="147478030"/>
        <w15:color w:val="DBDBDB"/>
        <w:docPartObj>
          <w:docPartGallery w:val="Table of Contents"/>
          <w:docPartUnique/>
        </w:docPartObj>
      </w:sdtPr>
      <w:sdtEndPr>
        <w:rPr>
          <w:rFonts w:hint="eastAsia" w:asciiTheme="minorHAnsi" w:hAnsiTheme="minorHAnsi" w:eastAsiaTheme="minorEastAsia" w:cstheme="minorBidi"/>
          <w:sz w:val="18"/>
          <w:szCs w:val="18"/>
          <w:lang w:val="en-US" w:eastAsia="zh-CN" w:bidi="ar-SA"/>
        </w:rPr>
      </w:sdtEndPr>
      <w:sdtContent>
        <w:p w14:paraId="2EAC6F72">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15CCA976">
          <w:pPr>
            <w:spacing w:before="0" w:after="120" w:line="560" w:lineRule="exact"/>
            <w:jc w:val="center"/>
            <w:rPr>
              <w:rFonts w:ascii="Times New Roman" w:hAnsi="Times New Roman" w:eastAsia="仿宋_GB2312"/>
              <w:b w:val="0"/>
              <w:color w:val="000000"/>
              <w:sz w:val="32"/>
            </w:rPr>
          </w:pPr>
          <w:r>
            <w:rPr>
              <w:rFonts w:ascii="Times New Roman" w:hAnsi="Times New Roman" w:eastAsia="仿宋_GB2312"/>
              <w:b w:val="0"/>
              <w:color w:val="000000"/>
              <w:sz w:val="32"/>
            </w:rPr>
            <w:t>公开时间：2026年9月18日</w:t>
          </w:r>
        </w:p>
        <w:p w14:paraId="5AA00F68">
          <w:pPr>
            <w:pStyle w:val="32"/>
          </w:pPr>
        </w:p>
        <w:p w14:paraId="0DFDD94C">
          <w:pPr>
            <w:pStyle w:val="29"/>
            <w:tabs>
              <w:tab w:val="right" w:leader="dot" w:pos="8845"/>
            </w:tabs>
          </w:pPr>
          <w:r>
            <w:rPr>
              <w:rFonts w:hint="eastAsia"/>
              <w:lang w:eastAsia="zh-CN"/>
            </w:rPr>
            <w:fldChar w:fldCharType="begin"/>
          </w:r>
          <w:r>
            <w:rPr>
              <w:rFonts w:hint="eastAsia"/>
              <w:lang w:eastAsia="zh-CN"/>
            </w:rPr>
            <w:instrText xml:space="preserve">TOC \o "1-2" \h \u </w:instrText>
          </w:r>
          <w:r>
            <w:rPr>
              <w:rFonts w:hint="eastAsia"/>
              <w:lang w:eastAsia="zh-CN"/>
            </w:rPr>
            <w:fldChar w:fldCharType="separate"/>
          </w:r>
          <w:r>
            <w:rPr>
              <w:rFonts w:hint="eastAsia"/>
              <w:lang w:eastAsia="zh-CN"/>
            </w:rPr>
            <w:fldChar w:fldCharType="begin"/>
          </w:r>
          <w:r>
            <w:rPr>
              <w:rFonts w:hint="eastAsia"/>
              <w:lang w:eastAsia="zh-CN"/>
            </w:rPr>
            <w:instrText xml:space="preserve"> HYPERLINK \l _Toc26333 </w:instrText>
          </w:r>
          <w:r>
            <w:rPr>
              <w:rFonts w:hint="eastAsia"/>
              <w:lang w:eastAsia="zh-CN"/>
            </w:rPr>
            <w:fldChar w:fldCharType="separate"/>
          </w:r>
          <w:r>
            <w:rPr>
              <w:rFonts w:hint="eastAsia" w:ascii="Times New Roman" w:hAnsi="Times New Roman" w:eastAsia="方正小标宋简体"/>
              <w:bCs/>
              <w:lang w:val="en-US" w:eastAsia="zh-CN"/>
            </w:rPr>
            <w:t>第一部分</w:t>
          </w:r>
          <w:r>
            <w:rPr>
              <w:rFonts w:ascii="Times New Roman" w:hAnsi="Times New Roman" w:eastAsia="方正小标宋简体"/>
              <w:bCs/>
            </w:rPr>
            <w:t xml:space="preserve"> 部门概况</w:t>
          </w:r>
          <w:r>
            <w:tab/>
          </w:r>
          <w:r>
            <w:fldChar w:fldCharType="begin"/>
          </w:r>
          <w:r>
            <w:instrText xml:space="preserve"> PAGEREF _Toc26333 \h </w:instrText>
          </w:r>
          <w:r>
            <w:fldChar w:fldCharType="separate"/>
          </w:r>
          <w:r>
            <w:t>- 1 -</w:t>
          </w:r>
          <w:r>
            <w:fldChar w:fldCharType="end"/>
          </w:r>
          <w:r>
            <w:rPr>
              <w:rFonts w:hint="eastAsia"/>
              <w:lang w:eastAsia="zh-CN"/>
            </w:rPr>
            <w:fldChar w:fldCharType="end"/>
          </w:r>
        </w:p>
        <w:p w14:paraId="440F930A">
          <w:pPr>
            <w:pStyle w:val="34"/>
            <w:tabs>
              <w:tab w:val="right" w:leader="dot" w:pos="8845"/>
            </w:tabs>
          </w:pPr>
          <w:r>
            <w:rPr>
              <w:rFonts w:hint="eastAsia"/>
              <w:lang w:eastAsia="zh-CN"/>
            </w:rPr>
            <w:fldChar w:fldCharType="begin"/>
          </w:r>
          <w:r>
            <w:rPr>
              <w:rFonts w:hint="eastAsia"/>
              <w:lang w:eastAsia="zh-CN"/>
            </w:rPr>
            <w:instrText xml:space="preserve"> HYPERLINK \l _Toc9865 </w:instrText>
          </w:r>
          <w:r>
            <w:rPr>
              <w:rFonts w:hint="eastAsia"/>
              <w:lang w:eastAsia="zh-CN"/>
            </w:rPr>
            <w:fldChar w:fldCharType="separate"/>
          </w:r>
          <w:r>
            <w:rPr>
              <w:rFonts w:ascii="Times New Roman" w:hAnsi="Times New Roman" w:eastAsia="黑体"/>
              <w:bCs/>
            </w:rPr>
            <w:t>一、部门职责</w:t>
          </w:r>
          <w:r>
            <w:tab/>
          </w:r>
          <w:r>
            <w:fldChar w:fldCharType="begin"/>
          </w:r>
          <w:r>
            <w:instrText xml:space="preserve"> PAGEREF _Toc9865 \h </w:instrText>
          </w:r>
          <w:r>
            <w:fldChar w:fldCharType="separate"/>
          </w:r>
          <w:r>
            <w:t>- 1 -</w:t>
          </w:r>
          <w:r>
            <w:fldChar w:fldCharType="end"/>
          </w:r>
          <w:r>
            <w:rPr>
              <w:rFonts w:hint="eastAsia"/>
              <w:lang w:eastAsia="zh-CN"/>
            </w:rPr>
            <w:fldChar w:fldCharType="end"/>
          </w:r>
        </w:p>
        <w:p w14:paraId="490242B8">
          <w:pPr>
            <w:pStyle w:val="34"/>
            <w:tabs>
              <w:tab w:val="right" w:leader="dot" w:pos="8845"/>
            </w:tabs>
          </w:pPr>
          <w:r>
            <w:rPr>
              <w:rFonts w:hint="eastAsia"/>
              <w:lang w:eastAsia="zh-CN"/>
            </w:rPr>
            <w:fldChar w:fldCharType="begin"/>
          </w:r>
          <w:r>
            <w:rPr>
              <w:rFonts w:hint="eastAsia"/>
              <w:lang w:eastAsia="zh-CN"/>
            </w:rPr>
            <w:instrText xml:space="preserve"> HYPERLINK \l _Toc32665 </w:instrText>
          </w:r>
          <w:r>
            <w:rPr>
              <w:rFonts w:hint="eastAsia"/>
              <w:lang w:eastAsia="zh-CN"/>
            </w:rPr>
            <w:fldChar w:fldCharType="separate"/>
          </w:r>
          <w:r>
            <w:rPr>
              <w:rFonts w:ascii="Times New Roman" w:hAnsi="Times New Roman" w:eastAsia="黑体"/>
              <w:bCs/>
            </w:rPr>
            <w:t>二、机构设置</w:t>
          </w:r>
          <w:r>
            <w:tab/>
          </w:r>
          <w:r>
            <w:fldChar w:fldCharType="begin"/>
          </w:r>
          <w:r>
            <w:instrText xml:space="preserve"> PAGEREF _Toc32665 \h </w:instrText>
          </w:r>
          <w:r>
            <w:fldChar w:fldCharType="separate"/>
          </w:r>
          <w:r>
            <w:t>- 1 -</w:t>
          </w:r>
          <w:r>
            <w:fldChar w:fldCharType="end"/>
          </w:r>
          <w:r>
            <w:rPr>
              <w:rFonts w:hint="eastAsia"/>
              <w:lang w:eastAsia="zh-CN"/>
            </w:rPr>
            <w:fldChar w:fldCharType="end"/>
          </w:r>
        </w:p>
        <w:p w14:paraId="32595083">
          <w:pPr>
            <w:pStyle w:val="29"/>
            <w:tabs>
              <w:tab w:val="right" w:leader="dot" w:pos="8845"/>
            </w:tabs>
          </w:pPr>
          <w:r>
            <w:rPr>
              <w:rFonts w:hint="eastAsia"/>
              <w:lang w:eastAsia="zh-CN"/>
            </w:rPr>
            <w:fldChar w:fldCharType="begin"/>
          </w:r>
          <w:r>
            <w:rPr>
              <w:rFonts w:hint="eastAsia"/>
              <w:lang w:eastAsia="zh-CN"/>
            </w:rPr>
            <w:instrText xml:space="preserve"> HYPERLINK \l _Toc16413 </w:instrText>
          </w:r>
          <w:r>
            <w:rPr>
              <w:rFonts w:hint="eastAsia"/>
              <w:lang w:eastAsia="zh-CN"/>
            </w:rPr>
            <w:fldChar w:fldCharType="separate"/>
          </w:r>
          <w:r>
            <w:rPr>
              <w:rFonts w:hint="eastAsia" w:ascii="Times New Roman" w:hAnsi="Times New Roman" w:eastAsia="方正小标宋简体"/>
              <w:bCs/>
              <w:lang w:val="en-US" w:eastAsia="zh-CN"/>
            </w:rPr>
            <w:t>第二部分</w:t>
          </w:r>
          <w:r>
            <w:rPr>
              <w:rFonts w:ascii="Times New Roman" w:hAnsi="Times New Roman" w:eastAsia="方正小标宋简体"/>
              <w:bCs/>
            </w:rPr>
            <w:t xml:space="preserve"> 2025年度部门决算情况说明</w:t>
          </w:r>
          <w:r>
            <w:tab/>
          </w:r>
          <w:r>
            <w:fldChar w:fldCharType="begin"/>
          </w:r>
          <w:r>
            <w:instrText xml:space="preserve"> PAGEREF _Toc16413 \h </w:instrText>
          </w:r>
          <w:r>
            <w:fldChar w:fldCharType="separate"/>
          </w:r>
          <w:r>
            <w:t>- 2 -</w:t>
          </w:r>
          <w:r>
            <w:fldChar w:fldCharType="end"/>
          </w:r>
          <w:r>
            <w:rPr>
              <w:rFonts w:hint="eastAsia"/>
              <w:lang w:eastAsia="zh-CN"/>
            </w:rPr>
            <w:fldChar w:fldCharType="end"/>
          </w:r>
        </w:p>
        <w:p w14:paraId="43239B35">
          <w:pPr>
            <w:pStyle w:val="34"/>
            <w:tabs>
              <w:tab w:val="right" w:leader="dot" w:pos="8845"/>
            </w:tabs>
          </w:pPr>
          <w:r>
            <w:rPr>
              <w:rFonts w:hint="eastAsia"/>
              <w:lang w:eastAsia="zh-CN"/>
            </w:rPr>
            <w:fldChar w:fldCharType="begin"/>
          </w:r>
          <w:r>
            <w:rPr>
              <w:rFonts w:hint="eastAsia"/>
              <w:lang w:eastAsia="zh-CN"/>
            </w:rPr>
            <w:instrText xml:space="preserve"> HYPERLINK \l _Toc8104 </w:instrText>
          </w:r>
          <w:r>
            <w:rPr>
              <w:rFonts w:hint="eastAsia"/>
              <w:lang w:eastAsia="zh-CN"/>
            </w:rPr>
            <w:fldChar w:fldCharType="separate"/>
          </w:r>
          <w:r>
            <w:rPr>
              <w:rFonts w:ascii="Times New Roman" w:hAnsi="Times New Roman" w:eastAsia="黑体"/>
              <w:bCs/>
            </w:rPr>
            <w:t>一、收入支出决算总体情况说明</w:t>
          </w:r>
          <w:r>
            <w:tab/>
          </w:r>
          <w:r>
            <w:fldChar w:fldCharType="begin"/>
          </w:r>
          <w:r>
            <w:instrText xml:space="preserve"> PAGEREF _Toc8104 \h </w:instrText>
          </w:r>
          <w:r>
            <w:fldChar w:fldCharType="separate"/>
          </w:r>
          <w:r>
            <w:t>- 2 -</w:t>
          </w:r>
          <w:r>
            <w:fldChar w:fldCharType="end"/>
          </w:r>
          <w:r>
            <w:rPr>
              <w:rFonts w:hint="eastAsia"/>
              <w:lang w:eastAsia="zh-CN"/>
            </w:rPr>
            <w:fldChar w:fldCharType="end"/>
          </w:r>
        </w:p>
        <w:p w14:paraId="31E4DBB3">
          <w:pPr>
            <w:pStyle w:val="34"/>
            <w:tabs>
              <w:tab w:val="right" w:leader="dot" w:pos="8845"/>
            </w:tabs>
          </w:pPr>
          <w:r>
            <w:rPr>
              <w:rFonts w:hint="eastAsia"/>
              <w:lang w:eastAsia="zh-CN"/>
            </w:rPr>
            <w:fldChar w:fldCharType="begin"/>
          </w:r>
          <w:r>
            <w:rPr>
              <w:rFonts w:hint="eastAsia"/>
              <w:lang w:eastAsia="zh-CN"/>
            </w:rPr>
            <w:instrText xml:space="preserve"> HYPERLINK \l _Toc20789 </w:instrText>
          </w:r>
          <w:r>
            <w:rPr>
              <w:rFonts w:hint="eastAsia"/>
              <w:lang w:eastAsia="zh-CN"/>
            </w:rPr>
            <w:fldChar w:fldCharType="separate"/>
          </w:r>
          <w:r>
            <w:rPr>
              <w:rFonts w:ascii="Times New Roman" w:hAnsi="Times New Roman" w:eastAsia="黑体"/>
              <w:bCs/>
            </w:rPr>
            <w:t>二、收入决算情况说明</w:t>
          </w:r>
          <w:r>
            <w:tab/>
          </w:r>
          <w:r>
            <w:fldChar w:fldCharType="begin"/>
          </w:r>
          <w:r>
            <w:instrText xml:space="preserve"> PAGEREF _Toc20789 \h </w:instrText>
          </w:r>
          <w:r>
            <w:fldChar w:fldCharType="separate"/>
          </w:r>
          <w:r>
            <w:t>- 2 -</w:t>
          </w:r>
          <w:r>
            <w:fldChar w:fldCharType="end"/>
          </w:r>
          <w:r>
            <w:rPr>
              <w:rFonts w:hint="eastAsia"/>
              <w:lang w:eastAsia="zh-CN"/>
            </w:rPr>
            <w:fldChar w:fldCharType="end"/>
          </w:r>
        </w:p>
        <w:p w14:paraId="01519E83">
          <w:pPr>
            <w:pStyle w:val="34"/>
            <w:tabs>
              <w:tab w:val="right" w:leader="dot" w:pos="8845"/>
            </w:tabs>
          </w:pPr>
          <w:r>
            <w:rPr>
              <w:rFonts w:hint="eastAsia"/>
              <w:lang w:eastAsia="zh-CN"/>
            </w:rPr>
            <w:fldChar w:fldCharType="begin"/>
          </w:r>
          <w:r>
            <w:rPr>
              <w:rFonts w:hint="eastAsia"/>
              <w:lang w:eastAsia="zh-CN"/>
            </w:rPr>
            <w:instrText xml:space="preserve"> HYPERLINK \l _Toc29109 </w:instrText>
          </w:r>
          <w:r>
            <w:rPr>
              <w:rFonts w:hint="eastAsia"/>
              <w:lang w:eastAsia="zh-CN"/>
            </w:rPr>
            <w:fldChar w:fldCharType="separate"/>
          </w:r>
          <w:r>
            <w:rPr>
              <w:rFonts w:ascii="Times New Roman" w:hAnsi="Times New Roman" w:eastAsia="黑体"/>
              <w:bCs/>
            </w:rPr>
            <w:t>三、支出决算情况说明</w:t>
          </w:r>
          <w:r>
            <w:tab/>
          </w:r>
          <w:r>
            <w:fldChar w:fldCharType="begin"/>
          </w:r>
          <w:r>
            <w:instrText xml:space="preserve"> PAGEREF _Toc29109 \h </w:instrText>
          </w:r>
          <w:r>
            <w:fldChar w:fldCharType="separate"/>
          </w:r>
          <w:r>
            <w:t>- 3 -</w:t>
          </w:r>
          <w:r>
            <w:fldChar w:fldCharType="end"/>
          </w:r>
          <w:r>
            <w:rPr>
              <w:rFonts w:hint="eastAsia"/>
              <w:lang w:eastAsia="zh-CN"/>
            </w:rPr>
            <w:fldChar w:fldCharType="end"/>
          </w:r>
        </w:p>
        <w:p w14:paraId="03C01CC3">
          <w:pPr>
            <w:pStyle w:val="34"/>
            <w:tabs>
              <w:tab w:val="right" w:leader="dot" w:pos="8845"/>
            </w:tabs>
          </w:pPr>
          <w:r>
            <w:rPr>
              <w:rFonts w:hint="eastAsia"/>
              <w:lang w:eastAsia="zh-CN"/>
            </w:rPr>
            <w:fldChar w:fldCharType="begin"/>
          </w:r>
          <w:r>
            <w:rPr>
              <w:rFonts w:hint="eastAsia"/>
              <w:lang w:eastAsia="zh-CN"/>
            </w:rPr>
            <w:instrText xml:space="preserve"> HYPERLINK \l _Toc16302 </w:instrText>
          </w:r>
          <w:r>
            <w:rPr>
              <w:rFonts w:hint="eastAsia"/>
              <w:lang w:eastAsia="zh-CN"/>
            </w:rPr>
            <w:fldChar w:fldCharType="separate"/>
          </w:r>
          <w:r>
            <w:rPr>
              <w:rFonts w:ascii="Times New Roman" w:hAnsi="Times New Roman" w:eastAsia="黑体"/>
              <w:bCs/>
            </w:rPr>
            <w:t>四、财政拨款收入支出决算总体情况说明</w:t>
          </w:r>
          <w:r>
            <w:tab/>
          </w:r>
          <w:r>
            <w:fldChar w:fldCharType="begin"/>
          </w:r>
          <w:r>
            <w:instrText xml:space="preserve"> PAGEREF _Toc16302 \h </w:instrText>
          </w:r>
          <w:r>
            <w:fldChar w:fldCharType="separate"/>
          </w:r>
          <w:r>
            <w:t>- 4 -</w:t>
          </w:r>
          <w:r>
            <w:fldChar w:fldCharType="end"/>
          </w:r>
          <w:r>
            <w:rPr>
              <w:rFonts w:hint="eastAsia"/>
              <w:lang w:eastAsia="zh-CN"/>
            </w:rPr>
            <w:fldChar w:fldCharType="end"/>
          </w:r>
        </w:p>
        <w:p w14:paraId="50F4F54A">
          <w:pPr>
            <w:pStyle w:val="34"/>
            <w:tabs>
              <w:tab w:val="right" w:leader="dot" w:pos="8845"/>
            </w:tabs>
          </w:pPr>
          <w:r>
            <w:rPr>
              <w:rFonts w:hint="eastAsia"/>
              <w:lang w:eastAsia="zh-CN"/>
            </w:rPr>
            <w:fldChar w:fldCharType="begin"/>
          </w:r>
          <w:r>
            <w:rPr>
              <w:rFonts w:hint="eastAsia"/>
              <w:lang w:eastAsia="zh-CN"/>
            </w:rPr>
            <w:instrText xml:space="preserve"> HYPERLINK \l _Toc6786 </w:instrText>
          </w:r>
          <w:r>
            <w:rPr>
              <w:rFonts w:hint="eastAsia"/>
              <w:lang w:eastAsia="zh-CN"/>
            </w:rPr>
            <w:fldChar w:fldCharType="separate"/>
          </w:r>
          <w:r>
            <w:rPr>
              <w:rFonts w:ascii="Times New Roman" w:hAnsi="Times New Roman" w:eastAsia="黑体"/>
              <w:bCs/>
            </w:rPr>
            <w:t>五、一般公共预算财政拨款支出决算情况说明</w:t>
          </w:r>
          <w:r>
            <w:tab/>
          </w:r>
          <w:r>
            <w:fldChar w:fldCharType="begin"/>
          </w:r>
          <w:r>
            <w:instrText xml:space="preserve"> PAGEREF _Toc6786 \h </w:instrText>
          </w:r>
          <w:r>
            <w:fldChar w:fldCharType="separate"/>
          </w:r>
          <w:r>
            <w:t>- 5 -</w:t>
          </w:r>
          <w:r>
            <w:fldChar w:fldCharType="end"/>
          </w:r>
          <w:r>
            <w:rPr>
              <w:rFonts w:hint="eastAsia"/>
              <w:lang w:eastAsia="zh-CN"/>
            </w:rPr>
            <w:fldChar w:fldCharType="end"/>
          </w:r>
        </w:p>
        <w:p w14:paraId="16E25B43">
          <w:pPr>
            <w:pStyle w:val="34"/>
            <w:tabs>
              <w:tab w:val="right" w:leader="dot" w:pos="8845"/>
            </w:tabs>
          </w:pPr>
          <w:r>
            <w:rPr>
              <w:rFonts w:hint="eastAsia"/>
              <w:lang w:eastAsia="zh-CN"/>
            </w:rPr>
            <w:fldChar w:fldCharType="begin"/>
          </w:r>
          <w:r>
            <w:rPr>
              <w:rFonts w:hint="eastAsia"/>
              <w:lang w:eastAsia="zh-CN"/>
            </w:rPr>
            <w:instrText xml:space="preserve"> HYPERLINK \l _Toc570 </w:instrText>
          </w:r>
          <w:r>
            <w:rPr>
              <w:rFonts w:hint="eastAsia"/>
              <w:lang w:eastAsia="zh-CN"/>
            </w:rPr>
            <w:fldChar w:fldCharType="separate"/>
          </w:r>
          <w:r>
            <w:rPr>
              <w:rFonts w:ascii="Times New Roman" w:hAnsi="Times New Roman" w:eastAsia="黑体"/>
              <w:bCs/>
            </w:rPr>
            <w:t>六、一般公共预算财政拨款基本支出决算情况说明</w:t>
          </w:r>
          <w:r>
            <w:tab/>
          </w:r>
          <w:r>
            <w:fldChar w:fldCharType="begin"/>
          </w:r>
          <w:r>
            <w:instrText xml:space="preserve"> PAGEREF _Toc570 \h </w:instrText>
          </w:r>
          <w:r>
            <w:fldChar w:fldCharType="separate"/>
          </w:r>
          <w:r>
            <w:t>- 7 -</w:t>
          </w:r>
          <w:r>
            <w:fldChar w:fldCharType="end"/>
          </w:r>
          <w:r>
            <w:rPr>
              <w:rFonts w:hint="eastAsia"/>
              <w:lang w:eastAsia="zh-CN"/>
            </w:rPr>
            <w:fldChar w:fldCharType="end"/>
          </w:r>
        </w:p>
        <w:p w14:paraId="1E2E2328">
          <w:pPr>
            <w:pStyle w:val="34"/>
            <w:tabs>
              <w:tab w:val="right" w:leader="dot" w:pos="8845"/>
            </w:tabs>
          </w:pPr>
          <w:r>
            <w:rPr>
              <w:rFonts w:hint="eastAsia"/>
              <w:lang w:eastAsia="zh-CN"/>
            </w:rPr>
            <w:fldChar w:fldCharType="begin"/>
          </w:r>
          <w:r>
            <w:rPr>
              <w:rFonts w:hint="eastAsia"/>
              <w:lang w:eastAsia="zh-CN"/>
            </w:rPr>
            <w:instrText xml:space="preserve"> HYPERLINK \l _Toc20263 </w:instrText>
          </w:r>
          <w:r>
            <w:rPr>
              <w:rFonts w:hint="eastAsia"/>
              <w:lang w:eastAsia="zh-CN"/>
            </w:rPr>
            <w:fldChar w:fldCharType="separate"/>
          </w:r>
          <w:r>
            <w:rPr>
              <w:rFonts w:ascii="Times New Roman" w:hAnsi="Times New Roman" w:eastAsia="黑体"/>
              <w:bCs/>
            </w:rPr>
            <w:t>七、财政拨款“三公”经费支出决算情况说明</w:t>
          </w:r>
          <w:r>
            <w:tab/>
          </w:r>
          <w:r>
            <w:fldChar w:fldCharType="begin"/>
          </w:r>
          <w:r>
            <w:instrText xml:space="preserve"> PAGEREF _Toc20263 \h </w:instrText>
          </w:r>
          <w:r>
            <w:fldChar w:fldCharType="separate"/>
          </w:r>
          <w:r>
            <w:t>- 7 -</w:t>
          </w:r>
          <w:r>
            <w:fldChar w:fldCharType="end"/>
          </w:r>
          <w:r>
            <w:rPr>
              <w:rFonts w:hint="eastAsia"/>
              <w:lang w:eastAsia="zh-CN"/>
            </w:rPr>
            <w:fldChar w:fldCharType="end"/>
          </w:r>
        </w:p>
        <w:p w14:paraId="6DF477A9">
          <w:pPr>
            <w:pStyle w:val="34"/>
            <w:tabs>
              <w:tab w:val="right" w:leader="dot" w:pos="8845"/>
            </w:tabs>
          </w:pPr>
          <w:r>
            <w:rPr>
              <w:rFonts w:hint="eastAsia"/>
              <w:lang w:eastAsia="zh-CN"/>
            </w:rPr>
            <w:fldChar w:fldCharType="begin"/>
          </w:r>
          <w:r>
            <w:rPr>
              <w:rFonts w:hint="eastAsia"/>
              <w:lang w:eastAsia="zh-CN"/>
            </w:rPr>
            <w:instrText xml:space="preserve"> HYPERLINK \l _Toc22031 </w:instrText>
          </w:r>
          <w:r>
            <w:rPr>
              <w:rFonts w:hint="eastAsia"/>
              <w:lang w:eastAsia="zh-CN"/>
            </w:rPr>
            <w:fldChar w:fldCharType="separate"/>
          </w:r>
          <w:r>
            <w:rPr>
              <w:rFonts w:ascii="Times New Roman" w:hAnsi="Times New Roman" w:eastAsia="黑体"/>
              <w:bCs/>
            </w:rPr>
            <w:t>九、国有资本经营预算支出决算情况说明</w:t>
          </w:r>
          <w:r>
            <w:tab/>
          </w:r>
          <w:r>
            <w:fldChar w:fldCharType="begin"/>
          </w:r>
          <w:r>
            <w:instrText xml:space="preserve"> PAGEREF _Toc22031 \h </w:instrText>
          </w:r>
          <w:r>
            <w:fldChar w:fldCharType="separate"/>
          </w:r>
          <w:r>
            <w:t>- 9 -</w:t>
          </w:r>
          <w:r>
            <w:fldChar w:fldCharType="end"/>
          </w:r>
          <w:r>
            <w:rPr>
              <w:rFonts w:hint="eastAsia"/>
              <w:lang w:eastAsia="zh-CN"/>
            </w:rPr>
            <w:fldChar w:fldCharType="end"/>
          </w:r>
        </w:p>
        <w:p w14:paraId="2A543B77">
          <w:pPr>
            <w:pStyle w:val="34"/>
            <w:tabs>
              <w:tab w:val="right" w:leader="dot" w:pos="8845"/>
            </w:tabs>
          </w:pPr>
          <w:r>
            <w:rPr>
              <w:rFonts w:hint="eastAsia"/>
              <w:lang w:eastAsia="zh-CN"/>
            </w:rPr>
            <w:fldChar w:fldCharType="begin"/>
          </w:r>
          <w:r>
            <w:rPr>
              <w:rFonts w:hint="eastAsia"/>
              <w:lang w:eastAsia="zh-CN"/>
            </w:rPr>
            <w:instrText xml:space="preserve"> HYPERLINK \l _Toc19068 </w:instrText>
          </w:r>
          <w:r>
            <w:rPr>
              <w:rFonts w:hint="eastAsia"/>
              <w:lang w:eastAsia="zh-CN"/>
            </w:rPr>
            <w:fldChar w:fldCharType="separate"/>
          </w:r>
          <w:r>
            <w:rPr>
              <w:rFonts w:ascii="Times New Roman" w:hAnsi="Times New Roman" w:eastAsia="黑体"/>
              <w:bCs/>
            </w:rPr>
            <w:t>十、其他重要事项的情况说明</w:t>
          </w:r>
          <w:r>
            <w:tab/>
          </w:r>
          <w:r>
            <w:fldChar w:fldCharType="begin"/>
          </w:r>
          <w:r>
            <w:instrText xml:space="preserve"> PAGEREF _Toc19068 \h </w:instrText>
          </w:r>
          <w:r>
            <w:fldChar w:fldCharType="separate"/>
          </w:r>
          <w:r>
            <w:t>- 9 -</w:t>
          </w:r>
          <w:r>
            <w:fldChar w:fldCharType="end"/>
          </w:r>
          <w:r>
            <w:rPr>
              <w:rFonts w:hint="eastAsia"/>
              <w:lang w:eastAsia="zh-CN"/>
            </w:rPr>
            <w:fldChar w:fldCharType="end"/>
          </w:r>
        </w:p>
        <w:p w14:paraId="67395E7D">
          <w:pPr>
            <w:pStyle w:val="29"/>
            <w:tabs>
              <w:tab w:val="right" w:leader="dot" w:pos="8845"/>
            </w:tabs>
          </w:pPr>
          <w:r>
            <w:rPr>
              <w:rFonts w:hint="eastAsia"/>
              <w:lang w:eastAsia="zh-CN"/>
            </w:rPr>
            <w:fldChar w:fldCharType="begin"/>
          </w:r>
          <w:r>
            <w:rPr>
              <w:rFonts w:hint="eastAsia"/>
              <w:lang w:eastAsia="zh-CN"/>
            </w:rPr>
            <w:instrText xml:space="preserve"> HYPERLINK \l _Toc6969 </w:instrText>
          </w:r>
          <w:r>
            <w:rPr>
              <w:rFonts w:hint="eastAsia"/>
              <w:lang w:eastAsia="zh-CN"/>
            </w:rPr>
            <w:fldChar w:fldCharType="separate"/>
          </w:r>
          <w:r>
            <w:rPr>
              <w:rFonts w:hint="eastAsia" w:ascii="Times New Roman" w:hAnsi="Times New Roman" w:eastAsia="方正小标宋简体"/>
              <w:bCs/>
            </w:rPr>
            <w:t xml:space="preserve">第三部分 </w:t>
          </w:r>
          <w:r>
            <w:rPr>
              <w:rFonts w:ascii="Times New Roman" w:hAnsi="Times New Roman" w:eastAsia="方正小标宋简体"/>
              <w:bCs/>
            </w:rPr>
            <w:t>名词解释</w:t>
          </w:r>
          <w:r>
            <w:tab/>
          </w:r>
          <w:r>
            <w:fldChar w:fldCharType="begin"/>
          </w:r>
          <w:r>
            <w:instrText xml:space="preserve"> PAGEREF _Toc6969 \h </w:instrText>
          </w:r>
          <w:r>
            <w:fldChar w:fldCharType="separate"/>
          </w:r>
          <w:r>
            <w:t>- 10 -</w:t>
          </w:r>
          <w:r>
            <w:fldChar w:fldCharType="end"/>
          </w:r>
          <w:r>
            <w:rPr>
              <w:rFonts w:hint="eastAsia"/>
              <w:lang w:eastAsia="zh-CN"/>
            </w:rPr>
            <w:fldChar w:fldCharType="end"/>
          </w:r>
        </w:p>
        <w:p w14:paraId="7F6DAC74">
          <w:pPr>
            <w:keepNext w:val="0"/>
            <w:keepLines w:val="0"/>
            <w:widowControl/>
            <w:suppressLineNumbers w:val="0"/>
            <w:spacing w:before="0" w:beforeAutospacing="1" w:after="200" w:afterAutospacing="0" w:line="578" w:lineRule="exact"/>
            <w:ind w:left="0" w:right="0"/>
            <w:contextualSpacing/>
            <w:jc w:val="both"/>
          </w:pPr>
          <w:r>
            <w:rPr>
              <w:rFonts w:hint="eastAsia"/>
              <w:lang w:eastAsia="zh-CN"/>
            </w:rPr>
            <w:fldChar w:fldCharType="begin"/>
          </w:r>
          <w:r>
            <w:rPr>
              <w:rFonts w:hint="eastAsia"/>
              <w:lang w:eastAsia="zh-CN"/>
            </w:rPr>
            <w:instrText xml:space="preserve"> HYPERLINK \l _Toc676 </w:instrText>
          </w:r>
          <w:r>
            <w:rPr>
              <w:rFonts w:hint="eastAsia"/>
              <w:lang w:eastAsia="zh-CN"/>
            </w:rPr>
            <w:fldChar w:fldCharType="separate"/>
          </w:r>
          <w:r>
            <w:rPr>
              <w:rFonts w:hint="eastAsia" w:ascii="Times New Roman" w:hAnsi="Times New Roman" w:eastAsia="方正小标宋简体"/>
              <w:bCs/>
            </w:rPr>
            <w:t xml:space="preserve">第四部分 </w:t>
          </w:r>
          <w:r>
            <w:rPr>
              <w:rFonts w:ascii="Times New Roman" w:hAnsi="Times New Roman" w:eastAsia="方正小标宋简体"/>
              <w:bCs/>
            </w:rPr>
            <w:t>附件</w:t>
          </w:r>
          <w:r>
            <w:rPr>
              <w:rFonts w:hint="eastAsia" w:ascii="Times New Roman" w:hAnsi="Times New Roman" w:eastAsia="方正小标宋简体" w:cstheme="minorBidi"/>
              <w:bCs/>
              <w:sz w:val="22"/>
              <w:szCs w:val="22"/>
              <w:lang w:val="en-US" w:eastAsia="zh-CN" w:bidi="ar-SA"/>
            </w:rPr>
            <w:t>阿坝州卫生健康委员会部门预算绩效自评报告.............................................</w:t>
          </w:r>
          <w:r>
            <w:fldChar w:fldCharType="begin"/>
          </w:r>
          <w:r>
            <w:instrText xml:space="preserve"> PAGEREF _Toc676 \h </w:instrText>
          </w:r>
          <w:r>
            <w:fldChar w:fldCharType="separate"/>
          </w:r>
          <w:r>
            <w:t>- 12 -</w:t>
          </w:r>
          <w:r>
            <w:fldChar w:fldCharType="end"/>
          </w:r>
          <w:r>
            <w:rPr>
              <w:rFonts w:hint="eastAsia"/>
              <w:lang w:eastAsia="zh-CN"/>
            </w:rPr>
            <w:fldChar w:fldCharType="end"/>
          </w:r>
        </w:p>
        <w:p w14:paraId="65DEA5B0">
          <w:pPr>
            <w:pStyle w:val="29"/>
            <w:tabs>
              <w:tab w:val="right" w:leader="dot" w:pos="8845"/>
            </w:tabs>
          </w:pPr>
          <w:r>
            <w:rPr>
              <w:rFonts w:hint="eastAsia"/>
              <w:lang w:eastAsia="zh-CN"/>
            </w:rPr>
            <w:fldChar w:fldCharType="begin"/>
          </w:r>
          <w:r>
            <w:rPr>
              <w:rFonts w:hint="eastAsia"/>
              <w:lang w:eastAsia="zh-CN"/>
            </w:rPr>
            <w:instrText xml:space="preserve"> HYPERLINK \l _Toc21618 </w:instrText>
          </w:r>
          <w:r>
            <w:rPr>
              <w:rFonts w:hint="eastAsia"/>
              <w:lang w:eastAsia="zh-CN"/>
            </w:rPr>
            <w:fldChar w:fldCharType="separate"/>
          </w:r>
          <w:r>
            <w:rPr>
              <w:rFonts w:hint="eastAsia" w:ascii="黑体" w:hAnsi="宋体" w:eastAsia="黑体" w:cs="黑体"/>
              <w:kern w:val="0"/>
              <w:szCs w:val="32"/>
              <w:shd w:val="clear" w:fill="FFFFFF"/>
              <w:lang w:val="en-US" w:eastAsia="zh-CN" w:bidi="ar"/>
            </w:rPr>
            <w:t>一、部门（单位）基本情况</w:t>
          </w:r>
          <w:r>
            <w:tab/>
          </w:r>
          <w:r>
            <w:fldChar w:fldCharType="begin"/>
          </w:r>
          <w:r>
            <w:instrText xml:space="preserve"> PAGEREF _Toc21618 \h </w:instrText>
          </w:r>
          <w:r>
            <w:fldChar w:fldCharType="separate"/>
          </w:r>
          <w:r>
            <w:t>- 12 -</w:t>
          </w:r>
          <w:r>
            <w:fldChar w:fldCharType="end"/>
          </w:r>
          <w:r>
            <w:rPr>
              <w:rFonts w:hint="eastAsia"/>
              <w:lang w:eastAsia="zh-CN"/>
            </w:rPr>
            <w:fldChar w:fldCharType="end"/>
          </w:r>
        </w:p>
        <w:p w14:paraId="7693198C">
          <w:pPr>
            <w:pStyle w:val="34"/>
            <w:tabs>
              <w:tab w:val="right" w:leader="dot" w:pos="8845"/>
            </w:tabs>
          </w:pPr>
          <w:r>
            <w:rPr>
              <w:rFonts w:hint="eastAsia"/>
              <w:lang w:eastAsia="zh-CN"/>
            </w:rPr>
            <w:fldChar w:fldCharType="begin"/>
          </w:r>
          <w:r>
            <w:rPr>
              <w:rFonts w:hint="eastAsia"/>
              <w:lang w:eastAsia="zh-CN"/>
            </w:rPr>
            <w:instrText xml:space="preserve"> HYPERLINK \l _Toc18443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（一）机构组成</w:t>
          </w:r>
          <w:r>
            <w:tab/>
          </w:r>
          <w:r>
            <w:fldChar w:fldCharType="begin"/>
          </w:r>
          <w:r>
            <w:instrText xml:space="preserve"> PAGEREF _Toc18443 \h </w:instrText>
          </w:r>
          <w:r>
            <w:fldChar w:fldCharType="separate"/>
          </w:r>
          <w:r>
            <w:t>- 13 -</w:t>
          </w:r>
          <w:r>
            <w:fldChar w:fldCharType="end"/>
          </w:r>
          <w:r>
            <w:rPr>
              <w:rFonts w:hint="eastAsia"/>
              <w:lang w:eastAsia="zh-CN"/>
            </w:rPr>
            <w:fldChar w:fldCharType="end"/>
          </w:r>
        </w:p>
        <w:p w14:paraId="35C720C8">
          <w:pPr>
            <w:pStyle w:val="34"/>
            <w:tabs>
              <w:tab w:val="right" w:leader="dot" w:pos="8845"/>
            </w:tabs>
          </w:pPr>
          <w:r>
            <w:rPr>
              <w:rFonts w:hint="eastAsia"/>
              <w:lang w:eastAsia="zh-CN"/>
            </w:rPr>
            <w:fldChar w:fldCharType="begin"/>
          </w:r>
          <w:r>
            <w:rPr>
              <w:rFonts w:hint="eastAsia"/>
              <w:lang w:eastAsia="zh-CN"/>
            </w:rPr>
            <w:instrText xml:space="preserve"> HYPERLINK \l _Toc28322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（二）机构职能</w:t>
          </w:r>
          <w:r>
            <w:tab/>
          </w:r>
          <w:r>
            <w:fldChar w:fldCharType="begin"/>
          </w:r>
          <w:r>
            <w:instrText xml:space="preserve"> PAGEREF _Toc28322 \h </w:instrText>
          </w:r>
          <w:r>
            <w:fldChar w:fldCharType="separate"/>
          </w:r>
          <w:r>
            <w:t>- 13 -</w:t>
          </w:r>
          <w:r>
            <w:fldChar w:fldCharType="end"/>
          </w:r>
          <w:r>
            <w:rPr>
              <w:rFonts w:hint="eastAsia"/>
              <w:lang w:eastAsia="zh-CN"/>
            </w:rPr>
            <w:fldChar w:fldCharType="end"/>
          </w:r>
        </w:p>
        <w:p w14:paraId="5C8D36E0">
          <w:pPr>
            <w:pStyle w:val="34"/>
            <w:tabs>
              <w:tab w:val="right" w:leader="dot" w:pos="8845"/>
            </w:tabs>
          </w:pPr>
          <w:r>
            <w:rPr>
              <w:rFonts w:hint="eastAsia"/>
              <w:lang w:eastAsia="zh-CN"/>
            </w:rPr>
            <w:fldChar w:fldCharType="begin"/>
          </w:r>
          <w:r>
            <w:rPr>
              <w:rFonts w:hint="eastAsia"/>
              <w:lang w:eastAsia="zh-CN"/>
            </w:rPr>
            <w:instrText xml:space="preserve"> HYPERLINK \l _Toc356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（三）人员概况</w:t>
          </w:r>
          <w:r>
            <w:tab/>
          </w:r>
          <w:r>
            <w:fldChar w:fldCharType="begin"/>
          </w:r>
          <w:r>
            <w:instrText xml:space="preserve"> PAGEREF _Toc356 \h </w:instrText>
          </w:r>
          <w:r>
            <w:fldChar w:fldCharType="separate"/>
          </w:r>
          <w:r>
            <w:t>- 15 -</w:t>
          </w:r>
          <w:r>
            <w:fldChar w:fldCharType="end"/>
          </w:r>
          <w:r>
            <w:rPr>
              <w:rFonts w:hint="eastAsia"/>
              <w:lang w:eastAsia="zh-CN"/>
            </w:rPr>
            <w:fldChar w:fldCharType="end"/>
          </w:r>
        </w:p>
        <w:p w14:paraId="4C546C3E">
          <w:pPr>
            <w:pStyle w:val="29"/>
            <w:tabs>
              <w:tab w:val="right" w:leader="dot" w:pos="8845"/>
            </w:tabs>
          </w:pPr>
          <w:r>
            <w:rPr>
              <w:rFonts w:hint="eastAsia"/>
              <w:lang w:eastAsia="zh-CN"/>
            </w:rPr>
            <w:fldChar w:fldCharType="begin"/>
          </w:r>
          <w:r>
            <w:rPr>
              <w:rFonts w:hint="eastAsia"/>
              <w:lang w:eastAsia="zh-CN"/>
            </w:rPr>
            <w:instrText xml:space="preserve"> HYPERLINK \l _Toc21881 </w:instrText>
          </w:r>
          <w:r>
            <w:rPr>
              <w:rFonts w:hint="eastAsia"/>
              <w:lang w:eastAsia="zh-CN"/>
            </w:rPr>
            <w:fldChar w:fldCharType="separate"/>
          </w:r>
          <w:r>
            <w:rPr>
              <w:rFonts w:hint="eastAsia" w:ascii="黑体" w:hAnsi="宋体" w:eastAsia="黑体" w:cs="黑体"/>
              <w:kern w:val="0"/>
              <w:szCs w:val="32"/>
              <w:shd w:val="clear" w:fill="FFFFFF"/>
              <w:lang w:val="en-US" w:eastAsia="zh-CN" w:bidi="ar"/>
            </w:rPr>
            <w:t>二、部门资金收支情况</w:t>
          </w:r>
          <w:r>
            <w:tab/>
          </w:r>
          <w:r>
            <w:fldChar w:fldCharType="begin"/>
          </w:r>
          <w:r>
            <w:instrText xml:space="preserve"> PAGEREF _Toc21881 \h </w:instrText>
          </w:r>
          <w:r>
            <w:fldChar w:fldCharType="separate"/>
          </w:r>
          <w:r>
            <w:t>- 16 -</w:t>
          </w:r>
          <w:r>
            <w:fldChar w:fldCharType="end"/>
          </w:r>
          <w:r>
            <w:rPr>
              <w:rFonts w:hint="eastAsia"/>
              <w:lang w:eastAsia="zh-CN"/>
            </w:rPr>
            <w:fldChar w:fldCharType="end"/>
          </w:r>
        </w:p>
        <w:p w14:paraId="02F01B30">
          <w:pPr>
            <w:pStyle w:val="34"/>
            <w:tabs>
              <w:tab w:val="right" w:leader="dot" w:pos="8845"/>
            </w:tabs>
          </w:pPr>
          <w:r>
            <w:rPr>
              <w:rFonts w:hint="eastAsia"/>
              <w:lang w:eastAsia="zh-CN"/>
            </w:rPr>
            <w:fldChar w:fldCharType="begin"/>
          </w:r>
          <w:r>
            <w:rPr>
              <w:rFonts w:hint="eastAsia"/>
              <w:lang w:eastAsia="zh-CN"/>
            </w:rPr>
            <w:instrText xml:space="preserve"> HYPERLINK \l _Toc5212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（一）收入情况</w:t>
          </w:r>
          <w:r>
            <w:tab/>
          </w:r>
          <w:r>
            <w:fldChar w:fldCharType="begin"/>
          </w:r>
          <w:r>
            <w:instrText xml:space="preserve"> PAGEREF _Toc5212 \h </w:instrText>
          </w:r>
          <w:r>
            <w:fldChar w:fldCharType="separate"/>
          </w:r>
          <w:r>
            <w:t>- 16 -</w:t>
          </w:r>
          <w:r>
            <w:fldChar w:fldCharType="end"/>
          </w:r>
          <w:r>
            <w:rPr>
              <w:rFonts w:hint="eastAsia"/>
              <w:lang w:eastAsia="zh-CN"/>
            </w:rPr>
            <w:fldChar w:fldCharType="end"/>
          </w:r>
        </w:p>
        <w:p w14:paraId="54668712">
          <w:pPr>
            <w:pStyle w:val="34"/>
            <w:tabs>
              <w:tab w:val="right" w:leader="dot" w:pos="8845"/>
            </w:tabs>
          </w:pPr>
          <w:r>
            <w:rPr>
              <w:rFonts w:hint="eastAsia"/>
              <w:lang w:eastAsia="zh-CN"/>
            </w:rPr>
            <w:fldChar w:fldCharType="begin"/>
          </w:r>
          <w:r>
            <w:rPr>
              <w:rFonts w:hint="eastAsia"/>
              <w:lang w:eastAsia="zh-CN"/>
            </w:rPr>
            <w:instrText xml:space="preserve"> HYPERLINK \l _Toc17856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（二）支出情况</w:t>
          </w:r>
          <w:r>
            <w:tab/>
          </w:r>
          <w:r>
            <w:fldChar w:fldCharType="begin"/>
          </w:r>
          <w:r>
            <w:instrText xml:space="preserve"> PAGEREF _Toc17856 \h </w:instrText>
          </w:r>
          <w:r>
            <w:fldChar w:fldCharType="separate"/>
          </w:r>
          <w:r>
            <w:t>- 16 -</w:t>
          </w:r>
          <w:r>
            <w:fldChar w:fldCharType="end"/>
          </w:r>
          <w:r>
            <w:rPr>
              <w:rFonts w:hint="eastAsia"/>
              <w:lang w:eastAsia="zh-CN"/>
            </w:rPr>
            <w:fldChar w:fldCharType="end"/>
          </w:r>
        </w:p>
        <w:p w14:paraId="5851CBE7">
          <w:pPr>
            <w:pStyle w:val="34"/>
            <w:tabs>
              <w:tab w:val="right" w:leader="dot" w:pos="8845"/>
            </w:tabs>
          </w:pPr>
          <w:r>
            <w:rPr>
              <w:rFonts w:hint="eastAsia"/>
              <w:lang w:eastAsia="zh-CN"/>
            </w:rPr>
            <w:fldChar w:fldCharType="begin"/>
          </w:r>
          <w:r>
            <w:rPr>
              <w:rFonts w:hint="eastAsia"/>
              <w:lang w:eastAsia="zh-CN"/>
            </w:rPr>
            <w:instrText xml:space="preserve"> HYPERLINK \l _Toc18718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（三）</w:t>
          </w:r>
          <w:r>
            <w:rPr>
              <w:rFonts w:hint="eastAsia" w:ascii="楷体_GB2312" w:hAnsi="Times New Roman" w:eastAsia="楷体_GB2312" w:cs="楷体_GB2312"/>
              <w:bCs w:val="0"/>
              <w:kern w:val="0"/>
              <w:szCs w:val="32"/>
              <w:lang w:val="en-US" w:eastAsia="zh-CN" w:bidi="ar"/>
            </w:rPr>
            <w:t>结余分配和结转结余情况</w:t>
          </w:r>
          <w:r>
            <w:tab/>
          </w:r>
          <w:r>
            <w:fldChar w:fldCharType="begin"/>
          </w:r>
          <w:r>
            <w:instrText xml:space="preserve"> PAGEREF _Toc18718 \h </w:instrText>
          </w:r>
          <w:r>
            <w:fldChar w:fldCharType="separate"/>
          </w:r>
          <w:r>
            <w:t>- 17 -</w:t>
          </w:r>
          <w:r>
            <w:fldChar w:fldCharType="end"/>
          </w:r>
          <w:r>
            <w:rPr>
              <w:rFonts w:hint="eastAsia"/>
              <w:lang w:eastAsia="zh-CN"/>
            </w:rPr>
            <w:fldChar w:fldCharType="end"/>
          </w:r>
        </w:p>
        <w:p w14:paraId="37648104">
          <w:pPr>
            <w:pStyle w:val="29"/>
            <w:tabs>
              <w:tab w:val="right" w:leader="dot" w:pos="8845"/>
            </w:tabs>
          </w:pPr>
          <w:r>
            <w:rPr>
              <w:rFonts w:hint="eastAsia"/>
              <w:lang w:eastAsia="zh-CN"/>
            </w:rPr>
            <w:fldChar w:fldCharType="begin"/>
          </w:r>
          <w:r>
            <w:rPr>
              <w:rFonts w:hint="eastAsia"/>
              <w:lang w:eastAsia="zh-CN"/>
            </w:rPr>
            <w:instrText xml:space="preserve"> HYPERLINK \l _Toc4950 </w:instrText>
          </w:r>
          <w:r>
            <w:rPr>
              <w:rFonts w:hint="eastAsia"/>
              <w:lang w:eastAsia="zh-CN"/>
            </w:rPr>
            <w:fldChar w:fldCharType="separate"/>
          </w:r>
          <w:r>
            <w:rPr>
              <w:rFonts w:hint="eastAsia" w:ascii="黑体" w:hAnsi="宋体" w:eastAsia="黑体" w:cs="黑体"/>
              <w:kern w:val="0"/>
              <w:szCs w:val="32"/>
              <w:shd w:val="clear" w:fill="FFFFFF"/>
              <w:lang w:val="en-US" w:eastAsia="zh-CN" w:bidi="ar"/>
            </w:rPr>
            <w:t>三、部门预算绩效分析</w:t>
          </w:r>
          <w:r>
            <w:tab/>
          </w:r>
          <w:r>
            <w:fldChar w:fldCharType="begin"/>
          </w:r>
          <w:r>
            <w:instrText xml:space="preserve"> PAGEREF _Toc4950 \h </w:instrText>
          </w:r>
          <w:r>
            <w:fldChar w:fldCharType="separate"/>
          </w:r>
          <w:r>
            <w:t>- 17 -</w:t>
          </w:r>
          <w:r>
            <w:fldChar w:fldCharType="end"/>
          </w:r>
          <w:r>
            <w:rPr>
              <w:rFonts w:hint="eastAsia"/>
              <w:lang w:eastAsia="zh-CN"/>
            </w:rPr>
            <w:fldChar w:fldCharType="end"/>
          </w:r>
        </w:p>
        <w:p w14:paraId="20D00F18">
          <w:pPr>
            <w:pStyle w:val="34"/>
            <w:tabs>
              <w:tab w:val="right" w:leader="dot" w:pos="8845"/>
            </w:tabs>
          </w:pPr>
          <w:r>
            <w:rPr>
              <w:rFonts w:hint="eastAsia"/>
              <w:lang w:eastAsia="zh-CN"/>
            </w:rPr>
            <w:fldChar w:fldCharType="begin"/>
          </w:r>
          <w:r>
            <w:rPr>
              <w:rFonts w:hint="eastAsia"/>
              <w:lang w:eastAsia="zh-CN"/>
            </w:rPr>
            <w:instrText xml:space="preserve"> HYPERLINK \l _Toc9959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（一）部门预算总体绩效分析</w:t>
          </w:r>
          <w:r>
            <w:tab/>
          </w:r>
          <w:r>
            <w:fldChar w:fldCharType="begin"/>
          </w:r>
          <w:r>
            <w:instrText xml:space="preserve"> PAGEREF _Toc9959 \h </w:instrText>
          </w:r>
          <w:r>
            <w:fldChar w:fldCharType="separate"/>
          </w:r>
          <w:r>
            <w:t>- 18 -</w:t>
          </w:r>
          <w:r>
            <w:fldChar w:fldCharType="end"/>
          </w:r>
          <w:r>
            <w:rPr>
              <w:rFonts w:hint="eastAsia"/>
              <w:lang w:eastAsia="zh-CN"/>
            </w:rPr>
            <w:fldChar w:fldCharType="end"/>
          </w:r>
        </w:p>
        <w:p w14:paraId="4CCB6E48">
          <w:pPr>
            <w:pStyle w:val="34"/>
            <w:tabs>
              <w:tab w:val="right" w:leader="dot" w:pos="8845"/>
            </w:tabs>
          </w:pPr>
          <w:r>
            <w:rPr>
              <w:rFonts w:hint="eastAsia"/>
              <w:lang w:eastAsia="zh-CN"/>
            </w:rPr>
            <w:fldChar w:fldCharType="begin"/>
          </w:r>
          <w:r>
            <w:rPr>
              <w:rFonts w:hint="eastAsia"/>
              <w:lang w:eastAsia="zh-CN"/>
            </w:rPr>
            <w:instrText xml:space="preserve"> HYPERLINK \l _Toc2038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（二）部门预算项目绩效分析</w:t>
          </w:r>
          <w:r>
            <w:tab/>
          </w:r>
          <w:r>
            <w:fldChar w:fldCharType="begin"/>
          </w:r>
          <w:r>
            <w:instrText xml:space="preserve"> PAGEREF _Toc2038 \h </w:instrText>
          </w:r>
          <w:r>
            <w:fldChar w:fldCharType="separate"/>
          </w:r>
          <w:r>
            <w:t>- 25 -</w:t>
          </w:r>
          <w:r>
            <w:fldChar w:fldCharType="end"/>
          </w:r>
          <w:r>
            <w:rPr>
              <w:rFonts w:hint="eastAsia"/>
              <w:lang w:eastAsia="zh-CN"/>
            </w:rPr>
            <w:fldChar w:fldCharType="end"/>
          </w:r>
        </w:p>
        <w:p w14:paraId="1AB85825">
          <w:pPr>
            <w:pStyle w:val="34"/>
            <w:tabs>
              <w:tab w:val="right" w:leader="dot" w:pos="8845"/>
            </w:tabs>
          </w:pPr>
          <w:r>
            <w:rPr>
              <w:rFonts w:hint="eastAsia"/>
              <w:lang w:eastAsia="zh-CN"/>
            </w:rPr>
            <w:fldChar w:fldCharType="begin"/>
          </w:r>
          <w:r>
            <w:rPr>
              <w:rFonts w:hint="eastAsia"/>
              <w:lang w:eastAsia="zh-CN"/>
            </w:rPr>
            <w:instrText xml:space="preserve"> HYPERLINK \l _Toc31283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（三）</w:t>
          </w:r>
          <w:r>
            <w:rPr>
              <w:rFonts w:hint="eastAsia" w:ascii="楷体_GB2312" w:hAnsi="Times New Roman" w:eastAsia="楷体_GB2312" w:cs="楷体_GB2312"/>
              <w:bCs/>
              <w:kern w:val="0"/>
              <w:szCs w:val="32"/>
              <w:lang w:val="en-US" w:eastAsia="zh-CN" w:bidi="ar"/>
            </w:rPr>
            <w:t>绩效结果应用情况</w:t>
          </w:r>
          <w:r>
            <w:tab/>
          </w:r>
          <w:r>
            <w:fldChar w:fldCharType="begin"/>
          </w:r>
          <w:r>
            <w:instrText xml:space="preserve"> PAGEREF _Toc31283 \h </w:instrText>
          </w:r>
          <w:r>
            <w:fldChar w:fldCharType="separate"/>
          </w:r>
          <w:r>
            <w:t>- 27 -</w:t>
          </w:r>
          <w:r>
            <w:fldChar w:fldCharType="end"/>
          </w:r>
          <w:r>
            <w:rPr>
              <w:rFonts w:hint="eastAsia"/>
              <w:lang w:eastAsia="zh-CN"/>
            </w:rPr>
            <w:fldChar w:fldCharType="end"/>
          </w:r>
        </w:p>
        <w:p w14:paraId="10FC7D28">
          <w:pPr>
            <w:pStyle w:val="29"/>
            <w:tabs>
              <w:tab w:val="right" w:leader="dot" w:pos="8845"/>
            </w:tabs>
          </w:pPr>
          <w:r>
            <w:rPr>
              <w:rFonts w:hint="eastAsia"/>
              <w:lang w:eastAsia="zh-CN"/>
            </w:rPr>
            <w:fldChar w:fldCharType="begin"/>
          </w:r>
          <w:r>
            <w:rPr>
              <w:rFonts w:hint="eastAsia"/>
              <w:lang w:eastAsia="zh-CN"/>
            </w:rPr>
            <w:instrText xml:space="preserve"> HYPERLINK \l _Toc26929 </w:instrText>
          </w:r>
          <w:r>
            <w:rPr>
              <w:rFonts w:hint="eastAsia"/>
              <w:lang w:eastAsia="zh-CN"/>
            </w:rPr>
            <w:fldChar w:fldCharType="separate"/>
          </w:r>
          <w:r>
            <w:rPr>
              <w:rFonts w:hint="eastAsia" w:ascii="黑体" w:hAnsi="宋体" w:eastAsia="黑体" w:cs="黑体"/>
              <w:kern w:val="0"/>
              <w:szCs w:val="32"/>
              <w:shd w:val="clear" w:fill="FFFFFF"/>
              <w:lang w:val="en-US" w:eastAsia="zh-CN" w:bidi="ar"/>
            </w:rPr>
            <w:t>四、评价结论及建议</w:t>
          </w:r>
          <w:r>
            <w:tab/>
          </w:r>
          <w:r>
            <w:fldChar w:fldCharType="begin"/>
          </w:r>
          <w:r>
            <w:instrText xml:space="preserve"> PAGEREF _Toc26929 \h </w:instrText>
          </w:r>
          <w:r>
            <w:fldChar w:fldCharType="separate"/>
          </w:r>
          <w:r>
            <w:t>- 28 -</w:t>
          </w:r>
          <w:r>
            <w:fldChar w:fldCharType="end"/>
          </w:r>
          <w:r>
            <w:rPr>
              <w:rFonts w:hint="eastAsia"/>
              <w:lang w:eastAsia="zh-CN"/>
            </w:rPr>
            <w:fldChar w:fldCharType="end"/>
          </w:r>
        </w:p>
        <w:p w14:paraId="2631219F">
          <w:pPr>
            <w:pStyle w:val="34"/>
            <w:tabs>
              <w:tab w:val="right" w:leader="dot" w:pos="8845"/>
            </w:tabs>
          </w:pPr>
          <w:r>
            <w:rPr>
              <w:rFonts w:hint="eastAsia"/>
              <w:lang w:eastAsia="zh-CN"/>
            </w:rPr>
            <w:fldChar w:fldCharType="begin"/>
          </w:r>
          <w:r>
            <w:rPr>
              <w:rFonts w:hint="eastAsia"/>
              <w:lang w:eastAsia="zh-CN"/>
            </w:rPr>
            <w:instrText xml:space="preserve"> HYPERLINK \l _Toc31047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（一）评价结论</w:t>
          </w:r>
          <w:r>
            <w:tab/>
          </w:r>
          <w:r>
            <w:fldChar w:fldCharType="begin"/>
          </w:r>
          <w:r>
            <w:instrText xml:space="preserve"> PAGEREF _Toc31047 \h </w:instrText>
          </w:r>
          <w:r>
            <w:fldChar w:fldCharType="separate"/>
          </w:r>
          <w:r>
            <w:t>- 28 -</w:t>
          </w:r>
          <w:r>
            <w:fldChar w:fldCharType="end"/>
          </w:r>
          <w:r>
            <w:rPr>
              <w:rFonts w:hint="eastAsia"/>
              <w:lang w:eastAsia="zh-CN"/>
            </w:rPr>
            <w:fldChar w:fldCharType="end"/>
          </w:r>
        </w:p>
        <w:p w14:paraId="6E1F8A39">
          <w:pPr>
            <w:pStyle w:val="34"/>
            <w:tabs>
              <w:tab w:val="right" w:leader="dot" w:pos="8845"/>
            </w:tabs>
          </w:pPr>
          <w:r>
            <w:rPr>
              <w:rFonts w:hint="eastAsia"/>
              <w:lang w:eastAsia="zh-CN"/>
            </w:rPr>
            <w:fldChar w:fldCharType="begin"/>
          </w:r>
          <w:r>
            <w:rPr>
              <w:rFonts w:hint="eastAsia"/>
              <w:lang w:eastAsia="zh-CN"/>
            </w:rPr>
            <w:instrText xml:space="preserve"> HYPERLINK \l _Toc26440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（二）存在问题</w:t>
          </w:r>
          <w:r>
            <w:tab/>
          </w:r>
          <w:r>
            <w:fldChar w:fldCharType="begin"/>
          </w:r>
          <w:r>
            <w:instrText xml:space="preserve"> PAGEREF _Toc26440 \h </w:instrText>
          </w:r>
          <w:r>
            <w:fldChar w:fldCharType="separate"/>
          </w:r>
          <w:r>
            <w:t>- 28 -</w:t>
          </w:r>
          <w:r>
            <w:fldChar w:fldCharType="end"/>
          </w:r>
          <w:r>
            <w:rPr>
              <w:rFonts w:hint="eastAsia"/>
              <w:lang w:eastAsia="zh-CN"/>
            </w:rPr>
            <w:fldChar w:fldCharType="end"/>
          </w:r>
        </w:p>
        <w:p w14:paraId="2E3A849D">
          <w:pPr>
            <w:pStyle w:val="34"/>
            <w:tabs>
              <w:tab w:val="right" w:leader="dot" w:pos="8845"/>
            </w:tabs>
          </w:pPr>
          <w:r>
            <w:rPr>
              <w:rFonts w:hint="eastAsia"/>
              <w:lang w:eastAsia="zh-CN"/>
            </w:rPr>
            <w:fldChar w:fldCharType="begin"/>
          </w:r>
          <w:r>
            <w:rPr>
              <w:rFonts w:hint="eastAsia"/>
              <w:lang w:eastAsia="zh-CN"/>
            </w:rPr>
            <w:instrText xml:space="preserve"> HYPERLINK \l _Toc25130 </w:instrText>
          </w:r>
          <w:r>
            <w:rPr>
              <w:rFonts w:hint="eastAsia"/>
              <w:lang w:eastAsia="zh-CN"/>
            </w:rPr>
            <w:fldChar w:fldCharType="separate"/>
          </w:r>
          <w:r>
            <w:rPr>
              <w:rFonts w:hint="eastAsia" w:ascii="楷体_GB2312" w:hAnsi="Times New Roman" w:eastAsia="楷体_GB2312" w:cs="楷体_GB2312"/>
              <w:bCs/>
              <w:kern w:val="0"/>
              <w:szCs w:val="32"/>
              <w:shd w:val="clear" w:fill="FFFFFF"/>
              <w:lang w:val="en-US" w:eastAsia="zh-CN" w:bidi="ar"/>
            </w:rPr>
            <w:t>（三）改进建议</w:t>
          </w:r>
          <w:r>
            <w:tab/>
          </w:r>
          <w:r>
            <w:fldChar w:fldCharType="begin"/>
          </w:r>
          <w:r>
            <w:instrText xml:space="preserve"> PAGEREF _Toc25130 \h </w:instrText>
          </w:r>
          <w:r>
            <w:fldChar w:fldCharType="separate"/>
          </w:r>
          <w:r>
            <w:t>- 29 -</w:t>
          </w:r>
          <w:r>
            <w:fldChar w:fldCharType="end"/>
          </w:r>
          <w:r>
            <w:rPr>
              <w:rFonts w:hint="eastAsia"/>
              <w:lang w:eastAsia="zh-CN"/>
            </w:rPr>
            <w:fldChar w:fldCharType="end"/>
          </w:r>
        </w:p>
        <w:p w14:paraId="42DE875F">
          <w:pPr>
            <w:pStyle w:val="29"/>
            <w:tabs>
              <w:tab w:val="right" w:leader="dot" w:pos="8845"/>
            </w:tabs>
          </w:pPr>
          <w:r>
            <w:rPr>
              <w:rFonts w:hint="eastAsia"/>
              <w:lang w:eastAsia="zh-CN"/>
            </w:rPr>
            <w:fldChar w:fldCharType="begin"/>
          </w:r>
          <w:r>
            <w:rPr>
              <w:rFonts w:hint="eastAsia"/>
              <w:lang w:eastAsia="zh-CN"/>
            </w:rPr>
            <w:instrText xml:space="preserve"> HYPERLINK \l _Toc969 </w:instrText>
          </w:r>
          <w:r>
            <w:rPr>
              <w:rFonts w:hint="eastAsia"/>
              <w:lang w:eastAsia="zh-CN"/>
            </w:rPr>
            <w:fldChar w:fldCharType="separate"/>
          </w:r>
          <w:r>
            <w:rPr>
              <w:rFonts w:hint="eastAsia" w:ascii="Times New Roman" w:hAnsi="Times New Roman" w:eastAsia="方正小标宋简体"/>
              <w:bCs/>
            </w:rPr>
            <w:t xml:space="preserve">第五部分 </w:t>
          </w:r>
          <w:r>
            <w:rPr>
              <w:rFonts w:ascii="Times New Roman" w:hAnsi="Times New Roman" w:eastAsia="方正小标宋简体"/>
              <w:bCs/>
            </w:rPr>
            <w:t>附表</w:t>
          </w:r>
          <w:r>
            <w:tab/>
          </w:r>
          <w:r>
            <w:fldChar w:fldCharType="begin"/>
          </w:r>
          <w:r>
            <w:instrText xml:space="preserve"> PAGEREF _Toc969 \h </w:instrText>
          </w:r>
          <w:r>
            <w:fldChar w:fldCharType="separate"/>
          </w:r>
          <w:r>
            <w:t>- 35 -</w:t>
          </w:r>
          <w:r>
            <w:fldChar w:fldCharType="end"/>
          </w:r>
          <w:r>
            <w:rPr>
              <w:rFonts w:hint="eastAsia"/>
              <w:lang w:eastAsia="zh-CN"/>
            </w:rPr>
            <w:fldChar w:fldCharType="end"/>
          </w:r>
        </w:p>
        <w:p w14:paraId="59CBC0EC">
          <w:pPr>
            <w:pStyle w:val="34"/>
            <w:tabs>
              <w:tab w:val="right" w:leader="dot" w:pos="8845"/>
            </w:tabs>
          </w:pPr>
          <w:r>
            <w:rPr>
              <w:rFonts w:hint="eastAsia"/>
              <w:lang w:eastAsia="zh-CN"/>
            </w:rPr>
            <w:fldChar w:fldCharType="begin"/>
          </w:r>
          <w:r>
            <w:rPr>
              <w:rFonts w:hint="eastAsia"/>
              <w:lang w:eastAsia="zh-CN"/>
            </w:rPr>
            <w:instrText xml:space="preserve"> HYPERLINK \l _Toc1353 </w:instrText>
          </w:r>
          <w:r>
            <w:rPr>
              <w:rFonts w:hint="eastAsia"/>
              <w:lang w:eastAsia="zh-CN"/>
            </w:rPr>
            <w:fldChar w:fldCharType="separate"/>
          </w:r>
          <w:r>
            <w:rPr>
              <w:rFonts w:ascii="Times New Roman" w:hAnsi="Times New Roman" w:eastAsia="黑体"/>
              <w:bCs/>
            </w:rPr>
            <w:t>一、收入支出决算总表（公开01表）</w:t>
          </w:r>
          <w:r>
            <w:tab/>
          </w:r>
          <w:r>
            <w:fldChar w:fldCharType="begin"/>
          </w:r>
          <w:r>
            <w:instrText xml:space="preserve"> PAGEREF _Toc1353 \h </w:instrText>
          </w:r>
          <w:r>
            <w:fldChar w:fldCharType="separate"/>
          </w:r>
          <w:r>
            <w:t>- 35 -</w:t>
          </w:r>
          <w:r>
            <w:fldChar w:fldCharType="end"/>
          </w:r>
          <w:r>
            <w:rPr>
              <w:rFonts w:hint="eastAsia"/>
              <w:lang w:eastAsia="zh-CN"/>
            </w:rPr>
            <w:fldChar w:fldCharType="end"/>
          </w:r>
        </w:p>
        <w:p w14:paraId="0417B4FF">
          <w:pPr>
            <w:pStyle w:val="34"/>
            <w:tabs>
              <w:tab w:val="right" w:leader="dot" w:pos="8845"/>
            </w:tabs>
          </w:pPr>
          <w:r>
            <w:rPr>
              <w:rFonts w:hint="eastAsia"/>
              <w:lang w:eastAsia="zh-CN"/>
            </w:rPr>
            <w:fldChar w:fldCharType="begin"/>
          </w:r>
          <w:r>
            <w:rPr>
              <w:rFonts w:hint="eastAsia"/>
              <w:lang w:eastAsia="zh-CN"/>
            </w:rPr>
            <w:instrText xml:space="preserve"> HYPERLINK \l _Toc13852 </w:instrText>
          </w:r>
          <w:r>
            <w:rPr>
              <w:rFonts w:hint="eastAsia"/>
              <w:lang w:eastAsia="zh-CN"/>
            </w:rPr>
            <w:fldChar w:fldCharType="separate"/>
          </w:r>
          <w:r>
            <w:rPr>
              <w:rFonts w:ascii="Times New Roman" w:hAnsi="Times New Roman" w:eastAsia="黑体"/>
              <w:bCs/>
            </w:rPr>
            <w:t>二、收入决算表（公开02表）</w:t>
          </w:r>
          <w:r>
            <w:tab/>
          </w:r>
          <w:r>
            <w:fldChar w:fldCharType="begin"/>
          </w:r>
          <w:r>
            <w:instrText xml:space="preserve"> PAGEREF _Toc13852 \h </w:instrText>
          </w:r>
          <w:r>
            <w:fldChar w:fldCharType="separate"/>
          </w:r>
          <w:r>
            <w:t>- 35 -</w:t>
          </w:r>
          <w:r>
            <w:fldChar w:fldCharType="end"/>
          </w:r>
          <w:r>
            <w:rPr>
              <w:rFonts w:hint="eastAsia"/>
              <w:lang w:eastAsia="zh-CN"/>
            </w:rPr>
            <w:fldChar w:fldCharType="end"/>
          </w:r>
        </w:p>
        <w:p w14:paraId="7FE36950">
          <w:pPr>
            <w:pStyle w:val="34"/>
            <w:tabs>
              <w:tab w:val="right" w:leader="dot" w:pos="8845"/>
            </w:tabs>
          </w:pPr>
          <w:r>
            <w:rPr>
              <w:rFonts w:hint="eastAsia"/>
              <w:lang w:eastAsia="zh-CN"/>
            </w:rPr>
            <w:fldChar w:fldCharType="begin"/>
          </w:r>
          <w:r>
            <w:rPr>
              <w:rFonts w:hint="eastAsia"/>
              <w:lang w:eastAsia="zh-CN"/>
            </w:rPr>
            <w:instrText xml:space="preserve"> HYPERLINK \l _Toc2652 </w:instrText>
          </w:r>
          <w:r>
            <w:rPr>
              <w:rFonts w:hint="eastAsia"/>
              <w:lang w:eastAsia="zh-CN"/>
            </w:rPr>
            <w:fldChar w:fldCharType="separate"/>
          </w:r>
          <w:r>
            <w:rPr>
              <w:rFonts w:ascii="Times New Roman" w:hAnsi="Times New Roman" w:eastAsia="黑体"/>
              <w:bCs/>
            </w:rPr>
            <w:t>三、支出决算表（公开03表）</w:t>
          </w:r>
          <w:r>
            <w:tab/>
          </w:r>
          <w:r>
            <w:fldChar w:fldCharType="begin"/>
          </w:r>
          <w:r>
            <w:instrText xml:space="preserve"> PAGEREF _Toc2652 \h </w:instrText>
          </w:r>
          <w:r>
            <w:fldChar w:fldCharType="separate"/>
          </w:r>
          <w:r>
            <w:t>- 35 -</w:t>
          </w:r>
          <w:r>
            <w:fldChar w:fldCharType="end"/>
          </w:r>
          <w:r>
            <w:rPr>
              <w:rFonts w:hint="eastAsia"/>
              <w:lang w:eastAsia="zh-CN"/>
            </w:rPr>
            <w:fldChar w:fldCharType="end"/>
          </w:r>
        </w:p>
        <w:p w14:paraId="4A31BB20">
          <w:pPr>
            <w:pStyle w:val="34"/>
            <w:tabs>
              <w:tab w:val="right" w:leader="dot" w:pos="8845"/>
            </w:tabs>
          </w:pPr>
          <w:r>
            <w:rPr>
              <w:rFonts w:hint="eastAsia"/>
              <w:lang w:eastAsia="zh-CN"/>
            </w:rPr>
            <w:fldChar w:fldCharType="begin"/>
          </w:r>
          <w:r>
            <w:rPr>
              <w:rFonts w:hint="eastAsia"/>
              <w:lang w:eastAsia="zh-CN"/>
            </w:rPr>
            <w:instrText xml:space="preserve"> HYPERLINK \l _Toc1375 </w:instrText>
          </w:r>
          <w:r>
            <w:rPr>
              <w:rFonts w:hint="eastAsia"/>
              <w:lang w:eastAsia="zh-CN"/>
            </w:rPr>
            <w:fldChar w:fldCharType="separate"/>
          </w:r>
          <w:r>
            <w:rPr>
              <w:rFonts w:ascii="Times New Roman" w:hAnsi="Times New Roman" w:eastAsia="黑体"/>
              <w:bCs/>
            </w:rPr>
            <w:t>四、财政拨款收入支出决算总表（公开04表）</w:t>
          </w:r>
          <w:r>
            <w:tab/>
          </w:r>
          <w:r>
            <w:fldChar w:fldCharType="begin"/>
          </w:r>
          <w:r>
            <w:instrText xml:space="preserve"> PAGEREF _Toc1375 \h </w:instrText>
          </w:r>
          <w:r>
            <w:fldChar w:fldCharType="separate"/>
          </w:r>
          <w:r>
            <w:t>- 36 -</w:t>
          </w:r>
          <w:r>
            <w:fldChar w:fldCharType="end"/>
          </w:r>
          <w:r>
            <w:rPr>
              <w:rFonts w:hint="eastAsia"/>
              <w:lang w:eastAsia="zh-CN"/>
            </w:rPr>
            <w:fldChar w:fldCharType="end"/>
          </w:r>
        </w:p>
        <w:p w14:paraId="539643BE">
          <w:pPr>
            <w:pStyle w:val="34"/>
            <w:tabs>
              <w:tab w:val="right" w:leader="dot" w:pos="8845"/>
            </w:tabs>
          </w:pPr>
          <w:r>
            <w:rPr>
              <w:rFonts w:hint="eastAsia"/>
              <w:lang w:eastAsia="zh-CN"/>
            </w:rPr>
            <w:fldChar w:fldCharType="begin"/>
          </w:r>
          <w:r>
            <w:rPr>
              <w:rFonts w:hint="eastAsia"/>
              <w:lang w:eastAsia="zh-CN"/>
            </w:rPr>
            <w:instrText xml:space="preserve"> HYPERLINK \l _Toc26947 </w:instrText>
          </w:r>
          <w:r>
            <w:rPr>
              <w:rFonts w:hint="eastAsia"/>
              <w:lang w:eastAsia="zh-CN"/>
            </w:rPr>
            <w:fldChar w:fldCharType="separate"/>
          </w:r>
          <w:r>
            <w:rPr>
              <w:rFonts w:ascii="Times New Roman" w:hAnsi="Times New Roman" w:eastAsia="黑体"/>
              <w:bCs/>
            </w:rPr>
            <w:t>五、财政拨款支出决算明细表（公开05表）</w:t>
          </w:r>
          <w:r>
            <w:tab/>
          </w:r>
          <w:r>
            <w:fldChar w:fldCharType="begin"/>
          </w:r>
          <w:r>
            <w:instrText xml:space="preserve"> PAGEREF _Toc26947 \h </w:instrText>
          </w:r>
          <w:r>
            <w:fldChar w:fldCharType="separate"/>
          </w:r>
          <w:r>
            <w:t>- 36 -</w:t>
          </w:r>
          <w:r>
            <w:fldChar w:fldCharType="end"/>
          </w:r>
          <w:r>
            <w:rPr>
              <w:rFonts w:hint="eastAsia"/>
              <w:lang w:eastAsia="zh-CN"/>
            </w:rPr>
            <w:fldChar w:fldCharType="end"/>
          </w:r>
        </w:p>
        <w:p w14:paraId="17E6C000">
          <w:pPr>
            <w:pStyle w:val="34"/>
            <w:tabs>
              <w:tab w:val="right" w:leader="dot" w:pos="8845"/>
            </w:tabs>
          </w:pPr>
          <w:r>
            <w:rPr>
              <w:rFonts w:hint="eastAsia"/>
              <w:lang w:eastAsia="zh-CN"/>
            </w:rPr>
            <w:fldChar w:fldCharType="begin"/>
          </w:r>
          <w:r>
            <w:rPr>
              <w:rFonts w:hint="eastAsia"/>
              <w:lang w:eastAsia="zh-CN"/>
            </w:rPr>
            <w:instrText xml:space="preserve"> HYPERLINK \l _Toc19010 </w:instrText>
          </w:r>
          <w:r>
            <w:rPr>
              <w:rFonts w:hint="eastAsia"/>
              <w:lang w:eastAsia="zh-CN"/>
            </w:rPr>
            <w:fldChar w:fldCharType="separate"/>
          </w:r>
          <w:r>
            <w:rPr>
              <w:rFonts w:ascii="Times New Roman" w:hAnsi="Times New Roman" w:eastAsia="黑体"/>
              <w:bCs/>
            </w:rPr>
            <w:t>六、一般公共预算财政拨款支出决算表（公开06表）</w:t>
          </w:r>
          <w:r>
            <w:tab/>
          </w:r>
          <w:r>
            <w:fldChar w:fldCharType="begin"/>
          </w:r>
          <w:r>
            <w:instrText xml:space="preserve"> PAGEREF _Toc19010 \h </w:instrText>
          </w:r>
          <w:r>
            <w:fldChar w:fldCharType="separate"/>
          </w:r>
          <w:r>
            <w:t>- 36 -</w:t>
          </w:r>
          <w:r>
            <w:fldChar w:fldCharType="end"/>
          </w:r>
          <w:r>
            <w:rPr>
              <w:rFonts w:hint="eastAsia"/>
              <w:lang w:eastAsia="zh-CN"/>
            </w:rPr>
            <w:fldChar w:fldCharType="end"/>
          </w:r>
        </w:p>
        <w:p w14:paraId="79CA1FFE">
          <w:pPr>
            <w:pStyle w:val="34"/>
            <w:tabs>
              <w:tab w:val="right" w:leader="dot" w:pos="8845"/>
            </w:tabs>
          </w:pPr>
          <w:r>
            <w:rPr>
              <w:rFonts w:hint="eastAsia"/>
              <w:lang w:eastAsia="zh-CN"/>
            </w:rPr>
            <w:fldChar w:fldCharType="begin"/>
          </w:r>
          <w:r>
            <w:rPr>
              <w:rFonts w:hint="eastAsia"/>
              <w:lang w:eastAsia="zh-CN"/>
            </w:rPr>
            <w:instrText xml:space="preserve"> HYPERLINK \l _Toc7920 </w:instrText>
          </w:r>
          <w:r>
            <w:rPr>
              <w:rFonts w:hint="eastAsia"/>
              <w:lang w:eastAsia="zh-CN"/>
            </w:rPr>
            <w:fldChar w:fldCharType="separate"/>
          </w:r>
          <w:r>
            <w:rPr>
              <w:rFonts w:ascii="Times New Roman" w:hAnsi="Times New Roman" w:eastAsia="黑体"/>
              <w:bCs/>
            </w:rPr>
            <w:t>七、一般公共预算财政拨款支出决算明细表（公开07表）</w:t>
          </w:r>
          <w:r>
            <w:tab/>
          </w:r>
          <w:r>
            <w:fldChar w:fldCharType="begin"/>
          </w:r>
          <w:r>
            <w:instrText xml:space="preserve"> PAGEREF _Toc7920 \h </w:instrText>
          </w:r>
          <w:r>
            <w:fldChar w:fldCharType="separate"/>
          </w:r>
          <w:r>
            <w:t>- 36 -</w:t>
          </w:r>
          <w:r>
            <w:fldChar w:fldCharType="end"/>
          </w:r>
          <w:r>
            <w:rPr>
              <w:rFonts w:hint="eastAsia"/>
              <w:lang w:eastAsia="zh-CN"/>
            </w:rPr>
            <w:fldChar w:fldCharType="end"/>
          </w:r>
        </w:p>
        <w:p w14:paraId="62F9DE7E">
          <w:pPr>
            <w:pStyle w:val="34"/>
            <w:tabs>
              <w:tab w:val="right" w:leader="dot" w:pos="8845"/>
            </w:tabs>
          </w:pPr>
          <w:r>
            <w:rPr>
              <w:rFonts w:hint="eastAsia"/>
              <w:lang w:eastAsia="zh-CN"/>
            </w:rPr>
            <w:fldChar w:fldCharType="begin"/>
          </w:r>
          <w:r>
            <w:rPr>
              <w:rFonts w:hint="eastAsia"/>
              <w:lang w:eastAsia="zh-CN"/>
            </w:rPr>
            <w:instrText xml:space="preserve"> HYPERLINK \l _Toc8400 </w:instrText>
          </w:r>
          <w:r>
            <w:rPr>
              <w:rFonts w:hint="eastAsia"/>
              <w:lang w:eastAsia="zh-CN"/>
            </w:rPr>
            <w:fldChar w:fldCharType="separate"/>
          </w:r>
          <w:r>
            <w:rPr>
              <w:rFonts w:ascii="Times New Roman" w:hAnsi="Times New Roman" w:eastAsia="黑体"/>
              <w:bCs/>
            </w:rPr>
            <w:t>八、一般公共预算财政拨款基本支出决算明细表（公开08表）</w:t>
          </w:r>
          <w:r>
            <w:tab/>
          </w:r>
          <w:r>
            <w:fldChar w:fldCharType="begin"/>
          </w:r>
          <w:r>
            <w:instrText xml:space="preserve"> PAGEREF _Toc8400 \h </w:instrText>
          </w:r>
          <w:r>
            <w:fldChar w:fldCharType="separate"/>
          </w:r>
          <w:r>
            <w:t>- 36 -</w:t>
          </w:r>
          <w:r>
            <w:fldChar w:fldCharType="end"/>
          </w:r>
          <w:r>
            <w:rPr>
              <w:rFonts w:hint="eastAsia"/>
              <w:lang w:eastAsia="zh-CN"/>
            </w:rPr>
            <w:fldChar w:fldCharType="end"/>
          </w:r>
        </w:p>
        <w:p w14:paraId="1A8643EC">
          <w:pPr>
            <w:pStyle w:val="34"/>
            <w:tabs>
              <w:tab w:val="right" w:leader="dot" w:pos="8845"/>
            </w:tabs>
          </w:pPr>
          <w:r>
            <w:rPr>
              <w:rFonts w:hint="eastAsia"/>
              <w:lang w:eastAsia="zh-CN"/>
            </w:rPr>
            <w:fldChar w:fldCharType="begin"/>
          </w:r>
          <w:r>
            <w:rPr>
              <w:rFonts w:hint="eastAsia"/>
              <w:lang w:eastAsia="zh-CN"/>
            </w:rPr>
            <w:instrText xml:space="preserve"> HYPERLINK \l _Toc9895 </w:instrText>
          </w:r>
          <w:r>
            <w:rPr>
              <w:rFonts w:hint="eastAsia"/>
              <w:lang w:eastAsia="zh-CN"/>
            </w:rPr>
            <w:fldChar w:fldCharType="separate"/>
          </w:r>
          <w:r>
            <w:rPr>
              <w:rFonts w:ascii="Times New Roman" w:hAnsi="Times New Roman" w:eastAsia="黑体"/>
              <w:bCs/>
            </w:rPr>
            <w:t>九、一般公共预算财政拨款项目支出决算表（公开09表）</w:t>
          </w:r>
          <w:r>
            <w:tab/>
          </w:r>
          <w:r>
            <w:fldChar w:fldCharType="begin"/>
          </w:r>
          <w:r>
            <w:instrText xml:space="preserve"> PAGEREF _Toc9895 \h </w:instrText>
          </w:r>
          <w:r>
            <w:fldChar w:fldCharType="separate"/>
          </w:r>
          <w:r>
            <w:t>- 36 -</w:t>
          </w:r>
          <w:r>
            <w:fldChar w:fldCharType="end"/>
          </w:r>
          <w:r>
            <w:rPr>
              <w:rFonts w:hint="eastAsia"/>
              <w:lang w:eastAsia="zh-CN"/>
            </w:rPr>
            <w:fldChar w:fldCharType="end"/>
          </w:r>
        </w:p>
        <w:p w14:paraId="736F7E88">
          <w:pPr>
            <w:pStyle w:val="34"/>
            <w:tabs>
              <w:tab w:val="right" w:leader="dot" w:pos="8845"/>
            </w:tabs>
          </w:pPr>
          <w:r>
            <w:rPr>
              <w:rFonts w:hint="eastAsia"/>
              <w:lang w:eastAsia="zh-CN"/>
            </w:rPr>
            <w:fldChar w:fldCharType="begin"/>
          </w:r>
          <w:r>
            <w:rPr>
              <w:rFonts w:hint="eastAsia"/>
              <w:lang w:eastAsia="zh-CN"/>
            </w:rPr>
            <w:instrText xml:space="preserve"> HYPERLINK \l _Toc4403 </w:instrText>
          </w:r>
          <w:r>
            <w:rPr>
              <w:rFonts w:hint="eastAsia"/>
              <w:lang w:eastAsia="zh-CN"/>
            </w:rPr>
            <w:fldChar w:fldCharType="separate"/>
          </w:r>
          <w:r>
            <w:rPr>
              <w:rFonts w:ascii="Times New Roman" w:hAnsi="Times New Roman" w:eastAsia="黑体"/>
              <w:bCs/>
            </w:rPr>
            <w:t>十、政府性基金预算财政拨款收入支出决算表（公开10表）</w:t>
          </w:r>
          <w:r>
            <w:tab/>
          </w:r>
          <w:r>
            <w:fldChar w:fldCharType="begin"/>
          </w:r>
          <w:r>
            <w:instrText xml:space="preserve"> PAGEREF _Toc4403 \h </w:instrText>
          </w:r>
          <w:r>
            <w:fldChar w:fldCharType="separate"/>
          </w:r>
          <w:r>
            <w:t>- 36 -</w:t>
          </w:r>
          <w:r>
            <w:fldChar w:fldCharType="end"/>
          </w:r>
          <w:r>
            <w:rPr>
              <w:rFonts w:hint="eastAsia"/>
              <w:lang w:eastAsia="zh-CN"/>
            </w:rPr>
            <w:fldChar w:fldCharType="end"/>
          </w:r>
        </w:p>
        <w:p w14:paraId="4135C83A">
          <w:pPr>
            <w:pStyle w:val="34"/>
            <w:tabs>
              <w:tab w:val="right" w:leader="dot" w:pos="8845"/>
            </w:tabs>
          </w:pPr>
          <w:r>
            <w:rPr>
              <w:rFonts w:hint="eastAsia"/>
              <w:lang w:eastAsia="zh-CN"/>
            </w:rPr>
            <w:fldChar w:fldCharType="begin"/>
          </w:r>
          <w:r>
            <w:rPr>
              <w:rFonts w:hint="eastAsia"/>
              <w:lang w:eastAsia="zh-CN"/>
            </w:rPr>
            <w:instrText xml:space="preserve"> HYPERLINK \l _Toc16906 </w:instrText>
          </w:r>
          <w:r>
            <w:rPr>
              <w:rFonts w:hint="eastAsia"/>
              <w:lang w:eastAsia="zh-CN"/>
            </w:rPr>
            <w:fldChar w:fldCharType="separate"/>
          </w:r>
          <w:r>
            <w:rPr>
              <w:rFonts w:ascii="Times New Roman" w:hAnsi="Times New Roman" w:eastAsia="黑体"/>
              <w:bCs/>
            </w:rPr>
            <w:t>十一、国有资本经营预算财政拨款收入支出决算表（公开11表）</w:t>
          </w:r>
          <w:r>
            <w:tab/>
          </w:r>
          <w:r>
            <w:fldChar w:fldCharType="begin"/>
          </w:r>
          <w:r>
            <w:instrText xml:space="preserve"> PAGEREF _Toc16906 \h </w:instrText>
          </w:r>
          <w:r>
            <w:fldChar w:fldCharType="separate"/>
          </w:r>
          <w:r>
            <w:t>- 36 -</w:t>
          </w:r>
          <w:r>
            <w:fldChar w:fldCharType="end"/>
          </w:r>
          <w:r>
            <w:rPr>
              <w:rFonts w:hint="eastAsia"/>
              <w:lang w:eastAsia="zh-CN"/>
            </w:rPr>
            <w:fldChar w:fldCharType="end"/>
          </w:r>
        </w:p>
        <w:p w14:paraId="78A78994">
          <w:pPr>
            <w:pStyle w:val="34"/>
            <w:tabs>
              <w:tab w:val="right" w:leader="dot" w:pos="8845"/>
            </w:tabs>
          </w:pPr>
          <w:r>
            <w:rPr>
              <w:rFonts w:hint="eastAsia"/>
              <w:lang w:eastAsia="zh-CN"/>
            </w:rPr>
            <w:fldChar w:fldCharType="begin"/>
          </w:r>
          <w:r>
            <w:rPr>
              <w:rFonts w:hint="eastAsia"/>
              <w:lang w:eastAsia="zh-CN"/>
            </w:rPr>
            <w:instrText xml:space="preserve"> HYPERLINK \l _Toc28673 </w:instrText>
          </w:r>
          <w:r>
            <w:rPr>
              <w:rFonts w:hint="eastAsia"/>
              <w:lang w:eastAsia="zh-CN"/>
            </w:rPr>
            <w:fldChar w:fldCharType="separate"/>
          </w:r>
          <w:r>
            <w:rPr>
              <w:rFonts w:ascii="Times New Roman" w:hAnsi="Times New Roman" w:eastAsia="黑体"/>
              <w:bCs/>
            </w:rPr>
            <w:t>十二、国有资本经营预算财政拨款支出决算表（公开12表）</w:t>
          </w:r>
          <w:r>
            <w:tab/>
          </w:r>
          <w:r>
            <w:fldChar w:fldCharType="begin"/>
          </w:r>
          <w:r>
            <w:instrText xml:space="preserve"> PAGEREF _Toc28673 \h </w:instrText>
          </w:r>
          <w:r>
            <w:fldChar w:fldCharType="separate"/>
          </w:r>
          <w:r>
            <w:t>- 36 -</w:t>
          </w:r>
          <w:r>
            <w:fldChar w:fldCharType="end"/>
          </w:r>
          <w:r>
            <w:rPr>
              <w:rFonts w:hint="eastAsia"/>
              <w:lang w:eastAsia="zh-CN"/>
            </w:rPr>
            <w:fldChar w:fldCharType="end"/>
          </w:r>
        </w:p>
        <w:p w14:paraId="3522061C">
          <w:pPr>
            <w:pStyle w:val="34"/>
            <w:tabs>
              <w:tab w:val="right" w:leader="dot" w:pos="8845"/>
            </w:tabs>
          </w:pPr>
          <w:r>
            <w:rPr>
              <w:rFonts w:hint="eastAsia"/>
              <w:lang w:eastAsia="zh-CN"/>
            </w:rPr>
            <w:fldChar w:fldCharType="begin"/>
          </w:r>
          <w:r>
            <w:rPr>
              <w:rFonts w:hint="eastAsia"/>
              <w:lang w:eastAsia="zh-CN"/>
            </w:rPr>
            <w:instrText xml:space="preserve"> HYPERLINK \l _Toc11991 </w:instrText>
          </w:r>
          <w:r>
            <w:rPr>
              <w:rFonts w:hint="eastAsia"/>
              <w:lang w:eastAsia="zh-CN"/>
            </w:rPr>
            <w:fldChar w:fldCharType="separate"/>
          </w:r>
          <w:r>
            <w:rPr>
              <w:rFonts w:ascii="Times New Roman" w:hAnsi="Times New Roman" w:eastAsia="黑体"/>
              <w:bCs/>
            </w:rPr>
            <w:t>十三、财政拨款“三公”经费支出决算表（公开13表）</w:t>
          </w:r>
          <w:r>
            <w:tab/>
          </w:r>
          <w:r>
            <w:fldChar w:fldCharType="begin"/>
          </w:r>
          <w:r>
            <w:instrText xml:space="preserve"> PAGEREF _Toc11991 \h </w:instrText>
          </w:r>
          <w:r>
            <w:fldChar w:fldCharType="separate"/>
          </w:r>
          <w:r>
            <w:t>- 36 -</w:t>
          </w:r>
          <w:r>
            <w:fldChar w:fldCharType="end"/>
          </w:r>
          <w:r>
            <w:rPr>
              <w:rFonts w:hint="eastAsia"/>
              <w:lang w:eastAsia="zh-CN"/>
            </w:rPr>
            <w:fldChar w:fldCharType="end"/>
          </w:r>
        </w:p>
        <w:p w14:paraId="5A06FA2B">
          <w:pPr>
            <w:pStyle w:val="32"/>
            <w:rPr>
              <w:rFonts w:hint="eastAsia" w:asciiTheme="minorHAnsi" w:hAnsiTheme="minorHAnsi" w:eastAsiaTheme="minorEastAsia" w:cstheme="minorBidi"/>
              <w:sz w:val="18"/>
              <w:szCs w:val="18"/>
              <w:lang w:val="en-US" w:eastAsia="zh-CN" w:bidi="ar-SA"/>
            </w:rPr>
          </w:pPr>
          <w:r>
            <w:rPr>
              <w:rFonts w:hint="eastAsia"/>
              <w:lang w:eastAsia="zh-CN"/>
            </w:rPr>
            <w:fldChar w:fldCharType="end"/>
          </w:r>
        </w:p>
      </w:sdtContent>
    </w:sdt>
    <w:p w14:paraId="008ECDB5">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firstLine="880" w:firstLineChars="200"/>
        <w:jc w:val="both"/>
        <w:textAlignment w:val="auto"/>
        <w:outlineLvl w:val="0"/>
        <w:rPr>
          <w:rFonts w:ascii="Times New Roman" w:hAnsi="Times New Roman" w:eastAsia="方正小标宋简体"/>
          <w:b w:val="0"/>
          <w:bCs/>
          <w:color w:val="000000"/>
          <w:sz w:val="44"/>
        </w:rPr>
      </w:pPr>
    </w:p>
    <w:p w14:paraId="66EDE97F">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firstLine="880" w:firstLineChars="200"/>
        <w:jc w:val="both"/>
        <w:textAlignment w:val="auto"/>
        <w:outlineLvl w:val="0"/>
        <w:rPr>
          <w:rFonts w:ascii="Times New Roman" w:hAnsi="Times New Roman" w:eastAsia="方正小标宋简体"/>
          <w:b w:val="0"/>
          <w:bCs/>
          <w:color w:val="000000"/>
          <w:sz w:val="44"/>
        </w:rPr>
      </w:pPr>
    </w:p>
    <w:p w14:paraId="2975684A">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firstLine="880" w:firstLineChars="200"/>
        <w:jc w:val="both"/>
        <w:textAlignment w:val="auto"/>
        <w:outlineLvl w:val="0"/>
        <w:rPr>
          <w:rFonts w:ascii="Times New Roman" w:hAnsi="Times New Roman" w:eastAsia="方正小标宋简体"/>
          <w:b w:val="0"/>
          <w:bCs/>
          <w:color w:val="000000"/>
          <w:sz w:val="44"/>
        </w:rPr>
      </w:pPr>
    </w:p>
    <w:p w14:paraId="0D46B081"/>
    <w:p w14:paraId="2BD2CE64">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firstLine="880" w:firstLineChars="200"/>
        <w:jc w:val="center"/>
        <w:textAlignment w:val="auto"/>
        <w:outlineLvl w:val="0"/>
        <w:rPr>
          <w:rFonts w:hint="eastAsia" w:ascii="Times New Roman" w:hAnsi="Times New Roman" w:eastAsia="方正小标宋简体"/>
          <w:b w:val="0"/>
          <w:bCs/>
          <w:color w:val="000000"/>
          <w:sz w:val="44"/>
          <w:lang w:val="en-US" w:eastAsia="zh-CN"/>
        </w:rPr>
        <w:sectPr>
          <w:headerReference r:id="rId5" w:type="default"/>
          <w:footerReference r:id="rId6" w:type="default"/>
          <w:pgSz w:w="11906" w:h="16838"/>
          <w:pgMar w:top="2098" w:right="1474" w:bottom="1984" w:left="1587" w:header="851" w:footer="992" w:gutter="0"/>
          <w:pgNumType w:fmt="numberInDash" w:start="1"/>
          <w:cols w:space="720" w:num="1"/>
          <w:docGrid w:type="lines" w:linePitch="435" w:charSpace="0"/>
        </w:sectPr>
      </w:pPr>
    </w:p>
    <w:p w14:paraId="30E0CA1E">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firstLine="880" w:firstLineChars="200"/>
        <w:jc w:val="center"/>
        <w:textAlignment w:val="auto"/>
        <w:outlineLvl w:val="0"/>
        <w:rPr>
          <w:rFonts w:ascii="Times New Roman" w:hAnsi="Times New Roman" w:eastAsia="方正小标宋简体"/>
          <w:b w:val="0"/>
          <w:bCs/>
          <w:color w:val="000000"/>
          <w:sz w:val="44"/>
        </w:rPr>
      </w:pPr>
      <w:bookmarkStart w:id="0" w:name="_Toc26333"/>
      <w:r>
        <w:rPr>
          <w:rFonts w:hint="eastAsia" w:ascii="Times New Roman" w:hAnsi="Times New Roman" w:eastAsia="方正小标宋简体"/>
          <w:b w:val="0"/>
          <w:bCs/>
          <w:color w:val="000000"/>
          <w:sz w:val="44"/>
          <w:lang w:val="en-US" w:eastAsia="zh-CN"/>
        </w:rPr>
        <w:t>第一部分</w:t>
      </w:r>
      <w:r>
        <w:rPr>
          <w:rFonts w:ascii="Times New Roman" w:hAnsi="Times New Roman" w:eastAsia="方正小标宋简体"/>
          <w:b w:val="0"/>
          <w:bCs/>
          <w:color w:val="000000"/>
          <w:sz w:val="44"/>
        </w:rPr>
        <w:t xml:space="preserve"> 部门概况</w:t>
      </w:r>
      <w:bookmarkEnd w:id="0"/>
    </w:p>
    <w:p w14:paraId="5A1E53CC">
      <w:pPr>
        <w:pStyle w:val="32"/>
        <w:numPr>
          <w:ilvl w:val="0"/>
          <w:numId w:val="0"/>
        </w:numPr>
      </w:pPr>
    </w:p>
    <w:p w14:paraId="4EB3CC71">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1" w:name="_Toc9865"/>
      <w:r>
        <w:rPr>
          <w:rFonts w:ascii="Times New Roman" w:hAnsi="Times New Roman" w:eastAsia="黑体"/>
          <w:b w:val="0"/>
          <w:bCs/>
          <w:color w:val="000000"/>
          <w:sz w:val="32"/>
        </w:rPr>
        <w:t>一、部门职责</w:t>
      </w:r>
      <w:bookmarkEnd w:id="1"/>
    </w:p>
    <w:p w14:paraId="68B7BFEE">
      <w:pPr>
        <w:spacing w:before="0" w:after="0" w:line="560" w:lineRule="exact"/>
        <w:ind w:firstLine="640"/>
      </w:pPr>
      <w:r>
        <w:rPr>
          <w:rFonts w:ascii="Times New Roman" w:hAnsi="Times New Roman" w:eastAsia="仿宋_GB2312"/>
          <w:b w:val="0"/>
          <w:color w:val="000000"/>
          <w:sz w:val="32"/>
        </w:rPr>
        <w:t>阿坝州深化医药卫生体制改革领导小组办公室（以下简称“本单位”）为阿坝州卫生健康委员会所属二级预算单位（公益一类事业单位），承担州深化医药卫生体制改革领导小组日常工作。主要职责包括：牵头推进全州深化医药卫生体制改革，研究提出深化改革重大政策和措施的建议；牵头负责全州分级诊疗、现代医院管理、全民医保、药品供应保障、综合监管5项基本医疗卫生制度建设；拟订并组织实施卫生健康公共服务提供主体多元化、提供方式多样化的政策措施；协调推进州委、州政府部署的卫生健康领域各项改革任务落实。</w:t>
      </w:r>
    </w:p>
    <w:p w14:paraId="0B333FF7">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2" w:name="_Toc32665"/>
      <w:r>
        <w:rPr>
          <w:rFonts w:ascii="Times New Roman" w:hAnsi="Times New Roman" w:eastAsia="黑体"/>
          <w:b w:val="0"/>
          <w:bCs/>
          <w:color w:val="000000"/>
          <w:sz w:val="32"/>
        </w:rPr>
        <w:t>二、机构设置</w:t>
      </w:r>
      <w:bookmarkEnd w:id="2"/>
    </w:p>
    <w:p w14:paraId="36B9D78C">
      <w:pPr>
        <w:spacing w:before="0" w:after="0" w:line="560" w:lineRule="exact"/>
        <w:ind w:firstLine="640"/>
        <w:rPr>
          <w:rFonts w:ascii="Times New Roman" w:hAnsi="Times New Roman" w:eastAsia="仿宋_GB2312"/>
          <w:b w:val="0"/>
          <w:color w:val="000000"/>
          <w:sz w:val="32"/>
        </w:rPr>
      </w:pPr>
      <w:r>
        <w:rPr>
          <w:rFonts w:ascii="Times New Roman" w:hAnsi="Times New Roman" w:eastAsia="仿宋_GB2312"/>
          <w:b w:val="0"/>
          <w:color w:val="000000"/>
          <w:sz w:val="32"/>
        </w:rPr>
        <w:t>本单位为阿坝州卫生健康委员会所属二级预算单位，无下属二级预算单位。独立编制机构数1个，独立核算机构数1个。单位经费保障方式为全额拨款，执行政府会计准则制度。</w:t>
      </w:r>
    </w:p>
    <w:p w14:paraId="57B88FCA">
      <w:pPr>
        <w:pStyle w:val="22"/>
        <w:ind w:left="0" w:leftChars="0" w:firstLine="0" w:firstLineChars="0"/>
      </w:pPr>
    </w:p>
    <w:p w14:paraId="2B1970DE"/>
    <w:p w14:paraId="6778BBBE">
      <w:pPr>
        <w:pStyle w:val="32"/>
      </w:pPr>
    </w:p>
    <w:p w14:paraId="429832CB">
      <w:pPr>
        <w:pStyle w:val="22"/>
      </w:pPr>
    </w:p>
    <w:p w14:paraId="3BF2EB91">
      <w:pPr>
        <w:pStyle w:val="32"/>
      </w:pPr>
    </w:p>
    <w:p w14:paraId="4CD0E50E">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leftChars="0"/>
        <w:jc w:val="center"/>
        <w:textAlignment w:val="auto"/>
        <w:outlineLvl w:val="0"/>
        <w:rPr>
          <w:rFonts w:ascii="Times New Roman" w:hAnsi="Times New Roman" w:eastAsia="方正小标宋简体"/>
          <w:b w:val="0"/>
          <w:bCs/>
          <w:color w:val="000000"/>
          <w:sz w:val="44"/>
        </w:rPr>
      </w:pPr>
      <w:bookmarkStart w:id="3" w:name="_Toc16413"/>
      <w:r>
        <w:rPr>
          <w:rFonts w:hint="eastAsia" w:ascii="Times New Roman" w:hAnsi="Times New Roman" w:eastAsia="方正小标宋简体"/>
          <w:b w:val="0"/>
          <w:bCs/>
          <w:color w:val="000000"/>
          <w:sz w:val="44"/>
          <w:lang w:val="en-US" w:eastAsia="zh-CN"/>
        </w:rPr>
        <w:t>第二部分</w:t>
      </w:r>
      <w:r>
        <w:rPr>
          <w:rFonts w:ascii="Times New Roman" w:hAnsi="Times New Roman" w:eastAsia="方正小标宋简体"/>
          <w:b w:val="0"/>
          <w:bCs/>
          <w:color w:val="000000"/>
          <w:sz w:val="44"/>
        </w:rPr>
        <w:t xml:space="preserve"> 2025年度部门决算情况说明</w:t>
      </w:r>
      <w:bookmarkEnd w:id="3"/>
    </w:p>
    <w:p w14:paraId="379E8770">
      <w:pPr>
        <w:pStyle w:val="32"/>
        <w:numPr>
          <w:ilvl w:val="0"/>
          <w:numId w:val="0"/>
        </w:numPr>
        <w:ind w:leftChars="0"/>
      </w:pPr>
    </w:p>
    <w:p w14:paraId="568F3913">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4" w:name="_Toc8104"/>
      <w:r>
        <w:rPr>
          <w:rFonts w:ascii="Times New Roman" w:hAnsi="Times New Roman" w:eastAsia="黑体"/>
          <w:b w:val="0"/>
          <w:bCs/>
          <w:color w:val="000000"/>
          <w:sz w:val="32"/>
        </w:rPr>
        <w:t>一、收入支出决算总体情况说明</w:t>
      </w:r>
      <w:bookmarkEnd w:id="4"/>
    </w:p>
    <w:p w14:paraId="16349979">
      <w:pPr>
        <w:spacing w:before="0" w:after="0" w:line="560" w:lineRule="exact"/>
        <w:ind w:firstLine="640"/>
      </w:pPr>
      <w:r>
        <w:rPr>
          <w:rFonts w:ascii="Times New Roman" w:hAnsi="Times New Roman" w:eastAsia="仿宋_GB2312"/>
          <w:b w:val="0"/>
          <w:color w:val="000000"/>
          <w:sz w:val="32"/>
        </w:rPr>
        <w:t>2025年度收入、支出总计均为388.54万元。与上年度相比，收入、支出总计各增加71.17万元，增长22.4%。主要变动原因是：单位人员新增，社保、公积金缴费基数调整及工资普调，财政拨款收入相应增加。</w:t>
      </w:r>
    </w:p>
    <w:p w14:paraId="212AAD0E">
      <w:pPr>
        <w:spacing w:before="120" w:after="0"/>
        <w:jc w:val="center"/>
      </w:pPr>
      <w:r>
        <w:drawing>
          <wp:inline distT="0" distB="0" distL="114300" distR="114300">
            <wp:extent cx="5219700" cy="2992755"/>
            <wp:effectExtent l="0" t="0" r="0"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stretch>
                      <a:fillRect/>
                    </a:stretch>
                  </pic:blipFill>
                  <pic:spPr>
                    <a:xfrm>
                      <a:off x="0" y="0"/>
                      <a:ext cx="5220000" cy="2992800"/>
                    </a:xfrm>
                    <a:prstGeom prst="rect">
                      <a:avLst/>
                    </a:prstGeom>
                  </pic:spPr>
                </pic:pic>
              </a:graphicData>
            </a:graphic>
          </wp:inline>
        </w:drawing>
      </w:r>
    </w:p>
    <w:p w14:paraId="4A79CF15">
      <w:pPr>
        <w:spacing w:before="40" w:after="160" w:line="400" w:lineRule="exact"/>
        <w:jc w:val="center"/>
      </w:pPr>
      <w:r>
        <w:rPr>
          <w:rFonts w:ascii="Times New Roman" w:hAnsi="Times New Roman" w:eastAsia="宋体"/>
          <w:b w:val="0"/>
          <w:color w:val="000000"/>
          <w:sz w:val="24"/>
        </w:rPr>
        <w:t>图1：收入、支出决算总计变动情况图（单位：万元）</w:t>
      </w:r>
    </w:p>
    <w:p w14:paraId="747B1FDB">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5" w:name="_Toc20789"/>
      <w:r>
        <w:rPr>
          <w:rFonts w:ascii="Times New Roman" w:hAnsi="Times New Roman" w:eastAsia="黑体"/>
          <w:b w:val="0"/>
          <w:bCs/>
          <w:color w:val="000000"/>
          <w:sz w:val="32"/>
        </w:rPr>
        <w:t>二、收入决算情况说明</w:t>
      </w:r>
      <w:bookmarkEnd w:id="5"/>
    </w:p>
    <w:p w14:paraId="552A1183">
      <w:pPr>
        <w:spacing w:before="0" w:after="0" w:line="560" w:lineRule="exact"/>
        <w:ind w:firstLine="640"/>
      </w:pPr>
      <w:r>
        <w:rPr>
          <w:rFonts w:ascii="Times New Roman" w:hAnsi="Times New Roman" w:eastAsia="仿宋_GB2312"/>
          <w:b w:val="0"/>
          <w:color w:val="000000"/>
          <w:sz w:val="32"/>
        </w:rPr>
        <w:t>2025年度本年收入合计388.54万元，其中：一般公共预算财政拨款收入388.54万元，占100%；政府性基金预算财政拨款收入0万元；国有资本经营预算财政拨款收入0万元；上级补助收入0万元；事业收入0万元；经营收入0万元；附属单位上缴收入0万元；其他收入0万元。</w:t>
      </w:r>
    </w:p>
    <w:p w14:paraId="12ACE50E">
      <w:pPr>
        <w:spacing w:before="120" w:after="0"/>
        <w:jc w:val="center"/>
      </w:pPr>
      <w:r>
        <w:drawing>
          <wp:inline distT="0" distB="0" distL="114300" distR="114300">
            <wp:extent cx="3419475" cy="26428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3420000" cy="2643254"/>
                    </a:xfrm>
                    <a:prstGeom prst="rect">
                      <a:avLst/>
                    </a:prstGeom>
                  </pic:spPr>
                </pic:pic>
              </a:graphicData>
            </a:graphic>
          </wp:inline>
        </w:drawing>
      </w:r>
    </w:p>
    <w:p w14:paraId="3EA8A53D">
      <w:pPr>
        <w:spacing w:before="40" w:after="160" w:line="400" w:lineRule="exact"/>
        <w:jc w:val="center"/>
      </w:pPr>
      <w:r>
        <w:rPr>
          <w:rFonts w:ascii="Times New Roman" w:hAnsi="Times New Roman" w:eastAsia="宋体"/>
          <w:b w:val="0"/>
          <w:color w:val="000000"/>
          <w:sz w:val="24"/>
        </w:rPr>
        <w:t>图2：收入决算结构图</w:t>
      </w:r>
    </w:p>
    <w:p w14:paraId="233C54B8">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6" w:name="_Toc29109"/>
      <w:r>
        <w:rPr>
          <w:rFonts w:ascii="Times New Roman" w:hAnsi="Times New Roman" w:eastAsia="黑体"/>
          <w:b w:val="0"/>
          <w:bCs/>
          <w:color w:val="000000"/>
          <w:sz w:val="32"/>
        </w:rPr>
        <w:t>三、支出决算情况说明</w:t>
      </w:r>
      <w:bookmarkEnd w:id="6"/>
    </w:p>
    <w:p w14:paraId="75F9BED3">
      <w:pPr>
        <w:spacing w:before="0" w:after="0" w:line="560" w:lineRule="exact"/>
        <w:ind w:firstLine="640"/>
      </w:pPr>
      <w:r>
        <w:rPr>
          <w:rFonts w:ascii="Times New Roman" w:hAnsi="Times New Roman" w:eastAsia="仿宋_GB2312"/>
          <w:b w:val="0"/>
          <w:color w:val="000000"/>
          <w:sz w:val="32"/>
        </w:rPr>
        <w:t>2025年度本年支出合计388.54万元，其中：基本支出388.54万元，占100%；项目支出0万元；上缴上级支出0万元；经营支出0万元；对附属单位补助支出0万元。</w:t>
      </w:r>
    </w:p>
    <w:p w14:paraId="4D110AD9">
      <w:pPr>
        <w:spacing w:before="120" w:after="0"/>
        <w:jc w:val="center"/>
      </w:pPr>
      <w:r>
        <w:drawing>
          <wp:inline distT="0" distB="0" distL="114300" distR="114300">
            <wp:extent cx="3419475" cy="2484755"/>
            <wp:effectExtent l="0" t="0" r="9525"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3420000" cy="2484755"/>
                    </a:xfrm>
                    <a:prstGeom prst="rect">
                      <a:avLst/>
                    </a:prstGeom>
                  </pic:spPr>
                </pic:pic>
              </a:graphicData>
            </a:graphic>
          </wp:inline>
        </w:drawing>
      </w:r>
    </w:p>
    <w:p w14:paraId="3DC94B2F">
      <w:pPr>
        <w:spacing w:before="40" w:after="160" w:line="400" w:lineRule="exact"/>
        <w:jc w:val="center"/>
      </w:pPr>
      <w:r>
        <w:rPr>
          <w:rFonts w:ascii="Times New Roman" w:hAnsi="Times New Roman" w:eastAsia="宋体"/>
          <w:b w:val="0"/>
          <w:color w:val="000000"/>
          <w:sz w:val="24"/>
        </w:rPr>
        <w:t>图3：支出决算结构图</w:t>
      </w:r>
    </w:p>
    <w:p w14:paraId="551875FB">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7" w:name="_Toc16302"/>
      <w:r>
        <w:rPr>
          <w:rFonts w:ascii="Times New Roman" w:hAnsi="Times New Roman" w:eastAsia="黑体"/>
          <w:b w:val="0"/>
          <w:bCs/>
          <w:color w:val="000000"/>
          <w:sz w:val="32"/>
        </w:rPr>
        <w:t>四、财政拨款收入支出决算总体情况说明</w:t>
      </w:r>
      <w:bookmarkEnd w:id="7"/>
    </w:p>
    <w:p w14:paraId="70DAD1AB">
      <w:pPr>
        <w:spacing w:before="0" w:after="0" w:line="560" w:lineRule="exact"/>
        <w:ind w:firstLine="640"/>
      </w:pPr>
      <w:r>
        <w:rPr>
          <w:rFonts w:ascii="Times New Roman" w:hAnsi="Times New Roman" w:eastAsia="仿宋_GB2312"/>
          <w:b w:val="0"/>
          <w:color w:val="000000"/>
          <w:sz w:val="32"/>
        </w:rPr>
        <w:t>2025年度财政拨款收入、支出总计均为388.54万元。与上年度相比，财政拨款收入、支出总计各增加71.17万元，增长22.4%。主要变动原因是：单位人员新增，社保、公积金缴费基数调整及工资普调，财政拨款收入相应增加。</w:t>
      </w:r>
    </w:p>
    <w:p w14:paraId="77F9D271">
      <w:pPr>
        <w:spacing w:before="120" w:after="0"/>
        <w:jc w:val="center"/>
      </w:pPr>
      <w:r>
        <w:drawing>
          <wp:inline distT="0" distB="0" distL="114300" distR="114300">
            <wp:extent cx="5219700" cy="2992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5220000" cy="2992800"/>
                    </a:xfrm>
                    <a:prstGeom prst="rect">
                      <a:avLst/>
                    </a:prstGeom>
                  </pic:spPr>
                </pic:pic>
              </a:graphicData>
            </a:graphic>
          </wp:inline>
        </w:drawing>
      </w:r>
    </w:p>
    <w:p w14:paraId="7CDA8C9E">
      <w:pPr>
        <w:spacing w:before="40" w:after="160" w:line="400" w:lineRule="exact"/>
        <w:jc w:val="center"/>
      </w:pPr>
      <w:r>
        <w:rPr>
          <w:rFonts w:ascii="Times New Roman" w:hAnsi="Times New Roman" w:eastAsia="宋体"/>
          <w:b w:val="0"/>
          <w:color w:val="000000"/>
          <w:sz w:val="24"/>
        </w:rPr>
        <w:t>图4：财政拨款收、支决算总计变动情况（单位：万元）</w:t>
      </w:r>
    </w:p>
    <w:p w14:paraId="6DD37743">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8" w:name="_Toc6786"/>
      <w:r>
        <w:rPr>
          <w:rFonts w:ascii="Times New Roman" w:hAnsi="Times New Roman" w:eastAsia="黑体"/>
          <w:b w:val="0"/>
          <w:bCs/>
          <w:color w:val="000000"/>
          <w:sz w:val="32"/>
        </w:rPr>
        <w:t>五、一般公共预算财政拨款支出决算情况说明</w:t>
      </w:r>
      <w:bookmarkEnd w:id="8"/>
    </w:p>
    <w:p w14:paraId="0BE6B821">
      <w:pPr>
        <w:spacing w:before="0" w:after="0" w:line="560" w:lineRule="exact"/>
        <w:ind w:firstLine="640"/>
      </w:pPr>
      <w:r>
        <w:rPr>
          <w:rFonts w:ascii="Times New Roman" w:hAnsi="Times New Roman" w:eastAsia="楷体_GB2312"/>
          <w:b/>
          <w:color w:val="000000"/>
          <w:sz w:val="32"/>
        </w:rPr>
        <w:t>（一）一般公共预算财政拨款支出决算总体情况</w:t>
      </w:r>
    </w:p>
    <w:p w14:paraId="7CC4FBF9">
      <w:pPr>
        <w:spacing w:before="0" w:after="0" w:line="560" w:lineRule="exact"/>
        <w:ind w:firstLine="640"/>
      </w:pPr>
      <w:r>
        <w:rPr>
          <w:rFonts w:ascii="Times New Roman" w:hAnsi="Times New Roman" w:eastAsia="仿宋_GB2312"/>
          <w:b w:val="0"/>
          <w:color w:val="000000"/>
          <w:sz w:val="32"/>
        </w:rPr>
        <w:t>2025年度一般公共预算财政拨款支出388.54万元，占本年支出合计的100%。与上年度相比，一般公共预算财政拨款支出增加71.17万元，增长22.4%。主要变动原因是：单位人员新增，社保、公积金缴费基数调整及工资普调，支出相应增加。</w:t>
      </w:r>
    </w:p>
    <w:p w14:paraId="495BE8A4">
      <w:pPr>
        <w:spacing w:before="120" w:after="0"/>
        <w:jc w:val="center"/>
      </w:pPr>
      <w:r>
        <w:drawing>
          <wp:inline distT="0" distB="0" distL="114300" distR="114300">
            <wp:extent cx="5219700" cy="29927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5220000" cy="2992800"/>
                    </a:xfrm>
                    <a:prstGeom prst="rect">
                      <a:avLst/>
                    </a:prstGeom>
                  </pic:spPr>
                </pic:pic>
              </a:graphicData>
            </a:graphic>
          </wp:inline>
        </w:drawing>
      </w:r>
    </w:p>
    <w:p w14:paraId="1D7ADCFF">
      <w:pPr>
        <w:spacing w:before="40" w:after="160" w:line="400" w:lineRule="exact"/>
        <w:jc w:val="center"/>
      </w:pPr>
      <w:r>
        <w:rPr>
          <w:rFonts w:ascii="Times New Roman" w:hAnsi="Times New Roman" w:eastAsia="宋体"/>
          <w:b w:val="0"/>
          <w:color w:val="000000"/>
          <w:sz w:val="24"/>
        </w:rPr>
        <w:t>图5：一般公共预算财政拨款支出决算变动情况（单位：万元）</w:t>
      </w:r>
    </w:p>
    <w:p w14:paraId="58651B91">
      <w:pPr>
        <w:spacing w:before="0" w:after="0" w:line="560" w:lineRule="exact"/>
        <w:ind w:firstLine="640"/>
      </w:pPr>
      <w:r>
        <w:rPr>
          <w:rFonts w:ascii="Times New Roman" w:hAnsi="Times New Roman" w:eastAsia="楷体_GB2312"/>
          <w:b/>
          <w:color w:val="000000"/>
          <w:sz w:val="32"/>
        </w:rPr>
        <w:t>（二）一般公共预算财政拨款支出决算结构情况</w:t>
      </w:r>
    </w:p>
    <w:p w14:paraId="71229E1A">
      <w:pPr>
        <w:spacing w:before="0" w:after="0" w:line="560" w:lineRule="exact"/>
        <w:ind w:firstLine="640"/>
      </w:pPr>
      <w:r>
        <w:rPr>
          <w:rFonts w:ascii="Times New Roman" w:hAnsi="Times New Roman" w:eastAsia="仿宋_GB2312"/>
          <w:b w:val="0"/>
          <w:color w:val="000000"/>
          <w:sz w:val="32"/>
        </w:rPr>
        <w:t>2025年度一般公共预算财政拨款支出388.54万元，主要用于以下方面：社会保障和就业支出53.63万元，占13.8%；卫生健康支出311.12万元，占80.1%；住房保障支出23.78万元，占6.1%。</w:t>
      </w:r>
    </w:p>
    <w:p w14:paraId="4749BC3D">
      <w:pPr>
        <w:spacing w:before="120" w:after="0"/>
        <w:jc w:val="center"/>
      </w:pPr>
      <w:r>
        <w:drawing>
          <wp:inline distT="0" distB="0" distL="114300" distR="114300">
            <wp:extent cx="4139565" cy="2887980"/>
            <wp:effectExtent l="0" t="0" r="1333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stretch>
                      <a:fillRect/>
                    </a:stretch>
                  </pic:blipFill>
                  <pic:spPr>
                    <a:xfrm>
                      <a:off x="0" y="0"/>
                      <a:ext cx="4140000" cy="2887980"/>
                    </a:xfrm>
                    <a:prstGeom prst="rect">
                      <a:avLst/>
                    </a:prstGeom>
                  </pic:spPr>
                </pic:pic>
              </a:graphicData>
            </a:graphic>
          </wp:inline>
        </w:drawing>
      </w:r>
    </w:p>
    <w:p w14:paraId="5BAFB982">
      <w:pPr>
        <w:spacing w:before="40" w:after="160" w:line="400" w:lineRule="exact"/>
        <w:jc w:val="center"/>
      </w:pPr>
      <w:r>
        <w:rPr>
          <w:rFonts w:ascii="Times New Roman" w:hAnsi="Times New Roman" w:eastAsia="宋体"/>
          <w:b w:val="0"/>
          <w:color w:val="000000"/>
          <w:sz w:val="24"/>
        </w:rPr>
        <w:t>图6：一般公共预算财政拨款支出决算结构图</w:t>
      </w:r>
    </w:p>
    <w:p w14:paraId="7E392765">
      <w:pPr>
        <w:spacing w:before="0" w:after="0" w:line="560" w:lineRule="exact"/>
        <w:ind w:firstLine="640"/>
      </w:pPr>
      <w:r>
        <w:rPr>
          <w:rFonts w:ascii="Times New Roman" w:hAnsi="Times New Roman" w:eastAsia="楷体_GB2312"/>
          <w:b/>
          <w:color w:val="000000"/>
          <w:sz w:val="32"/>
        </w:rPr>
        <w:t>（三）一般公共预算财政拨款支出决算具体情况</w:t>
      </w:r>
    </w:p>
    <w:p w14:paraId="495420C9">
      <w:pPr>
        <w:spacing w:before="0" w:after="0" w:line="560" w:lineRule="exact"/>
        <w:ind w:firstLine="640"/>
      </w:pPr>
      <w:r>
        <w:rPr>
          <w:rFonts w:ascii="Times New Roman" w:hAnsi="Times New Roman" w:eastAsia="仿宋_GB2312"/>
          <w:b w:val="0"/>
          <w:color w:val="000000"/>
          <w:sz w:val="32"/>
        </w:rPr>
        <w:t>2025年度一般公共预算支出决算数为388.54万元，完成全年预算数的100%（决算数与全年预算数持平）。其中：</w:t>
      </w:r>
    </w:p>
    <w:p w14:paraId="58F83D9F">
      <w:pPr>
        <w:spacing w:before="0" w:after="0" w:line="560" w:lineRule="exact"/>
        <w:ind w:firstLine="640"/>
      </w:pPr>
      <w:r>
        <w:rPr>
          <w:rFonts w:ascii="Times New Roman" w:hAnsi="Times New Roman" w:eastAsia="仿宋_GB2312"/>
          <w:b w:val="0"/>
          <w:color w:val="000000"/>
          <w:sz w:val="32"/>
        </w:rPr>
        <w:t>1.社会保障和就业支出</w:t>
      </w:r>
      <w:r>
        <w:rPr>
          <w:rFonts w:hint="eastAsia" w:ascii="Times New Roman" w:hAnsi="Times New Roman" w:eastAsia="仿宋_GB2312"/>
          <w:b w:val="0"/>
          <w:color w:val="000000"/>
          <w:sz w:val="32"/>
          <w:lang w:eastAsia="zh-CN"/>
        </w:rPr>
        <w:t>：</w:t>
      </w:r>
      <w:r>
        <w:rPr>
          <w:rFonts w:hint="eastAsia" w:ascii="Times New Roman" w:hAnsi="Times New Roman" w:eastAsia="仿宋_GB2312"/>
          <w:b w:val="0"/>
          <w:color w:val="000000"/>
          <w:sz w:val="32"/>
          <w:lang w:val="en-US" w:eastAsia="zh-CN"/>
        </w:rPr>
        <w:t>2080505-</w:t>
      </w:r>
      <w:r>
        <w:rPr>
          <w:rFonts w:ascii="Times New Roman" w:hAnsi="Times New Roman" w:eastAsia="仿宋_GB2312"/>
          <w:b w:val="0"/>
          <w:color w:val="000000"/>
          <w:sz w:val="32"/>
        </w:rPr>
        <w:t>机关事业单位基本养老保险缴费支出：支出决算为32.43万元，完成全年预算100%，决算数等于预算数。</w:t>
      </w:r>
    </w:p>
    <w:p w14:paraId="59CA7294">
      <w:pPr>
        <w:spacing w:before="0" w:after="0" w:line="560" w:lineRule="exact"/>
        <w:ind w:firstLine="640"/>
      </w:pPr>
      <w:r>
        <w:rPr>
          <w:rFonts w:ascii="Times New Roman" w:hAnsi="Times New Roman" w:eastAsia="仿宋_GB2312"/>
          <w:b w:val="0"/>
          <w:color w:val="000000"/>
          <w:sz w:val="32"/>
        </w:rPr>
        <w:t>2.社会保障和就业支出</w:t>
      </w:r>
      <w:r>
        <w:rPr>
          <w:rFonts w:hint="eastAsia" w:ascii="Times New Roman" w:hAnsi="Times New Roman" w:eastAsia="仿宋_GB2312"/>
          <w:b w:val="0"/>
          <w:color w:val="000000"/>
          <w:sz w:val="32"/>
          <w:lang w:eastAsia="zh-CN"/>
        </w:rPr>
        <w:t>：</w:t>
      </w:r>
      <w:r>
        <w:rPr>
          <w:rFonts w:hint="eastAsia" w:ascii="Times New Roman" w:hAnsi="Times New Roman" w:eastAsia="仿宋_GB2312"/>
          <w:b w:val="0"/>
          <w:color w:val="000000"/>
          <w:sz w:val="32"/>
          <w:lang w:val="en-US" w:eastAsia="zh-CN"/>
        </w:rPr>
        <w:t>208506-</w:t>
      </w:r>
      <w:r>
        <w:rPr>
          <w:rFonts w:ascii="Times New Roman" w:hAnsi="Times New Roman" w:eastAsia="仿宋_GB2312"/>
          <w:b w:val="0"/>
          <w:color w:val="000000"/>
          <w:sz w:val="32"/>
        </w:rPr>
        <w:t>机关事业单位职业年金缴费支出：支出决算为16.04万元，完成全年预算100%，决算数等于预算数。</w:t>
      </w:r>
    </w:p>
    <w:p w14:paraId="59F01DC9">
      <w:pPr>
        <w:spacing w:before="0" w:after="0" w:line="560" w:lineRule="exact"/>
        <w:ind w:firstLine="640"/>
      </w:pPr>
      <w:r>
        <w:rPr>
          <w:rFonts w:ascii="Times New Roman" w:hAnsi="Times New Roman" w:eastAsia="仿宋_GB2312"/>
          <w:b w:val="0"/>
          <w:color w:val="000000"/>
          <w:sz w:val="32"/>
        </w:rPr>
        <w:t>3.社会保障和就业支出</w:t>
      </w:r>
      <w:r>
        <w:rPr>
          <w:rFonts w:hint="eastAsia" w:ascii="Times New Roman" w:hAnsi="Times New Roman" w:eastAsia="仿宋_GB2312"/>
          <w:b w:val="0"/>
          <w:color w:val="000000"/>
          <w:sz w:val="32"/>
          <w:lang w:eastAsia="zh-CN"/>
        </w:rPr>
        <w:t>：</w:t>
      </w:r>
      <w:r>
        <w:rPr>
          <w:rFonts w:hint="eastAsia" w:ascii="Times New Roman" w:hAnsi="Times New Roman" w:eastAsia="仿宋_GB2312"/>
          <w:b w:val="0"/>
          <w:color w:val="000000"/>
          <w:sz w:val="32"/>
          <w:lang w:val="en-US" w:eastAsia="zh-CN"/>
        </w:rPr>
        <w:t>2080599-</w:t>
      </w:r>
      <w:r>
        <w:rPr>
          <w:rFonts w:ascii="Times New Roman" w:hAnsi="Times New Roman" w:eastAsia="仿宋_GB2312"/>
          <w:b w:val="0"/>
          <w:color w:val="000000"/>
          <w:sz w:val="32"/>
        </w:rPr>
        <w:t>他行政事业单位养老支出：支出决算为5.16万元，完成全年预算100%，决算数等于预算数。</w:t>
      </w:r>
    </w:p>
    <w:p w14:paraId="19AB6A41">
      <w:pPr>
        <w:spacing w:before="0" w:after="0" w:line="560" w:lineRule="exact"/>
        <w:ind w:firstLine="640"/>
      </w:pPr>
      <w:r>
        <w:rPr>
          <w:rFonts w:ascii="Times New Roman" w:hAnsi="Times New Roman" w:eastAsia="仿宋_GB2312"/>
          <w:b w:val="0"/>
          <w:color w:val="000000"/>
          <w:sz w:val="32"/>
        </w:rPr>
        <w:t>4.卫生健康支出</w:t>
      </w:r>
      <w:r>
        <w:rPr>
          <w:rFonts w:hint="eastAsia" w:ascii="Times New Roman" w:hAnsi="Times New Roman" w:eastAsia="仿宋_GB2312"/>
          <w:b w:val="0"/>
          <w:color w:val="000000"/>
          <w:sz w:val="32"/>
          <w:lang w:eastAsia="zh-CN"/>
        </w:rPr>
        <w:t>：</w:t>
      </w:r>
      <w:r>
        <w:rPr>
          <w:rFonts w:hint="eastAsia" w:ascii="Times New Roman" w:hAnsi="Times New Roman" w:eastAsia="仿宋_GB2312"/>
          <w:b w:val="0"/>
          <w:color w:val="000000"/>
          <w:sz w:val="32"/>
          <w:lang w:val="en-US" w:eastAsia="zh-CN"/>
        </w:rPr>
        <w:t>2100199-</w:t>
      </w:r>
      <w:r>
        <w:rPr>
          <w:rFonts w:ascii="Times New Roman" w:hAnsi="Times New Roman" w:eastAsia="仿宋_GB2312"/>
          <w:b w:val="0"/>
          <w:color w:val="000000"/>
          <w:sz w:val="32"/>
        </w:rPr>
        <w:t>其他卫生健康管理事务支出：支出决算为294.02万元，完成全年预算100%，决算数等于预算数。</w:t>
      </w:r>
    </w:p>
    <w:p w14:paraId="73C281E4">
      <w:pPr>
        <w:spacing w:before="0" w:after="0" w:line="560" w:lineRule="exact"/>
        <w:ind w:firstLine="640"/>
      </w:pPr>
      <w:r>
        <w:rPr>
          <w:rFonts w:ascii="Times New Roman" w:hAnsi="Times New Roman" w:eastAsia="仿宋_GB2312"/>
          <w:b w:val="0"/>
          <w:color w:val="000000"/>
          <w:sz w:val="32"/>
        </w:rPr>
        <w:t>5.卫生健康支出</w:t>
      </w:r>
      <w:r>
        <w:rPr>
          <w:rFonts w:hint="eastAsia" w:ascii="Times New Roman" w:hAnsi="Times New Roman" w:eastAsia="仿宋_GB2312"/>
          <w:b w:val="0"/>
          <w:color w:val="000000"/>
          <w:sz w:val="32"/>
          <w:lang w:eastAsia="zh-CN"/>
        </w:rPr>
        <w:t>：</w:t>
      </w:r>
      <w:r>
        <w:rPr>
          <w:rFonts w:hint="eastAsia" w:ascii="Times New Roman" w:hAnsi="Times New Roman" w:eastAsia="仿宋_GB2312"/>
          <w:b w:val="0"/>
          <w:color w:val="000000"/>
          <w:sz w:val="32"/>
          <w:lang w:val="en-US" w:eastAsia="zh-CN"/>
        </w:rPr>
        <w:t>2101102-</w:t>
      </w:r>
      <w:r>
        <w:rPr>
          <w:rFonts w:ascii="Times New Roman" w:hAnsi="Times New Roman" w:eastAsia="仿宋_GB2312"/>
          <w:b w:val="0"/>
          <w:color w:val="000000"/>
          <w:sz w:val="32"/>
        </w:rPr>
        <w:t>事业单位医疗：支出决算为17.10万元，完成全年预算100%，决算数等于预算数。</w:t>
      </w:r>
    </w:p>
    <w:p w14:paraId="2A0FB7B5">
      <w:pPr>
        <w:spacing w:before="0" w:after="0" w:line="560" w:lineRule="exact"/>
        <w:ind w:firstLine="640"/>
      </w:pPr>
      <w:r>
        <w:rPr>
          <w:rFonts w:ascii="Times New Roman" w:hAnsi="Times New Roman" w:eastAsia="仿宋_GB2312"/>
          <w:b w:val="0"/>
          <w:color w:val="000000"/>
          <w:sz w:val="32"/>
        </w:rPr>
        <w:t>6.住房保障支出</w:t>
      </w:r>
      <w:r>
        <w:rPr>
          <w:rFonts w:hint="eastAsia" w:ascii="Times New Roman" w:hAnsi="Times New Roman" w:eastAsia="仿宋_GB2312"/>
          <w:b w:val="0"/>
          <w:color w:val="000000"/>
          <w:sz w:val="32"/>
          <w:lang w:eastAsia="zh-CN"/>
        </w:rPr>
        <w:t>：</w:t>
      </w:r>
      <w:r>
        <w:rPr>
          <w:rFonts w:hint="eastAsia" w:ascii="Times New Roman" w:hAnsi="Times New Roman" w:eastAsia="仿宋_GB2312"/>
          <w:b w:val="0"/>
          <w:color w:val="000000"/>
          <w:sz w:val="32"/>
          <w:lang w:val="en-US" w:eastAsia="zh-CN"/>
        </w:rPr>
        <w:t>2210201-</w:t>
      </w:r>
      <w:r>
        <w:rPr>
          <w:rFonts w:ascii="Times New Roman" w:hAnsi="Times New Roman" w:eastAsia="仿宋_GB2312"/>
          <w:b w:val="0"/>
          <w:color w:val="000000"/>
          <w:sz w:val="32"/>
        </w:rPr>
        <w:t>住房公积金：支出决算为23.78万元，完成全年预算100%，决算数等于预算数。</w:t>
      </w:r>
    </w:p>
    <w:p w14:paraId="0CD31961">
      <w:pPr>
        <w:spacing w:before="0" w:after="0" w:line="560" w:lineRule="exact"/>
        <w:ind w:firstLine="640"/>
        <w:rPr>
          <w:rFonts w:ascii="Times New Roman" w:hAnsi="Times New Roman" w:eastAsia="仿宋_GB2312"/>
          <w:b/>
          <w:bCs/>
          <w:color w:val="000000"/>
          <w:sz w:val="32"/>
        </w:rPr>
      </w:pPr>
      <w:r>
        <w:rPr>
          <w:rFonts w:ascii="Times New Roman" w:hAnsi="Times New Roman" w:eastAsia="仿宋_GB2312"/>
          <w:b/>
          <w:bCs/>
          <w:color w:val="000000"/>
          <w:sz w:val="32"/>
        </w:rPr>
        <w:t>（注：上述“预算”口径为全年预算数。本单位2025年度各项支出决算数与全年预算数持平，无预决算差异。）</w:t>
      </w:r>
    </w:p>
    <w:p w14:paraId="47957ED8">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9" w:name="_Toc570"/>
      <w:r>
        <w:rPr>
          <w:rFonts w:ascii="Times New Roman" w:hAnsi="Times New Roman" w:eastAsia="黑体"/>
          <w:b w:val="0"/>
          <w:bCs/>
          <w:color w:val="000000"/>
          <w:sz w:val="32"/>
        </w:rPr>
        <w:t>六、一般公共预算财政拨款基本支出决算情况说明</w:t>
      </w:r>
      <w:bookmarkEnd w:id="9"/>
    </w:p>
    <w:p w14:paraId="7D2CF171">
      <w:pPr>
        <w:spacing w:before="0" w:after="0" w:line="560" w:lineRule="exact"/>
        <w:ind w:firstLine="640"/>
      </w:pPr>
      <w:r>
        <w:rPr>
          <w:rFonts w:ascii="Times New Roman" w:hAnsi="Times New Roman" w:eastAsia="仿宋_GB2312"/>
          <w:b w:val="0"/>
          <w:color w:val="000000"/>
          <w:sz w:val="32"/>
        </w:rPr>
        <w:t>2025年度一般公共预算财政拨款基本支出388.54万元，其中：</w:t>
      </w:r>
    </w:p>
    <w:p w14:paraId="00DE195C">
      <w:pPr>
        <w:spacing w:before="0" w:after="0" w:line="560" w:lineRule="exact"/>
        <w:ind w:firstLine="640"/>
      </w:pPr>
      <w:r>
        <w:rPr>
          <w:rFonts w:ascii="Times New Roman" w:hAnsi="Times New Roman" w:eastAsia="仿宋_GB2312"/>
          <w:b w:val="0"/>
          <w:color w:val="000000"/>
          <w:sz w:val="32"/>
        </w:rPr>
        <w:t>人员经费335.77万元，主要包括：基本工资、津贴补贴、奖金、绩效工资、机关事业单位基本养老保险缴费、职业年金缴费、职工基本医疗保险缴费、其他社会保障缴费、住房公积金、生活补助、奖励金等。</w:t>
      </w:r>
    </w:p>
    <w:p w14:paraId="7829F4D6">
      <w:pPr>
        <w:spacing w:before="0" w:after="0" w:line="560" w:lineRule="exact"/>
        <w:ind w:firstLine="640"/>
      </w:pPr>
      <w:r>
        <w:rPr>
          <w:rFonts w:ascii="Times New Roman" w:hAnsi="Times New Roman" w:eastAsia="仿宋_GB2312"/>
          <w:b w:val="0"/>
          <w:color w:val="000000"/>
          <w:sz w:val="32"/>
        </w:rPr>
        <w:t>公用经费52.77万元，主要包括：办公费、水费、电费、邮电费、差旅费、培训费、工会经费、福利费、其他交通费用、其他商品和服务支出等。</w:t>
      </w:r>
    </w:p>
    <w:p w14:paraId="3BEF4A7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10" w:name="_Toc20263"/>
      <w:r>
        <w:rPr>
          <w:rFonts w:ascii="Times New Roman" w:hAnsi="Times New Roman" w:eastAsia="黑体"/>
          <w:b w:val="0"/>
          <w:bCs/>
          <w:color w:val="000000"/>
          <w:sz w:val="32"/>
        </w:rPr>
        <w:t>七、财政拨款“三公”经费支出决算情况说明</w:t>
      </w:r>
      <w:bookmarkEnd w:id="10"/>
    </w:p>
    <w:p w14:paraId="1D30A45D">
      <w:pPr>
        <w:spacing w:before="0" w:after="0" w:line="560" w:lineRule="exact"/>
        <w:ind w:firstLine="640"/>
      </w:pPr>
      <w:r>
        <w:rPr>
          <w:rFonts w:ascii="Times New Roman" w:hAnsi="Times New Roman" w:eastAsia="楷体_GB2312"/>
          <w:b/>
          <w:color w:val="000000"/>
          <w:sz w:val="32"/>
        </w:rPr>
        <w:t>（一）财政拨款“三公”经费支出决算总体情况说明</w:t>
      </w:r>
    </w:p>
    <w:p w14:paraId="7AEF13FD">
      <w:pPr>
        <w:spacing w:before="0" w:after="0" w:line="560" w:lineRule="exact"/>
        <w:ind w:firstLine="640"/>
      </w:pPr>
      <w:r>
        <w:rPr>
          <w:rFonts w:ascii="Times New Roman" w:hAnsi="Times New Roman" w:eastAsia="仿宋_GB2312"/>
          <w:b w:val="0"/>
          <w:color w:val="000000"/>
          <w:sz w:val="32"/>
        </w:rPr>
        <w:t>2025年度财政拨款“三公”经费支出决算为0万元，全年预算数为0万元，决算数与全年预算数持平；</w:t>
      </w:r>
      <w:r>
        <w:rPr>
          <w:rFonts w:hint="eastAsia" w:ascii="Times New Roman" w:hAnsi="Times New Roman" w:eastAsia="仿宋_GB2312"/>
          <w:b w:val="0"/>
          <w:color w:val="000000"/>
          <w:sz w:val="32"/>
          <w:lang w:eastAsia="zh-CN"/>
        </w:rPr>
        <w:t>与</w:t>
      </w:r>
      <w:r>
        <w:rPr>
          <w:rFonts w:ascii="Times New Roman" w:hAnsi="Times New Roman" w:eastAsia="仿宋_GB2312"/>
          <w:b w:val="0"/>
          <w:color w:val="000000"/>
          <w:sz w:val="32"/>
        </w:rPr>
        <w:t>上年度决算数（0万元）持平。2025年“三公”经费年初预算数为0.43万元，年中按规定程序调整后全年预算数为0万元。决算数小于年初预算数的主要原因是：严格执行中央八项规定精神和党政机关厉行节约反对浪费有关要求，从严控制和压缩“三公”经费支出，2025年度未发生“三公”经费支出。</w:t>
      </w:r>
    </w:p>
    <w:p w14:paraId="0F1F1555">
      <w:pPr>
        <w:spacing w:before="0" w:after="0" w:line="560" w:lineRule="exact"/>
        <w:ind w:firstLine="640"/>
      </w:pPr>
      <w:r>
        <w:rPr>
          <w:rFonts w:ascii="Times New Roman" w:hAnsi="Times New Roman" w:eastAsia="楷体_GB2312"/>
          <w:b/>
          <w:color w:val="000000"/>
          <w:sz w:val="32"/>
        </w:rPr>
        <w:t>（二）财政拨款“三公”经费支出决算具体情况说明</w:t>
      </w:r>
    </w:p>
    <w:p w14:paraId="6B9A8F86">
      <w:pPr>
        <w:spacing w:before="0" w:after="0" w:line="560" w:lineRule="exact"/>
        <w:ind w:firstLine="640"/>
      </w:pPr>
      <w:r>
        <w:rPr>
          <w:rFonts w:ascii="Times New Roman" w:hAnsi="Times New Roman" w:eastAsia="仿宋_GB2312"/>
          <w:b w:val="0"/>
          <w:color w:val="000000"/>
          <w:sz w:val="32"/>
        </w:rPr>
        <w:t>2025年度财政拨款“三公”经费支出决算中，因公出国（境）费支出决算0万元；公务用车购置及运行维护费支出决算0万元，其中公务用车购置费0万元、公务用车运行维护费0万元；公务接待费支出决算0万元。具体情况如下：</w:t>
      </w:r>
    </w:p>
    <w:p w14:paraId="17083034">
      <w:pPr>
        <w:spacing w:before="0" w:after="0" w:line="560" w:lineRule="exact"/>
        <w:ind w:firstLine="640"/>
      </w:pPr>
      <w:r>
        <w:rPr>
          <w:rFonts w:ascii="Times New Roman" w:hAnsi="Times New Roman" w:eastAsia="仿宋_GB2312"/>
          <w:b w:val="0"/>
          <w:color w:val="000000"/>
          <w:sz w:val="32"/>
        </w:rPr>
        <w:t>1.因公出国（境）经费支出0万元，完成全年预算100%。全年安排因公出国（境）团组0个，出国（境）0人次。</w:t>
      </w:r>
    </w:p>
    <w:p w14:paraId="072FEB8B">
      <w:pPr>
        <w:spacing w:before="0" w:after="0" w:line="560" w:lineRule="exact"/>
        <w:ind w:firstLine="640"/>
      </w:pPr>
      <w:r>
        <w:rPr>
          <w:rFonts w:ascii="Times New Roman" w:hAnsi="Times New Roman" w:eastAsia="仿宋_GB2312"/>
          <w:b w:val="0"/>
          <w:color w:val="000000"/>
          <w:sz w:val="32"/>
        </w:rPr>
        <w:t>2.公务用车购置及运行维护费支出0万元，完成全年预算100%。其中：公务用车购置支出0万元，全年未更新购置公务用车；公务用车运行维护费支出0万元。截至2025年12月31日，本单位共有公务用车0辆。</w:t>
      </w:r>
    </w:p>
    <w:p w14:paraId="49B57C35">
      <w:pPr>
        <w:spacing w:before="0" w:after="0" w:line="560" w:lineRule="exact"/>
        <w:ind w:firstLine="640"/>
      </w:pPr>
      <w:r>
        <w:rPr>
          <w:rFonts w:ascii="Times New Roman" w:hAnsi="Times New Roman" w:eastAsia="仿宋_GB2312"/>
          <w:b w:val="0"/>
          <w:color w:val="000000"/>
          <w:sz w:val="32"/>
        </w:rPr>
        <w:t>3.公务接待费支出0万元，完成全年预算100%。其中：国内公务接待支出0万元，国内公务接待0批次，0人次（不包括陪同人员）；外事接待支出0万元，外事接待0批次，0人次。</w:t>
      </w:r>
    </w:p>
    <w:p w14:paraId="52FE68DA">
      <w:pPr>
        <w:spacing w:before="0" w:after="0" w:line="560" w:lineRule="exact"/>
        <w:ind w:firstLine="640"/>
        <w:rPr>
          <w:rFonts w:ascii="Times New Roman" w:hAnsi="Times New Roman" w:eastAsia="仿宋_GB2312"/>
          <w:b/>
          <w:bCs/>
          <w:color w:val="000000"/>
          <w:sz w:val="32"/>
        </w:rPr>
      </w:pPr>
      <w:r>
        <w:rPr>
          <w:rFonts w:ascii="Times New Roman" w:hAnsi="Times New Roman" w:eastAsia="仿宋_GB2312"/>
          <w:b/>
          <w:bCs/>
          <w:color w:val="000000"/>
          <w:sz w:val="32"/>
        </w:rPr>
        <w:t>（注：2025年度本单位“三公”经费支出决算为0万元，无支出结构数据，故不作结构图。）</w:t>
      </w:r>
    </w:p>
    <w:p w14:paraId="6329C990">
      <w:pPr>
        <w:spacing w:before="0" w:after="0" w:line="560" w:lineRule="exact"/>
        <w:ind w:firstLine="640"/>
        <w:rPr>
          <w:rFonts w:ascii="Times New Roman" w:hAnsi="Times New Roman" w:eastAsia="黑体"/>
          <w:b w:val="0"/>
          <w:bCs/>
          <w:color w:val="000000"/>
          <w:sz w:val="32"/>
        </w:rPr>
      </w:pPr>
      <w:r>
        <w:rPr>
          <w:rFonts w:ascii="Times New Roman" w:hAnsi="Times New Roman" w:eastAsia="黑体"/>
          <w:b w:val="0"/>
          <w:bCs/>
          <w:color w:val="000000"/>
          <w:sz w:val="32"/>
        </w:rPr>
        <w:t>八、政府性基金预算支出决算情况说明</w:t>
      </w:r>
    </w:p>
    <w:p w14:paraId="24858F55">
      <w:pPr>
        <w:spacing w:before="0" w:after="0" w:line="560" w:lineRule="exact"/>
        <w:ind w:firstLine="640"/>
      </w:pPr>
      <w:r>
        <w:rPr>
          <w:rFonts w:ascii="Times New Roman" w:hAnsi="Times New Roman" w:eastAsia="仿宋_GB2312"/>
          <w:b w:val="0"/>
          <w:color w:val="000000"/>
          <w:sz w:val="32"/>
        </w:rPr>
        <w:t>2025年度政府性基金预算财政拨款支出0万元，占本年支出合计的0%。与上年度相比，政府性基金预算财政拨款支出持平。本单位2025年度无政府性基金预算财政拨款收入、支出及结转和结余情况，相关公开附表标注“本表无数据”。</w:t>
      </w:r>
    </w:p>
    <w:p w14:paraId="69B25B90">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11" w:name="_Toc22031"/>
      <w:r>
        <w:rPr>
          <w:rFonts w:ascii="Times New Roman" w:hAnsi="Times New Roman" w:eastAsia="黑体"/>
          <w:b w:val="0"/>
          <w:bCs/>
          <w:color w:val="000000"/>
          <w:sz w:val="32"/>
        </w:rPr>
        <w:t>九、国有资本经营预算支出决算情况说明</w:t>
      </w:r>
      <w:bookmarkEnd w:id="11"/>
    </w:p>
    <w:p w14:paraId="1A6A2681">
      <w:pPr>
        <w:spacing w:before="0" w:after="0" w:line="560" w:lineRule="exact"/>
        <w:ind w:firstLine="640"/>
      </w:pPr>
      <w:r>
        <w:rPr>
          <w:rFonts w:ascii="Times New Roman" w:hAnsi="Times New Roman" w:eastAsia="仿宋_GB2312"/>
          <w:b w:val="0"/>
          <w:color w:val="000000"/>
          <w:sz w:val="32"/>
        </w:rPr>
        <w:t>2025年度国有资本经营预算财政拨款支出0万元，占本年支出合计的0%。与上年度相比，国有资本经营预算财政拨款支出持平。本单位2025年度无国有资本经营预算财政拨款收入、支出及结转和结余情况，相关公开附表标注“本表无数据”。</w:t>
      </w:r>
    </w:p>
    <w:p w14:paraId="127E7DD3">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b w:val="0"/>
          <w:bCs/>
        </w:rPr>
      </w:pPr>
      <w:bookmarkStart w:id="12" w:name="_Toc19068"/>
      <w:r>
        <w:rPr>
          <w:rFonts w:ascii="Times New Roman" w:hAnsi="Times New Roman" w:eastAsia="黑体"/>
          <w:b w:val="0"/>
          <w:bCs/>
          <w:color w:val="000000"/>
          <w:sz w:val="32"/>
        </w:rPr>
        <w:t>十、其他重要事项的情况说明</w:t>
      </w:r>
      <w:bookmarkEnd w:id="12"/>
    </w:p>
    <w:p w14:paraId="74EEEC64">
      <w:pPr>
        <w:spacing w:before="0" w:after="0" w:line="560" w:lineRule="exact"/>
        <w:ind w:firstLine="640"/>
      </w:pPr>
      <w:r>
        <w:rPr>
          <w:rFonts w:ascii="Times New Roman" w:hAnsi="Times New Roman" w:eastAsia="楷体_GB2312"/>
          <w:b/>
          <w:color w:val="000000"/>
          <w:sz w:val="32"/>
        </w:rPr>
        <w:t>（一）机关运行经费支出情况</w:t>
      </w:r>
    </w:p>
    <w:p w14:paraId="752738CB">
      <w:pPr>
        <w:spacing w:before="0" w:after="0" w:line="560" w:lineRule="exact"/>
        <w:ind w:firstLine="640"/>
      </w:pPr>
      <w:r>
        <w:rPr>
          <w:rFonts w:ascii="Times New Roman" w:hAnsi="Times New Roman" w:eastAsia="仿宋_GB2312"/>
          <w:b w:val="0"/>
          <w:color w:val="000000"/>
          <w:sz w:val="32"/>
        </w:rPr>
        <w:t>2025年度，本单位机关运行经费支出0万元，与上年度决算数持平。本单位为公益一类事业单位，不属于行政单位（含参照公务员法管理的事业单位），不涉及机关运行经费。</w:t>
      </w:r>
    </w:p>
    <w:p w14:paraId="54F3A6CC">
      <w:pPr>
        <w:spacing w:before="0" w:after="0" w:line="560" w:lineRule="exact"/>
        <w:ind w:firstLine="640"/>
      </w:pPr>
      <w:r>
        <w:rPr>
          <w:rFonts w:ascii="Times New Roman" w:hAnsi="Times New Roman" w:eastAsia="楷体_GB2312"/>
          <w:b/>
          <w:color w:val="000000"/>
          <w:sz w:val="32"/>
        </w:rPr>
        <w:t>（二）政府采购支出情况</w:t>
      </w:r>
    </w:p>
    <w:p w14:paraId="739F6ADA">
      <w:pPr>
        <w:spacing w:before="0" w:after="0" w:line="560" w:lineRule="exact"/>
        <w:ind w:firstLine="640"/>
      </w:pPr>
      <w:r>
        <w:rPr>
          <w:rFonts w:ascii="Times New Roman" w:hAnsi="Times New Roman" w:eastAsia="仿宋_GB2312"/>
          <w:b w:val="0"/>
          <w:color w:val="000000"/>
          <w:sz w:val="32"/>
        </w:rPr>
        <w:t>2025年度，本单位政府采购支出总额0万元，其中：政府采购货物支出0万元、政府采购工程支出0万元、政府采购服务支出0万元。本单位2025年度无政府采购支出。</w:t>
      </w:r>
    </w:p>
    <w:p w14:paraId="265E5E9E">
      <w:pPr>
        <w:spacing w:before="0" w:after="0" w:line="560" w:lineRule="exact"/>
        <w:ind w:firstLine="640"/>
      </w:pPr>
      <w:r>
        <w:rPr>
          <w:rFonts w:ascii="Times New Roman" w:hAnsi="Times New Roman" w:eastAsia="楷体_GB2312"/>
          <w:b/>
          <w:color w:val="000000"/>
          <w:sz w:val="32"/>
        </w:rPr>
        <w:t>（三）国有资产占有使用情况</w:t>
      </w:r>
    </w:p>
    <w:p w14:paraId="20DE4A18">
      <w:pPr>
        <w:spacing w:before="0" w:after="0" w:line="560" w:lineRule="exact"/>
        <w:ind w:firstLine="640"/>
      </w:pPr>
      <w:r>
        <w:rPr>
          <w:rFonts w:ascii="Times New Roman" w:hAnsi="Times New Roman" w:eastAsia="仿宋_GB2312"/>
          <w:b w:val="0"/>
          <w:color w:val="000000"/>
          <w:sz w:val="32"/>
        </w:rPr>
        <w:t>截至2025年12月31日，本单位共有车辆0辆；单价100万元（含）以上设备（不含车辆）0台（套）。</w:t>
      </w:r>
    </w:p>
    <w:p w14:paraId="491D4F1E">
      <w:pPr>
        <w:spacing w:before="0" w:after="0" w:line="560" w:lineRule="exact"/>
        <w:ind w:firstLine="640"/>
      </w:pPr>
      <w:r>
        <w:rPr>
          <w:rFonts w:ascii="Times New Roman" w:hAnsi="Times New Roman" w:eastAsia="楷体_GB2312"/>
          <w:b/>
          <w:color w:val="000000"/>
          <w:sz w:val="32"/>
        </w:rPr>
        <w:t>（四）预算绩效管理情况</w:t>
      </w:r>
    </w:p>
    <w:p w14:paraId="71E5156E">
      <w:pPr>
        <w:spacing w:before="0" w:after="0" w:line="560" w:lineRule="exact"/>
        <w:ind w:firstLine="640"/>
      </w:pPr>
      <w:r>
        <w:rPr>
          <w:rFonts w:ascii="Times New Roman" w:hAnsi="Times New Roman" w:eastAsia="仿宋_GB2312"/>
          <w:b w:val="0"/>
          <w:color w:val="000000"/>
          <w:sz w:val="32"/>
        </w:rPr>
        <w:t>根据预算绩效管理要求，本部门（阿坝州卫生健康委员会）2025年度对部门预算全面开展绩效自评，形成《阿坝州卫生健康委员会部门预算绩效自评报告》，部门预算绩效自评得分为85.55分。本单位作为阿坝州卫生健康委员会所属二级预算单位，纳入部门整体支出绩效自评范围；本单位2025年度无项目支出，不涉及部门预算项目绩效目标编制、绩效监控及项目绩效自评。绩效自评报告详见附件。</w:t>
      </w:r>
    </w:p>
    <w:p w14:paraId="6EDFE4D5">
      <w:pPr>
        <w:keepNext w:val="0"/>
        <w:keepLines w:val="0"/>
        <w:pageBreakBefore w:val="0"/>
        <w:widowControl/>
        <w:numPr>
          <w:ilvl w:val="0"/>
          <w:numId w:val="7"/>
        </w:numPr>
        <w:kinsoku/>
        <w:wordWrap/>
        <w:overflowPunct/>
        <w:topLinePunct w:val="0"/>
        <w:autoSpaceDE/>
        <w:autoSpaceDN/>
        <w:bidi w:val="0"/>
        <w:adjustRightInd/>
        <w:snapToGrid/>
        <w:spacing w:before="240" w:after="120" w:line="720" w:lineRule="exact"/>
        <w:ind w:leftChars="0"/>
        <w:jc w:val="center"/>
        <w:textAlignment w:val="auto"/>
        <w:outlineLvl w:val="0"/>
        <w:rPr>
          <w:rFonts w:ascii="Times New Roman" w:hAnsi="Times New Roman" w:eastAsia="方正小标宋简体"/>
          <w:b w:val="0"/>
          <w:bCs/>
          <w:color w:val="000000"/>
          <w:sz w:val="44"/>
        </w:rPr>
      </w:pPr>
      <w:r>
        <w:rPr>
          <w:rFonts w:ascii="Times New Roman" w:hAnsi="Times New Roman" w:eastAsia="方正小标宋简体"/>
          <w:b w:val="0"/>
          <w:bCs/>
          <w:color w:val="000000"/>
          <w:sz w:val="44"/>
        </w:rPr>
        <w:t xml:space="preserve"> </w:t>
      </w:r>
      <w:bookmarkStart w:id="13" w:name="_Toc6969"/>
      <w:r>
        <w:rPr>
          <w:rFonts w:ascii="Times New Roman" w:hAnsi="Times New Roman" w:eastAsia="方正小标宋简体"/>
          <w:b w:val="0"/>
          <w:bCs/>
          <w:color w:val="000000"/>
          <w:sz w:val="44"/>
        </w:rPr>
        <w:t>名词解释</w:t>
      </w:r>
      <w:bookmarkEnd w:id="13"/>
    </w:p>
    <w:p w14:paraId="11BF53D7">
      <w:pPr>
        <w:pStyle w:val="32"/>
        <w:numPr>
          <w:ilvl w:val="0"/>
          <w:numId w:val="0"/>
        </w:numPr>
      </w:pPr>
    </w:p>
    <w:p w14:paraId="5373C9B8">
      <w:pPr>
        <w:spacing w:before="0" w:after="0" w:line="560" w:lineRule="exact"/>
        <w:ind w:firstLine="640"/>
      </w:pPr>
      <w:r>
        <w:rPr>
          <w:rFonts w:ascii="Times New Roman" w:hAnsi="Times New Roman" w:eastAsia="仿宋_GB2312"/>
          <w:b w:val="0"/>
          <w:color w:val="000000"/>
          <w:sz w:val="32"/>
        </w:rPr>
        <w:t>1.</w:t>
      </w:r>
      <w:r>
        <w:rPr>
          <w:rFonts w:ascii="Times New Roman" w:hAnsi="Times New Roman" w:eastAsia="仿宋_GB2312"/>
          <w:b/>
          <w:bCs/>
          <w:color w:val="000000"/>
          <w:sz w:val="32"/>
        </w:rPr>
        <w:t>财政拨款收入：</w:t>
      </w:r>
      <w:r>
        <w:rPr>
          <w:rFonts w:ascii="Times New Roman" w:hAnsi="Times New Roman" w:eastAsia="仿宋_GB2312"/>
          <w:b w:val="0"/>
          <w:color w:val="000000"/>
          <w:sz w:val="32"/>
        </w:rPr>
        <w:t>指单位从同级财政部门取得的财政预算资金。</w:t>
      </w:r>
    </w:p>
    <w:p w14:paraId="5F5B7E47">
      <w:pPr>
        <w:spacing w:before="0" w:after="0" w:line="560" w:lineRule="exact"/>
        <w:ind w:firstLine="640"/>
      </w:pPr>
      <w:r>
        <w:rPr>
          <w:rFonts w:ascii="Times New Roman" w:hAnsi="Times New Roman" w:eastAsia="仿宋_GB2312"/>
          <w:b w:val="0"/>
          <w:color w:val="000000"/>
          <w:sz w:val="32"/>
        </w:rPr>
        <w:t>2.</w:t>
      </w:r>
      <w:r>
        <w:rPr>
          <w:rFonts w:ascii="Times New Roman" w:hAnsi="Times New Roman" w:eastAsia="仿宋_GB2312"/>
          <w:b/>
          <w:bCs/>
          <w:color w:val="000000"/>
          <w:sz w:val="32"/>
        </w:rPr>
        <w:t>其他收入：</w:t>
      </w:r>
      <w:r>
        <w:rPr>
          <w:rFonts w:ascii="Times New Roman" w:hAnsi="Times New Roman" w:eastAsia="仿宋_GB2312"/>
          <w:b w:val="0"/>
          <w:color w:val="000000"/>
          <w:sz w:val="32"/>
        </w:rPr>
        <w:t>指单位取得的除财政拨款收入、事业收入、经营收入、上级补助收入、附属单位上缴收入以外的各项收入。</w:t>
      </w:r>
    </w:p>
    <w:p w14:paraId="37BF2B45">
      <w:pPr>
        <w:spacing w:before="0" w:after="0" w:line="560" w:lineRule="exact"/>
        <w:ind w:firstLine="640"/>
      </w:pPr>
      <w:r>
        <w:rPr>
          <w:rFonts w:ascii="Times New Roman" w:hAnsi="Times New Roman" w:eastAsia="仿宋_GB2312"/>
          <w:b w:val="0"/>
          <w:color w:val="000000"/>
          <w:sz w:val="32"/>
        </w:rPr>
        <w:t>3.</w:t>
      </w:r>
      <w:r>
        <w:rPr>
          <w:rFonts w:ascii="Times New Roman" w:hAnsi="Times New Roman" w:eastAsia="仿宋_GB2312"/>
          <w:b/>
          <w:bCs/>
          <w:color w:val="000000"/>
          <w:sz w:val="32"/>
        </w:rPr>
        <w:t>年初结转和结余：</w:t>
      </w:r>
      <w:r>
        <w:rPr>
          <w:rFonts w:ascii="Times New Roman" w:hAnsi="Times New Roman" w:eastAsia="仿宋_GB2312"/>
          <w:b w:val="0"/>
          <w:color w:val="000000"/>
          <w:sz w:val="32"/>
        </w:rPr>
        <w:t>指以前年度尚未完成、结转到本年按有关规定继续使用的资金。</w:t>
      </w:r>
    </w:p>
    <w:p w14:paraId="495D4B84">
      <w:pPr>
        <w:spacing w:before="0" w:after="0" w:line="560" w:lineRule="exact"/>
        <w:ind w:firstLine="640"/>
      </w:pPr>
      <w:r>
        <w:rPr>
          <w:rFonts w:ascii="Times New Roman" w:hAnsi="Times New Roman" w:eastAsia="仿宋_GB2312"/>
          <w:b w:val="0"/>
          <w:color w:val="000000"/>
          <w:sz w:val="32"/>
        </w:rPr>
        <w:t>4.</w:t>
      </w:r>
      <w:r>
        <w:rPr>
          <w:rFonts w:ascii="Times New Roman" w:hAnsi="Times New Roman" w:eastAsia="仿宋_GB2312"/>
          <w:b/>
          <w:bCs/>
          <w:color w:val="000000"/>
          <w:sz w:val="32"/>
        </w:rPr>
        <w:t>年末结转和结余</w:t>
      </w:r>
      <w:r>
        <w:rPr>
          <w:rFonts w:ascii="Times New Roman" w:hAnsi="Times New Roman" w:eastAsia="仿宋_GB2312"/>
          <w:b w:val="0"/>
          <w:color w:val="000000"/>
          <w:sz w:val="32"/>
        </w:rPr>
        <w:t>：指单位按有关规定结转到下年或以后年度继续使用的资金。</w:t>
      </w:r>
    </w:p>
    <w:p w14:paraId="4CF29EFB">
      <w:pPr>
        <w:spacing w:before="0" w:after="0" w:line="560" w:lineRule="exact"/>
        <w:ind w:firstLine="640"/>
      </w:pPr>
      <w:r>
        <w:rPr>
          <w:rFonts w:ascii="Times New Roman" w:hAnsi="Times New Roman" w:eastAsia="仿宋_GB2312"/>
          <w:b w:val="0"/>
          <w:color w:val="000000"/>
          <w:sz w:val="32"/>
        </w:rPr>
        <w:t>5.</w:t>
      </w:r>
      <w:r>
        <w:rPr>
          <w:rFonts w:ascii="Times New Roman" w:hAnsi="Times New Roman" w:eastAsia="仿宋_GB2312"/>
          <w:b/>
          <w:bCs/>
          <w:color w:val="000000"/>
          <w:sz w:val="32"/>
        </w:rPr>
        <w:t>行政事业单位养老支出：</w:t>
      </w:r>
      <w:r>
        <w:rPr>
          <w:rFonts w:ascii="Times New Roman" w:hAnsi="Times New Roman" w:eastAsia="仿宋_GB2312"/>
          <w:b w:val="0"/>
          <w:color w:val="000000"/>
          <w:sz w:val="32"/>
        </w:rPr>
        <w:t>指反映用于行政事业单位养老方面的支出。</w:t>
      </w:r>
    </w:p>
    <w:p w14:paraId="2AD6D47D">
      <w:pPr>
        <w:spacing w:before="0" w:after="0" w:line="560" w:lineRule="exact"/>
        <w:ind w:firstLine="640"/>
      </w:pPr>
      <w:r>
        <w:rPr>
          <w:rFonts w:ascii="Times New Roman" w:hAnsi="Times New Roman" w:eastAsia="仿宋_GB2312"/>
          <w:b w:val="0"/>
          <w:color w:val="000000"/>
          <w:sz w:val="32"/>
        </w:rPr>
        <w:t>6.</w:t>
      </w:r>
      <w:r>
        <w:rPr>
          <w:rFonts w:ascii="Times New Roman" w:hAnsi="Times New Roman" w:eastAsia="仿宋_GB2312"/>
          <w:b/>
          <w:bCs/>
          <w:color w:val="000000"/>
          <w:sz w:val="32"/>
        </w:rPr>
        <w:t>机关事业单位基本养老保险缴费支出</w:t>
      </w:r>
      <w:r>
        <w:rPr>
          <w:rFonts w:ascii="Times New Roman" w:hAnsi="Times New Roman" w:eastAsia="仿宋_GB2312"/>
          <w:b w:val="0"/>
          <w:color w:val="000000"/>
          <w:sz w:val="32"/>
        </w:rPr>
        <w:t>：指反映机关事业单位实施养老保险制度由单位缴纳的基本养老保险费支出。</w:t>
      </w:r>
    </w:p>
    <w:p w14:paraId="493CBB08">
      <w:pPr>
        <w:spacing w:before="0" w:after="0" w:line="560" w:lineRule="exact"/>
        <w:ind w:firstLine="640"/>
      </w:pPr>
      <w:r>
        <w:rPr>
          <w:rFonts w:ascii="Times New Roman" w:hAnsi="Times New Roman" w:eastAsia="仿宋_GB2312"/>
          <w:b w:val="0"/>
          <w:color w:val="000000"/>
          <w:sz w:val="32"/>
        </w:rPr>
        <w:t>7.</w:t>
      </w:r>
      <w:r>
        <w:rPr>
          <w:rFonts w:ascii="Times New Roman" w:hAnsi="Times New Roman" w:eastAsia="仿宋_GB2312"/>
          <w:b/>
          <w:bCs/>
          <w:color w:val="000000"/>
          <w:sz w:val="32"/>
        </w:rPr>
        <w:t>机关事业单位职业年金缴费支出：</w:t>
      </w:r>
      <w:r>
        <w:rPr>
          <w:rFonts w:ascii="Times New Roman" w:hAnsi="Times New Roman" w:eastAsia="仿宋_GB2312"/>
          <w:b w:val="0"/>
          <w:color w:val="000000"/>
          <w:sz w:val="32"/>
        </w:rPr>
        <w:t>指反映机关事业单位实施养老保险制度由单位实际缴纳的职业年金支出。</w:t>
      </w:r>
    </w:p>
    <w:p w14:paraId="3674C6E0">
      <w:pPr>
        <w:spacing w:before="0" w:after="0" w:line="560" w:lineRule="exact"/>
        <w:ind w:firstLine="640"/>
      </w:pPr>
      <w:r>
        <w:rPr>
          <w:rFonts w:ascii="Times New Roman" w:hAnsi="Times New Roman" w:eastAsia="仿宋_GB2312"/>
          <w:b w:val="0"/>
          <w:color w:val="000000"/>
          <w:sz w:val="32"/>
        </w:rPr>
        <w:t>8.</w:t>
      </w:r>
      <w:r>
        <w:rPr>
          <w:rFonts w:ascii="Times New Roman" w:hAnsi="Times New Roman" w:eastAsia="仿宋_GB2312"/>
          <w:b/>
          <w:bCs/>
          <w:color w:val="000000"/>
          <w:sz w:val="32"/>
        </w:rPr>
        <w:t>其他行政事业单位养老支出：</w:t>
      </w:r>
      <w:r>
        <w:rPr>
          <w:rFonts w:ascii="Times New Roman" w:hAnsi="Times New Roman" w:eastAsia="仿宋_GB2312"/>
          <w:b w:val="0"/>
          <w:color w:val="000000"/>
          <w:sz w:val="32"/>
        </w:rPr>
        <w:t>指反映除上述项目以外其他用于行政事业单位养老方面的支出。</w:t>
      </w:r>
    </w:p>
    <w:p w14:paraId="5612BBB8">
      <w:pPr>
        <w:spacing w:before="0" w:after="0" w:line="560" w:lineRule="exact"/>
        <w:ind w:firstLine="640"/>
      </w:pPr>
      <w:r>
        <w:rPr>
          <w:rFonts w:ascii="Times New Roman" w:hAnsi="Times New Roman" w:eastAsia="仿宋_GB2312"/>
          <w:b w:val="0"/>
          <w:color w:val="000000"/>
          <w:sz w:val="32"/>
        </w:rPr>
        <w:t>9.</w:t>
      </w:r>
      <w:r>
        <w:rPr>
          <w:rFonts w:ascii="Times New Roman" w:hAnsi="Times New Roman" w:eastAsia="仿宋_GB2312"/>
          <w:b/>
          <w:bCs/>
          <w:color w:val="000000"/>
          <w:sz w:val="32"/>
        </w:rPr>
        <w:t>卫生健康管理事务：</w:t>
      </w:r>
      <w:r>
        <w:rPr>
          <w:rFonts w:ascii="Times New Roman" w:hAnsi="Times New Roman" w:eastAsia="仿宋_GB2312"/>
          <w:b w:val="0"/>
          <w:color w:val="000000"/>
          <w:sz w:val="32"/>
        </w:rPr>
        <w:t>指反映卫生健康管理事务方面的支出。</w:t>
      </w:r>
    </w:p>
    <w:p w14:paraId="5556B444">
      <w:pPr>
        <w:spacing w:before="0" w:after="0" w:line="560" w:lineRule="exact"/>
        <w:ind w:firstLine="640"/>
      </w:pPr>
      <w:r>
        <w:rPr>
          <w:rFonts w:ascii="Times New Roman" w:hAnsi="Times New Roman" w:eastAsia="仿宋_GB2312"/>
          <w:b w:val="0"/>
          <w:color w:val="000000"/>
          <w:sz w:val="32"/>
        </w:rPr>
        <w:t>10</w:t>
      </w:r>
      <w:r>
        <w:rPr>
          <w:rFonts w:ascii="Times New Roman" w:hAnsi="Times New Roman" w:eastAsia="仿宋_GB2312"/>
          <w:b/>
          <w:bCs/>
          <w:color w:val="000000"/>
          <w:sz w:val="32"/>
        </w:rPr>
        <w:t>.其他卫生健康管理事务支出：</w:t>
      </w:r>
      <w:r>
        <w:rPr>
          <w:rFonts w:ascii="Times New Roman" w:hAnsi="Times New Roman" w:eastAsia="仿宋_GB2312"/>
          <w:b w:val="0"/>
          <w:color w:val="000000"/>
          <w:sz w:val="32"/>
        </w:rPr>
        <w:t>指反映除上述项目以外其他用于卫生健康管理事务方面的支出。</w:t>
      </w:r>
    </w:p>
    <w:p w14:paraId="1AD742EB">
      <w:pPr>
        <w:spacing w:before="0" w:after="0" w:line="560" w:lineRule="exact"/>
        <w:ind w:firstLine="640"/>
      </w:pPr>
      <w:r>
        <w:rPr>
          <w:rFonts w:ascii="Times New Roman" w:hAnsi="Times New Roman" w:eastAsia="仿宋_GB2312"/>
          <w:b w:val="0"/>
          <w:color w:val="000000"/>
          <w:sz w:val="32"/>
        </w:rPr>
        <w:t>11.</w:t>
      </w:r>
      <w:r>
        <w:rPr>
          <w:rFonts w:hint="eastAsia" w:ascii="Times New Roman" w:hAnsi="Times New Roman" w:eastAsia="仿宋_GB2312"/>
          <w:b/>
          <w:bCs/>
          <w:color w:val="000000"/>
          <w:sz w:val="32"/>
          <w:lang w:eastAsia="zh-CN"/>
        </w:rPr>
        <w:t>事业单位医疗</w:t>
      </w:r>
      <w:r>
        <w:rPr>
          <w:rFonts w:ascii="Times New Roman" w:hAnsi="Times New Roman" w:eastAsia="仿宋_GB2312"/>
          <w:b/>
          <w:bCs/>
          <w:color w:val="000000"/>
          <w:sz w:val="32"/>
        </w:rPr>
        <w:t>：</w:t>
      </w:r>
      <w:r>
        <w:rPr>
          <w:rFonts w:ascii="Times New Roman" w:hAnsi="Times New Roman" w:eastAsia="仿宋_GB2312"/>
          <w:b w:val="0"/>
          <w:color w:val="000000"/>
          <w:sz w:val="32"/>
        </w:rPr>
        <w:t>指反映财政部门安排的事业单位基本医疗保险缴费经费，未参加医疗保险的事业单位的公费医疗经费，按国家规定享受离休人员待遇的医疗经费支出。</w:t>
      </w:r>
    </w:p>
    <w:p w14:paraId="70C5C1E8">
      <w:pPr>
        <w:spacing w:before="0" w:after="0" w:line="560" w:lineRule="exact"/>
        <w:ind w:firstLine="640"/>
      </w:pPr>
      <w:r>
        <w:rPr>
          <w:rFonts w:ascii="Times New Roman" w:hAnsi="Times New Roman" w:eastAsia="仿宋_GB2312"/>
          <w:b w:val="0"/>
          <w:color w:val="000000"/>
          <w:sz w:val="32"/>
        </w:rPr>
        <w:t>12.</w:t>
      </w:r>
      <w:r>
        <w:rPr>
          <w:rFonts w:ascii="Times New Roman" w:hAnsi="Times New Roman" w:eastAsia="仿宋_GB2312"/>
          <w:b/>
          <w:bCs/>
          <w:color w:val="000000"/>
          <w:sz w:val="32"/>
        </w:rPr>
        <w:t>住房公积金：</w:t>
      </w:r>
      <w:r>
        <w:rPr>
          <w:rFonts w:ascii="Times New Roman" w:hAnsi="Times New Roman" w:eastAsia="仿宋_GB2312"/>
          <w:b w:val="0"/>
          <w:color w:val="000000"/>
          <w:sz w:val="32"/>
        </w:rPr>
        <w:t>指反映行政事业单位按人力资源和社会保障部、财政部规定的基本工资和津贴补贴以及规定比例为职工缴纳的住房公积金。</w:t>
      </w:r>
    </w:p>
    <w:p w14:paraId="0F9F88DE">
      <w:pPr>
        <w:spacing w:before="0" w:after="0" w:line="560" w:lineRule="exact"/>
        <w:ind w:firstLine="640"/>
      </w:pPr>
      <w:r>
        <w:rPr>
          <w:rFonts w:ascii="Times New Roman" w:hAnsi="Times New Roman" w:eastAsia="仿宋_GB2312"/>
          <w:b w:val="0"/>
          <w:color w:val="000000"/>
          <w:sz w:val="32"/>
        </w:rPr>
        <w:t>13.</w:t>
      </w:r>
      <w:r>
        <w:rPr>
          <w:rFonts w:ascii="Times New Roman" w:hAnsi="Times New Roman" w:eastAsia="仿宋_GB2312"/>
          <w:b/>
          <w:bCs/>
          <w:color w:val="000000"/>
          <w:sz w:val="32"/>
        </w:rPr>
        <w:t>基本支出：</w:t>
      </w:r>
      <w:r>
        <w:rPr>
          <w:rFonts w:ascii="Times New Roman" w:hAnsi="Times New Roman" w:eastAsia="仿宋_GB2312"/>
          <w:b w:val="0"/>
          <w:color w:val="000000"/>
          <w:sz w:val="32"/>
        </w:rPr>
        <w:t>指为保障机构正常运转、完成日常工作任务而发生的人员支出和公用支出。</w:t>
      </w:r>
    </w:p>
    <w:p w14:paraId="7187C015">
      <w:pPr>
        <w:spacing w:before="0" w:after="0" w:line="560" w:lineRule="exact"/>
        <w:ind w:firstLine="640"/>
      </w:pPr>
      <w:r>
        <w:rPr>
          <w:rFonts w:ascii="Times New Roman" w:hAnsi="Times New Roman" w:eastAsia="仿宋_GB2312"/>
          <w:b w:val="0"/>
          <w:color w:val="000000"/>
          <w:sz w:val="32"/>
        </w:rPr>
        <w:t>14.</w:t>
      </w:r>
      <w:r>
        <w:rPr>
          <w:rFonts w:ascii="Times New Roman" w:hAnsi="Times New Roman" w:eastAsia="仿宋_GB2312"/>
          <w:b/>
          <w:bCs/>
          <w:color w:val="000000"/>
          <w:sz w:val="32"/>
        </w:rPr>
        <w:t>项目支出：</w:t>
      </w:r>
      <w:r>
        <w:rPr>
          <w:rFonts w:ascii="Times New Roman" w:hAnsi="Times New Roman" w:eastAsia="仿宋_GB2312"/>
          <w:b w:val="0"/>
          <w:color w:val="000000"/>
          <w:sz w:val="32"/>
        </w:rPr>
        <w:t>指在基本支出之外为完成特定行政任务和事业发展目标所发生的支出。</w:t>
      </w:r>
    </w:p>
    <w:p w14:paraId="5C101F4B">
      <w:pPr>
        <w:spacing w:before="0" w:after="0" w:line="560" w:lineRule="exact"/>
        <w:ind w:firstLine="640"/>
      </w:pPr>
      <w:r>
        <w:rPr>
          <w:rFonts w:ascii="Times New Roman" w:hAnsi="Times New Roman" w:eastAsia="仿宋_GB2312"/>
          <w:b w:val="0"/>
          <w:color w:val="000000"/>
          <w:sz w:val="32"/>
        </w:rPr>
        <w:t>15</w:t>
      </w:r>
      <w:r>
        <w:rPr>
          <w:rFonts w:ascii="Times New Roman" w:hAnsi="Times New Roman" w:eastAsia="仿宋_GB2312"/>
          <w:b/>
          <w:bCs/>
          <w:color w:val="000000"/>
          <w:sz w:val="32"/>
        </w:rPr>
        <w:t>.“三公”经费：</w:t>
      </w:r>
      <w:r>
        <w:rPr>
          <w:rFonts w:ascii="Times New Roman" w:hAnsi="Times New Roman" w:eastAsia="仿宋_GB2312"/>
          <w:b w:val="0"/>
          <w:color w:val="000000"/>
          <w:sz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8EB9368">
      <w:pPr>
        <w:spacing w:before="0" w:after="0" w:line="560" w:lineRule="exact"/>
        <w:ind w:firstLine="640"/>
        <w:rPr>
          <w:rFonts w:ascii="Times New Roman" w:hAnsi="Times New Roman" w:eastAsia="仿宋_GB2312"/>
          <w:b w:val="0"/>
          <w:color w:val="000000"/>
          <w:sz w:val="32"/>
        </w:rPr>
      </w:pPr>
      <w:r>
        <w:rPr>
          <w:rFonts w:ascii="Times New Roman" w:hAnsi="Times New Roman" w:eastAsia="仿宋_GB2312"/>
          <w:b w:val="0"/>
          <w:color w:val="000000"/>
          <w:sz w:val="32"/>
        </w:rPr>
        <w:t>16.</w:t>
      </w:r>
      <w:r>
        <w:rPr>
          <w:rFonts w:ascii="Times New Roman" w:hAnsi="Times New Roman" w:eastAsia="仿宋_GB2312"/>
          <w:b/>
          <w:bCs/>
          <w:color w:val="000000"/>
          <w:sz w:val="32"/>
        </w:rPr>
        <w:t>机关运行经费：</w:t>
      </w:r>
      <w:r>
        <w:rPr>
          <w:rFonts w:ascii="Times New Roman" w:hAnsi="Times New Roman" w:eastAsia="仿宋_GB2312"/>
          <w:b w:val="0"/>
          <w:color w:val="000000"/>
          <w:sz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49FAD3">
      <w:pPr>
        <w:pStyle w:val="32"/>
      </w:pPr>
    </w:p>
    <w:p w14:paraId="68A37787">
      <w:pPr>
        <w:keepNext w:val="0"/>
        <w:keepLines w:val="0"/>
        <w:pageBreakBefore w:val="0"/>
        <w:widowControl/>
        <w:numPr>
          <w:ilvl w:val="0"/>
          <w:numId w:val="7"/>
        </w:numPr>
        <w:kinsoku/>
        <w:wordWrap/>
        <w:overflowPunct/>
        <w:topLinePunct w:val="0"/>
        <w:autoSpaceDE/>
        <w:autoSpaceDN/>
        <w:bidi w:val="0"/>
        <w:adjustRightInd/>
        <w:snapToGrid/>
        <w:spacing w:before="240" w:after="120" w:line="720" w:lineRule="exact"/>
        <w:ind w:left="0" w:leftChars="0" w:firstLine="0" w:firstLineChars="0"/>
        <w:jc w:val="center"/>
        <w:textAlignment w:val="auto"/>
        <w:outlineLvl w:val="0"/>
        <w:rPr>
          <w:rFonts w:ascii="Times New Roman" w:hAnsi="Times New Roman" w:eastAsia="方正小标宋简体"/>
          <w:b w:val="0"/>
          <w:bCs/>
          <w:color w:val="000000"/>
          <w:sz w:val="44"/>
        </w:rPr>
      </w:pPr>
      <w:r>
        <w:rPr>
          <w:rFonts w:ascii="Times New Roman" w:hAnsi="Times New Roman" w:eastAsia="方正小标宋简体"/>
          <w:b w:val="0"/>
          <w:bCs/>
          <w:color w:val="000000"/>
          <w:sz w:val="44"/>
        </w:rPr>
        <w:t xml:space="preserve"> </w:t>
      </w:r>
      <w:bookmarkStart w:id="14" w:name="_Toc676"/>
      <w:r>
        <w:rPr>
          <w:rFonts w:ascii="Times New Roman" w:hAnsi="Times New Roman" w:eastAsia="方正小标宋简体"/>
          <w:b w:val="0"/>
          <w:bCs/>
          <w:color w:val="000000"/>
          <w:sz w:val="44"/>
        </w:rPr>
        <w:t>附件</w:t>
      </w:r>
      <w:bookmarkEnd w:id="14"/>
    </w:p>
    <w:p w14:paraId="6132B6E3">
      <w:pPr>
        <w:pStyle w:val="32"/>
        <w:numPr>
          <w:ilvl w:val="0"/>
          <w:numId w:val="0"/>
        </w:numPr>
        <w:ind w:leftChars="0"/>
      </w:pPr>
    </w:p>
    <w:p w14:paraId="1D8F1910">
      <w:pPr>
        <w:widowControl/>
        <w:spacing w:line="578" w:lineRule="exact"/>
        <w:contextualSpacing/>
        <w:jc w:val="left"/>
        <w:rPr>
          <w:rFonts w:eastAsia="宋体"/>
          <w:b/>
          <w:sz w:val="44"/>
          <w:szCs w:val="44"/>
          <w:shd w:val="clear" w:color="auto" w:fill="FFFFFF"/>
        </w:rPr>
      </w:pPr>
      <w:r>
        <w:rPr>
          <w:rFonts w:ascii="Times New Roman" w:hAnsi="Times New Roman" w:eastAsia="黑体"/>
          <w:b w:val="0"/>
          <w:bCs/>
          <w:color w:val="000000"/>
          <w:sz w:val="32"/>
        </w:rPr>
        <w:t>附件1</w:t>
      </w:r>
    </w:p>
    <w:p w14:paraId="21EBC347">
      <w:pPr>
        <w:keepNext w:val="0"/>
        <w:keepLines w:val="0"/>
        <w:widowControl/>
        <w:suppressLineNumbers w:val="0"/>
        <w:spacing w:before="0" w:beforeAutospacing="1" w:after="200" w:afterAutospacing="0" w:line="578" w:lineRule="exact"/>
        <w:ind w:left="0" w:right="0"/>
        <w:contextualSpacing/>
        <w:jc w:val="center"/>
        <w:rPr>
          <w:rFonts w:hint="default" w:ascii="Times New Roman" w:hAnsi="Times New Roman" w:eastAsia="方正小标宋简体" w:cs="Times New Roman"/>
          <w:bCs/>
          <w:sz w:val="44"/>
          <w:szCs w:val="44"/>
          <w:shd w:val="clear" w:fill="FFFFFF"/>
        </w:rPr>
      </w:pPr>
      <w:r>
        <w:rPr>
          <w:rFonts w:hint="eastAsia" w:ascii="方正小标宋简体" w:hAnsi="方正小标宋简体" w:eastAsia="方正小标宋简体" w:cs="方正小标宋简体"/>
          <w:bCs/>
          <w:kern w:val="0"/>
          <w:sz w:val="44"/>
          <w:szCs w:val="44"/>
          <w:shd w:val="clear" w:fill="FFFFFF"/>
          <w:lang w:val="en-US" w:eastAsia="zh-CN" w:bidi="ar"/>
        </w:rPr>
        <w:t>阿坝州卫生健康委员会部门</w:t>
      </w:r>
    </w:p>
    <w:p w14:paraId="742D949C">
      <w:pPr>
        <w:keepNext w:val="0"/>
        <w:keepLines w:val="0"/>
        <w:widowControl/>
        <w:suppressLineNumbers w:val="0"/>
        <w:spacing w:before="0" w:beforeAutospacing="1" w:after="200" w:afterAutospacing="0" w:line="578" w:lineRule="exact"/>
        <w:ind w:left="0" w:right="0"/>
        <w:contextualSpacing/>
        <w:jc w:val="center"/>
        <w:rPr>
          <w:rFonts w:hint="default" w:ascii="Times New Roman" w:hAnsi="Times New Roman" w:eastAsia="方正小标宋简体" w:cs="Times New Roman"/>
          <w:bCs/>
          <w:sz w:val="44"/>
          <w:szCs w:val="44"/>
          <w:shd w:val="clear" w:fill="FFFFFF"/>
        </w:rPr>
      </w:pPr>
      <w:r>
        <w:rPr>
          <w:rFonts w:hint="eastAsia" w:ascii="方正小标宋简体" w:hAnsi="方正小标宋简体" w:eastAsia="方正小标宋简体" w:cs="方正小标宋简体"/>
          <w:bCs/>
          <w:kern w:val="0"/>
          <w:sz w:val="44"/>
          <w:szCs w:val="44"/>
          <w:shd w:val="clear" w:fill="FFFFFF"/>
          <w:lang w:val="en-US" w:eastAsia="zh-CN" w:bidi="ar"/>
        </w:rPr>
        <w:t>预算绩效自评报告</w:t>
      </w:r>
    </w:p>
    <w:p w14:paraId="204CB124">
      <w:pPr>
        <w:keepNext w:val="0"/>
        <w:keepLines w:val="0"/>
        <w:widowControl/>
        <w:suppressLineNumbers w:val="0"/>
        <w:adjustRightInd w:val="0"/>
        <w:snapToGrid w:val="0"/>
        <w:spacing w:before="0" w:beforeAutospacing="1" w:after="200" w:afterAutospacing="0" w:line="578" w:lineRule="exact"/>
        <w:ind w:left="0" w:right="0"/>
        <w:contextualSpacing/>
        <w:jc w:val="left"/>
        <w:rPr>
          <w:rFonts w:hint="default" w:ascii="Times New Roman" w:hAnsi="Times New Roman" w:eastAsia="黑体" w:cs="Times New Roman"/>
          <w:color w:val="000000"/>
          <w:kern w:val="0"/>
          <w:sz w:val="24"/>
          <w:szCs w:val="24"/>
          <w:shd w:val="clear" w:fill="FFFFFF"/>
        </w:rPr>
      </w:pPr>
      <w:r>
        <w:rPr>
          <w:rFonts w:hint="default" w:ascii="Times New Roman" w:hAnsi="Times New Roman" w:eastAsia="黑体" w:cs="Times New Roman"/>
          <w:color w:val="000000"/>
          <w:kern w:val="0"/>
          <w:sz w:val="24"/>
          <w:szCs w:val="24"/>
          <w:shd w:val="clear" w:fill="FFFFFF"/>
          <w:lang w:val="en-US" w:eastAsia="zh-CN" w:bidi="ar"/>
        </w:rPr>
        <w:t xml:space="preserve"> </w:t>
      </w:r>
    </w:p>
    <w:p w14:paraId="54455D23">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0"/>
        <w:rPr>
          <w:rFonts w:hint="default" w:ascii="Times New Roman" w:hAnsi="Times New Roman" w:eastAsia="仿宋_GB2312" w:cs="Times New Roman"/>
          <w:sz w:val="32"/>
          <w:szCs w:val="32"/>
        </w:rPr>
      </w:pPr>
      <w:bookmarkStart w:id="15" w:name="_Toc21618"/>
      <w:r>
        <w:rPr>
          <w:rFonts w:hint="eastAsia" w:ascii="黑体" w:hAnsi="宋体" w:eastAsia="黑体" w:cs="黑体"/>
          <w:color w:val="000000"/>
          <w:kern w:val="0"/>
          <w:sz w:val="32"/>
          <w:szCs w:val="32"/>
          <w:shd w:val="clear" w:fill="FFFFFF"/>
          <w:lang w:val="en-US" w:eastAsia="zh-CN" w:bidi="ar"/>
        </w:rPr>
        <w:t>一、部门（单位）基本情况</w:t>
      </w:r>
      <w:bookmarkEnd w:id="15"/>
    </w:p>
    <w:p w14:paraId="64C9724A">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16" w:name="_Toc18443"/>
      <w:r>
        <w:rPr>
          <w:rFonts w:hint="eastAsia" w:ascii="楷体_GB2312" w:hAnsi="Times New Roman" w:eastAsia="楷体_GB2312" w:cs="楷体_GB2312"/>
          <w:b/>
          <w:bCs/>
          <w:color w:val="000000"/>
          <w:kern w:val="0"/>
          <w:sz w:val="32"/>
          <w:szCs w:val="32"/>
          <w:shd w:val="clear" w:fill="FFFFFF"/>
          <w:lang w:val="en-US" w:eastAsia="zh-CN" w:bidi="ar"/>
        </w:rPr>
        <w:t>（一）机构组成</w:t>
      </w:r>
      <w:bookmarkEnd w:id="16"/>
    </w:p>
    <w:p w14:paraId="1F729A37">
      <w:pPr>
        <w:keepNext w:val="0"/>
        <w:keepLines w:val="0"/>
        <w:widowControl/>
        <w:suppressLineNumbers w:val="0"/>
        <w:tabs>
          <w:tab w:val="left" w:pos="613"/>
        </w:tabs>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b/>
          <w:bCs/>
          <w:color w:val="000000"/>
          <w:kern w:val="0"/>
          <w:sz w:val="32"/>
          <w:szCs w:val="32"/>
          <w:shd w:val="clear" w:fill="FFFFFF"/>
        </w:rPr>
      </w:pPr>
      <w:r>
        <w:rPr>
          <w:rFonts w:hint="eastAsia" w:ascii="仿宋_GB2312" w:hAnsi="Times New Roman" w:eastAsia="仿宋_GB2312" w:cs="仿宋_GB2312"/>
          <w:caps w:val="0"/>
          <w:kern w:val="0"/>
          <w:sz w:val="32"/>
          <w:szCs w:val="32"/>
          <w:lang w:val="en-US" w:eastAsia="zh-CN" w:bidi="ar"/>
        </w:rPr>
        <w:t>阿坝州卫生健康委员会（以下简称“我单位”）是阿坝州人民政府工作部门，为正县级。下设</w:t>
      </w:r>
      <w:r>
        <w:rPr>
          <w:rFonts w:hint="default" w:ascii="Times New Roman" w:hAnsi="Times New Roman" w:eastAsia="仿宋_GB2312" w:cs="Times New Roman"/>
          <w:caps w:val="0"/>
          <w:kern w:val="0"/>
          <w:sz w:val="32"/>
          <w:szCs w:val="32"/>
          <w:lang w:val="en-US" w:eastAsia="zh-CN" w:bidi="ar"/>
        </w:rPr>
        <w:t>12</w:t>
      </w:r>
      <w:r>
        <w:rPr>
          <w:rFonts w:hint="eastAsia" w:ascii="仿宋_GB2312" w:hAnsi="Times New Roman" w:eastAsia="仿宋_GB2312" w:cs="仿宋_GB2312"/>
          <w:caps w:val="0"/>
          <w:kern w:val="0"/>
          <w:sz w:val="32"/>
          <w:szCs w:val="32"/>
          <w:lang w:val="en-US" w:eastAsia="zh-CN" w:bidi="ar"/>
        </w:rPr>
        <w:t>个内设机构，分别是：办公室、人事教育科、规划发展与信息化科、体制改革与政策研究科、法规审批监督科、医疗卫生应急科、疾病预防控制科、医政与基层卫生科、中藏羌医科、妇幼健康与家庭发展科、爱国卫生与健康促进科和老龄健康科。</w:t>
      </w:r>
    </w:p>
    <w:p w14:paraId="1371F4F3">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17" w:name="_Toc28322"/>
      <w:r>
        <w:rPr>
          <w:rFonts w:hint="eastAsia" w:ascii="楷体_GB2312" w:hAnsi="Times New Roman" w:eastAsia="楷体_GB2312" w:cs="楷体_GB2312"/>
          <w:b/>
          <w:bCs/>
          <w:color w:val="000000"/>
          <w:kern w:val="0"/>
          <w:sz w:val="32"/>
          <w:szCs w:val="32"/>
          <w:shd w:val="clear" w:fill="FFFFFF"/>
          <w:lang w:val="en-US" w:eastAsia="zh-CN" w:bidi="ar"/>
        </w:rPr>
        <w:t>（二）机构职能</w:t>
      </w:r>
      <w:bookmarkEnd w:id="17"/>
    </w:p>
    <w:p w14:paraId="63061D37">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sz w:val="32"/>
          <w:szCs w:val="32"/>
        </w:rPr>
      </w:pPr>
      <w:r>
        <w:rPr>
          <w:rFonts w:hint="eastAsia" w:ascii="仿宋_GB2312" w:hAnsi="Times New Roman" w:eastAsia="仿宋_GB2312" w:cs="仿宋_GB2312"/>
          <w:caps w:val="0"/>
          <w:kern w:val="0"/>
          <w:sz w:val="32"/>
          <w:szCs w:val="32"/>
          <w:lang w:val="en-US" w:eastAsia="zh-CN" w:bidi="ar"/>
        </w:rPr>
        <w:t>我单位主要承担以下职责和功能：</w:t>
      </w:r>
    </w:p>
    <w:p w14:paraId="24C471D6">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1.</w:t>
      </w:r>
      <w:r>
        <w:rPr>
          <w:rFonts w:hint="eastAsia" w:ascii="仿宋_GB2312" w:hAnsi="Times New Roman" w:eastAsia="仿宋_GB2312" w:cs="仿宋_GB2312"/>
          <w:caps w:val="0"/>
          <w:kern w:val="0"/>
          <w:sz w:val="32"/>
          <w:szCs w:val="32"/>
          <w:lang w:val="en-US" w:eastAsia="zh-CN" w:bidi="ar"/>
        </w:rPr>
        <w:t>拟订并组织实施卫生健康基本公共卫生服务均等化、普惠化、便捷化和公共资源向基层延伸等政策措施。拟订并组织实施全州卫生健康、中（藏羌）医发展政策。制定并组织实施全州卫生健康、中（藏羌）医技术规范、实施方案。统筹规划全州卫生健康、中（藏羌）医服务资源配置。</w:t>
      </w:r>
    </w:p>
    <w:p w14:paraId="6EC23D3D">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2.</w:t>
      </w:r>
      <w:r>
        <w:rPr>
          <w:rFonts w:hint="eastAsia" w:ascii="仿宋_GB2312" w:hAnsi="Times New Roman" w:eastAsia="仿宋_GB2312" w:cs="仿宋_GB2312"/>
          <w:caps w:val="0"/>
          <w:kern w:val="2"/>
          <w:sz w:val="32"/>
          <w:szCs w:val="32"/>
          <w:lang w:val="en-US" w:eastAsia="zh-CN" w:bidi="ar"/>
        </w:rPr>
        <w:t>牵头推进全州深化医药卫生体制改革。研究提出深化改革重大政策和措施的建议。牵头负责全州分级诊疗、现代医院管理、全民医保、药品供应保障、综合监管</w:t>
      </w:r>
      <w:r>
        <w:rPr>
          <w:rFonts w:hint="default" w:ascii="Times New Roman" w:hAnsi="Times New Roman" w:eastAsia="仿宋_GB2312" w:cs="Times New Roman"/>
          <w:caps w:val="0"/>
          <w:kern w:val="2"/>
          <w:sz w:val="32"/>
          <w:szCs w:val="32"/>
          <w:lang w:val="en-US" w:eastAsia="zh-CN" w:bidi="ar"/>
        </w:rPr>
        <w:t>5</w:t>
      </w:r>
      <w:r>
        <w:rPr>
          <w:rFonts w:hint="eastAsia" w:ascii="仿宋_GB2312" w:hAnsi="Times New Roman" w:eastAsia="仿宋_GB2312" w:cs="仿宋_GB2312"/>
          <w:caps w:val="0"/>
          <w:kern w:val="2"/>
          <w:sz w:val="32"/>
          <w:szCs w:val="32"/>
          <w:lang w:val="en-US" w:eastAsia="zh-CN" w:bidi="ar"/>
        </w:rPr>
        <w:t>项基本医疗卫生制度建设。拟订并组织实施卫生健康公共服务提供主体多元化、提供方式多样化的政策措施。</w:t>
      </w:r>
    </w:p>
    <w:p w14:paraId="38DF5A3D">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3.</w:t>
      </w:r>
      <w:r>
        <w:rPr>
          <w:rFonts w:hint="eastAsia" w:ascii="仿宋_GB2312" w:hAnsi="Times New Roman" w:eastAsia="仿宋_GB2312" w:cs="仿宋_GB2312"/>
          <w:caps w:val="0"/>
          <w:kern w:val="2"/>
          <w:sz w:val="32"/>
          <w:szCs w:val="32"/>
          <w:lang w:val="en-US" w:eastAsia="zh-CN" w:bidi="ar"/>
        </w:rPr>
        <w:t>负责制定并推动落实全州疾病预防控制规划、免疫规划以及严重危害人民健康的艾滋病等重大传染病、地方病等公共卫生问题的干预措施。负责全州医疗卫生应急工作，组织和指导全州突发公共卫生事件预防控制和各类突发公共事件的医疗卫生救援，报告传染病疫情信息、突发公共卫生事件应急处置信息。</w:t>
      </w:r>
    </w:p>
    <w:p w14:paraId="62D153B6">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4.</w:t>
      </w:r>
      <w:r>
        <w:rPr>
          <w:rFonts w:hint="eastAsia" w:ascii="仿宋_GB2312" w:hAnsi="Times New Roman" w:eastAsia="仿宋_GB2312" w:cs="仿宋_GB2312"/>
          <w:caps w:val="0"/>
          <w:kern w:val="2"/>
          <w:sz w:val="32"/>
          <w:szCs w:val="32"/>
          <w:lang w:val="en-US" w:eastAsia="zh-CN" w:bidi="ar"/>
        </w:rPr>
        <w:t>负责拟订并组织实施医养结合政策，建立和完善老年健康服务体系，推进老年健康管理与服务。</w:t>
      </w:r>
    </w:p>
    <w:p w14:paraId="1A5CDBE8">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5.</w:t>
      </w:r>
      <w:r>
        <w:rPr>
          <w:rFonts w:hint="eastAsia" w:ascii="仿宋_GB2312" w:hAnsi="Times New Roman" w:eastAsia="仿宋_GB2312" w:cs="仿宋_GB2312"/>
          <w:caps w:val="0"/>
          <w:kern w:val="2"/>
          <w:sz w:val="32"/>
          <w:szCs w:val="32"/>
          <w:lang w:val="en-US" w:eastAsia="zh-CN" w:bidi="ar"/>
        </w:rPr>
        <w:t>贯彻落实国家药物政策和国家基本药物制度。开展药械使用监测、临床综合评价和短缺药品预警，组织执行国家药典和国家基本药物目录，拟订基本药物采取的政策措施。按照国家和省相关要求会同有关部门制定并实施食品安全风险监测计划。依法开展食品安全企业标准备案。</w:t>
      </w:r>
    </w:p>
    <w:p w14:paraId="656D2423">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6.</w:t>
      </w:r>
      <w:r>
        <w:rPr>
          <w:rFonts w:hint="eastAsia" w:ascii="仿宋_GB2312" w:hAnsi="Times New Roman" w:eastAsia="仿宋_GB2312" w:cs="仿宋_GB2312"/>
          <w:caps w:val="0"/>
          <w:kern w:val="2"/>
          <w:sz w:val="32"/>
          <w:szCs w:val="32"/>
          <w:lang w:val="en-US" w:eastAsia="zh-CN" w:bidi="ar"/>
        </w:rPr>
        <w:t>负责职责范围内的职业卫生、放射卫生、环境卫生、学校卫生、公共场所卫生、饮用水卫生等公共卫生的监督管理。负责传染病防治监督，健全卫生健康综合监管体系。</w:t>
      </w:r>
    </w:p>
    <w:p w14:paraId="58580DE6">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7.</w:t>
      </w:r>
      <w:r>
        <w:rPr>
          <w:rFonts w:hint="eastAsia" w:ascii="仿宋_GB2312" w:hAnsi="Times New Roman" w:eastAsia="仿宋_GB2312" w:cs="仿宋_GB2312"/>
          <w:caps w:val="0"/>
          <w:kern w:val="2"/>
          <w:sz w:val="32"/>
          <w:szCs w:val="32"/>
          <w:lang w:val="en-US" w:eastAsia="zh-CN" w:bidi="ar"/>
        </w:rPr>
        <w:t>拟订全州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0BB8CFB5">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8.</w:t>
      </w:r>
      <w:r>
        <w:rPr>
          <w:rFonts w:hint="eastAsia" w:ascii="仿宋_GB2312" w:hAnsi="Times New Roman" w:eastAsia="仿宋_GB2312" w:cs="仿宋_GB2312"/>
          <w:caps w:val="0"/>
          <w:kern w:val="2"/>
          <w:sz w:val="32"/>
          <w:szCs w:val="32"/>
          <w:lang w:val="en-US" w:eastAsia="zh-CN" w:bidi="ar"/>
        </w:rPr>
        <w:t>负责承担全州人口监测预警工作并提出人口与家庭发展相关健康政策建议。监督实施计划生育家庭扶助政策和计划生育特殊家庭扶助关怀制度。</w:t>
      </w:r>
    </w:p>
    <w:p w14:paraId="12D022EC">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9.</w:t>
      </w:r>
      <w:r>
        <w:rPr>
          <w:rFonts w:hint="eastAsia" w:ascii="仿宋_GB2312" w:hAnsi="Times New Roman" w:eastAsia="仿宋_GB2312" w:cs="仿宋_GB2312"/>
          <w:caps w:val="0"/>
          <w:kern w:val="2"/>
          <w:sz w:val="32"/>
          <w:szCs w:val="32"/>
          <w:lang w:val="en-US" w:eastAsia="zh-CN" w:bidi="ar"/>
        </w:rPr>
        <w:t>指导县（市）卫生健康工作。指导基层医疗卫生、妇幼健康服务体系和基层卫生队伍建设。推进卫生健康科技创新发展。</w:t>
      </w:r>
    </w:p>
    <w:p w14:paraId="0B174EB0">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10.</w:t>
      </w:r>
      <w:r>
        <w:rPr>
          <w:rFonts w:hint="eastAsia" w:ascii="仿宋_GB2312" w:hAnsi="Times New Roman" w:eastAsia="仿宋_GB2312" w:cs="仿宋_GB2312"/>
          <w:caps w:val="0"/>
          <w:kern w:val="2"/>
          <w:sz w:val="32"/>
          <w:szCs w:val="32"/>
          <w:lang w:val="en-US" w:eastAsia="zh-CN" w:bidi="ar"/>
        </w:rPr>
        <w:t>贯彻落实干部医疗保健政策措施，负责州级保健对象的医疗保健工作。负责州级部门有关干部医疗服务工作。负责重要会议与重大活动的医疗卫生保障工作。</w:t>
      </w:r>
    </w:p>
    <w:p w14:paraId="6AC240E5">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kern w:val="2"/>
          <w:sz w:val="32"/>
          <w:szCs w:val="32"/>
        </w:rPr>
      </w:pPr>
      <w:r>
        <w:rPr>
          <w:rFonts w:hint="default" w:ascii="Times New Roman" w:hAnsi="Times New Roman" w:eastAsia="仿宋_GB2312" w:cs="Times New Roman"/>
          <w:caps w:val="0"/>
          <w:kern w:val="2"/>
          <w:sz w:val="32"/>
          <w:szCs w:val="32"/>
          <w:lang w:val="en-US" w:eastAsia="zh-CN" w:bidi="ar"/>
        </w:rPr>
        <w:t>11.</w:t>
      </w:r>
      <w:r>
        <w:rPr>
          <w:rFonts w:hint="eastAsia" w:ascii="仿宋_GB2312" w:hAnsi="Times New Roman" w:eastAsia="仿宋_GB2312" w:cs="仿宋_GB2312"/>
          <w:caps w:val="0"/>
          <w:kern w:val="2"/>
          <w:sz w:val="32"/>
          <w:szCs w:val="32"/>
          <w:lang w:val="en-US" w:eastAsia="zh-CN" w:bidi="ar"/>
        </w:rPr>
        <w:t>依法依规履行卫生健康行业安全生产监管职责。负责职责范围内的生态环境保护、审批服务便民化等工作。负责全州职业病防治工作。负责本级系统内公共机构节能工作。</w:t>
      </w:r>
    </w:p>
    <w:p w14:paraId="4357E693">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仿宋_GB2312" w:cs="Times New Roman"/>
          <w:caps w:val="0"/>
          <w:kern w:val="2"/>
          <w:sz w:val="32"/>
          <w:szCs w:val="32"/>
          <w:lang w:val="en-US" w:eastAsia="zh-CN" w:bidi="ar"/>
        </w:rPr>
        <w:t>12.</w:t>
      </w:r>
      <w:r>
        <w:rPr>
          <w:rFonts w:hint="eastAsia" w:ascii="仿宋_GB2312" w:hAnsi="Times New Roman" w:eastAsia="仿宋_GB2312" w:cs="仿宋_GB2312"/>
          <w:caps w:val="0"/>
          <w:kern w:val="2"/>
          <w:sz w:val="32"/>
          <w:szCs w:val="32"/>
          <w:lang w:val="en-US" w:eastAsia="zh-CN" w:bidi="ar"/>
        </w:rPr>
        <w:t>完成州委、州政府交办的其他任务。</w:t>
      </w:r>
    </w:p>
    <w:p w14:paraId="6CF96CA2">
      <w:pPr>
        <w:keepNext w:val="0"/>
        <w:keepLines w:val="0"/>
        <w:widowControl w:val="0"/>
        <w:suppressLineNumbers w:val="0"/>
        <w:autoSpaceDE w:val="0"/>
        <w:autoSpaceDN/>
        <w:spacing w:before="0" w:beforeAutospacing="1" w:after="200" w:afterAutospacing="0" w:line="578" w:lineRule="exact"/>
        <w:ind w:left="0" w:right="0" w:firstLine="643" w:firstLineChars="200"/>
        <w:jc w:val="both"/>
        <w:outlineLvl w:val="1"/>
        <w:rPr>
          <w:rFonts w:hint="default" w:ascii="Times New Roman" w:hAnsi="Times New Roman" w:eastAsia="楷体_GB2312" w:cs="Times New Roman"/>
          <w:b/>
          <w:bCs/>
          <w:color w:val="000000"/>
          <w:kern w:val="0"/>
          <w:sz w:val="32"/>
          <w:szCs w:val="32"/>
          <w:shd w:val="clear" w:fill="FFFFFF"/>
        </w:rPr>
      </w:pPr>
      <w:bookmarkStart w:id="18" w:name="_Toc356"/>
      <w:r>
        <w:rPr>
          <w:rFonts w:hint="eastAsia" w:ascii="楷体_GB2312" w:hAnsi="Times New Roman" w:eastAsia="楷体_GB2312" w:cs="楷体_GB2312"/>
          <w:b/>
          <w:bCs/>
          <w:color w:val="000000"/>
          <w:kern w:val="0"/>
          <w:sz w:val="32"/>
          <w:szCs w:val="32"/>
          <w:shd w:val="clear" w:fill="FFFFFF"/>
          <w:lang w:val="en-US" w:eastAsia="zh-CN" w:bidi="ar"/>
        </w:rPr>
        <w:t>（三）人员概况</w:t>
      </w:r>
      <w:bookmarkEnd w:id="18"/>
    </w:p>
    <w:p w14:paraId="267EB09A">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sz w:val="32"/>
          <w:szCs w:val="32"/>
        </w:rPr>
      </w:pPr>
      <w:r>
        <w:rPr>
          <w:rFonts w:hint="eastAsia" w:ascii="仿宋_GB2312" w:hAnsi="Times New Roman" w:eastAsia="仿宋_GB2312" w:cs="仿宋_GB2312"/>
          <w:kern w:val="0"/>
          <w:sz w:val="32"/>
          <w:szCs w:val="32"/>
          <w:lang w:val="en-US" w:eastAsia="zh-CN" w:bidi="ar"/>
        </w:rPr>
        <w:t>截至</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w:t>
      </w:r>
      <w:r>
        <w:rPr>
          <w:rFonts w:hint="default" w:ascii="Times New Roman" w:hAnsi="Times New Roman" w:eastAsia="仿宋_GB2312" w:cs="Times New Roman"/>
          <w:kern w:val="0"/>
          <w:sz w:val="32"/>
          <w:szCs w:val="32"/>
          <w:lang w:val="en-US" w:eastAsia="zh-CN" w:bidi="ar"/>
        </w:rPr>
        <w:t>12</w:t>
      </w:r>
      <w:r>
        <w:rPr>
          <w:rFonts w:hint="eastAsia" w:ascii="仿宋_GB2312" w:hAnsi="Times New Roman" w:eastAsia="仿宋_GB2312" w:cs="仿宋_GB2312"/>
          <w:kern w:val="0"/>
          <w:sz w:val="32"/>
          <w:szCs w:val="32"/>
          <w:lang w:val="en-US" w:eastAsia="zh-CN" w:bidi="ar"/>
        </w:rPr>
        <w:t>月</w:t>
      </w:r>
      <w:r>
        <w:rPr>
          <w:rFonts w:hint="default" w:ascii="Times New Roman" w:hAnsi="Times New Roman" w:eastAsia="仿宋_GB2312" w:cs="Times New Roman"/>
          <w:kern w:val="0"/>
          <w:sz w:val="32"/>
          <w:szCs w:val="32"/>
          <w:lang w:val="en-US" w:eastAsia="zh-CN" w:bidi="ar"/>
        </w:rPr>
        <w:t>31</w:t>
      </w:r>
      <w:r>
        <w:rPr>
          <w:rFonts w:hint="eastAsia" w:ascii="仿宋_GB2312" w:hAnsi="Times New Roman" w:eastAsia="仿宋_GB2312" w:cs="仿宋_GB2312"/>
          <w:kern w:val="0"/>
          <w:sz w:val="32"/>
          <w:szCs w:val="32"/>
          <w:lang w:val="en-US" w:eastAsia="zh-CN" w:bidi="ar"/>
        </w:rPr>
        <w:t>日，我单位年末编制内在职人员</w:t>
      </w:r>
      <w:r>
        <w:rPr>
          <w:rFonts w:hint="default" w:ascii="Times New Roman" w:hAnsi="Times New Roman" w:eastAsia="仿宋_GB2312" w:cs="Times New Roman"/>
          <w:kern w:val="0"/>
          <w:sz w:val="32"/>
          <w:szCs w:val="32"/>
          <w:lang w:val="en-US" w:eastAsia="zh-CN" w:bidi="ar"/>
        </w:rPr>
        <w:t>1051</w:t>
      </w:r>
      <w:r>
        <w:rPr>
          <w:rFonts w:hint="eastAsia" w:ascii="仿宋_GB2312" w:hAnsi="Times New Roman" w:eastAsia="仿宋_GB2312" w:cs="仿宋_GB2312"/>
          <w:kern w:val="0"/>
          <w:sz w:val="32"/>
          <w:szCs w:val="32"/>
          <w:lang w:val="en-US" w:eastAsia="zh-CN" w:bidi="ar"/>
        </w:rPr>
        <w:t>人，其中公务员</w:t>
      </w:r>
      <w:r>
        <w:rPr>
          <w:rFonts w:hint="default" w:ascii="Times New Roman" w:hAnsi="Times New Roman" w:eastAsia="仿宋_GB2312" w:cs="Times New Roman"/>
          <w:kern w:val="0"/>
          <w:sz w:val="32"/>
          <w:szCs w:val="32"/>
          <w:lang w:val="en-US" w:eastAsia="zh-CN" w:bidi="ar"/>
        </w:rPr>
        <w:t>25</w:t>
      </w:r>
      <w:r>
        <w:rPr>
          <w:rFonts w:hint="eastAsia" w:ascii="仿宋_GB2312" w:hAnsi="Times New Roman" w:eastAsia="仿宋_GB2312" w:cs="仿宋_GB2312"/>
          <w:kern w:val="0"/>
          <w:sz w:val="32"/>
          <w:szCs w:val="32"/>
          <w:lang w:val="en-US" w:eastAsia="zh-CN" w:bidi="ar"/>
        </w:rPr>
        <w:t>人，参照公务员法管理人员</w:t>
      </w:r>
      <w:r>
        <w:rPr>
          <w:rFonts w:hint="default" w:ascii="Times New Roman" w:hAnsi="Times New Roman" w:eastAsia="仿宋_GB2312" w:cs="Times New Roman"/>
          <w:kern w:val="0"/>
          <w:sz w:val="32"/>
          <w:szCs w:val="32"/>
          <w:lang w:val="en-US" w:eastAsia="zh-CN" w:bidi="ar"/>
        </w:rPr>
        <w:t>9</w:t>
      </w:r>
      <w:r>
        <w:rPr>
          <w:rFonts w:hint="eastAsia" w:ascii="仿宋_GB2312" w:hAnsi="Times New Roman" w:eastAsia="仿宋_GB2312" w:cs="仿宋_GB2312"/>
          <w:kern w:val="0"/>
          <w:sz w:val="32"/>
          <w:szCs w:val="32"/>
          <w:lang w:val="en-US" w:eastAsia="zh-CN" w:bidi="ar"/>
        </w:rPr>
        <w:t>人，事业管理人员和专业技术人员</w:t>
      </w:r>
      <w:r>
        <w:rPr>
          <w:rFonts w:hint="default" w:ascii="Times New Roman" w:hAnsi="Times New Roman" w:eastAsia="仿宋_GB2312" w:cs="Times New Roman"/>
          <w:kern w:val="0"/>
          <w:sz w:val="32"/>
          <w:szCs w:val="32"/>
          <w:lang w:val="en-US" w:eastAsia="zh-CN" w:bidi="ar"/>
        </w:rPr>
        <w:t>765</w:t>
      </w:r>
      <w:r>
        <w:rPr>
          <w:rFonts w:hint="eastAsia" w:ascii="仿宋_GB2312" w:hAnsi="Times New Roman" w:eastAsia="仿宋_GB2312" w:cs="仿宋_GB2312"/>
          <w:kern w:val="0"/>
          <w:sz w:val="32"/>
          <w:szCs w:val="32"/>
          <w:lang w:val="en-US" w:eastAsia="zh-CN" w:bidi="ar"/>
        </w:rPr>
        <w:t>人，机关和事业工人</w:t>
      </w:r>
      <w:r>
        <w:rPr>
          <w:rFonts w:hint="default" w:ascii="Times New Roman" w:hAnsi="Times New Roman" w:eastAsia="仿宋_GB2312" w:cs="Times New Roman"/>
          <w:kern w:val="0"/>
          <w:sz w:val="32"/>
          <w:szCs w:val="32"/>
          <w:lang w:val="en-US" w:eastAsia="zh-CN" w:bidi="ar"/>
        </w:rPr>
        <w:t>22</w:t>
      </w:r>
      <w:r>
        <w:rPr>
          <w:rFonts w:hint="eastAsia" w:ascii="仿宋_GB2312" w:hAnsi="Times New Roman" w:eastAsia="仿宋_GB2312" w:cs="仿宋_GB2312"/>
          <w:kern w:val="0"/>
          <w:sz w:val="32"/>
          <w:szCs w:val="32"/>
          <w:lang w:val="en-US" w:eastAsia="zh-CN" w:bidi="ar"/>
        </w:rPr>
        <w:t>人，经费自理人员</w:t>
      </w:r>
      <w:r>
        <w:rPr>
          <w:rFonts w:hint="default" w:ascii="Times New Roman" w:hAnsi="Times New Roman" w:eastAsia="仿宋_GB2312" w:cs="Times New Roman"/>
          <w:kern w:val="0"/>
          <w:sz w:val="32"/>
          <w:szCs w:val="32"/>
          <w:lang w:val="en-US" w:eastAsia="zh-CN" w:bidi="ar"/>
        </w:rPr>
        <w:t>230</w:t>
      </w:r>
      <w:r>
        <w:rPr>
          <w:rFonts w:hint="eastAsia" w:ascii="仿宋_GB2312" w:hAnsi="Times New Roman" w:eastAsia="仿宋_GB2312" w:cs="仿宋_GB2312"/>
          <w:kern w:val="0"/>
          <w:sz w:val="32"/>
          <w:szCs w:val="32"/>
          <w:lang w:val="en-US" w:eastAsia="zh-CN" w:bidi="ar"/>
        </w:rPr>
        <w:t>人，年末编制内在职人员较上年增加</w:t>
      </w:r>
      <w:r>
        <w:rPr>
          <w:rFonts w:hint="default" w:ascii="Times New Roman" w:hAnsi="Times New Roman" w:eastAsia="仿宋_GB2312" w:cs="Times New Roman"/>
          <w:kern w:val="0"/>
          <w:sz w:val="32"/>
          <w:szCs w:val="32"/>
          <w:lang w:val="en-US" w:eastAsia="zh-CN" w:bidi="ar"/>
        </w:rPr>
        <w:t>31</w:t>
      </w:r>
      <w:r>
        <w:rPr>
          <w:rFonts w:hint="eastAsia" w:ascii="仿宋_GB2312" w:hAnsi="Times New Roman" w:eastAsia="仿宋_GB2312" w:cs="仿宋_GB2312"/>
          <w:kern w:val="0"/>
          <w:sz w:val="32"/>
          <w:szCs w:val="32"/>
          <w:lang w:val="en-US" w:eastAsia="zh-CN" w:bidi="ar"/>
        </w:rPr>
        <w:t>人。</w:t>
      </w:r>
    </w:p>
    <w:p w14:paraId="2B4F82AA">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0"/>
        <w:rPr>
          <w:rFonts w:hint="default" w:ascii="Times New Roman" w:hAnsi="Times New Roman" w:eastAsia="黑体" w:cs="Times New Roman"/>
          <w:color w:val="000000"/>
          <w:kern w:val="0"/>
          <w:sz w:val="32"/>
          <w:szCs w:val="32"/>
          <w:shd w:val="clear" w:fill="FFFFFF"/>
        </w:rPr>
      </w:pPr>
      <w:bookmarkStart w:id="19" w:name="_Toc21881"/>
      <w:r>
        <w:rPr>
          <w:rFonts w:hint="eastAsia" w:ascii="黑体" w:hAnsi="宋体" w:eastAsia="黑体" w:cs="黑体"/>
          <w:color w:val="000000"/>
          <w:kern w:val="0"/>
          <w:sz w:val="32"/>
          <w:szCs w:val="32"/>
          <w:shd w:val="clear" w:fill="FFFFFF"/>
          <w:lang w:val="en-US" w:eastAsia="zh-CN" w:bidi="ar"/>
        </w:rPr>
        <w:t>二、部门资金收支情况</w:t>
      </w:r>
      <w:bookmarkEnd w:id="19"/>
    </w:p>
    <w:p w14:paraId="78799487">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20" w:name="_Toc5212"/>
      <w:r>
        <w:rPr>
          <w:rFonts w:hint="eastAsia" w:ascii="楷体_GB2312" w:hAnsi="Times New Roman" w:eastAsia="楷体_GB2312" w:cs="楷体_GB2312"/>
          <w:b/>
          <w:bCs/>
          <w:color w:val="000000"/>
          <w:kern w:val="0"/>
          <w:sz w:val="32"/>
          <w:szCs w:val="32"/>
          <w:shd w:val="clear" w:fill="FFFFFF"/>
          <w:lang w:val="en-US" w:eastAsia="zh-CN" w:bidi="ar"/>
        </w:rPr>
        <w:t>（一）收入情况</w:t>
      </w:r>
      <w:bookmarkEnd w:id="20"/>
    </w:p>
    <w:p w14:paraId="0A86F124">
      <w:pPr>
        <w:keepNext w:val="0"/>
        <w:keepLines w:val="0"/>
        <w:widowControl/>
        <w:suppressLineNumbers w:val="0"/>
        <w:autoSpaceDE/>
        <w:autoSpaceDN w:val="0"/>
        <w:spacing w:before="0" w:beforeAutospacing="1" w:after="200" w:afterAutospacing="0" w:line="600" w:lineRule="exact"/>
        <w:ind w:left="0" w:right="0" w:firstLine="640" w:firstLineChars="200"/>
        <w:jc w:val="left"/>
        <w:rPr>
          <w:rFonts w:hint="eastAsia" w:ascii="Times New Roman" w:hAnsi="Times New Roman" w:eastAsia="仿宋_GB2312" w:cs="Times New Roman"/>
          <w:sz w:val="32"/>
          <w:szCs w:val="32"/>
        </w:rPr>
      </w:pPr>
      <w:r>
        <w:rPr>
          <w:rFonts w:hint="eastAsia" w:ascii="仿宋_GB2312" w:hAnsi="Times New Roman" w:eastAsia="仿宋_GB2312" w:cs="仿宋_GB2312"/>
          <w:kern w:val="0"/>
          <w:sz w:val="32"/>
          <w:szCs w:val="32"/>
          <w:lang w:val="en-US" w:eastAsia="zh-CN" w:bidi="ar"/>
        </w:rPr>
        <w:t>我单位</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0"/>
          <w:sz w:val="32"/>
          <w:szCs w:val="32"/>
          <w:lang w:val="en-US" w:eastAsia="zh-CN" w:bidi="ar"/>
        </w:rPr>
        <w:t>年年初收入预算数为</w:t>
      </w:r>
      <w:r>
        <w:rPr>
          <w:rFonts w:hint="default" w:ascii="Times New Roman" w:hAnsi="Times New Roman" w:eastAsia="仿宋_GB2312" w:cs="Times New Roman"/>
          <w:kern w:val="2"/>
          <w:sz w:val="32"/>
          <w:szCs w:val="32"/>
          <w:lang w:val="en-US" w:eastAsia="zh-CN" w:bidi="ar"/>
        </w:rPr>
        <w:t>47,505.73</w:t>
      </w:r>
      <w:r>
        <w:rPr>
          <w:rFonts w:hint="eastAsia" w:ascii="仿宋_GB2312" w:hAnsi="Times New Roman" w:eastAsia="仿宋_GB2312" w:cs="仿宋_GB2312"/>
          <w:kern w:val="0"/>
          <w:sz w:val="32"/>
          <w:szCs w:val="32"/>
          <w:lang w:val="en-US" w:eastAsia="zh-CN" w:bidi="ar"/>
        </w:rPr>
        <w:t>万元，其中：一般公共预算财政拨款收入</w:t>
      </w:r>
      <w:r>
        <w:rPr>
          <w:rFonts w:hint="default" w:ascii="Times New Roman" w:hAnsi="Times New Roman" w:eastAsia="仿宋_GB2312" w:cs="Times New Roman"/>
          <w:kern w:val="2"/>
          <w:sz w:val="32"/>
          <w:szCs w:val="32"/>
          <w:lang w:val="en-US" w:eastAsia="zh-CN" w:bidi="ar"/>
        </w:rPr>
        <w:t>18,185.37</w:t>
      </w:r>
      <w:r>
        <w:rPr>
          <w:rFonts w:hint="eastAsia" w:ascii="仿宋_GB2312" w:hAnsi="Times New Roman" w:eastAsia="仿宋_GB2312" w:cs="仿宋_GB2312"/>
          <w:kern w:val="0"/>
          <w:sz w:val="32"/>
          <w:szCs w:val="32"/>
          <w:lang w:val="en-US" w:eastAsia="zh-CN" w:bidi="ar"/>
        </w:rPr>
        <w:t>万元，占总预算的</w:t>
      </w:r>
      <w:r>
        <w:rPr>
          <w:rFonts w:hint="default" w:ascii="Times New Roman" w:hAnsi="Times New Roman" w:eastAsia="仿宋_GB2312" w:cs="Times New Roman"/>
          <w:kern w:val="2"/>
          <w:sz w:val="32"/>
          <w:szCs w:val="32"/>
          <w:lang w:val="en-US" w:eastAsia="zh-CN" w:bidi="ar"/>
        </w:rPr>
        <w:t>38.28</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；事业收入</w:t>
      </w:r>
      <w:r>
        <w:rPr>
          <w:rFonts w:hint="default" w:ascii="Times New Roman" w:hAnsi="Times New Roman" w:eastAsia="仿宋_GB2312" w:cs="Times New Roman"/>
          <w:kern w:val="2"/>
          <w:sz w:val="32"/>
          <w:szCs w:val="32"/>
          <w:lang w:val="en-US" w:eastAsia="zh-CN" w:bidi="ar"/>
        </w:rPr>
        <w:t>29,302.68</w:t>
      </w:r>
      <w:r>
        <w:rPr>
          <w:rFonts w:hint="eastAsia" w:ascii="仿宋_GB2312" w:hAnsi="Times New Roman" w:eastAsia="仿宋_GB2312" w:cs="仿宋_GB2312"/>
          <w:kern w:val="2"/>
          <w:sz w:val="32"/>
          <w:szCs w:val="32"/>
          <w:lang w:val="en-US" w:eastAsia="zh-CN" w:bidi="ar"/>
        </w:rPr>
        <w:t>万元，</w:t>
      </w:r>
      <w:r>
        <w:rPr>
          <w:rFonts w:hint="eastAsia" w:ascii="仿宋_GB2312" w:hAnsi="Times New Roman" w:eastAsia="仿宋_GB2312" w:cs="仿宋_GB2312"/>
          <w:kern w:val="0"/>
          <w:sz w:val="32"/>
          <w:szCs w:val="32"/>
          <w:lang w:val="en-US" w:eastAsia="zh-CN" w:bidi="ar"/>
        </w:rPr>
        <w:t>占总预算的</w:t>
      </w:r>
      <w:r>
        <w:rPr>
          <w:rFonts w:hint="default" w:ascii="Times New Roman" w:hAnsi="Times New Roman" w:eastAsia="仿宋_GB2312" w:cs="Times New Roman"/>
          <w:kern w:val="2"/>
          <w:sz w:val="32"/>
          <w:szCs w:val="32"/>
          <w:lang w:val="en-US" w:eastAsia="zh-CN" w:bidi="ar"/>
        </w:rPr>
        <w:t>61.68</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；其他收入</w:t>
      </w:r>
      <w:r>
        <w:rPr>
          <w:rFonts w:hint="default" w:ascii="Times New Roman" w:hAnsi="Times New Roman" w:eastAsia="仿宋_GB2312" w:cs="Times New Roman"/>
          <w:kern w:val="2"/>
          <w:sz w:val="32"/>
          <w:szCs w:val="32"/>
          <w:lang w:val="en-US" w:eastAsia="zh-CN" w:bidi="ar"/>
        </w:rPr>
        <w:t>17.68</w:t>
      </w:r>
      <w:r>
        <w:rPr>
          <w:rFonts w:hint="eastAsia" w:ascii="仿宋_GB2312" w:hAnsi="Times New Roman" w:eastAsia="仿宋_GB2312" w:cs="仿宋_GB2312"/>
          <w:kern w:val="2"/>
          <w:sz w:val="32"/>
          <w:szCs w:val="32"/>
          <w:lang w:val="en-US" w:eastAsia="zh-CN" w:bidi="ar"/>
        </w:rPr>
        <w:t>万元，</w:t>
      </w:r>
      <w:r>
        <w:rPr>
          <w:rFonts w:hint="eastAsia" w:ascii="仿宋_GB2312" w:hAnsi="Times New Roman" w:eastAsia="仿宋_GB2312" w:cs="仿宋_GB2312"/>
          <w:kern w:val="0"/>
          <w:sz w:val="32"/>
          <w:szCs w:val="32"/>
          <w:lang w:val="en-US" w:eastAsia="zh-CN" w:bidi="ar"/>
        </w:rPr>
        <w:t>占总预算的</w:t>
      </w:r>
      <w:r>
        <w:rPr>
          <w:rFonts w:hint="default" w:ascii="Times New Roman" w:hAnsi="Times New Roman" w:eastAsia="仿宋_GB2312" w:cs="Times New Roman"/>
          <w:kern w:val="2"/>
          <w:sz w:val="32"/>
          <w:szCs w:val="32"/>
          <w:lang w:val="en-US" w:eastAsia="zh-CN" w:bidi="ar"/>
        </w:rPr>
        <w:t>0.04</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w:t>
      </w:r>
    </w:p>
    <w:p w14:paraId="59F2A84A">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b/>
          <w:bCs/>
          <w:color w:val="000000"/>
          <w:kern w:val="0"/>
          <w:sz w:val="32"/>
          <w:szCs w:val="32"/>
          <w:shd w:val="clear" w:fill="FFFFFF"/>
        </w:rPr>
      </w:pPr>
      <w:r>
        <w:rPr>
          <w:rFonts w:hint="eastAsia" w:ascii="仿宋_GB2312" w:hAnsi="Times New Roman" w:eastAsia="仿宋_GB2312" w:cs="仿宋_GB2312"/>
          <w:kern w:val="0"/>
          <w:sz w:val="32"/>
          <w:szCs w:val="32"/>
          <w:lang w:val="en-US" w:eastAsia="zh-CN" w:bidi="ar"/>
        </w:rPr>
        <w:t>我单位</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0"/>
          <w:sz w:val="32"/>
          <w:szCs w:val="32"/>
          <w:lang w:val="en-US" w:eastAsia="zh-CN" w:bidi="ar"/>
        </w:rPr>
        <w:t>年收入决算数为</w:t>
      </w:r>
      <w:r>
        <w:rPr>
          <w:rFonts w:hint="default" w:ascii="Times New Roman" w:hAnsi="Times New Roman" w:eastAsia="仿宋_GB2312" w:cs="Times New Roman"/>
          <w:kern w:val="2"/>
          <w:sz w:val="32"/>
          <w:szCs w:val="32"/>
          <w:lang w:val="en-US" w:eastAsia="zh-CN" w:bidi="ar"/>
        </w:rPr>
        <w:t>55,430.53</w:t>
      </w:r>
      <w:r>
        <w:rPr>
          <w:rFonts w:hint="eastAsia" w:ascii="仿宋_GB2312" w:hAnsi="Times New Roman" w:eastAsia="仿宋_GB2312" w:cs="仿宋_GB2312"/>
          <w:kern w:val="0"/>
          <w:sz w:val="32"/>
          <w:szCs w:val="32"/>
          <w:lang w:val="en-US" w:eastAsia="zh-CN" w:bidi="ar"/>
        </w:rPr>
        <w:t>万元，其中：一般公共预算财政拨款收入</w:t>
      </w:r>
      <w:r>
        <w:rPr>
          <w:rFonts w:hint="default" w:ascii="Times New Roman" w:hAnsi="Times New Roman" w:eastAsia="仿宋_GB2312" w:cs="Times New Roman"/>
          <w:kern w:val="2"/>
          <w:sz w:val="32"/>
          <w:szCs w:val="32"/>
          <w:lang w:val="en-US" w:eastAsia="zh-CN" w:bidi="ar"/>
        </w:rPr>
        <w:t>25,040.70</w:t>
      </w:r>
      <w:r>
        <w:rPr>
          <w:rFonts w:hint="eastAsia" w:ascii="仿宋_GB2312" w:hAnsi="Times New Roman" w:eastAsia="仿宋_GB2312" w:cs="仿宋_GB2312"/>
          <w:kern w:val="0"/>
          <w:sz w:val="32"/>
          <w:szCs w:val="32"/>
          <w:lang w:val="en-US" w:eastAsia="zh-CN" w:bidi="ar"/>
        </w:rPr>
        <w:t>万元，占总决算的</w:t>
      </w:r>
      <w:r>
        <w:rPr>
          <w:rFonts w:hint="default" w:ascii="Times New Roman" w:hAnsi="Times New Roman" w:eastAsia="仿宋_GB2312" w:cs="Times New Roman"/>
          <w:kern w:val="2"/>
          <w:sz w:val="32"/>
          <w:szCs w:val="32"/>
          <w:lang w:val="en-US" w:eastAsia="zh-CN" w:bidi="ar"/>
        </w:rPr>
        <w:t>45.17</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；事业收入</w:t>
      </w:r>
      <w:r>
        <w:rPr>
          <w:rFonts w:hint="default" w:ascii="Times New Roman" w:hAnsi="Times New Roman" w:eastAsia="仿宋_GB2312" w:cs="Times New Roman"/>
          <w:kern w:val="2"/>
          <w:sz w:val="32"/>
          <w:szCs w:val="32"/>
          <w:lang w:val="en-US" w:eastAsia="zh-CN" w:bidi="ar"/>
        </w:rPr>
        <w:t>28,111.05</w:t>
      </w:r>
      <w:r>
        <w:rPr>
          <w:rFonts w:hint="eastAsia" w:ascii="仿宋_GB2312" w:hAnsi="Times New Roman" w:eastAsia="仿宋_GB2312" w:cs="仿宋_GB2312"/>
          <w:kern w:val="2"/>
          <w:sz w:val="32"/>
          <w:szCs w:val="32"/>
          <w:lang w:val="en-US" w:eastAsia="zh-CN" w:bidi="ar"/>
        </w:rPr>
        <w:t>万元，</w:t>
      </w:r>
      <w:r>
        <w:rPr>
          <w:rFonts w:hint="eastAsia" w:ascii="仿宋_GB2312" w:hAnsi="Times New Roman" w:eastAsia="仿宋_GB2312" w:cs="仿宋_GB2312"/>
          <w:kern w:val="0"/>
          <w:sz w:val="32"/>
          <w:szCs w:val="32"/>
          <w:lang w:val="en-US" w:eastAsia="zh-CN" w:bidi="ar"/>
        </w:rPr>
        <w:t>占总决算的</w:t>
      </w:r>
      <w:r>
        <w:rPr>
          <w:rFonts w:hint="default" w:ascii="Times New Roman" w:hAnsi="Times New Roman" w:eastAsia="仿宋_GB2312" w:cs="Times New Roman"/>
          <w:kern w:val="2"/>
          <w:sz w:val="32"/>
          <w:szCs w:val="32"/>
          <w:lang w:val="en-US" w:eastAsia="zh-CN" w:bidi="ar"/>
        </w:rPr>
        <w:t>50.71</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；其他收入</w:t>
      </w:r>
      <w:r>
        <w:rPr>
          <w:rFonts w:hint="default" w:ascii="Times New Roman" w:hAnsi="Times New Roman" w:eastAsia="仿宋_GB2312" w:cs="Times New Roman"/>
          <w:kern w:val="2"/>
          <w:sz w:val="32"/>
          <w:szCs w:val="32"/>
          <w:lang w:val="en-US" w:eastAsia="zh-CN" w:bidi="ar"/>
        </w:rPr>
        <w:t>303.57</w:t>
      </w:r>
      <w:r>
        <w:rPr>
          <w:rFonts w:hint="eastAsia" w:ascii="仿宋_GB2312" w:hAnsi="Times New Roman" w:eastAsia="仿宋_GB2312" w:cs="仿宋_GB2312"/>
          <w:kern w:val="2"/>
          <w:sz w:val="32"/>
          <w:szCs w:val="32"/>
          <w:lang w:val="en-US" w:eastAsia="zh-CN" w:bidi="ar"/>
        </w:rPr>
        <w:t>万元，</w:t>
      </w:r>
      <w:r>
        <w:rPr>
          <w:rFonts w:hint="eastAsia" w:ascii="仿宋_GB2312" w:hAnsi="Times New Roman" w:eastAsia="仿宋_GB2312" w:cs="仿宋_GB2312"/>
          <w:kern w:val="0"/>
          <w:sz w:val="32"/>
          <w:szCs w:val="32"/>
          <w:lang w:val="en-US" w:eastAsia="zh-CN" w:bidi="ar"/>
        </w:rPr>
        <w:t>占总决算的</w:t>
      </w:r>
      <w:r>
        <w:rPr>
          <w:rFonts w:hint="default" w:ascii="Times New Roman" w:hAnsi="Times New Roman" w:eastAsia="仿宋_GB2312" w:cs="Times New Roman"/>
          <w:kern w:val="2"/>
          <w:sz w:val="32"/>
          <w:szCs w:val="32"/>
          <w:lang w:val="en-US" w:eastAsia="zh-CN" w:bidi="ar"/>
        </w:rPr>
        <w:t>0.55</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，年初结转和结余</w:t>
      </w:r>
      <w:r>
        <w:rPr>
          <w:rFonts w:hint="default" w:ascii="Times New Roman" w:hAnsi="Times New Roman" w:eastAsia="仿宋_GB2312" w:cs="Times New Roman"/>
          <w:kern w:val="0"/>
          <w:sz w:val="32"/>
          <w:szCs w:val="32"/>
          <w:lang w:val="en-US" w:eastAsia="zh-CN" w:bidi="ar"/>
        </w:rPr>
        <w:t>1,975.21</w:t>
      </w:r>
      <w:r>
        <w:rPr>
          <w:rFonts w:hint="eastAsia" w:ascii="仿宋_GB2312" w:hAnsi="Times New Roman" w:eastAsia="仿宋_GB2312" w:cs="仿宋_GB2312"/>
          <w:kern w:val="0"/>
          <w:sz w:val="32"/>
          <w:szCs w:val="32"/>
          <w:lang w:val="en-US" w:eastAsia="zh-CN" w:bidi="ar"/>
        </w:rPr>
        <w:t>万元，占总决算的</w:t>
      </w:r>
      <w:r>
        <w:rPr>
          <w:rFonts w:hint="default" w:ascii="Times New Roman" w:hAnsi="Times New Roman" w:eastAsia="仿宋_GB2312" w:cs="Times New Roman"/>
          <w:kern w:val="2"/>
          <w:sz w:val="32"/>
          <w:szCs w:val="32"/>
          <w:lang w:val="en-US" w:eastAsia="zh-CN" w:bidi="ar"/>
        </w:rPr>
        <w:t>3.56</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w:t>
      </w:r>
    </w:p>
    <w:p w14:paraId="324F8E8B">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21" w:name="_Toc17856"/>
      <w:r>
        <w:rPr>
          <w:rFonts w:hint="eastAsia" w:ascii="楷体_GB2312" w:hAnsi="Times New Roman" w:eastAsia="楷体_GB2312" w:cs="楷体_GB2312"/>
          <w:b/>
          <w:bCs/>
          <w:color w:val="000000"/>
          <w:kern w:val="0"/>
          <w:sz w:val="32"/>
          <w:szCs w:val="32"/>
          <w:shd w:val="clear" w:fill="FFFFFF"/>
          <w:lang w:val="en-US" w:eastAsia="zh-CN" w:bidi="ar"/>
        </w:rPr>
        <w:t>（二）支出情况</w:t>
      </w:r>
      <w:bookmarkEnd w:id="21"/>
    </w:p>
    <w:p w14:paraId="31C7E9FA">
      <w:pPr>
        <w:keepNext w:val="0"/>
        <w:keepLines w:val="0"/>
        <w:widowControl/>
        <w:suppressLineNumbers w:val="0"/>
        <w:autoSpaceDE w:val="0"/>
        <w:autoSpaceDN/>
        <w:adjustRightInd w:val="0"/>
        <w:snapToGrid w:val="0"/>
        <w:spacing w:before="0" w:beforeAutospacing="1" w:after="200" w:afterAutospacing="0" w:line="600" w:lineRule="exact"/>
        <w:ind w:left="0" w:right="0" w:firstLine="640" w:firstLineChars="200"/>
        <w:contextualSpacing/>
        <w:jc w:val="both"/>
        <w:rPr>
          <w:rFonts w:hint="eastAsia" w:ascii="Times New Roman" w:hAnsi="Times New Roman" w:eastAsia="仿宋_GB2312" w:cs="Times New Roman"/>
          <w:sz w:val="32"/>
          <w:szCs w:val="32"/>
        </w:rPr>
      </w:pPr>
      <w:r>
        <w:rPr>
          <w:rFonts w:hint="eastAsia" w:ascii="仿宋_GB2312" w:hAnsi="Times New Roman" w:eastAsia="仿宋_GB2312" w:cs="仿宋_GB2312"/>
          <w:kern w:val="0"/>
          <w:sz w:val="32"/>
          <w:szCs w:val="32"/>
          <w:lang w:val="en-US" w:eastAsia="zh-CN" w:bidi="ar"/>
        </w:rPr>
        <w:t>我单位</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0"/>
          <w:sz w:val="32"/>
          <w:szCs w:val="32"/>
          <w:lang w:val="en-US" w:eastAsia="zh-CN" w:bidi="ar"/>
        </w:rPr>
        <w:t>年年初支出预算数为</w:t>
      </w:r>
      <w:r>
        <w:rPr>
          <w:rFonts w:hint="default" w:ascii="Times New Roman" w:hAnsi="Times New Roman" w:eastAsia="仿宋_GB2312" w:cs="Times New Roman"/>
          <w:kern w:val="2"/>
          <w:sz w:val="32"/>
          <w:szCs w:val="32"/>
          <w:lang w:val="en-US" w:eastAsia="zh-CN" w:bidi="ar"/>
        </w:rPr>
        <w:t>47,505.73</w:t>
      </w:r>
      <w:r>
        <w:rPr>
          <w:rFonts w:hint="eastAsia" w:ascii="仿宋_GB2312" w:hAnsi="Times New Roman" w:eastAsia="仿宋_GB2312" w:cs="仿宋_GB2312"/>
          <w:kern w:val="0"/>
          <w:sz w:val="32"/>
          <w:szCs w:val="32"/>
          <w:lang w:val="en-US" w:eastAsia="zh-CN" w:bidi="ar"/>
        </w:rPr>
        <w:t>万元，其中：基本支出</w:t>
      </w:r>
      <w:r>
        <w:rPr>
          <w:rFonts w:hint="default" w:ascii="Times New Roman" w:hAnsi="Times New Roman" w:eastAsia="仿宋_GB2312" w:cs="Times New Roman"/>
          <w:kern w:val="2"/>
          <w:sz w:val="32"/>
          <w:szCs w:val="32"/>
          <w:lang w:val="en-US" w:eastAsia="zh-CN" w:bidi="ar"/>
        </w:rPr>
        <w:t>44,821.85</w:t>
      </w:r>
      <w:r>
        <w:rPr>
          <w:rFonts w:hint="eastAsia" w:ascii="仿宋_GB2312" w:hAnsi="Times New Roman" w:eastAsia="仿宋_GB2312" w:cs="仿宋_GB2312"/>
          <w:kern w:val="0"/>
          <w:sz w:val="32"/>
          <w:szCs w:val="32"/>
          <w:lang w:val="en-US" w:eastAsia="zh-CN" w:bidi="ar"/>
        </w:rPr>
        <w:t>万元，占支出总额的</w:t>
      </w:r>
      <w:r>
        <w:rPr>
          <w:rFonts w:hint="default" w:ascii="Times New Roman" w:hAnsi="Times New Roman" w:eastAsia="仿宋_GB2312" w:cs="Times New Roman"/>
          <w:kern w:val="2"/>
          <w:sz w:val="32"/>
          <w:szCs w:val="32"/>
          <w:lang w:val="en-US" w:eastAsia="zh-CN" w:bidi="ar"/>
        </w:rPr>
        <w:t>94.35</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；项目支出</w:t>
      </w:r>
      <w:r>
        <w:rPr>
          <w:rFonts w:hint="default" w:ascii="Times New Roman" w:hAnsi="Times New Roman" w:eastAsia="仿宋_GB2312" w:cs="Times New Roman"/>
          <w:kern w:val="2"/>
          <w:sz w:val="32"/>
          <w:szCs w:val="32"/>
          <w:lang w:val="en-US" w:eastAsia="zh-CN" w:bidi="ar"/>
        </w:rPr>
        <w:t>2,683.88</w:t>
      </w:r>
      <w:r>
        <w:rPr>
          <w:rFonts w:hint="eastAsia" w:ascii="仿宋_GB2312" w:hAnsi="Times New Roman" w:eastAsia="仿宋_GB2312" w:cs="仿宋_GB2312"/>
          <w:kern w:val="0"/>
          <w:sz w:val="32"/>
          <w:szCs w:val="32"/>
          <w:lang w:val="en-US" w:eastAsia="zh-CN" w:bidi="ar"/>
        </w:rPr>
        <w:t>万元，占支出总额的</w:t>
      </w:r>
      <w:r>
        <w:rPr>
          <w:rFonts w:hint="default" w:ascii="Times New Roman" w:hAnsi="Times New Roman" w:eastAsia="仿宋_GB2312" w:cs="Times New Roman"/>
          <w:kern w:val="2"/>
          <w:sz w:val="32"/>
          <w:szCs w:val="32"/>
          <w:lang w:val="en-US" w:eastAsia="zh-CN" w:bidi="ar"/>
        </w:rPr>
        <w:t>5.65</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w:t>
      </w:r>
    </w:p>
    <w:p w14:paraId="6F0DD241">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sz w:val="32"/>
          <w:szCs w:val="32"/>
        </w:rPr>
      </w:pPr>
      <w:r>
        <w:rPr>
          <w:rFonts w:hint="eastAsia" w:ascii="仿宋_GB2312" w:hAnsi="Times New Roman" w:eastAsia="仿宋_GB2312" w:cs="仿宋_GB2312"/>
          <w:kern w:val="0"/>
          <w:sz w:val="32"/>
          <w:szCs w:val="32"/>
          <w:lang w:val="en-US" w:eastAsia="zh-CN" w:bidi="ar"/>
        </w:rPr>
        <w:t>我单位</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0"/>
          <w:sz w:val="32"/>
          <w:szCs w:val="32"/>
          <w:lang w:val="en-US" w:eastAsia="zh-CN" w:bidi="ar"/>
        </w:rPr>
        <w:t>年支出决算数为</w:t>
      </w:r>
      <w:r>
        <w:rPr>
          <w:rFonts w:hint="default" w:ascii="Times New Roman" w:hAnsi="Times New Roman" w:eastAsia="仿宋_GB2312" w:cs="Times New Roman"/>
          <w:kern w:val="2"/>
          <w:sz w:val="32"/>
          <w:szCs w:val="32"/>
          <w:lang w:val="en-US" w:eastAsia="zh-CN" w:bidi="ar"/>
        </w:rPr>
        <w:t>53,750.33</w:t>
      </w:r>
      <w:r>
        <w:rPr>
          <w:rFonts w:hint="eastAsia" w:ascii="仿宋_GB2312" w:hAnsi="Times New Roman" w:eastAsia="仿宋_GB2312" w:cs="仿宋_GB2312"/>
          <w:kern w:val="0"/>
          <w:sz w:val="32"/>
          <w:szCs w:val="32"/>
          <w:lang w:val="en-US" w:eastAsia="zh-CN" w:bidi="ar"/>
        </w:rPr>
        <w:t>万元，其中：基本支出</w:t>
      </w:r>
      <w:r>
        <w:rPr>
          <w:rFonts w:hint="default" w:ascii="Times New Roman" w:hAnsi="Times New Roman" w:eastAsia="仿宋_GB2312" w:cs="Times New Roman"/>
          <w:kern w:val="2"/>
          <w:sz w:val="32"/>
          <w:szCs w:val="32"/>
          <w:lang w:val="en-US" w:eastAsia="zh-CN" w:bidi="ar"/>
        </w:rPr>
        <w:t>47,394.09</w:t>
      </w:r>
      <w:r>
        <w:rPr>
          <w:rFonts w:hint="eastAsia" w:ascii="仿宋_GB2312" w:hAnsi="Times New Roman" w:eastAsia="仿宋_GB2312" w:cs="仿宋_GB2312"/>
          <w:kern w:val="0"/>
          <w:sz w:val="32"/>
          <w:szCs w:val="32"/>
          <w:lang w:val="en-US" w:eastAsia="zh-CN" w:bidi="ar"/>
        </w:rPr>
        <w:t>万元，占支出总额的</w:t>
      </w:r>
      <w:r>
        <w:rPr>
          <w:rFonts w:hint="default" w:ascii="Times New Roman" w:hAnsi="Times New Roman" w:eastAsia="仿宋_GB2312" w:cs="Times New Roman"/>
          <w:kern w:val="2"/>
          <w:sz w:val="32"/>
          <w:szCs w:val="32"/>
          <w:lang w:val="en-US" w:eastAsia="zh-CN" w:bidi="ar"/>
        </w:rPr>
        <w:t>88.17</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；项目支出</w:t>
      </w:r>
      <w:r>
        <w:rPr>
          <w:rFonts w:hint="default" w:ascii="Times New Roman" w:hAnsi="Times New Roman" w:eastAsia="仿宋_GB2312" w:cs="Times New Roman"/>
          <w:kern w:val="2"/>
          <w:sz w:val="32"/>
          <w:szCs w:val="32"/>
          <w:lang w:val="en-US" w:eastAsia="zh-CN" w:bidi="ar"/>
        </w:rPr>
        <w:t>6,356.24</w:t>
      </w:r>
      <w:r>
        <w:rPr>
          <w:rFonts w:hint="eastAsia" w:ascii="仿宋_GB2312" w:hAnsi="Times New Roman" w:eastAsia="仿宋_GB2312" w:cs="仿宋_GB2312"/>
          <w:kern w:val="0"/>
          <w:sz w:val="32"/>
          <w:szCs w:val="32"/>
          <w:lang w:val="en-US" w:eastAsia="zh-CN" w:bidi="ar"/>
        </w:rPr>
        <w:t>万元，占支出总额的</w:t>
      </w:r>
      <w:r>
        <w:rPr>
          <w:rFonts w:hint="default" w:ascii="Times New Roman" w:hAnsi="Times New Roman" w:eastAsia="仿宋_GB2312" w:cs="Times New Roman"/>
          <w:kern w:val="2"/>
          <w:sz w:val="32"/>
          <w:szCs w:val="32"/>
          <w:lang w:val="en-US" w:eastAsia="zh-CN" w:bidi="ar"/>
        </w:rPr>
        <w:t>11.83</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w:t>
      </w:r>
    </w:p>
    <w:p w14:paraId="707CC088">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年，我单位紧扣“十四五”规划收官要求和“攻坚年、创新年、强基年”主题，在州委、州政府领导和省卫健委指导下，圆满完成各项工作任务。聚焦区域医疗高地建设，高原病防治研究基地稳步推进，</w:t>
      </w:r>
      <w:r>
        <w:rPr>
          <w:rFonts w:hint="default" w:ascii="Times New Roman" w:hAnsi="Times New Roman" w:eastAsia="仿宋_GB2312" w:cs="Times New Roman"/>
          <w:kern w:val="0"/>
          <w:sz w:val="32"/>
          <w:szCs w:val="32"/>
          <w:lang w:val="en-US" w:eastAsia="zh-CN" w:bidi="ar"/>
        </w:rPr>
        <w:t>6</w:t>
      </w:r>
      <w:r>
        <w:rPr>
          <w:rFonts w:hint="eastAsia" w:ascii="仿宋_GB2312" w:hAnsi="Times New Roman" w:eastAsia="仿宋_GB2312" w:cs="仿宋_GB2312"/>
          <w:kern w:val="0"/>
          <w:sz w:val="32"/>
          <w:szCs w:val="32"/>
          <w:lang w:val="en-US" w:eastAsia="zh-CN" w:bidi="ar"/>
        </w:rPr>
        <w:t>个在建卫生项目开工率</w:t>
      </w:r>
      <w:r>
        <w:rPr>
          <w:rFonts w:hint="default" w:ascii="Times New Roman" w:hAnsi="Times New Roman" w:eastAsia="仿宋_GB2312" w:cs="Times New Roman"/>
          <w:kern w:val="0"/>
          <w:sz w:val="32"/>
          <w:szCs w:val="32"/>
          <w:lang w:val="en-US" w:eastAsia="zh-CN" w:bidi="ar"/>
        </w:rPr>
        <w:t>100%</w:t>
      </w:r>
      <w:r>
        <w:rPr>
          <w:rFonts w:hint="eastAsia" w:ascii="仿宋_GB2312" w:hAnsi="Times New Roman" w:eastAsia="仿宋_GB2312" w:cs="仿宋_GB2312"/>
          <w:kern w:val="0"/>
          <w:sz w:val="32"/>
          <w:szCs w:val="32"/>
          <w:lang w:val="en-US" w:eastAsia="zh-CN" w:bidi="ar"/>
        </w:rPr>
        <w:t>、投资完成率</w:t>
      </w:r>
      <w:r>
        <w:rPr>
          <w:rFonts w:hint="default" w:ascii="Times New Roman" w:hAnsi="Times New Roman" w:eastAsia="仿宋_GB2312" w:cs="Times New Roman"/>
          <w:kern w:val="0"/>
          <w:sz w:val="32"/>
          <w:szCs w:val="32"/>
          <w:lang w:val="en-US" w:eastAsia="zh-CN" w:bidi="ar"/>
        </w:rPr>
        <w:t>81.28%</w:t>
      </w:r>
      <w:r>
        <w:rPr>
          <w:rFonts w:hint="eastAsia" w:ascii="仿宋_GB2312" w:hAnsi="Times New Roman" w:eastAsia="仿宋_GB2312" w:cs="仿宋_GB2312"/>
          <w:kern w:val="0"/>
          <w:sz w:val="32"/>
          <w:szCs w:val="32"/>
          <w:lang w:val="en-US" w:eastAsia="zh-CN" w:bidi="ar"/>
        </w:rPr>
        <w:t>，建设进度连续</w:t>
      </w:r>
      <w:r>
        <w:rPr>
          <w:rFonts w:hint="default" w:ascii="Times New Roman" w:hAnsi="Times New Roman" w:eastAsia="仿宋_GB2312" w:cs="Times New Roman"/>
          <w:kern w:val="0"/>
          <w:sz w:val="32"/>
          <w:szCs w:val="32"/>
          <w:lang w:val="en-US" w:eastAsia="zh-CN" w:bidi="ar"/>
        </w:rPr>
        <w:t>3</w:t>
      </w:r>
      <w:r>
        <w:rPr>
          <w:rFonts w:hint="eastAsia" w:ascii="仿宋_GB2312" w:hAnsi="Times New Roman" w:eastAsia="仿宋_GB2312" w:cs="仿宋_GB2312"/>
          <w:kern w:val="0"/>
          <w:sz w:val="32"/>
          <w:szCs w:val="32"/>
          <w:lang w:val="en-US" w:eastAsia="zh-CN" w:bidi="ar"/>
        </w:rPr>
        <w:t>季度居全省红榜，新增</w:t>
      </w:r>
      <w:r>
        <w:rPr>
          <w:rFonts w:hint="default" w:ascii="Times New Roman" w:hAnsi="Times New Roman" w:eastAsia="仿宋_GB2312" w:cs="Times New Roman"/>
          <w:kern w:val="0"/>
          <w:sz w:val="32"/>
          <w:szCs w:val="32"/>
          <w:lang w:val="en-US" w:eastAsia="zh-CN" w:bidi="ar"/>
        </w:rPr>
        <w:t>11</w:t>
      </w:r>
      <w:r>
        <w:rPr>
          <w:rFonts w:hint="eastAsia" w:ascii="仿宋_GB2312" w:hAnsi="Times New Roman" w:eastAsia="仿宋_GB2312" w:cs="仿宋_GB2312"/>
          <w:kern w:val="0"/>
          <w:sz w:val="32"/>
          <w:szCs w:val="32"/>
          <w:lang w:val="en-US" w:eastAsia="zh-CN" w:bidi="ar"/>
        </w:rPr>
        <w:t>个州级重点专科，</w:t>
      </w:r>
      <w:r>
        <w:rPr>
          <w:rFonts w:hint="default" w:ascii="Times New Roman" w:hAnsi="Times New Roman" w:eastAsia="仿宋_GB2312" w:cs="Times New Roman"/>
          <w:kern w:val="0"/>
          <w:sz w:val="32"/>
          <w:szCs w:val="32"/>
          <w:lang w:val="en-US" w:eastAsia="zh-CN" w:bidi="ar"/>
        </w:rPr>
        <w:t>4</w:t>
      </w:r>
      <w:r>
        <w:rPr>
          <w:rFonts w:hint="eastAsia" w:ascii="仿宋_GB2312" w:hAnsi="Times New Roman" w:eastAsia="仿宋_GB2312" w:cs="仿宋_GB2312"/>
          <w:kern w:val="0"/>
          <w:sz w:val="32"/>
          <w:szCs w:val="32"/>
          <w:lang w:val="en-US" w:eastAsia="zh-CN" w:bidi="ar"/>
        </w:rPr>
        <w:t>家智慧医院创建成功，区域医疗能级显著提升。深入开展“石榴籽”工程健康保障行动，统筹</w:t>
      </w:r>
      <w:r>
        <w:rPr>
          <w:rFonts w:hint="default" w:ascii="Times New Roman" w:hAnsi="Times New Roman" w:eastAsia="仿宋_GB2312" w:cs="Times New Roman"/>
          <w:kern w:val="0"/>
          <w:sz w:val="32"/>
          <w:szCs w:val="32"/>
          <w:lang w:val="en-US" w:eastAsia="zh-CN" w:bidi="ar"/>
        </w:rPr>
        <w:t>46.2</w:t>
      </w:r>
      <w:r>
        <w:rPr>
          <w:rFonts w:hint="eastAsia" w:ascii="仿宋_GB2312" w:hAnsi="Times New Roman" w:eastAsia="仿宋_GB2312" w:cs="仿宋_GB2312"/>
          <w:kern w:val="0"/>
          <w:sz w:val="32"/>
          <w:szCs w:val="32"/>
          <w:lang w:val="en-US" w:eastAsia="zh-CN" w:bidi="ar"/>
        </w:rPr>
        <w:t>万人次医疗力量提供</w:t>
      </w:r>
      <w:r>
        <w:rPr>
          <w:rFonts w:hint="default" w:ascii="Times New Roman" w:hAnsi="Times New Roman" w:eastAsia="仿宋_GB2312" w:cs="Times New Roman"/>
          <w:kern w:val="0"/>
          <w:sz w:val="32"/>
          <w:szCs w:val="32"/>
          <w:lang w:val="en-US" w:eastAsia="zh-CN" w:bidi="ar"/>
        </w:rPr>
        <w:t>682.9</w:t>
      </w:r>
      <w:r>
        <w:rPr>
          <w:rFonts w:hint="eastAsia" w:ascii="仿宋_GB2312" w:hAnsi="Times New Roman" w:eastAsia="仿宋_GB2312" w:cs="仿宋_GB2312"/>
          <w:kern w:val="0"/>
          <w:sz w:val="32"/>
          <w:szCs w:val="32"/>
          <w:lang w:val="en-US" w:eastAsia="zh-CN" w:bidi="ar"/>
        </w:rPr>
        <w:t>万人次服务，减免费用</w:t>
      </w:r>
      <w:r>
        <w:rPr>
          <w:rFonts w:hint="default" w:ascii="Times New Roman" w:hAnsi="Times New Roman" w:eastAsia="仿宋_GB2312" w:cs="Times New Roman"/>
          <w:kern w:val="0"/>
          <w:sz w:val="32"/>
          <w:szCs w:val="32"/>
          <w:lang w:val="en-US" w:eastAsia="zh-CN" w:bidi="ar"/>
        </w:rPr>
        <w:t>2.06</w:t>
      </w:r>
      <w:r>
        <w:rPr>
          <w:rFonts w:hint="eastAsia" w:ascii="仿宋_GB2312" w:hAnsi="Times New Roman" w:eastAsia="仿宋_GB2312" w:cs="仿宋_GB2312"/>
          <w:kern w:val="0"/>
          <w:sz w:val="32"/>
          <w:szCs w:val="32"/>
          <w:lang w:val="en-US" w:eastAsia="zh-CN" w:bidi="ar"/>
        </w:rPr>
        <w:t>亿元，</w:t>
      </w:r>
      <w:r>
        <w:rPr>
          <w:rFonts w:hint="default" w:ascii="Times New Roman" w:hAnsi="Times New Roman" w:eastAsia="仿宋_GB2312" w:cs="Times New Roman"/>
          <w:kern w:val="0"/>
          <w:sz w:val="32"/>
          <w:szCs w:val="32"/>
          <w:lang w:val="en-US" w:eastAsia="zh-CN" w:bidi="ar"/>
        </w:rPr>
        <w:t>72</w:t>
      </w:r>
      <w:r>
        <w:rPr>
          <w:rFonts w:hint="eastAsia" w:ascii="仿宋_GB2312" w:hAnsi="Times New Roman" w:eastAsia="仿宋_GB2312" w:cs="仿宋_GB2312"/>
          <w:kern w:val="0"/>
          <w:sz w:val="32"/>
          <w:szCs w:val="32"/>
          <w:lang w:val="en-US" w:eastAsia="zh-CN" w:bidi="ar"/>
        </w:rPr>
        <w:t>万人免费体检、体检率</w:t>
      </w:r>
      <w:r>
        <w:rPr>
          <w:rFonts w:hint="default" w:ascii="Times New Roman" w:hAnsi="Times New Roman" w:eastAsia="仿宋_GB2312" w:cs="Times New Roman"/>
          <w:kern w:val="0"/>
          <w:sz w:val="32"/>
          <w:szCs w:val="32"/>
          <w:lang w:val="en-US" w:eastAsia="zh-CN" w:bidi="ar"/>
        </w:rPr>
        <w:t>98.26%</w:t>
      </w:r>
      <w:r>
        <w:rPr>
          <w:rFonts w:hint="eastAsia" w:ascii="仿宋_GB2312" w:hAnsi="Times New Roman" w:eastAsia="仿宋_GB2312" w:cs="仿宋_GB2312"/>
          <w:kern w:val="0"/>
          <w:sz w:val="32"/>
          <w:szCs w:val="32"/>
          <w:lang w:val="en-US" w:eastAsia="zh-CN" w:bidi="ar"/>
        </w:rPr>
        <w:t>，群众健康福祉持续增强。推进健康阿坝建设，成功救治</w:t>
      </w:r>
      <w:r>
        <w:rPr>
          <w:rFonts w:hint="default" w:ascii="Times New Roman" w:hAnsi="Times New Roman" w:eastAsia="仿宋_GB2312" w:cs="Times New Roman"/>
          <w:kern w:val="0"/>
          <w:sz w:val="32"/>
          <w:szCs w:val="32"/>
          <w:lang w:val="en-US" w:eastAsia="zh-CN" w:bidi="ar"/>
        </w:rPr>
        <w:t>95</w:t>
      </w:r>
      <w:r>
        <w:rPr>
          <w:rFonts w:hint="eastAsia" w:ascii="仿宋_GB2312" w:hAnsi="Times New Roman" w:eastAsia="仿宋_GB2312" w:cs="仿宋_GB2312"/>
          <w:kern w:val="0"/>
          <w:sz w:val="32"/>
          <w:szCs w:val="32"/>
          <w:lang w:val="en-US" w:eastAsia="zh-CN" w:bidi="ar"/>
        </w:rPr>
        <w:t>例危重孕产妇，新增</w:t>
      </w:r>
      <w:r>
        <w:rPr>
          <w:rFonts w:hint="default" w:ascii="Times New Roman" w:hAnsi="Times New Roman" w:eastAsia="仿宋_GB2312" w:cs="Times New Roman"/>
          <w:kern w:val="0"/>
          <w:sz w:val="32"/>
          <w:szCs w:val="32"/>
          <w:lang w:val="en-US" w:eastAsia="zh-CN" w:bidi="ar"/>
        </w:rPr>
        <w:t>100</w:t>
      </w:r>
      <w:r>
        <w:rPr>
          <w:rFonts w:hint="eastAsia" w:ascii="仿宋_GB2312" w:hAnsi="Times New Roman" w:eastAsia="仿宋_GB2312" w:cs="仿宋_GB2312"/>
          <w:kern w:val="0"/>
          <w:sz w:val="32"/>
          <w:szCs w:val="32"/>
          <w:lang w:val="en-US" w:eastAsia="zh-CN" w:bidi="ar"/>
        </w:rPr>
        <w:t>个托位，组建</w:t>
      </w:r>
      <w:r>
        <w:rPr>
          <w:rFonts w:hint="default" w:ascii="Times New Roman" w:hAnsi="Times New Roman" w:eastAsia="仿宋_GB2312" w:cs="Times New Roman"/>
          <w:kern w:val="0"/>
          <w:sz w:val="32"/>
          <w:szCs w:val="32"/>
          <w:lang w:val="en-US" w:eastAsia="zh-CN" w:bidi="ar"/>
        </w:rPr>
        <w:t>61</w:t>
      </w:r>
      <w:r>
        <w:rPr>
          <w:rFonts w:hint="eastAsia" w:ascii="仿宋_GB2312" w:hAnsi="Times New Roman" w:eastAsia="仿宋_GB2312" w:cs="仿宋_GB2312"/>
          <w:kern w:val="0"/>
          <w:sz w:val="32"/>
          <w:szCs w:val="32"/>
          <w:lang w:val="en-US" w:eastAsia="zh-CN" w:bidi="ar"/>
        </w:rPr>
        <w:t>支卫生应急队伍，筑牢健康保障防线。深化医改获评全国</w:t>
      </w:r>
      <w:r>
        <w:rPr>
          <w:rFonts w:hint="default" w:ascii="Times New Roman" w:hAnsi="Times New Roman" w:eastAsia="仿宋_GB2312" w:cs="Times New Roman"/>
          <w:kern w:val="0"/>
          <w:sz w:val="32"/>
          <w:szCs w:val="32"/>
          <w:lang w:val="en-US" w:eastAsia="zh-CN" w:bidi="ar"/>
        </w:rPr>
        <w:t>A</w:t>
      </w:r>
      <w:r>
        <w:rPr>
          <w:rFonts w:hint="eastAsia" w:ascii="仿宋_GB2312" w:hAnsi="Times New Roman" w:eastAsia="仿宋_GB2312" w:cs="仿宋_GB2312"/>
          <w:kern w:val="0"/>
          <w:sz w:val="32"/>
          <w:szCs w:val="32"/>
          <w:lang w:val="en-US" w:eastAsia="zh-CN" w:bidi="ar"/>
        </w:rPr>
        <w:t>级，实现</w:t>
      </w:r>
      <w:r>
        <w:rPr>
          <w:rFonts w:hint="default" w:ascii="Times New Roman" w:hAnsi="Times New Roman" w:eastAsia="仿宋_GB2312" w:cs="Times New Roman"/>
          <w:kern w:val="0"/>
          <w:sz w:val="32"/>
          <w:szCs w:val="32"/>
          <w:lang w:val="en-US" w:eastAsia="zh-CN" w:bidi="ar"/>
        </w:rPr>
        <w:t>13</w:t>
      </w:r>
      <w:r>
        <w:rPr>
          <w:rFonts w:hint="eastAsia" w:ascii="仿宋_GB2312" w:hAnsi="Times New Roman" w:eastAsia="仿宋_GB2312" w:cs="仿宋_GB2312"/>
          <w:kern w:val="0"/>
          <w:sz w:val="32"/>
          <w:szCs w:val="32"/>
          <w:lang w:val="en-US" w:eastAsia="zh-CN" w:bidi="ar"/>
        </w:rPr>
        <w:t>个县（市）紧密型县域医共体全覆盖，每万人全科医生数居全省第一。推动中（藏羌）医药传承创新，</w:t>
      </w:r>
      <w:r>
        <w:rPr>
          <w:rFonts w:hint="default" w:ascii="Times New Roman" w:hAnsi="Times New Roman" w:eastAsia="仿宋_GB2312" w:cs="Times New Roman"/>
          <w:kern w:val="0"/>
          <w:sz w:val="32"/>
          <w:szCs w:val="32"/>
          <w:lang w:val="en-US" w:eastAsia="zh-CN" w:bidi="ar"/>
        </w:rPr>
        <w:t>7</w:t>
      </w:r>
      <w:r>
        <w:rPr>
          <w:rFonts w:hint="eastAsia" w:ascii="仿宋_GB2312" w:hAnsi="Times New Roman" w:eastAsia="仿宋_GB2312" w:cs="仿宋_GB2312"/>
          <w:kern w:val="0"/>
          <w:sz w:val="32"/>
          <w:szCs w:val="32"/>
          <w:lang w:val="en-US" w:eastAsia="zh-CN" w:bidi="ar"/>
        </w:rPr>
        <w:t>个专科入选省级优势专科，基层中医药服务量稳定在</w:t>
      </w:r>
      <w:r>
        <w:rPr>
          <w:rFonts w:hint="default" w:ascii="Times New Roman" w:hAnsi="Times New Roman" w:eastAsia="仿宋_GB2312" w:cs="Times New Roman"/>
          <w:kern w:val="0"/>
          <w:sz w:val="32"/>
          <w:szCs w:val="32"/>
          <w:lang w:val="en-US" w:eastAsia="zh-CN" w:bidi="ar"/>
        </w:rPr>
        <w:t>40%</w:t>
      </w:r>
      <w:r>
        <w:rPr>
          <w:rFonts w:hint="eastAsia" w:ascii="仿宋_GB2312" w:hAnsi="Times New Roman" w:eastAsia="仿宋_GB2312" w:cs="仿宋_GB2312"/>
          <w:kern w:val="0"/>
          <w:sz w:val="32"/>
          <w:szCs w:val="32"/>
          <w:lang w:val="en-US" w:eastAsia="zh-CN" w:bidi="ar"/>
        </w:rPr>
        <w:t>以上。筑牢公共卫生防线，传染病发病率低于全省平均，疫苗接种率刷新建州新高。强化行业治理，办结</w:t>
      </w:r>
      <w:r>
        <w:rPr>
          <w:rFonts w:hint="default" w:ascii="Times New Roman" w:hAnsi="Times New Roman" w:eastAsia="仿宋_GB2312" w:cs="Times New Roman"/>
          <w:kern w:val="0"/>
          <w:sz w:val="32"/>
          <w:szCs w:val="32"/>
          <w:lang w:val="en-US" w:eastAsia="zh-CN" w:bidi="ar"/>
        </w:rPr>
        <w:t>414</w:t>
      </w:r>
      <w:r>
        <w:rPr>
          <w:rFonts w:hint="eastAsia" w:ascii="仿宋_GB2312" w:hAnsi="Times New Roman" w:eastAsia="仿宋_GB2312" w:cs="仿宋_GB2312"/>
          <w:kern w:val="0"/>
          <w:sz w:val="32"/>
          <w:szCs w:val="32"/>
          <w:lang w:val="en-US" w:eastAsia="zh-CN" w:bidi="ar"/>
        </w:rPr>
        <w:t>件“新生儿出生一件事”和</w:t>
      </w:r>
      <w:r>
        <w:rPr>
          <w:rFonts w:hint="default" w:ascii="Times New Roman" w:hAnsi="Times New Roman" w:eastAsia="仿宋_GB2312" w:cs="Times New Roman"/>
          <w:kern w:val="0"/>
          <w:sz w:val="32"/>
          <w:szCs w:val="32"/>
          <w:lang w:val="en-US" w:eastAsia="zh-CN" w:bidi="ar"/>
        </w:rPr>
        <w:t>817</w:t>
      </w:r>
      <w:r>
        <w:rPr>
          <w:rFonts w:hint="eastAsia" w:ascii="仿宋_GB2312" w:hAnsi="Times New Roman" w:eastAsia="仿宋_GB2312" w:cs="仿宋_GB2312"/>
          <w:kern w:val="0"/>
          <w:sz w:val="32"/>
          <w:szCs w:val="32"/>
          <w:lang w:val="en-US" w:eastAsia="zh-CN" w:bidi="ar"/>
        </w:rPr>
        <w:t>件行政审批，无重大安全事故，圆满为“十四五”卫生健康发展收官。</w:t>
      </w:r>
    </w:p>
    <w:p w14:paraId="4040E012">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val="0"/>
          <w:sz w:val="32"/>
          <w:szCs w:val="32"/>
        </w:rPr>
      </w:pPr>
      <w:bookmarkStart w:id="22" w:name="_Toc18718"/>
      <w:r>
        <w:rPr>
          <w:rFonts w:hint="eastAsia" w:ascii="楷体_GB2312" w:hAnsi="Times New Roman" w:eastAsia="楷体_GB2312" w:cs="楷体_GB2312"/>
          <w:b/>
          <w:bCs/>
          <w:color w:val="000000"/>
          <w:kern w:val="0"/>
          <w:sz w:val="32"/>
          <w:szCs w:val="32"/>
          <w:shd w:val="clear" w:fill="FFFFFF"/>
          <w:lang w:val="en-US" w:eastAsia="zh-CN" w:bidi="ar"/>
        </w:rPr>
        <w:t>（三）</w:t>
      </w:r>
      <w:r>
        <w:rPr>
          <w:rFonts w:hint="eastAsia" w:ascii="楷体_GB2312" w:hAnsi="Times New Roman" w:eastAsia="楷体_GB2312" w:cs="楷体_GB2312"/>
          <w:b/>
          <w:bCs w:val="0"/>
          <w:kern w:val="0"/>
          <w:sz w:val="32"/>
          <w:szCs w:val="32"/>
          <w:lang w:val="en-US" w:eastAsia="zh-CN" w:bidi="ar"/>
        </w:rPr>
        <w:t>结余分配和结转结余情况</w:t>
      </w:r>
      <w:bookmarkEnd w:id="22"/>
    </w:p>
    <w:p w14:paraId="6D0CF2BB">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kern w:val="0"/>
          <w:sz w:val="32"/>
          <w:szCs w:val="32"/>
          <w:lang w:val="en-US" w:eastAsia="zh-CN" w:bidi="ar"/>
        </w:rPr>
        <w:t>我单位</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w:t>
      </w:r>
      <w:r>
        <w:rPr>
          <w:rFonts w:hint="eastAsia" w:ascii="仿宋_GB2312" w:hAnsi="Times New Roman" w:eastAsia="仿宋_GB2312" w:cs="仿宋_GB2312"/>
          <w:color w:val="000000"/>
          <w:kern w:val="0"/>
          <w:sz w:val="32"/>
          <w:szCs w:val="32"/>
          <w:shd w:val="clear" w:fill="FFFFFF"/>
          <w:lang w:val="en-US" w:eastAsia="zh-CN" w:bidi="ar"/>
        </w:rPr>
        <w:t>结余分配</w:t>
      </w:r>
      <w:r>
        <w:rPr>
          <w:rFonts w:hint="default" w:ascii="Times New Roman" w:hAnsi="Times New Roman" w:eastAsia="仿宋_GB2312" w:cs="Times New Roman"/>
          <w:color w:val="000000"/>
          <w:kern w:val="0"/>
          <w:sz w:val="32"/>
          <w:szCs w:val="32"/>
          <w:shd w:val="clear" w:fill="FFFFFF"/>
          <w:lang w:val="en-US" w:eastAsia="zh-CN" w:bidi="ar"/>
        </w:rPr>
        <w:t>17.27</w:t>
      </w:r>
      <w:r>
        <w:rPr>
          <w:rFonts w:hint="eastAsia" w:ascii="仿宋_GB2312" w:hAnsi="Times New Roman" w:eastAsia="仿宋_GB2312" w:cs="仿宋_GB2312"/>
          <w:color w:val="000000"/>
          <w:kern w:val="0"/>
          <w:sz w:val="32"/>
          <w:szCs w:val="32"/>
          <w:shd w:val="clear" w:fill="FFFFFF"/>
          <w:lang w:val="en-US" w:eastAsia="zh-CN" w:bidi="ar"/>
        </w:rPr>
        <w:t>万元，年末结转和结余</w:t>
      </w:r>
      <w:r>
        <w:rPr>
          <w:rFonts w:hint="default" w:ascii="Times New Roman" w:hAnsi="Times New Roman" w:eastAsia="仿宋_GB2312" w:cs="Times New Roman"/>
          <w:color w:val="000000"/>
          <w:kern w:val="0"/>
          <w:sz w:val="32"/>
          <w:szCs w:val="32"/>
          <w:shd w:val="clear" w:fill="FFFFFF"/>
          <w:lang w:val="en-US" w:eastAsia="zh-CN" w:bidi="ar"/>
        </w:rPr>
        <w:t>1,662.92</w:t>
      </w:r>
      <w:r>
        <w:rPr>
          <w:rFonts w:hint="eastAsia" w:ascii="仿宋_GB2312" w:hAnsi="Times New Roman" w:eastAsia="仿宋_GB2312" w:cs="仿宋_GB2312"/>
          <w:color w:val="000000"/>
          <w:kern w:val="0"/>
          <w:sz w:val="32"/>
          <w:szCs w:val="32"/>
          <w:shd w:val="clear" w:fill="FFFFFF"/>
          <w:lang w:val="en-US" w:eastAsia="zh-CN" w:bidi="ar"/>
        </w:rPr>
        <w:t>万元。</w:t>
      </w:r>
    </w:p>
    <w:p w14:paraId="59E96273">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0"/>
        <w:rPr>
          <w:rFonts w:hint="default" w:ascii="Times New Roman" w:hAnsi="Times New Roman" w:eastAsia="黑体" w:cs="Times New Roman"/>
          <w:color w:val="000000"/>
          <w:kern w:val="0"/>
          <w:sz w:val="32"/>
          <w:szCs w:val="32"/>
          <w:shd w:val="clear" w:fill="FFFFFF"/>
        </w:rPr>
      </w:pPr>
      <w:bookmarkStart w:id="23" w:name="_Toc4950"/>
      <w:r>
        <w:rPr>
          <w:rFonts w:hint="eastAsia" w:ascii="黑体" w:hAnsi="宋体" w:eastAsia="黑体" w:cs="黑体"/>
          <w:color w:val="000000"/>
          <w:kern w:val="0"/>
          <w:sz w:val="32"/>
          <w:szCs w:val="32"/>
          <w:shd w:val="clear" w:fill="FFFFFF"/>
          <w:lang w:val="en-US" w:eastAsia="zh-CN" w:bidi="ar"/>
        </w:rPr>
        <w:t>三、部门预算绩效分析</w:t>
      </w:r>
      <w:bookmarkEnd w:id="23"/>
    </w:p>
    <w:p w14:paraId="1A95DBA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仿宋_GB2312" w:cs="Times New Roman"/>
          <w:color w:val="000000"/>
          <w:kern w:val="0"/>
          <w:sz w:val="32"/>
          <w:szCs w:val="32"/>
          <w:shd w:val="clear" w:fill="FFFFFF"/>
        </w:rPr>
      </w:pPr>
      <w:bookmarkStart w:id="24" w:name="_Toc9959"/>
      <w:r>
        <w:rPr>
          <w:rFonts w:hint="eastAsia" w:ascii="楷体_GB2312" w:hAnsi="Times New Roman" w:eastAsia="楷体_GB2312" w:cs="楷体_GB2312"/>
          <w:b/>
          <w:bCs/>
          <w:color w:val="000000"/>
          <w:kern w:val="0"/>
          <w:sz w:val="32"/>
          <w:szCs w:val="32"/>
          <w:shd w:val="clear" w:fill="FFFFFF"/>
          <w:lang w:val="en-US" w:eastAsia="zh-CN" w:bidi="ar"/>
        </w:rPr>
        <w:t>（一）部门预算总体绩效分析</w:t>
      </w:r>
      <w:bookmarkEnd w:id="24"/>
    </w:p>
    <w:p w14:paraId="41D5BCC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w:t>
      </w:r>
      <w:r>
        <w:rPr>
          <w:rFonts w:hint="eastAsia" w:ascii="楷体_GB2312" w:hAnsi="Times New Roman" w:eastAsia="楷体_GB2312" w:cs="楷体_GB2312"/>
          <w:color w:val="000000"/>
          <w:kern w:val="0"/>
          <w:sz w:val="32"/>
          <w:szCs w:val="32"/>
          <w:shd w:val="clear" w:fill="FFFFFF"/>
          <w:lang w:val="en-US" w:eastAsia="zh-CN" w:bidi="ar"/>
        </w:rPr>
        <w:t>履职效能</w:t>
      </w:r>
    </w:p>
    <w:p w14:paraId="3DF8CF2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为充分反映我单位</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年度部门职能履行成效，本次绩效自评根据要求，结合部门职能职责和</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年度重点工作任务，选取了“培训场次、加强人才队伍建设、提升基层医疗机构服务能力”</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个绩效指标作为核心职能目标，各职能目标具体完成情况如下：</w:t>
      </w:r>
    </w:p>
    <w:p w14:paraId="5A7A254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）培训场次</w:t>
      </w:r>
    </w:p>
    <w:p w14:paraId="20EBB95A">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全年开展各类医务人员培训</w:t>
      </w:r>
      <w:r>
        <w:rPr>
          <w:rFonts w:hint="default" w:ascii="Times New Roman" w:hAnsi="Times New Roman" w:eastAsia="仿宋_GB2312" w:cs="Times New Roman"/>
          <w:color w:val="000000"/>
          <w:kern w:val="0"/>
          <w:sz w:val="32"/>
          <w:szCs w:val="32"/>
          <w:shd w:val="clear" w:fill="FFFFFF"/>
          <w:lang w:val="en-US" w:eastAsia="zh-CN" w:bidi="ar"/>
        </w:rPr>
        <w:t>1.8</w:t>
      </w:r>
      <w:r>
        <w:rPr>
          <w:rFonts w:hint="eastAsia" w:ascii="仿宋_GB2312" w:hAnsi="Times New Roman" w:eastAsia="仿宋_GB2312" w:cs="仿宋_GB2312"/>
          <w:color w:val="000000"/>
          <w:kern w:val="0"/>
          <w:sz w:val="32"/>
          <w:szCs w:val="32"/>
          <w:shd w:val="clear" w:fill="FFFFFF"/>
          <w:lang w:val="en-US" w:eastAsia="zh-CN" w:bidi="ar"/>
        </w:rPr>
        <w:t>万人次，依托“传帮带”“组团式”帮扶等机制，开展中（藏羌）医药巡诊培训讲座</w:t>
      </w:r>
      <w:r>
        <w:rPr>
          <w:rFonts w:hint="default" w:ascii="Times New Roman" w:hAnsi="Times New Roman" w:eastAsia="仿宋_GB2312" w:cs="Times New Roman"/>
          <w:color w:val="000000"/>
          <w:kern w:val="0"/>
          <w:sz w:val="32"/>
          <w:szCs w:val="32"/>
          <w:shd w:val="clear" w:fill="FFFFFF"/>
          <w:lang w:val="en-US" w:eastAsia="zh-CN" w:bidi="ar"/>
        </w:rPr>
        <w:t>189</w:t>
      </w:r>
      <w:r>
        <w:rPr>
          <w:rFonts w:hint="eastAsia" w:ascii="仿宋_GB2312" w:hAnsi="Times New Roman" w:eastAsia="仿宋_GB2312" w:cs="仿宋_GB2312"/>
          <w:color w:val="000000"/>
          <w:kern w:val="0"/>
          <w:sz w:val="32"/>
          <w:szCs w:val="32"/>
          <w:shd w:val="clear" w:fill="FFFFFF"/>
          <w:lang w:val="en-US" w:eastAsia="zh-CN" w:bidi="ar"/>
        </w:rPr>
        <w:t>场，广泛提升基层医务人员专业技术能力和业务水平，有效补齐基层医疗人才技术短板，夯实了卫生健康事业发展根基。</w:t>
      </w:r>
    </w:p>
    <w:p w14:paraId="05593BE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5</w:t>
      </w:r>
      <w:r>
        <w:rPr>
          <w:rFonts w:hint="eastAsia" w:ascii="仿宋_GB2312" w:hAnsi="Times New Roman" w:eastAsia="仿宋_GB2312" w:cs="仿宋_GB2312"/>
          <w:color w:val="000000"/>
          <w:kern w:val="0"/>
          <w:sz w:val="32"/>
          <w:szCs w:val="32"/>
          <w:shd w:val="clear" w:fill="FFFFFF"/>
          <w:lang w:val="en-US" w:eastAsia="zh-CN" w:bidi="ar"/>
        </w:rPr>
        <w:t>分。</w:t>
      </w:r>
    </w:p>
    <w:p w14:paraId="152BD87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）加强人才队伍建设</w:t>
      </w:r>
    </w:p>
    <w:p w14:paraId="4E8C1E5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全年引进培养骨干人才</w:t>
      </w:r>
      <w:r>
        <w:rPr>
          <w:rFonts w:hint="default" w:ascii="Times New Roman" w:hAnsi="Times New Roman" w:eastAsia="仿宋_GB2312" w:cs="Times New Roman"/>
          <w:color w:val="000000"/>
          <w:kern w:val="0"/>
          <w:sz w:val="32"/>
          <w:szCs w:val="32"/>
          <w:shd w:val="clear" w:fill="FFFFFF"/>
          <w:lang w:val="en-US" w:eastAsia="zh-CN" w:bidi="ar"/>
        </w:rPr>
        <w:t>233</w:t>
      </w:r>
      <w:r>
        <w:rPr>
          <w:rFonts w:hint="eastAsia" w:ascii="仿宋_GB2312" w:hAnsi="Times New Roman" w:eastAsia="仿宋_GB2312" w:cs="仿宋_GB2312"/>
          <w:color w:val="000000"/>
          <w:kern w:val="0"/>
          <w:sz w:val="32"/>
          <w:szCs w:val="32"/>
          <w:shd w:val="clear" w:fill="FFFFFF"/>
          <w:lang w:val="en-US" w:eastAsia="zh-CN" w:bidi="ar"/>
        </w:rPr>
        <w:t>名，结成“师带徒”</w:t>
      </w:r>
      <w:r>
        <w:rPr>
          <w:rFonts w:hint="default" w:ascii="Times New Roman" w:hAnsi="Times New Roman" w:eastAsia="仿宋_GB2312" w:cs="Times New Roman"/>
          <w:color w:val="000000"/>
          <w:kern w:val="0"/>
          <w:sz w:val="32"/>
          <w:szCs w:val="32"/>
          <w:shd w:val="clear" w:fill="FFFFFF"/>
          <w:lang w:val="en-US" w:eastAsia="zh-CN" w:bidi="ar"/>
        </w:rPr>
        <w:t>434</w:t>
      </w:r>
      <w:r>
        <w:rPr>
          <w:rFonts w:hint="eastAsia" w:ascii="仿宋_GB2312" w:hAnsi="Times New Roman" w:eastAsia="仿宋_GB2312" w:cs="仿宋_GB2312"/>
          <w:color w:val="000000"/>
          <w:kern w:val="0"/>
          <w:sz w:val="32"/>
          <w:szCs w:val="32"/>
          <w:shd w:val="clear" w:fill="FFFFFF"/>
          <w:lang w:val="en-US" w:eastAsia="zh-CN" w:bidi="ar"/>
        </w:rPr>
        <w:t>对，引进开展新技术</w:t>
      </w:r>
      <w:r>
        <w:rPr>
          <w:rFonts w:hint="default" w:ascii="Times New Roman" w:hAnsi="Times New Roman" w:eastAsia="仿宋_GB2312" w:cs="Times New Roman"/>
          <w:color w:val="000000"/>
          <w:kern w:val="0"/>
          <w:sz w:val="32"/>
          <w:szCs w:val="32"/>
          <w:shd w:val="clear" w:fill="FFFFFF"/>
          <w:lang w:val="en-US" w:eastAsia="zh-CN" w:bidi="ar"/>
        </w:rPr>
        <w:t>378</w:t>
      </w:r>
      <w:r>
        <w:rPr>
          <w:rFonts w:hint="eastAsia" w:ascii="仿宋_GB2312" w:hAnsi="Times New Roman" w:eastAsia="仿宋_GB2312" w:cs="仿宋_GB2312"/>
          <w:color w:val="000000"/>
          <w:kern w:val="0"/>
          <w:sz w:val="32"/>
          <w:szCs w:val="32"/>
          <w:shd w:val="clear" w:fill="FFFFFF"/>
          <w:lang w:val="en-US" w:eastAsia="zh-CN" w:bidi="ar"/>
        </w:rPr>
        <w:t>项，选派</w:t>
      </w:r>
      <w:r>
        <w:rPr>
          <w:rFonts w:hint="default" w:ascii="Times New Roman" w:hAnsi="Times New Roman" w:eastAsia="仿宋_GB2312" w:cs="Times New Roman"/>
          <w:color w:val="000000"/>
          <w:kern w:val="0"/>
          <w:sz w:val="32"/>
          <w:szCs w:val="32"/>
          <w:shd w:val="clear" w:fill="FFFFFF"/>
          <w:lang w:val="en-US" w:eastAsia="zh-CN" w:bidi="ar"/>
        </w:rPr>
        <w:t>37</w:t>
      </w:r>
      <w:r>
        <w:rPr>
          <w:rFonts w:hint="eastAsia" w:ascii="仿宋_GB2312" w:hAnsi="Times New Roman" w:eastAsia="仿宋_GB2312" w:cs="仿宋_GB2312"/>
          <w:color w:val="000000"/>
          <w:kern w:val="0"/>
          <w:sz w:val="32"/>
          <w:szCs w:val="32"/>
          <w:shd w:val="clear" w:fill="FFFFFF"/>
          <w:lang w:val="en-US" w:eastAsia="zh-CN" w:bidi="ar"/>
        </w:rPr>
        <w:t>人赴四川大学华西医院深造，遴选</w:t>
      </w:r>
      <w:r>
        <w:rPr>
          <w:rFonts w:hint="default" w:ascii="Times New Roman" w:hAnsi="Times New Roman" w:eastAsia="仿宋_GB2312" w:cs="Times New Roman"/>
          <w:color w:val="000000"/>
          <w:kern w:val="0"/>
          <w:sz w:val="32"/>
          <w:szCs w:val="32"/>
          <w:shd w:val="clear" w:fill="FFFFFF"/>
          <w:lang w:val="en-US" w:eastAsia="zh-CN" w:bidi="ar"/>
        </w:rPr>
        <w:t>100</w:t>
      </w:r>
      <w:r>
        <w:rPr>
          <w:rFonts w:hint="eastAsia" w:ascii="仿宋_GB2312" w:hAnsi="Times New Roman" w:eastAsia="仿宋_GB2312" w:cs="仿宋_GB2312"/>
          <w:color w:val="000000"/>
          <w:kern w:val="0"/>
          <w:sz w:val="32"/>
          <w:szCs w:val="32"/>
          <w:shd w:val="clear" w:fill="FFFFFF"/>
          <w:lang w:val="en-US" w:eastAsia="zh-CN" w:bidi="ar"/>
        </w:rPr>
        <w:t>名优秀人才赴外脱产进修，完成全科医生转岗培训</w:t>
      </w:r>
      <w:r>
        <w:rPr>
          <w:rFonts w:hint="default" w:ascii="Times New Roman" w:hAnsi="Times New Roman" w:eastAsia="仿宋_GB2312" w:cs="Times New Roman"/>
          <w:color w:val="000000"/>
          <w:kern w:val="0"/>
          <w:sz w:val="32"/>
          <w:szCs w:val="32"/>
          <w:shd w:val="clear" w:fill="FFFFFF"/>
          <w:lang w:val="en-US" w:eastAsia="zh-CN" w:bidi="ar"/>
        </w:rPr>
        <w:t>17</w:t>
      </w:r>
      <w:r>
        <w:rPr>
          <w:rFonts w:hint="eastAsia" w:ascii="仿宋_GB2312" w:hAnsi="Times New Roman" w:eastAsia="仿宋_GB2312" w:cs="仿宋_GB2312"/>
          <w:color w:val="000000"/>
          <w:kern w:val="0"/>
          <w:sz w:val="32"/>
          <w:szCs w:val="32"/>
          <w:shd w:val="clear" w:fill="FFFFFF"/>
          <w:lang w:val="en-US" w:eastAsia="zh-CN" w:bidi="ar"/>
        </w:rPr>
        <w:t>名，累计培养全科医生</w:t>
      </w:r>
      <w:r>
        <w:rPr>
          <w:rFonts w:hint="default" w:ascii="Times New Roman" w:hAnsi="Times New Roman" w:eastAsia="仿宋_GB2312" w:cs="Times New Roman"/>
          <w:color w:val="000000"/>
          <w:kern w:val="0"/>
          <w:sz w:val="32"/>
          <w:szCs w:val="32"/>
          <w:shd w:val="clear" w:fill="FFFFFF"/>
          <w:lang w:val="en-US" w:eastAsia="zh-CN" w:bidi="ar"/>
        </w:rPr>
        <w:t>610</w:t>
      </w:r>
      <w:r>
        <w:rPr>
          <w:rFonts w:hint="eastAsia" w:ascii="仿宋_GB2312" w:hAnsi="Times New Roman" w:eastAsia="仿宋_GB2312" w:cs="仿宋_GB2312"/>
          <w:color w:val="000000"/>
          <w:kern w:val="0"/>
          <w:sz w:val="32"/>
          <w:szCs w:val="32"/>
          <w:shd w:val="clear" w:fill="FFFFFF"/>
          <w:lang w:val="en-US" w:eastAsia="zh-CN" w:bidi="ar"/>
        </w:rPr>
        <w:t>名，每万人全科医生数达</w:t>
      </w:r>
      <w:r>
        <w:rPr>
          <w:rFonts w:hint="default" w:ascii="Times New Roman" w:hAnsi="Times New Roman" w:eastAsia="仿宋_GB2312" w:cs="Times New Roman"/>
          <w:color w:val="000000"/>
          <w:kern w:val="0"/>
          <w:sz w:val="32"/>
          <w:szCs w:val="32"/>
          <w:shd w:val="clear" w:fill="FFFFFF"/>
          <w:lang w:val="en-US" w:eastAsia="zh-CN" w:bidi="ar"/>
        </w:rPr>
        <w:t>7.39</w:t>
      </w:r>
      <w:r>
        <w:rPr>
          <w:rFonts w:hint="eastAsia" w:ascii="仿宋_GB2312" w:hAnsi="Times New Roman" w:eastAsia="仿宋_GB2312" w:cs="仿宋_GB2312"/>
          <w:color w:val="000000"/>
          <w:kern w:val="0"/>
          <w:sz w:val="32"/>
          <w:szCs w:val="32"/>
          <w:shd w:val="clear" w:fill="FFFFFF"/>
          <w:lang w:val="en-US" w:eastAsia="zh-CN" w:bidi="ar"/>
        </w:rPr>
        <w:t>人，位居全省第一；新增</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人获评“四川省名中医”，</w:t>
      </w:r>
      <w:r>
        <w:rPr>
          <w:rFonts w:hint="default" w:ascii="Times New Roman" w:hAnsi="Times New Roman" w:eastAsia="仿宋_GB2312" w:cs="Times New Roman"/>
          <w:color w:val="000000"/>
          <w:kern w:val="0"/>
          <w:sz w:val="32"/>
          <w:szCs w:val="32"/>
          <w:shd w:val="clear" w:fill="FFFFFF"/>
          <w:lang w:val="en-US" w:eastAsia="zh-CN" w:bidi="ar"/>
        </w:rPr>
        <w:t>20</w:t>
      </w:r>
      <w:r>
        <w:rPr>
          <w:rFonts w:hint="eastAsia" w:ascii="仿宋_GB2312" w:hAnsi="Times New Roman" w:eastAsia="仿宋_GB2312" w:cs="仿宋_GB2312"/>
          <w:color w:val="000000"/>
          <w:kern w:val="0"/>
          <w:sz w:val="32"/>
          <w:szCs w:val="32"/>
          <w:shd w:val="clear" w:fill="FFFFFF"/>
          <w:lang w:val="en-US" w:eastAsia="zh-CN" w:bidi="ar"/>
        </w:rPr>
        <w:t>人入选省民族地区基层卫生优秀人才，人才结构持续优化，有效强化了卫生健康事业发展的人才支撑。</w:t>
      </w:r>
    </w:p>
    <w:p w14:paraId="104855C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5</w:t>
      </w:r>
      <w:r>
        <w:rPr>
          <w:rFonts w:hint="eastAsia" w:ascii="仿宋_GB2312" w:hAnsi="Times New Roman" w:eastAsia="仿宋_GB2312" w:cs="仿宋_GB2312"/>
          <w:color w:val="000000"/>
          <w:kern w:val="0"/>
          <w:sz w:val="32"/>
          <w:szCs w:val="32"/>
          <w:shd w:val="clear" w:fill="FFFFFF"/>
          <w:lang w:val="en-US" w:eastAsia="zh-CN" w:bidi="ar"/>
        </w:rPr>
        <w:t>分。</w:t>
      </w:r>
    </w:p>
    <w:p w14:paraId="219C2BC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）提升基层医疗机构服务能力</w:t>
      </w:r>
    </w:p>
    <w:p w14:paraId="3E8F2FA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扎实推进基层医疗机构标准化建设，阿坝、壤塘等</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县人民医院、</w:t>
      </w:r>
      <w:r>
        <w:rPr>
          <w:rFonts w:hint="default" w:ascii="Times New Roman" w:hAnsi="Times New Roman" w:eastAsia="仿宋_GB2312" w:cs="Times New Roman"/>
          <w:color w:val="000000"/>
          <w:kern w:val="0"/>
          <w:sz w:val="32"/>
          <w:szCs w:val="32"/>
          <w:shd w:val="clear" w:fill="FFFFFF"/>
          <w:lang w:val="en-US" w:eastAsia="zh-CN" w:bidi="ar"/>
        </w:rPr>
        <w:t>6</w:t>
      </w:r>
      <w:r>
        <w:rPr>
          <w:rFonts w:hint="eastAsia" w:ascii="仿宋_GB2312" w:hAnsi="Times New Roman" w:eastAsia="仿宋_GB2312" w:cs="仿宋_GB2312"/>
          <w:color w:val="000000"/>
          <w:kern w:val="0"/>
          <w:sz w:val="32"/>
          <w:szCs w:val="32"/>
          <w:shd w:val="clear" w:fill="FFFFFF"/>
          <w:lang w:val="en-US" w:eastAsia="zh-CN" w:bidi="ar"/>
        </w:rPr>
        <w:t>县中（藏）医院顺利通过“二甲”“二乙”复审，持续巩固基层服务网络；建成</w:t>
      </w:r>
      <w:r>
        <w:rPr>
          <w:rFonts w:hint="default" w:ascii="Times New Roman" w:hAnsi="Times New Roman" w:eastAsia="仿宋_GB2312" w:cs="Times New Roman"/>
          <w:color w:val="000000"/>
          <w:kern w:val="0"/>
          <w:sz w:val="32"/>
          <w:szCs w:val="32"/>
          <w:shd w:val="clear" w:fill="FFFFFF"/>
          <w:lang w:val="en-US" w:eastAsia="zh-CN" w:bidi="ar"/>
        </w:rPr>
        <w:t>13</w:t>
      </w:r>
      <w:r>
        <w:rPr>
          <w:rFonts w:hint="eastAsia" w:ascii="仿宋_GB2312" w:hAnsi="Times New Roman" w:eastAsia="仿宋_GB2312" w:cs="仿宋_GB2312"/>
          <w:color w:val="000000"/>
          <w:kern w:val="0"/>
          <w:sz w:val="32"/>
          <w:szCs w:val="32"/>
          <w:shd w:val="clear" w:fill="FFFFFF"/>
          <w:lang w:val="en-US" w:eastAsia="zh-CN" w:bidi="ar"/>
        </w:rPr>
        <w:t>个血透中心、</w:t>
      </w:r>
      <w:r>
        <w:rPr>
          <w:rFonts w:hint="default" w:ascii="Times New Roman" w:hAnsi="Times New Roman" w:eastAsia="仿宋_GB2312" w:cs="Times New Roman"/>
          <w:color w:val="000000"/>
          <w:kern w:val="0"/>
          <w:sz w:val="32"/>
          <w:szCs w:val="32"/>
          <w:shd w:val="clear" w:fill="FFFFFF"/>
          <w:lang w:val="en-US" w:eastAsia="zh-CN" w:bidi="ar"/>
        </w:rPr>
        <w:t>45</w:t>
      </w:r>
      <w:r>
        <w:rPr>
          <w:rFonts w:hint="eastAsia" w:ascii="仿宋_GB2312" w:hAnsi="Times New Roman" w:eastAsia="仿宋_GB2312" w:cs="仿宋_GB2312"/>
          <w:color w:val="000000"/>
          <w:kern w:val="0"/>
          <w:sz w:val="32"/>
          <w:szCs w:val="32"/>
          <w:shd w:val="clear" w:fill="FFFFFF"/>
          <w:lang w:val="en-US" w:eastAsia="zh-CN" w:bidi="ar"/>
        </w:rPr>
        <w:t>个州级医疗质控中心等各类服务中心，基层医疗机构</w:t>
      </w:r>
      <w:r>
        <w:rPr>
          <w:rFonts w:hint="default" w:ascii="Times New Roman" w:hAnsi="Times New Roman" w:eastAsia="仿宋_GB2312" w:cs="Times New Roman"/>
          <w:color w:val="000000"/>
          <w:kern w:val="0"/>
          <w:sz w:val="32"/>
          <w:szCs w:val="32"/>
          <w:shd w:val="clear" w:fill="FFFFFF"/>
          <w:lang w:val="en-US" w:eastAsia="zh-CN" w:bidi="ar"/>
        </w:rPr>
        <w:t>AI</w:t>
      </w:r>
      <w:r>
        <w:rPr>
          <w:rFonts w:hint="eastAsia" w:ascii="仿宋_GB2312" w:hAnsi="Times New Roman" w:eastAsia="仿宋_GB2312" w:cs="仿宋_GB2312"/>
          <w:color w:val="000000"/>
          <w:kern w:val="0"/>
          <w:sz w:val="32"/>
          <w:szCs w:val="32"/>
          <w:shd w:val="clear" w:fill="FFFFFF"/>
          <w:lang w:val="en-US" w:eastAsia="zh-CN" w:bidi="ar"/>
        </w:rPr>
        <w:t>辅助诊疗在</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县成功试点，基层中医药服务量稳定保持在</w:t>
      </w:r>
      <w:r>
        <w:rPr>
          <w:rFonts w:hint="default" w:ascii="Times New Roman" w:hAnsi="Times New Roman" w:eastAsia="仿宋_GB2312" w:cs="Times New Roman"/>
          <w:color w:val="000000"/>
          <w:kern w:val="0"/>
          <w:sz w:val="32"/>
          <w:szCs w:val="32"/>
          <w:shd w:val="clear" w:fill="FFFFFF"/>
          <w:lang w:val="en-US" w:eastAsia="zh-CN" w:bidi="ar"/>
        </w:rPr>
        <w:t>40%</w:t>
      </w:r>
      <w:r>
        <w:rPr>
          <w:rFonts w:hint="eastAsia" w:ascii="仿宋_GB2312" w:hAnsi="Times New Roman" w:eastAsia="仿宋_GB2312" w:cs="仿宋_GB2312"/>
          <w:color w:val="000000"/>
          <w:kern w:val="0"/>
          <w:sz w:val="32"/>
          <w:szCs w:val="32"/>
          <w:shd w:val="clear" w:fill="FFFFFF"/>
          <w:lang w:val="en-US" w:eastAsia="zh-CN" w:bidi="ar"/>
        </w:rPr>
        <w:t>以上，群众在家门口就能享受优质、便捷的医疗卫生服务，基层医疗服务水平显著提升。</w:t>
      </w:r>
    </w:p>
    <w:p w14:paraId="74293AB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5</w:t>
      </w:r>
      <w:r>
        <w:rPr>
          <w:rFonts w:hint="eastAsia" w:ascii="仿宋_GB2312" w:hAnsi="Times New Roman" w:eastAsia="仿宋_GB2312" w:cs="仿宋_GB2312"/>
          <w:color w:val="000000"/>
          <w:kern w:val="0"/>
          <w:sz w:val="32"/>
          <w:szCs w:val="32"/>
          <w:shd w:val="clear" w:fill="FFFFFF"/>
          <w:lang w:val="en-US" w:eastAsia="zh-CN" w:bidi="ar"/>
        </w:rPr>
        <w:t>分。</w:t>
      </w:r>
    </w:p>
    <w:p w14:paraId="6AF3BC4A">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综上，根据评分标准，我单位履职效能指标不扣分，得</w:t>
      </w:r>
      <w:r>
        <w:rPr>
          <w:rFonts w:hint="default" w:ascii="Times New Roman" w:hAnsi="Times New Roman" w:eastAsia="仿宋_GB2312" w:cs="Times New Roman"/>
          <w:color w:val="000000"/>
          <w:kern w:val="0"/>
          <w:sz w:val="32"/>
          <w:szCs w:val="32"/>
          <w:shd w:val="clear" w:fill="FFFFFF"/>
          <w:lang w:val="en-US" w:eastAsia="zh-CN" w:bidi="ar"/>
        </w:rPr>
        <w:t>15</w:t>
      </w:r>
      <w:r>
        <w:rPr>
          <w:rFonts w:hint="eastAsia" w:ascii="仿宋_GB2312" w:hAnsi="Times New Roman" w:eastAsia="仿宋_GB2312" w:cs="仿宋_GB2312"/>
          <w:color w:val="000000"/>
          <w:kern w:val="0"/>
          <w:sz w:val="32"/>
          <w:szCs w:val="32"/>
          <w:shd w:val="clear" w:fill="FFFFFF"/>
          <w:lang w:val="en-US" w:eastAsia="zh-CN" w:bidi="ar"/>
        </w:rPr>
        <w:t>分。</w:t>
      </w:r>
    </w:p>
    <w:p w14:paraId="33A1543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2.</w:t>
      </w:r>
      <w:r>
        <w:rPr>
          <w:rFonts w:hint="eastAsia" w:ascii="楷体_GB2312" w:hAnsi="Times New Roman" w:eastAsia="楷体_GB2312" w:cs="楷体_GB2312"/>
          <w:color w:val="000000"/>
          <w:kern w:val="0"/>
          <w:sz w:val="32"/>
          <w:szCs w:val="32"/>
          <w:shd w:val="clear" w:fill="FFFFFF"/>
          <w:lang w:val="en-US" w:eastAsia="zh-CN" w:bidi="ar"/>
        </w:rPr>
        <w:t>预算管理</w:t>
      </w:r>
    </w:p>
    <w:p w14:paraId="36043AD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）预算编制质量</w:t>
      </w:r>
    </w:p>
    <w:p w14:paraId="4D97D85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我单位财政拨款预算执行数为</w:t>
      </w:r>
      <w:r>
        <w:rPr>
          <w:rFonts w:hint="default" w:ascii="Times New Roman" w:hAnsi="Times New Roman" w:eastAsia="仿宋_GB2312" w:cs="Times New Roman"/>
          <w:color w:val="000000"/>
          <w:kern w:val="0"/>
          <w:sz w:val="32"/>
          <w:szCs w:val="32"/>
          <w:shd w:val="clear" w:fill="FFFFFF"/>
          <w:lang w:val="en-US" w:eastAsia="zh-CN" w:bidi="ar"/>
        </w:rPr>
        <w:t>25,040.70</w:t>
      </w:r>
      <w:r>
        <w:rPr>
          <w:rFonts w:hint="eastAsia" w:ascii="仿宋_GB2312" w:hAnsi="Times New Roman" w:eastAsia="仿宋_GB2312" w:cs="仿宋_GB2312"/>
          <w:color w:val="000000"/>
          <w:kern w:val="0"/>
          <w:sz w:val="32"/>
          <w:szCs w:val="32"/>
          <w:shd w:val="clear" w:fill="FFFFFF"/>
          <w:lang w:val="en-US" w:eastAsia="zh-CN" w:bidi="ar"/>
        </w:rPr>
        <w:t>万元，财政拨款年初预算数为</w:t>
      </w:r>
      <w:r>
        <w:rPr>
          <w:rFonts w:hint="default" w:ascii="Times New Roman" w:hAnsi="Times New Roman" w:eastAsia="仿宋_GB2312" w:cs="Times New Roman"/>
          <w:color w:val="000000"/>
          <w:kern w:val="0"/>
          <w:sz w:val="32"/>
          <w:szCs w:val="32"/>
          <w:shd w:val="clear" w:fill="FFFFFF"/>
          <w:lang w:val="en-US" w:eastAsia="zh-CN" w:bidi="ar"/>
        </w:rPr>
        <w:t>18,185.37</w:t>
      </w:r>
      <w:r>
        <w:rPr>
          <w:rFonts w:hint="eastAsia" w:ascii="仿宋_GB2312" w:hAnsi="Times New Roman" w:eastAsia="仿宋_GB2312" w:cs="仿宋_GB2312"/>
          <w:color w:val="000000"/>
          <w:kern w:val="0"/>
          <w:sz w:val="32"/>
          <w:szCs w:val="32"/>
          <w:shd w:val="clear" w:fill="FFFFFF"/>
          <w:lang w:val="en-US" w:eastAsia="zh-CN" w:bidi="ar"/>
        </w:rPr>
        <w:t>万元，财政拨款预算偏离度为</w:t>
      </w:r>
      <w:r>
        <w:rPr>
          <w:rFonts w:hint="default" w:ascii="Times New Roman" w:hAnsi="Times New Roman" w:eastAsia="仿宋_GB2312" w:cs="Times New Roman"/>
          <w:color w:val="000000"/>
          <w:kern w:val="0"/>
          <w:sz w:val="32"/>
          <w:szCs w:val="32"/>
          <w:shd w:val="clear" w:fill="FFFFFF"/>
          <w:lang w:val="en-US" w:eastAsia="zh-CN" w:bidi="ar"/>
        </w:rPr>
        <w:t>37.70%</w:t>
      </w:r>
      <w:r>
        <w:rPr>
          <w:rFonts w:hint="eastAsia" w:ascii="仿宋_GB2312" w:hAnsi="Times New Roman" w:eastAsia="仿宋_GB2312" w:cs="仿宋_GB2312"/>
          <w:color w:val="000000"/>
          <w:kern w:val="0"/>
          <w:sz w:val="32"/>
          <w:szCs w:val="32"/>
          <w:shd w:val="clear" w:fill="FFFFFF"/>
          <w:lang w:val="en-US" w:eastAsia="zh-CN" w:bidi="ar"/>
        </w:rPr>
        <w:t>。</w:t>
      </w:r>
    </w:p>
    <w:p w14:paraId="0396D4C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我单位资产配置预算执行数为</w:t>
      </w:r>
      <w:r>
        <w:rPr>
          <w:rFonts w:hint="default" w:ascii="Times New Roman" w:hAnsi="Times New Roman" w:eastAsia="仿宋_GB2312" w:cs="Times New Roman"/>
          <w:color w:val="000000"/>
          <w:kern w:val="0"/>
          <w:sz w:val="32"/>
          <w:szCs w:val="32"/>
          <w:shd w:val="clear" w:fill="FFFFFF"/>
          <w:lang w:val="en-US" w:eastAsia="zh-CN" w:bidi="ar"/>
        </w:rPr>
        <w:t>1,966.67</w:t>
      </w:r>
      <w:r>
        <w:rPr>
          <w:rFonts w:hint="eastAsia" w:ascii="仿宋_GB2312" w:hAnsi="Times New Roman" w:eastAsia="仿宋_GB2312" w:cs="仿宋_GB2312"/>
          <w:color w:val="000000"/>
          <w:kern w:val="0"/>
          <w:sz w:val="32"/>
          <w:szCs w:val="32"/>
          <w:shd w:val="clear" w:fill="FFFFFF"/>
          <w:lang w:val="en-US" w:eastAsia="zh-CN" w:bidi="ar"/>
        </w:rPr>
        <w:t>万元，资产配置年初预算数为</w:t>
      </w:r>
      <w:r>
        <w:rPr>
          <w:rFonts w:hint="default" w:ascii="Times New Roman" w:hAnsi="Times New Roman" w:eastAsia="仿宋_GB2312" w:cs="Times New Roman"/>
          <w:color w:val="000000"/>
          <w:kern w:val="0"/>
          <w:sz w:val="32"/>
          <w:szCs w:val="32"/>
          <w:shd w:val="clear" w:fill="FFFFFF"/>
          <w:lang w:val="en-US" w:eastAsia="zh-CN" w:bidi="ar"/>
        </w:rPr>
        <w:t>167.45</w:t>
      </w:r>
      <w:r>
        <w:rPr>
          <w:rFonts w:hint="eastAsia" w:ascii="仿宋_GB2312" w:hAnsi="Times New Roman" w:eastAsia="仿宋_GB2312" w:cs="仿宋_GB2312"/>
          <w:color w:val="000000"/>
          <w:kern w:val="0"/>
          <w:sz w:val="32"/>
          <w:szCs w:val="32"/>
          <w:shd w:val="clear" w:fill="FFFFFF"/>
          <w:lang w:val="en-US" w:eastAsia="zh-CN" w:bidi="ar"/>
        </w:rPr>
        <w:t>万元，资产配置预算偏离度为</w:t>
      </w:r>
      <w:r>
        <w:rPr>
          <w:rFonts w:hint="default" w:ascii="Times New Roman" w:hAnsi="Times New Roman" w:eastAsia="仿宋_GB2312" w:cs="Times New Roman"/>
          <w:color w:val="000000"/>
          <w:kern w:val="0"/>
          <w:sz w:val="32"/>
          <w:szCs w:val="32"/>
          <w:shd w:val="clear" w:fill="FFFFFF"/>
          <w:lang w:val="en-US" w:eastAsia="zh-CN" w:bidi="ar"/>
        </w:rPr>
        <w:t>1074.48%</w:t>
      </w:r>
      <w:r>
        <w:rPr>
          <w:rFonts w:hint="eastAsia" w:ascii="仿宋_GB2312" w:hAnsi="Times New Roman" w:eastAsia="仿宋_GB2312" w:cs="仿宋_GB2312"/>
          <w:color w:val="000000"/>
          <w:kern w:val="0"/>
          <w:sz w:val="32"/>
          <w:szCs w:val="32"/>
          <w:shd w:val="clear" w:fill="FFFFFF"/>
          <w:lang w:val="en-US" w:eastAsia="zh-CN" w:bidi="ar"/>
        </w:rPr>
        <w:t>。</w:t>
      </w:r>
    </w:p>
    <w:p w14:paraId="62BD4CA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我单位政府采购预算执行数为</w:t>
      </w:r>
      <w:r>
        <w:rPr>
          <w:rFonts w:hint="default" w:ascii="Times New Roman" w:hAnsi="Times New Roman" w:eastAsia="仿宋_GB2312" w:cs="Times New Roman"/>
          <w:color w:val="000000"/>
          <w:kern w:val="0"/>
          <w:sz w:val="32"/>
          <w:szCs w:val="32"/>
          <w:shd w:val="clear" w:fill="FFFFFF"/>
          <w:lang w:val="en-US" w:eastAsia="zh-CN" w:bidi="ar"/>
        </w:rPr>
        <w:t>955.96</w:t>
      </w:r>
      <w:r>
        <w:rPr>
          <w:rFonts w:hint="eastAsia" w:ascii="仿宋_GB2312" w:hAnsi="Times New Roman" w:eastAsia="仿宋_GB2312" w:cs="仿宋_GB2312"/>
          <w:color w:val="000000"/>
          <w:kern w:val="0"/>
          <w:sz w:val="32"/>
          <w:szCs w:val="32"/>
          <w:shd w:val="clear" w:fill="FFFFFF"/>
          <w:lang w:val="en-US" w:eastAsia="zh-CN" w:bidi="ar"/>
        </w:rPr>
        <w:t>万元，政府采购年初预算数为</w:t>
      </w:r>
      <w:r>
        <w:rPr>
          <w:rFonts w:hint="default" w:ascii="Times New Roman" w:hAnsi="Times New Roman" w:eastAsia="仿宋_GB2312" w:cs="Times New Roman"/>
          <w:color w:val="000000"/>
          <w:kern w:val="0"/>
          <w:sz w:val="32"/>
          <w:szCs w:val="32"/>
          <w:shd w:val="clear" w:fill="FFFFFF"/>
          <w:lang w:val="en-US" w:eastAsia="zh-CN" w:bidi="ar"/>
        </w:rPr>
        <w:t>441.37</w:t>
      </w:r>
      <w:r>
        <w:rPr>
          <w:rFonts w:hint="eastAsia" w:ascii="仿宋_GB2312" w:hAnsi="Times New Roman" w:eastAsia="仿宋_GB2312" w:cs="仿宋_GB2312"/>
          <w:color w:val="000000"/>
          <w:kern w:val="0"/>
          <w:sz w:val="32"/>
          <w:szCs w:val="32"/>
          <w:shd w:val="clear" w:fill="FFFFFF"/>
          <w:lang w:val="en-US" w:eastAsia="zh-CN" w:bidi="ar"/>
        </w:rPr>
        <w:t>万元，政府采购预算偏离度为</w:t>
      </w:r>
      <w:r>
        <w:rPr>
          <w:rFonts w:hint="default" w:ascii="Times New Roman" w:hAnsi="Times New Roman" w:eastAsia="仿宋_GB2312" w:cs="Times New Roman"/>
          <w:color w:val="000000"/>
          <w:kern w:val="0"/>
          <w:sz w:val="32"/>
          <w:szCs w:val="32"/>
          <w:shd w:val="clear" w:fill="FFFFFF"/>
          <w:lang w:val="en-US" w:eastAsia="zh-CN" w:bidi="ar"/>
        </w:rPr>
        <w:t>116.59%</w:t>
      </w:r>
      <w:r>
        <w:rPr>
          <w:rFonts w:hint="eastAsia" w:ascii="仿宋_GB2312" w:hAnsi="Times New Roman" w:eastAsia="仿宋_GB2312" w:cs="仿宋_GB2312"/>
          <w:color w:val="000000"/>
          <w:kern w:val="0"/>
          <w:sz w:val="32"/>
          <w:szCs w:val="32"/>
          <w:shd w:val="clear" w:fill="FFFFFF"/>
          <w:lang w:val="en-US" w:eastAsia="zh-CN" w:bidi="ar"/>
        </w:rPr>
        <w:t>。</w:t>
      </w:r>
    </w:p>
    <w:p w14:paraId="5CA0CA4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综上，根据评分标准，该项指标扣</w:t>
      </w:r>
      <w:r>
        <w:rPr>
          <w:rFonts w:hint="default" w:ascii="Times New Roman" w:hAnsi="Times New Roman" w:eastAsia="仿宋_GB2312" w:cs="Times New Roman"/>
          <w:color w:val="000000"/>
          <w:kern w:val="0"/>
          <w:sz w:val="32"/>
          <w:szCs w:val="32"/>
          <w:shd w:val="clear" w:fill="FFFFFF"/>
          <w:lang w:val="en-US" w:eastAsia="zh-CN" w:bidi="ar"/>
        </w:rPr>
        <w:t>5.51</w:t>
      </w:r>
      <w:r>
        <w:rPr>
          <w:rFonts w:hint="eastAsia" w:ascii="仿宋_GB2312" w:hAnsi="Times New Roman" w:eastAsia="仿宋_GB2312" w:cs="仿宋_GB2312"/>
          <w:color w:val="000000"/>
          <w:kern w:val="0"/>
          <w:sz w:val="32"/>
          <w:szCs w:val="32"/>
          <w:shd w:val="clear" w:fill="FFFFFF"/>
          <w:lang w:val="en-US" w:eastAsia="zh-CN" w:bidi="ar"/>
        </w:rPr>
        <w:t>分，得</w:t>
      </w:r>
      <w:r>
        <w:rPr>
          <w:rFonts w:hint="default" w:ascii="Times New Roman" w:hAnsi="Times New Roman" w:eastAsia="仿宋_GB2312" w:cs="Times New Roman"/>
          <w:color w:val="000000"/>
          <w:kern w:val="0"/>
          <w:sz w:val="32"/>
          <w:szCs w:val="32"/>
          <w:shd w:val="clear" w:fill="FFFFFF"/>
          <w:lang w:val="en-US" w:eastAsia="zh-CN" w:bidi="ar"/>
        </w:rPr>
        <w:t>2.49</w:t>
      </w:r>
      <w:r>
        <w:rPr>
          <w:rFonts w:hint="eastAsia" w:ascii="仿宋_GB2312" w:hAnsi="Times New Roman" w:eastAsia="仿宋_GB2312" w:cs="仿宋_GB2312"/>
          <w:color w:val="000000"/>
          <w:kern w:val="0"/>
          <w:sz w:val="32"/>
          <w:szCs w:val="32"/>
          <w:shd w:val="clear" w:fill="FFFFFF"/>
          <w:lang w:val="en-US" w:eastAsia="zh-CN" w:bidi="ar"/>
        </w:rPr>
        <w:t>分。</w:t>
      </w:r>
    </w:p>
    <w:p w14:paraId="51FE4A3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）单位收入统筹</w:t>
      </w:r>
    </w:p>
    <w:p w14:paraId="29E6D50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我单位自有收入年初预算数</w:t>
      </w:r>
      <w:r>
        <w:rPr>
          <w:rFonts w:hint="default" w:ascii="Times New Roman" w:hAnsi="Times New Roman" w:eastAsia="仿宋_GB2312" w:cs="Times New Roman"/>
          <w:color w:val="000000"/>
          <w:kern w:val="0"/>
          <w:sz w:val="32"/>
          <w:szCs w:val="32"/>
          <w:shd w:val="clear" w:fill="FFFFFF"/>
          <w:lang w:val="en-US" w:eastAsia="zh-CN" w:bidi="ar"/>
        </w:rPr>
        <w:t>29,320.36</w:t>
      </w:r>
      <w:r>
        <w:rPr>
          <w:rFonts w:hint="eastAsia" w:ascii="仿宋_GB2312" w:hAnsi="Times New Roman" w:eastAsia="仿宋_GB2312" w:cs="仿宋_GB2312"/>
          <w:color w:val="000000"/>
          <w:kern w:val="0"/>
          <w:sz w:val="32"/>
          <w:szCs w:val="32"/>
          <w:shd w:val="clear" w:fill="FFFFFF"/>
          <w:lang w:val="en-US" w:eastAsia="zh-CN" w:bidi="ar"/>
        </w:rPr>
        <w:t>万元，预算执行数</w:t>
      </w:r>
      <w:r>
        <w:rPr>
          <w:rFonts w:hint="default" w:ascii="Times New Roman" w:hAnsi="Times New Roman" w:eastAsia="仿宋_GB2312" w:cs="Times New Roman"/>
          <w:color w:val="000000"/>
          <w:kern w:val="0"/>
          <w:sz w:val="32"/>
          <w:szCs w:val="32"/>
          <w:shd w:val="clear" w:fill="FFFFFF"/>
          <w:lang w:val="en-US" w:eastAsia="zh-CN" w:bidi="ar"/>
        </w:rPr>
        <w:t>28,414.62</w:t>
      </w:r>
      <w:r>
        <w:rPr>
          <w:rFonts w:hint="eastAsia" w:ascii="仿宋_GB2312" w:hAnsi="Times New Roman" w:eastAsia="仿宋_GB2312" w:cs="仿宋_GB2312"/>
          <w:color w:val="000000"/>
          <w:kern w:val="0"/>
          <w:sz w:val="32"/>
          <w:szCs w:val="32"/>
          <w:shd w:val="clear" w:fill="FFFFFF"/>
          <w:lang w:val="en-US" w:eastAsia="zh-CN" w:bidi="ar"/>
        </w:rPr>
        <w:t>万元，执行率</w:t>
      </w:r>
      <w:r>
        <w:rPr>
          <w:rFonts w:hint="default" w:ascii="Times New Roman" w:hAnsi="Times New Roman" w:eastAsia="仿宋_GB2312" w:cs="Times New Roman"/>
          <w:color w:val="000000"/>
          <w:kern w:val="0"/>
          <w:sz w:val="32"/>
          <w:szCs w:val="32"/>
          <w:shd w:val="clear" w:fill="FFFFFF"/>
          <w:lang w:val="en-US" w:eastAsia="zh-CN" w:bidi="ar"/>
        </w:rPr>
        <w:t>96.91%</w:t>
      </w:r>
      <w:r>
        <w:rPr>
          <w:rFonts w:hint="eastAsia" w:ascii="仿宋_GB2312" w:hAnsi="Times New Roman" w:eastAsia="仿宋_GB2312" w:cs="仿宋_GB2312"/>
          <w:color w:val="000000"/>
          <w:kern w:val="0"/>
          <w:sz w:val="32"/>
          <w:szCs w:val="32"/>
          <w:shd w:val="clear" w:fill="FFFFFF"/>
          <w:lang w:val="en-US" w:eastAsia="zh-CN" w:bidi="ar"/>
        </w:rPr>
        <w:t>；但不涉及财政核定的综合补助比例。</w:t>
      </w:r>
    </w:p>
    <w:p w14:paraId="060D2C2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根据评分标准，该项指标扣</w:t>
      </w:r>
      <w:r>
        <w:rPr>
          <w:rFonts w:hint="default" w:ascii="Times New Roman" w:hAnsi="Times New Roman" w:eastAsia="仿宋_GB2312" w:cs="Times New Roman"/>
          <w:color w:val="000000"/>
          <w:kern w:val="0"/>
          <w:sz w:val="32"/>
          <w:szCs w:val="32"/>
          <w:shd w:val="clear" w:fill="FFFFFF"/>
          <w:lang w:val="en-US" w:eastAsia="zh-CN" w:bidi="ar"/>
        </w:rPr>
        <w:t>0.06</w:t>
      </w:r>
      <w:r>
        <w:rPr>
          <w:rFonts w:hint="eastAsia" w:ascii="仿宋_GB2312" w:hAnsi="Times New Roman" w:eastAsia="仿宋_GB2312" w:cs="仿宋_GB2312"/>
          <w:color w:val="000000"/>
          <w:kern w:val="0"/>
          <w:sz w:val="32"/>
          <w:szCs w:val="32"/>
          <w:shd w:val="clear" w:fill="FFFFFF"/>
          <w:lang w:val="en-US" w:eastAsia="zh-CN" w:bidi="ar"/>
        </w:rPr>
        <w:t>分，得</w:t>
      </w:r>
      <w:r>
        <w:rPr>
          <w:rFonts w:hint="default" w:ascii="Times New Roman" w:hAnsi="Times New Roman" w:eastAsia="仿宋_GB2312" w:cs="Times New Roman"/>
          <w:color w:val="000000"/>
          <w:kern w:val="0"/>
          <w:sz w:val="32"/>
          <w:szCs w:val="32"/>
          <w:shd w:val="clear" w:fill="FFFFFF"/>
          <w:lang w:val="en-US" w:eastAsia="zh-CN" w:bidi="ar"/>
        </w:rPr>
        <w:t>3.94</w:t>
      </w:r>
      <w:r>
        <w:rPr>
          <w:rFonts w:hint="eastAsia" w:ascii="仿宋_GB2312" w:hAnsi="Times New Roman" w:eastAsia="仿宋_GB2312" w:cs="仿宋_GB2312"/>
          <w:color w:val="000000"/>
          <w:kern w:val="0"/>
          <w:sz w:val="32"/>
          <w:szCs w:val="32"/>
          <w:shd w:val="clear" w:fill="FFFFFF"/>
          <w:lang w:val="en-US" w:eastAsia="zh-CN" w:bidi="ar"/>
        </w:rPr>
        <w:t>分。</w:t>
      </w:r>
    </w:p>
    <w:p w14:paraId="7070C2D0">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）支出执行管理</w:t>
      </w:r>
    </w:p>
    <w:p w14:paraId="47C3469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年我单位全年预算数为</w:t>
      </w:r>
      <w:r>
        <w:rPr>
          <w:rFonts w:hint="default" w:ascii="Times New Roman" w:hAnsi="Times New Roman" w:eastAsia="仿宋_GB2312" w:cs="Times New Roman"/>
          <w:color w:val="000000"/>
          <w:kern w:val="0"/>
          <w:sz w:val="32"/>
          <w:szCs w:val="32"/>
          <w:shd w:val="clear" w:fill="FFFFFF"/>
          <w:lang w:val="en-US" w:eastAsia="zh-CN" w:bidi="ar"/>
        </w:rPr>
        <w:t>55,430.53</w:t>
      </w:r>
      <w:r>
        <w:rPr>
          <w:rFonts w:hint="eastAsia" w:ascii="仿宋_GB2312" w:hAnsi="Times New Roman" w:eastAsia="仿宋_GB2312" w:cs="仿宋_GB2312"/>
          <w:color w:val="000000"/>
          <w:kern w:val="0"/>
          <w:sz w:val="32"/>
          <w:szCs w:val="32"/>
          <w:shd w:val="clear" w:fill="FFFFFF"/>
          <w:lang w:val="en-US" w:eastAsia="zh-CN" w:bidi="ar"/>
        </w:rPr>
        <w:t>万元，</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至</w:t>
      </w:r>
      <w:r>
        <w:rPr>
          <w:rFonts w:hint="default" w:ascii="Times New Roman" w:hAnsi="Times New Roman" w:eastAsia="仿宋_GB2312" w:cs="Times New Roman"/>
          <w:color w:val="000000"/>
          <w:kern w:val="0"/>
          <w:sz w:val="32"/>
          <w:szCs w:val="32"/>
          <w:shd w:val="clear" w:fill="FFFFFF"/>
          <w:lang w:val="en-US" w:eastAsia="zh-CN" w:bidi="ar"/>
        </w:rPr>
        <w:t>6</w:t>
      </w:r>
      <w:r>
        <w:rPr>
          <w:rFonts w:hint="eastAsia" w:ascii="仿宋_GB2312" w:hAnsi="Times New Roman" w:eastAsia="仿宋_GB2312" w:cs="仿宋_GB2312"/>
          <w:color w:val="000000"/>
          <w:kern w:val="0"/>
          <w:sz w:val="32"/>
          <w:szCs w:val="32"/>
          <w:shd w:val="clear" w:fill="FFFFFF"/>
          <w:lang w:val="en-US" w:eastAsia="zh-CN" w:bidi="ar"/>
        </w:rPr>
        <w:t>月预算执行数为</w:t>
      </w:r>
      <w:r>
        <w:rPr>
          <w:rFonts w:hint="default" w:ascii="Times New Roman" w:hAnsi="Times New Roman" w:eastAsia="仿宋_GB2312" w:cs="Times New Roman"/>
          <w:color w:val="000000"/>
          <w:kern w:val="0"/>
          <w:sz w:val="32"/>
          <w:szCs w:val="32"/>
          <w:shd w:val="clear" w:fill="FFFFFF"/>
          <w:lang w:val="en-US" w:eastAsia="zh-CN" w:bidi="ar"/>
        </w:rPr>
        <w:t>11,679.67</w:t>
      </w:r>
      <w:r>
        <w:rPr>
          <w:rFonts w:hint="eastAsia" w:ascii="仿宋_GB2312" w:hAnsi="Times New Roman" w:eastAsia="仿宋_GB2312" w:cs="仿宋_GB2312"/>
          <w:color w:val="000000"/>
          <w:kern w:val="0"/>
          <w:sz w:val="32"/>
          <w:szCs w:val="32"/>
          <w:shd w:val="clear" w:fill="FFFFFF"/>
          <w:lang w:val="en-US" w:eastAsia="zh-CN" w:bidi="ar"/>
        </w:rPr>
        <w:t>万元，支出预警金额为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万元，支出预警金额占比为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，支出违规金额为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万元，支出违规金额占比为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w:t>
      </w:r>
    </w:p>
    <w:p w14:paraId="5AE1FD7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至</w:t>
      </w:r>
      <w:r>
        <w:rPr>
          <w:rFonts w:hint="default" w:ascii="Times New Roman" w:hAnsi="Times New Roman" w:eastAsia="仿宋_GB2312" w:cs="Times New Roman"/>
          <w:color w:val="000000"/>
          <w:kern w:val="0"/>
          <w:sz w:val="32"/>
          <w:szCs w:val="32"/>
          <w:shd w:val="clear" w:fill="FFFFFF"/>
          <w:lang w:val="en-US" w:eastAsia="zh-CN" w:bidi="ar"/>
        </w:rPr>
        <w:t>10</w:t>
      </w:r>
      <w:r>
        <w:rPr>
          <w:rFonts w:hint="eastAsia" w:ascii="仿宋_GB2312" w:hAnsi="Times New Roman" w:eastAsia="仿宋_GB2312" w:cs="仿宋_GB2312"/>
          <w:color w:val="000000"/>
          <w:kern w:val="0"/>
          <w:sz w:val="32"/>
          <w:szCs w:val="32"/>
          <w:shd w:val="clear" w:fill="FFFFFF"/>
          <w:lang w:val="en-US" w:eastAsia="zh-CN" w:bidi="ar"/>
        </w:rPr>
        <w:t>月预算执行数为</w:t>
      </w:r>
      <w:r>
        <w:rPr>
          <w:rFonts w:hint="default" w:ascii="Times New Roman" w:hAnsi="Times New Roman" w:eastAsia="仿宋_GB2312" w:cs="Times New Roman"/>
          <w:color w:val="000000"/>
          <w:kern w:val="0"/>
          <w:sz w:val="32"/>
          <w:szCs w:val="32"/>
          <w:shd w:val="clear" w:fill="FFFFFF"/>
          <w:lang w:val="en-US" w:eastAsia="zh-CN" w:bidi="ar"/>
        </w:rPr>
        <w:t>19,342.19</w:t>
      </w:r>
      <w:r>
        <w:rPr>
          <w:rFonts w:hint="eastAsia" w:ascii="仿宋_GB2312" w:hAnsi="Times New Roman" w:eastAsia="仿宋_GB2312" w:cs="仿宋_GB2312"/>
          <w:color w:val="000000"/>
          <w:kern w:val="0"/>
          <w:sz w:val="32"/>
          <w:szCs w:val="32"/>
          <w:shd w:val="clear" w:fill="FFFFFF"/>
          <w:lang w:val="en-US" w:eastAsia="zh-CN" w:bidi="ar"/>
        </w:rPr>
        <w:t>万元，支出预警金额为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万元，支出预警金额占比为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，支出违规金额为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万元，支出违规金额占比为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w:t>
      </w:r>
    </w:p>
    <w:p w14:paraId="3EC35B2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综上，根据评分标准，该项指标扣</w:t>
      </w:r>
      <w:r>
        <w:rPr>
          <w:rFonts w:hint="default" w:ascii="Times New Roman" w:hAnsi="Times New Roman" w:eastAsia="仿宋_GB2312" w:cs="Times New Roman"/>
          <w:color w:val="000000"/>
          <w:kern w:val="0"/>
          <w:sz w:val="32"/>
          <w:szCs w:val="32"/>
          <w:shd w:val="clear" w:fill="FFFFFF"/>
          <w:lang w:val="en-US" w:eastAsia="zh-CN" w:bidi="ar"/>
        </w:rPr>
        <w:t>2.32</w:t>
      </w:r>
      <w:r>
        <w:rPr>
          <w:rFonts w:hint="eastAsia" w:ascii="仿宋_GB2312" w:hAnsi="Times New Roman" w:eastAsia="仿宋_GB2312" w:cs="仿宋_GB2312"/>
          <w:color w:val="000000"/>
          <w:kern w:val="0"/>
          <w:sz w:val="32"/>
          <w:szCs w:val="32"/>
          <w:shd w:val="clear" w:fill="FFFFFF"/>
          <w:lang w:val="en-US" w:eastAsia="zh-CN" w:bidi="ar"/>
        </w:rPr>
        <w:t>分，得</w:t>
      </w:r>
      <w:r>
        <w:rPr>
          <w:rFonts w:hint="default" w:ascii="Times New Roman" w:hAnsi="Times New Roman" w:eastAsia="仿宋_GB2312" w:cs="Times New Roman"/>
          <w:color w:val="000000"/>
          <w:kern w:val="0"/>
          <w:sz w:val="32"/>
          <w:szCs w:val="32"/>
          <w:shd w:val="clear" w:fill="FFFFFF"/>
          <w:lang w:val="en-US" w:eastAsia="zh-CN" w:bidi="ar"/>
        </w:rPr>
        <w:t>3.68</w:t>
      </w:r>
      <w:r>
        <w:rPr>
          <w:rFonts w:hint="eastAsia" w:ascii="仿宋_GB2312" w:hAnsi="Times New Roman" w:eastAsia="仿宋_GB2312" w:cs="仿宋_GB2312"/>
          <w:color w:val="000000"/>
          <w:kern w:val="0"/>
          <w:sz w:val="32"/>
          <w:szCs w:val="32"/>
          <w:shd w:val="clear" w:fill="FFFFFF"/>
          <w:lang w:val="en-US" w:eastAsia="zh-CN" w:bidi="ar"/>
        </w:rPr>
        <w:t>分。</w:t>
      </w:r>
    </w:p>
    <w:p w14:paraId="6747B7A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）预算年终结余</w:t>
      </w:r>
    </w:p>
    <w:p w14:paraId="01133AF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年我单位预算注销金额和结转金额</w:t>
      </w:r>
      <w:r>
        <w:rPr>
          <w:rFonts w:hint="default" w:ascii="Times New Roman" w:hAnsi="Times New Roman" w:eastAsia="仿宋_GB2312" w:cs="Times New Roman"/>
          <w:color w:val="000000"/>
          <w:kern w:val="0"/>
          <w:sz w:val="32"/>
          <w:szCs w:val="32"/>
          <w:shd w:val="clear" w:fill="FFFFFF"/>
          <w:lang w:val="en-US" w:eastAsia="zh-CN" w:bidi="ar"/>
        </w:rPr>
        <w:t>1,680.20</w:t>
      </w:r>
      <w:r>
        <w:rPr>
          <w:rFonts w:hint="eastAsia" w:ascii="仿宋_GB2312" w:hAnsi="Times New Roman" w:eastAsia="仿宋_GB2312" w:cs="仿宋_GB2312"/>
          <w:color w:val="000000"/>
          <w:kern w:val="0"/>
          <w:sz w:val="32"/>
          <w:szCs w:val="32"/>
          <w:shd w:val="clear" w:fill="FFFFFF"/>
          <w:lang w:val="en-US" w:eastAsia="zh-CN" w:bidi="ar"/>
        </w:rPr>
        <w:t>万元，全年预算数为</w:t>
      </w:r>
      <w:r>
        <w:rPr>
          <w:rFonts w:hint="default" w:ascii="Times New Roman" w:hAnsi="Times New Roman" w:eastAsia="仿宋_GB2312" w:cs="Times New Roman"/>
          <w:color w:val="000000"/>
          <w:kern w:val="0"/>
          <w:sz w:val="32"/>
          <w:szCs w:val="32"/>
          <w:shd w:val="clear" w:fill="FFFFFF"/>
          <w:lang w:val="en-US" w:eastAsia="zh-CN" w:bidi="ar"/>
        </w:rPr>
        <w:t>55,430.53</w:t>
      </w:r>
      <w:r>
        <w:rPr>
          <w:rFonts w:hint="eastAsia" w:ascii="仿宋_GB2312" w:hAnsi="Times New Roman" w:eastAsia="仿宋_GB2312" w:cs="仿宋_GB2312"/>
          <w:color w:val="000000"/>
          <w:kern w:val="0"/>
          <w:sz w:val="32"/>
          <w:szCs w:val="32"/>
          <w:shd w:val="clear" w:fill="FFFFFF"/>
          <w:lang w:val="en-US" w:eastAsia="zh-CN" w:bidi="ar"/>
        </w:rPr>
        <w:t>万元，预算结余率为</w:t>
      </w:r>
      <w:r>
        <w:rPr>
          <w:rFonts w:hint="default" w:ascii="Times New Roman" w:hAnsi="Times New Roman" w:eastAsia="仿宋_GB2312" w:cs="Times New Roman"/>
          <w:color w:val="000000"/>
          <w:kern w:val="0"/>
          <w:sz w:val="32"/>
          <w:szCs w:val="32"/>
          <w:shd w:val="clear" w:fill="FFFFFF"/>
          <w:lang w:val="en-US" w:eastAsia="zh-CN" w:bidi="ar"/>
        </w:rPr>
        <w:t>3.03%</w:t>
      </w:r>
      <w:r>
        <w:rPr>
          <w:rFonts w:hint="eastAsia" w:ascii="仿宋_GB2312" w:hAnsi="Times New Roman" w:eastAsia="仿宋_GB2312" w:cs="仿宋_GB2312"/>
          <w:color w:val="000000"/>
          <w:kern w:val="0"/>
          <w:sz w:val="32"/>
          <w:szCs w:val="32"/>
          <w:shd w:val="clear" w:fill="FFFFFF"/>
          <w:lang w:val="en-US" w:eastAsia="zh-CN" w:bidi="ar"/>
        </w:rPr>
        <w:t>。</w:t>
      </w:r>
    </w:p>
    <w:p w14:paraId="5A64B69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根据评分标准，该项指标扣</w:t>
      </w:r>
      <w:r>
        <w:rPr>
          <w:rFonts w:hint="default" w:ascii="Times New Roman" w:hAnsi="Times New Roman" w:eastAsia="仿宋_GB2312" w:cs="Times New Roman"/>
          <w:color w:val="000000"/>
          <w:kern w:val="0"/>
          <w:sz w:val="32"/>
          <w:szCs w:val="32"/>
          <w:shd w:val="clear" w:fill="FFFFFF"/>
          <w:lang w:val="en-US" w:eastAsia="zh-CN" w:bidi="ar"/>
        </w:rPr>
        <w:t>0.06</w:t>
      </w:r>
      <w:r>
        <w:rPr>
          <w:rFonts w:hint="eastAsia" w:ascii="仿宋_GB2312" w:hAnsi="Times New Roman" w:eastAsia="仿宋_GB2312" w:cs="仿宋_GB2312"/>
          <w:color w:val="000000"/>
          <w:kern w:val="0"/>
          <w:sz w:val="32"/>
          <w:szCs w:val="32"/>
          <w:shd w:val="clear" w:fill="FFFFFF"/>
          <w:lang w:val="en-US" w:eastAsia="zh-CN" w:bidi="ar"/>
        </w:rPr>
        <w:t>分，得</w:t>
      </w:r>
      <w:r>
        <w:rPr>
          <w:rFonts w:hint="default" w:ascii="Times New Roman" w:hAnsi="Times New Roman" w:eastAsia="仿宋_GB2312" w:cs="Times New Roman"/>
          <w:color w:val="000000"/>
          <w:kern w:val="0"/>
          <w:sz w:val="32"/>
          <w:szCs w:val="32"/>
          <w:shd w:val="clear" w:fill="FFFFFF"/>
          <w:lang w:val="en-US" w:eastAsia="zh-CN" w:bidi="ar"/>
        </w:rPr>
        <w:t>1.94</w:t>
      </w:r>
      <w:r>
        <w:rPr>
          <w:rFonts w:hint="eastAsia" w:ascii="仿宋_GB2312" w:hAnsi="Times New Roman" w:eastAsia="仿宋_GB2312" w:cs="仿宋_GB2312"/>
          <w:color w:val="000000"/>
          <w:kern w:val="0"/>
          <w:sz w:val="32"/>
          <w:szCs w:val="32"/>
          <w:shd w:val="clear" w:fill="FFFFFF"/>
          <w:lang w:val="en-US" w:eastAsia="zh-CN" w:bidi="ar"/>
        </w:rPr>
        <w:t>分。</w:t>
      </w:r>
    </w:p>
    <w:p w14:paraId="15A0B4A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5</w:t>
      </w:r>
      <w:r>
        <w:rPr>
          <w:rFonts w:hint="eastAsia" w:ascii="仿宋_GB2312" w:hAnsi="Times New Roman" w:eastAsia="仿宋_GB2312" w:cs="仿宋_GB2312"/>
          <w:color w:val="000000"/>
          <w:kern w:val="0"/>
          <w:sz w:val="32"/>
          <w:szCs w:val="32"/>
          <w:shd w:val="clear" w:fill="FFFFFF"/>
          <w:lang w:val="en-US" w:eastAsia="zh-CN" w:bidi="ar"/>
        </w:rPr>
        <w:t>）严控一般性支出</w:t>
      </w:r>
    </w:p>
    <w:p w14:paraId="0F3A4CB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b/>
          <w:bCs/>
          <w:color w:val="000000"/>
          <w:kern w:val="60"/>
          <w:sz w:val="28"/>
          <w:szCs w:val="28"/>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三公</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经费、会议、培训、差旅、办节办展、办公设备购置、信息网络及软件购置更新经费、课题经费等</w:t>
      </w:r>
      <w:r>
        <w:rPr>
          <w:rFonts w:hint="default" w:ascii="Times New Roman" w:hAnsi="Times New Roman" w:eastAsia="仿宋_GB2312" w:cs="Times New Roman"/>
          <w:color w:val="000000"/>
          <w:kern w:val="0"/>
          <w:sz w:val="32"/>
          <w:szCs w:val="32"/>
          <w:shd w:val="clear" w:fill="FFFFFF"/>
          <w:lang w:val="en-US" w:eastAsia="zh-CN" w:bidi="ar"/>
        </w:rPr>
        <w:t>8</w:t>
      </w:r>
      <w:r>
        <w:rPr>
          <w:rFonts w:hint="eastAsia" w:ascii="仿宋_GB2312" w:hAnsi="Times New Roman" w:eastAsia="仿宋_GB2312" w:cs="仿宋_GB2312"/>
          <w:color w:val="000000"/>
          <w:kern w:val="0"/>
          <w:sz w:val="32"/>
          <w:szCs w:val="32"/>
          <w:shd w:val="clear" w:fill="FFFFFF"/>
          <w:lang w:val="en-US" w:eastAsia="zh-CN" w:bidi="ar"/>
        </w:rPr>
        <w:t>项一般性支出情况详见下表</w:t>
      </w:r>
      <w:r>
        <w:rPr>
          <w:rFonts w:hint="default" w:ascii="Times New Roman" w:hAnsi="Times New Roman" w:eastAsia="仿宋_GB2312" w:cs="Times New Roman"/>
          <w:color w:val="000000"/>
          <w:kern w:val="0"/>
          <w:sz w:val="32"/>
          <w:szCs w:val="32"/>
          <w:shd w:val="clear" w:fill="FFFFFF"/>
          <w:lang w:val="en-US" w:eastAsia="zh-CN" w:bidi="ar"/>
        </w:rPr>
        <w:t>3-1</w:t>
      </w:r>
      <w:r>
        <w:rPr>
          <w:rFonts w:hint="eastAsia" w:ascii="仿宋_GB2312" w:hAnsi="Times New Roman" w:eastAsia="仿宋_GB2312" w:cs="仿宋_GB2312"/>
          <w:color w:val="000000"/>
          <w:kern w:val="0"/>
          <w:sz w:val="32"/>
          <w:szCs w:val="32"/>
          <w:shd w:val="clear" w:fill="FFFFFF"/>
          <w:lang w:val="en-US" w:eastAsia="zh-CN" w:bidi="ar"/>
        </w:rPr>
        <w:t>。</w:t>
      </w:r>
    </w:p>
    <w:p w14:paraId="746263B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562" w:firstLineChars="200"/>
        <w:contextualSpacing/>
        <w:jc w:val="center"/>
        <w:rPr>
          <w:rFonts w:hint="default" w:ascii="Times New Roman" w:hAnsi="Times New Roman" w:eastAsia="仿宋_GB2312" w:cs="Times New Roman"/>
          <w:b/>
          <w:bCs/>
          <w:color w:val="000000"/>
          <w:kern w:val="60"/>
          <w:sz w:val="28"/>
          <w:szCs w:val="28"/>
          <w:shd w:val="clear" w:fill="FFFFFF"/>
        </w:rPr>
      </w:pPr>
      <w:r>
        <w:rPr>
          <w:rFonts w:hint="eastAsia" w:ascii="仿宋_GB2312" w:hAnsi="Times New Roman" w:eastAsia="仿宋_GB2312" w:cs="仿宋_GB2312"/>
          <w:b/>
          <w:bCs/>
          <w:color w:val="000000"/>
          <w:kern w:val="60"/>
          <w:sz w:val="28"/>
          <w:szCs w:val="28"/>
          <w:shd w:val="clear" w:fill="FFFFFF"/>
          <w:lang w:val="en-US" w:eastAsia="zh-CN" w:bidi="ar"/>
        </w:rPr>
        <w:t>表</w:t>
      </w:r>
      <w:r>
        <w:rPr>
          <w:rFonts w:hint="default" w:ascii="Times New Roman" w:hAnsi="Times New Roman" w:eastAsia="仿宋_GB2312" w:cs="Times New Roman"/>
          <w:b/>
          <w:bCs/>
          <w:color w:val="000000"/>
          <w:kern w:val="60"/>
          <w:sz w:val="28"/>
          <w:szCs w:val="28"/>
          <w:shd w:val="clear" w:fill="FFFFFF"/>
          <w:lang w:val="en-US" w:eastAsia="zh-CN" w:bidi="ar"/>
        </w:rPr>
        <w:t xml:space="preserve">3-1 </w:t>
      </w:r>
      <w:r>
        <w:rPr>
          <w:rFonts w:hint="eastAsia" w:ascii="仿宋_GB2312" w:hAnsi="Times New Roman" w:eastAsia="仿宋_GB2312" w:cs="仿宋_GB2312"/>
          <w:b/>
          <w:bCs/>
          <w:color w:val="000000"/>
          <w:kern w:val="60"/>
          <w:sz w:val="28"/>
          <w:szCs w:val="28"/>
          <w:shd w:val="clear" w:fill="FFFFFF"/>
          <w:lang w:val="en-US" w:eastAsia="zh-CN" w:bidi="ar"/>
        </w:rPr>
        <w:t>一般性支出情况表</w:t>
      </w:r>
    </w:p>
    <w:p w14:paraId="08BF43FB">
      <w:pPr>
        <w:keepNext w:val="0"/>
        <w:keepLines w:val="0"/>
        <w:widowControl w:val="0"/>
        <w:suppressLineNumbers w:val="0"/>
        <w:autoSpaceDE w:val="0"/>
        <w:autoSpaceDN/>
        <w:adjustRightInd w:val="0"/>
        <w:snapToGrid w:val="0"/>
        <w:spacing w:before="0" w:beforeAutospacing="1" w:after="200" w:afterAutospacing="0" w:line="600" w:lineRule="exact"/>
        <w:ind w:left="0" w:right="0" w:firstLine="562" w:firstLineChars="200"/>
        <w:contextualSpacing/>
        <w:jc w:val="right"/>
        <w:rPr>
          <w:rFonts w:hint="default" w:ascii="Times New Roman" w:hAnsi="Times New Roman" w:eastAsia="楷体_GB2312" w:cs="Times New Roman"/>
          <w:color w:val="000000"/>
          <w:kern w:val="60"/>
          <w:sz w:val="32"/>
          <w:szCs w:val="32"/>
          <w:shd w:val="clear" w:fill="FFFFFF"/>
        </w:rPr>
      </w:pPr>
      <w:r>
        <w:rPr>
          <w:rFonts w:hint="eastAsia" w:ascii="仿宋_GB2312" w:hAnsi="Times New Roman" w:eastAsia="仿宋_GB2312" w:cs="仿宋_GB2312"/>
          <w:b/>
          <w:bCs/>
          <w:color w:val="000000"/>
          <w:kern w:val="60"/>
          <w:sz w:val="28"/>
          <w:szCs w:val="28"/>
          <w:shd w:val="clear" w:fill="FFFFFF"/>
          <w:lang w:val="en-US" w:eastAsia="zh-CN" w:bidi="ar"/>
        </w:rPr>
        <w:t>单位：万元</w:t>
      </w:r>
    </w:p>
    <w:tbl>
      <w:tblPr>
        <w:tblStyle w:val="41"/>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12"/>
        <w:gridCol w:w="1515"/>
        <w:gridCol w:w="1428"/>
        <w:gridCol w:w="1476"/>
        <w:gridCol w:w="1068"/>
        <w:gridCol w:w="1392"/>
        <w:gridCol w:w="1344"/>
        <w:gridCol w:w="1208"/>
      </w:tblGrid>
      <w:tr w14:paraId="619CB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12" w:type="dxa"/>
            <w:vMerge w:val="restart"/>
            <w:tcBorders>
              <w:top w:val="single" w:color="auto" w:sz="4" w:space="0"/>
              <w:left w:val="single" w:color="auto" w:sz="4" w:space="0"/>
              <w:bottom w:val="single" w:color="auto" w:sz="4" w:space="0"/>
              <w:right w:val="single" w:color="auto" w:sz="4" w:space="0"/>
            </w:tcBorders>
            <w:shd w:val="clear" w:color="auto" w:fill="D7D7D7"/>
            <w:vAlign w:val="center"/>
          </w:tcPr>
          <w:p w14:paraId="24F2D8FF">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eastAsia" w:ascii="仿宋_GB2312" w:hAnsi="Times New Roman" w:eastAsia="仿宋_GB2312" w:cs="仿宋_GB2312"/>
                <w:b/>
                <w:bCs w:val="0"/>
                <w:color w:val="000000"/>
                <w:kern w:val="60"/>
                <w:sz w:val="24"/>
                <w:szCs w:val="24"/>
                <w:shd w:val="clear" w:fill="FFFFFF"/>
                <w:lang w:val="en-US" w:eastAsia="zh-CN" w:bidi="ar"/>
              </w:rPr>
              <w:t>序号</w:t>
            </w:r>
          </w:p>
        </w:tc>
        <w:tc>
          <w:tcPr>
            <w:tcW w:w="1515" w:type="dxa"/>
            <w:vMerge w:val="restart"/>
            <w:tcBorders>
              <w:top w:val="single" w:color="auto" w:sz="4" w:space="0"/>
              <w:left w:val="single" w:color="auto" w:sz="4" w:space="0"/>
              <w:bottom w:val="single" w:color="auto" w:sz="4" w:space="0"/>
              <w:right w:val="single" w:color="auto" w:sz="4" w:space="0"/>
            </w:tcBorders>
            <w:shd w:val="clear" w:color="auto" w:fill="D7D7D7"/>
            <w:vAlign w:val="center"/>
          </w:tcPr>
          <w:p w14:paraId="300E4103">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eastAsia" w:ascii="仿宋_GB2312" w:hAnsi="Times New Roman" w:eastAsia="仿宋_GB2312" w:cs="仿宋_GB2312"/>
                <w:b/>
                <w:bCs w:val="0"/>
                <w:color w:val="000000"/>
                <w:kern w:val="60"/>
                <w:sz w:val="24"/>
                <w:szCs w:val="24"/>
                <w:shd w:val="clear" w:fill="FFFFFF"/>
                <w:lang w:val="en-US" w:eastAsia="zh-CN" w:bidi="ar"/>
              </w:rPr>
              <w:t>项目名称</w:t>
            </w:r>
          </w:p>
        </w:tc>
        <w:tc>
          <w:tcPr>
            <w:tcW w:w="1428" w:type="dxa"/>
            <w:tcBorders>
              <w:top w:val="single" w:color="auto" w:sz="4" w:space="0"/>
              <w:left w:val="single" w:color="auto" w:sz="4" w:space="0"/>
              <w:bottom w:val="single" w:color="auto" w:sz="4" w:space="0"/>
              <w:right w:val="single" w:color="auto" w:sz="4" w:space="0"/>
            </w:tcBorders>
            <w:shd w:val="clear" w:color="auto" w:fill="D7D7D7"/>
            <w:vAlign w:val="center"/>
          </w:tcPr>
          <w:p w14:paraId="51A101E2">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2024</w:t>
            </w:r>
            <w:r>
              <w:rPr>
                <w:rFonts w:hint="eastAsia" w:ascii="仿宋_GB2312" w:hAnsi="Times New Roman" w:eastAsia="仿宋_GB2312" w:cs="仿宋_GB2312"/>
                <w:b/>
                <w:bCs w:val="0"/>
                <w:color w:val="000000"/>
                <w:kern w:val="60"/>
                <w:sz w:val="24"/>
                <w:szCs w:val="24"/>
                <w:shd w:val="clear" w:fill="FFFFFF"/>
                <w:lang w:val="en-US" w:eastAsia="zh-CN" w:bidi="ar"/>
              </w:rPr>
              <w:t>年</w:t>
            </w:r>
          </w:p>
        </w:tc>
        <w:tc>
          <w:tcPr>
            <w:tcW w:w="1476" w:type="dxa"/>
            <w:tcBorders>
              <w:top w:val="single" w:color="auto" w:sz="4" w:space="0"/>
              <w:left w:val="single" w:color="auto" w:sz="4" w:space="0"/>
              <w:bottom w:val="single" w:color="auto" w:sz="4" w:space="0"/>
              <w:right w:val="single" w:color="auto" w:sz="4" w:space="0"/>
            </w:tcBorders>
            <w:shd w:val="clear" w:color="auto" w:fill="D7D7D7"/>
            <w:vAlign w:val="center"/>
          </w:tcPr>
          <w:p w14:paraId="3BE8E02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2025</w:t>
            </w:r>
            <w:r>
              <w:rPr>
                <w:rFonts w:hint="eastAsia" w:ascii="仿宋_GB2312" w:hAnsi="Times New Roman" w:eastAsia="仿宋_GB2312" w:cs="仿宋_GB2312"/>
                <w:b/>
                <w:bCs w:val="0"/>
                <w:color w:val="000000"/>
                <w:kern w:val="60"/>
                <w:sz w:val="24"/>
                <w:szCs w:val="24"/>
                <w:shd w:val="clear" w:fill="FFFFFF"/>
                <w:lang w:val="en-US" w:eastAsia="zh-CN" w:bidi="ar"/>
              </w:rPr>
              <w:t>年</w:t>
            </w:r>
          </w:p>
        </w:tc>
        <w:tc>
          <w:tcPr>
            <w:tcW w:w="1068" w:type="dxa"/>
            <w:vMerge w:val="restart"/>
            <w:tcBorders>
              <w:top w:val="single" w:color="auto" w:sz="4" w:space="0"/>
              <w:left w:val="single" w:color="auto" w:sz="4" w:space="0"/>
              <w:bottom w:val="single" w:color="auto" w:sz="4" w:space="0"/>
              <w:right w:val="single" w:color="auto" w:sz="4" w:space="0"/>
            </w:tcBorders>
            <w:shd w:val="clear" w:color="auto" w:fill="D7D7D7"/>
            <w:vAlign w:val="center"/>
          </w:tcPr>
          <w:p w14:paraId="14E0D5BD">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eastAsia" w:ascii="仿宋_GB2312" w:hAnsi="Times New Roman" w:eastAsia="仿宋_GB2312" w:cs="仿宋_GB2312"/>
                <w:b/>
                <w:bCs w:val="0"/>
                <w:color w:val="000000"/>
                <w:kern w:val="60"/>
                <w:sz w:val="24"/>
                <w:szCs w:val="24"/>
                <w:shd w:val="clear" w:fill="FFFFFF"/>
                <w:lang w:val="en-US" w:eastAsia="zh-CN" w:bidi="ar"/>
              </w:rPr>
              <w:t>变动情况</w:t>
            </w:r>
          </w:p>
        </w:tc>
        <w:tc>
          <w:tcPr>
            <w:tcW w:w="1392" w:type="dxa"/>
            <w:tcBorders>
              <w:top w:val="single" w:color="auto" w:sz="4" w:space="0"/>
              <w:left w:val="single" w:color="auto" w:sz="4" w:space="0"/>
              <w:bottom w:val="single" w:color="auto" w:sz="4" w:space="0"/>
              <w:right w:val="single" w:color="auto" w:sz="4" w:space="0"/>
            </w:tcBorders>
            <w:shd w:val="clear" w:color="auto" w:fill="D7D7D7"/>
            <w:vAlign w:val="center"/>
          </w:tcPr>
          <w:p w14:paraId="1018E638">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2024</w:t>
            </w:r>
            <w:r>
              <w:rPr>
                <w:rFonts w:hint="eastAsia" w:ascii="仿宋_GB2312" w:hAnsi="Times New Roman" w:eastAsia="仿宋_GB2312" w:cs="仿宋_GB2312"/>
                <w:b/>
                <w:bCs w:val="0"/>
                <w:color w:val="000000"/>
                <w:kern w:val="60"/>
                <w:sz w:val="24"/>
                <w:szCs w:val="24"/>
                <w:shd w:val="clear" w:fill="FFFFFF"/>
                <w:lang w:val="en-US" w:eastAsia="zh-CN" w:bidi="ar"/>
              </w:rPr>
              <w:t>年</w:t>
            </w:r>
          </w:p>
        </w:tc>
        <w:tc>
          <w:tcPr>
            <w:tcW w:w="1344" w:type="dxa"/>
            <w:tcBorders>
              <w:top w:val="single" w:color="auto" w:sz="4" w:space="0"/>
              <w:left w:val="single" w:color="auto" w:sz="4" w:space="0"/>
              <w:bottom w:val="single" w:color="auto" w:sz="4" w:space="0"/>
              <w:right w:val="single" w:color="auto" w:sz="4" w:space="0"/>
            </w:tcBorders>
            <w:shd w:val="clear" w:color="auto" w:fill="D7D7D7"/>
            <w:vAlign w:val="center"/>
          </w:tcPr>
          <w:p w14:paraId="40D5D861">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default" w:ascii="Times New Roman" w:hAnsi="Times New Roman" w:eastAsia="仿宋_GB2312" w:cs="Times New Roman"/>
                <w:b/>
                <w:bCs w:val="0"/>
                <w:color w:val="000000"/>
                <w:kern w:val="60"/>
                <w:sz w:val="24"/>
                <w:szCs w:val="24"/>
                <w:shd w:val="clear" w:fill="FFFFFF"/>
                <w:lang w:val="en-US" w:eastAsia="zh-CN" w:bidi="ar"/>
              </w:rPr>
              <w:t>2025</w:t>
            </w:r>
            <w:r>
              <w:rPr>
                <w:rFonts w:hint="eastAsia" w:ascii="仿宋_GB2312" w:hAnsi="Times New Roman" w:eastAsia="仿宋_GB2312" w:cs="仿宋_GB2312"/>
                <w:b/>
                <w:bCs w:val="0"/>
                <w:color w:val="000000"/>
                <w:kern w:val="60"/>
                <w:sz w:val="24"/>
                <w:szCs w:val="24"/>
                <w:shd w:val="clear" w:fill="FFFFFF"/>
                <w:lang w:val="en-US" w:eastAsia="zh-CN" w:bidi="ar"/>
              </w:rPr>
              <w:t>年</w:t>
            </w:r>
          </w:p>
        </w:tc>
        <w:tc>
          <w:tcPr>
            <w:tcW w:w="1208" w:type="dxa"/>
            <w:vMerge w:val="restart"/>
            <w:tcBorders>
              <w:top w:val="single" w:color="auto" w:sz="4" w:space="0"/>
              <w:left w:val="single" w:color="auto" w:sz="4" w:space="0"/>
              <w:bottom w:val="single" w:color="auto" w:sz="4" w:space="0"/>
              <w:right w:val="single" w:color="auto" w:sz="4" w:space="0"/>
            </w:tcBorders>
            <w:shd w:val="clear" w:color="auto" w:fill="D7D7D7"/>
            <w:vAlign w:val="center"/>
          </w:tcPr>
          <w:p w14:paraId="2E23D3CD">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eastAsia" w:ascii="仿宋_GB2312" w:hAnsi="Times New Roman" w:eastAsia="仿宋_GB2312" w:cs="仿宋_GB2312"/>
                <w:b/>
                <w:bCs w:val="0"/>
                <w:color w:val="000000"/>
                <w:kern w:val="60"/>
                <w:sz w:val="24"/>
                <w:szCs w:val="24"/>
                <w:shd w:val="clear" w:fill="FFFFFF"/>
                <w:lang w:val="en-US" w:eastAsia="zh-CN" w:bidi="ar"/>
              </w:rPr>
              <w:t>变动情况</w:t>
            </w:r>
          </w:p>
        </w:tc>
      </w:tr>
      <w:tr w14:paraId="2FBC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5D7309C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77CB941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428" w:type="dxa"/>
            <w:tcBorders>
              <w:top w:val="single" w:color="auto" w:sz="4" w:space="0"/>
              <w:left w:val="single" w:color="auto" w:sz="4" w:space="0"/>
              <w:bottom w:val="single" w:color="auto" w:sz="4" w:space="0"/>
              <w:right w:val="single" w:color="auto" w:sz="4" w:space="0"/>
            </w:tcBorders>
            <w:shd w:val="clear" w:color="auto" w:fill="D7D7D7"/>
            <w:vAlign w:val="center"/>
          </w:tcPr>
          <w:p w14:paraId="22FB7682">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eastAsia" w:ascii="仿宋_GB2312" w:hAnsi="Times New Roman" w:eastAsia="仿宋_GB2312" w:cs="仿宋_GB2312"/>
                <w:b/>
                <w:bCs w:val="0"/>
                <w:color w:val="000000"/>
                <w:kern w:val="60"/>
                <w:sz w:val="24"/>
                <w:szCs w:val="24"/>
                <w:shd w:val="clear" w:fill="FFFFFF"/>
                <w:lang w:val="en-US" w:eastAsia="zh-CN" w:bidi="ar"/>
              </w:rPr>
              <w:t>财政拨款年初预算数</w:t>
            </w:r>
          </w:p>
        </w:tc>
        <w:tc>
          <w:tcPr>
            <w:tcW w:w="1476" w:type="dxa"/>
            <w:tcBorders>
              <w:top w:val="single" w:color="auto" w:sz="4" w:space="0"/>
              <w:left w:val="single" w:color="auto" w:sz="4" w:space="0"/>
              <w:bottom w:val="single" w:color="auto" w:sz="4" w:space="0"/>
              <w:right w:val="single" w:color="auto" w:sz="4" w:space="0"/>
            </w:tcBorders>
            <w:shd w:val="clear" w:color="auto" w:fill="D7D7D7"/>
            <w:vAlign w:val="center"/>
          </w:tcPr>
          <w:p w14:paraId="4D024E08">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eastAsia" w:ascii="仿宋_GB2312" w:hAnsi="Times New Roman" w:eastAsia="仿宋_GB2312" w:cs="仿宋_GB2312"/>
                <w:b/>
                <w:bCs w:val="0"/>
                <w:color w:val="000000"/>
                <w:kern w:val="60"/>
                <w:sz w:val="24"/>
                <w:szCs w:val="24"/>
                <w:shd w:val="clear" w:fill="FFFFFF"/>
                <w:lang w:val="en-US" w:eastAsia="zh-CN" w:bidi="ar"/>
              </w:rPr>
              <w:t>财政拨款年初预算数</w:t>
            </w:r>
          </w:p>
        </w:tc>
        <w:tc>
          <w:tcPr>
            <w:tcW w:w="1068"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6C82CBF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392" w:type="dxa"/>
            <w:tcBorders>
              <w:top w:val="single" w:color="auto" w:sz="4" w:space="0"/>
              <w:left w:val="single" w:color="auto" w:sz="4" w:space="0"/>
              <w:bottom w:val="single" w:color="auto" w:sz="4" w:space="0"/>
              <w:right w:val="single" w:color="auto" w:sz="4" w:space="0"/>
            </w:tcBorders>
            <w:shd w:val="clear" w:color="auto" w:fill="D7D7D7"/>
            <w:vAlign w:val="center"/>
          </w:tcPr>
          <w:p w14:paraId="79AA1E07">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eastAsia" w:ascii="仿宋_GB2312" w:hAnsi="Times New Roman" w:eastAsia="仿宋_GB2312" w:cs="仿宋_GB2312"/>
                <w:b/>
                <w:bCs w:val="0"/>
                <w:color w:val="000000"/>
                <w:kern w:val="60"/>
                <w:sz w:val="24"/>
                <w:szCs w:val="24"/>
                <w:shd w:val="clear" w:fill="FFFFFF"/>
                <w:lang w:val="en-US" w:eastAsia="zh-CN" w:bidi="ar"/>
              </w:rPr>
              <w:t>财政拨款预算执行数</w:t>
            </w:r>
          </w:p>
        </w:tc>
        <w:tc>
          <w:tcPr>
            <w:tcW w:w="1344" w:type="dxa"/>
            <w:tcBorders>
              <w:top w:val="single" w:color="auto" w:sz="4" w:space="0"/>
              <w:left w:val="single" w:color="auto" w:sz="4" w:space="0"/>
              <w:bottom w:val="single" w:color="auto" w:sz="4" w:space="0"/>
              <w:right w:val="single" w:color="auto" w:sz="4" w:space="0"/>
            </w:tcBorders>
            <w:shd w:val="clear" w:color="auto" w:fill="D7D7D7"/>
            <w:vAlign w:val="center"/>
          </w:tcPr>
          <w:p w14:paraId="0578257C">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b/>
                <w:bCs w:val="0"/>
                <w:color w:val="000000"/>
                <w:kern w:val="60"/>
                <w:sz w:val="24"/>
                <w:szCs w:val="24"/>
                <w:shd w:val="clear" w:fill="FFFFFF"/>
              </w:rPr>
            </w:pPr>
            <w:r>
              <w:rPr>
                <w:rFonts w:hint="eastAsia" w:ascii="仿宋_GB2312" w:hAnsi="Times New Roman" w:eastAsia="仿宋_GB2312" w:cs="仿宋_GB2312"/>
                <w:b/>
                <w:bCs w:val="0"/>
                <w:color w:val="000000"/>
                <w:kern w:val="60"/>
                <w:sz w:val="24"/>
                <w:szCs w:val="24"/>
                <w:shd w:val="clear" w:fill="FFFFFF"/>
                <w:lang w:val="en-US" w:eastAsia="zh-CN" w:bidi="ar"/>
              </w:rPr>
              <w:t>财政拨款预算执行数</w:t>
            </w:r>
          </w:p>
        </w:tc>
        <w:tc>
          <w:tcPr>
            <w:tcW w:w="1208"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07511FF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r>
      <w:tr w14:paraId="301A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76AE201D">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46E6E407">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w:t>
            </w:r>
            <w:r>
              <w:rPr>
                <w:rFonts w:hint="eastAsia" w:ascii="仿宋_GB2312" w:hAnsi="Times New Roman" w:eastAsia="仿宋_GB2312" w:cs="仿宋_GB2312"/>
                <w:color w:val="000000"/>
                <w:kern w:val="60"/>
                <w:sz w:val="24"/>
                <w:szCs w:val="24"/>
                <w:shd w:val="clear" w:fill="FFFFFF"/>
                <w:lang w:val="en-US" w:eastAsia="zh-CN" w:bidi="ar"/>
              </w:rPr>
              <w:t>三公</w:t>
            </w:r>
            <w:r>
              <w:rPr>
                <w:rFonts w:hint="default" w:ascii="Times New Roman" w:hAnsi="Times New Roman" w:eastAsia="仿宋_GB2312" w:cs="Times New Roman"/>
                <w:color w:val="000000"/>
                <w:kern w:val="60"/>
                <w:sz w:val="24"/>
                <w:szCs w:val="24"/>
                <w:shd w:val="clear" w:fill="FFFFFF"/>
                <w:lang w:val="en-US" w:eastAsia="zh-CN" w:bidi="ar"/>
              </w:rPr>
              <w:t>”</w:t>
            </w:r>
            <w:r>
              <w:rPr>
                <w:rFonts w:hint="eastAsia" w:ascii="仿宋_GB2312" w:hAnsi="Times New Roman" w:eastAsia="仿宋_GB2312" w:cs="仿宋_GB2312"/>
                <w:color w:val="000000"/>
                <w:kern w:val="60"/>
                <w:sz w:val="24"/>
                <w:szCs w:val="24"/>
                <w:shd w:val="clear" w:fill="FFFFFF"/>
                <w:lang w:val="en-US" w:eastAsia="zh-CN" w:bidi="ar"/>
              </w:rPr>
              <w:t>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7BB4B925">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313.53</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A34B837">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368.86</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252301DE">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增加</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539009EE">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207.71</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7F6C26C1">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253.05</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0047E135">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增加</w:t>
            </w:r>
          </w:p>
        </w:tc>
      </w:tr>
      <w:tr w14:paraId="4F21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262EA6E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46D9B252">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会议经费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28C26965">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30.00</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E13A1A4">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AEC1C73">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减少</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22CF155B">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42.65</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29AE70A2">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2.21</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19925C07">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减少</w:t>
            </w:r>
          </w:p>
        </w:tc>
      </w:tr>
      <w:tr w14:paraId="14B9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5ED2B16B">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0BBB6FB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培训经费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78CDF423">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263.63</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681BB6C6">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240.72</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291AF13B">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减少</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7958CDB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399.52</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2A81D48F">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406.02</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4E44142">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增加</w:t>
            </w:r>
          </w:p>
        </w:tc>
      </w:tr>
      <w:tr w14:paraId="0211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7D0B6FAE">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409A350E">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差旅经费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423E8288">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442.22</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687A4D7">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457.26</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1EB232C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增加</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615DE37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502.04</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0BF2A938">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474.37</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3EAE7B5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减少</w:t>
            </w:r>
          </w:p>
        </w:tc>
      </w:tr>
      <w:tr w14:paraId="4727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07F4E01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5</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4A2B4E7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办节办展</w:t>
            </w:r>
          </w:p>
          <w:p w14:paraId="2791C59F">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2894DB5B">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D85675C">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5361803D">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持平</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20F6543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077B7675">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A6E4E0D">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持平</w:t>
            </w:r>
          </w:p>
        </w:tc>
      </w:tr>
      <w:tr w14:paraId="7BAC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1D57003C">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6</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6AD216F5">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办公设备</w:t>
            </w:r>
          </w:p>
          <w:p w14:paraId="0D33A96D">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购置经费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7FA0C5D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22.38</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5F584DE">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5.50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2B6475F3">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减少</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14FC49E8">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48.86</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1935F13A">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12.84</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3CC168F1">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减少</w:t>
            </w:r>
          </w:p>
        </w:tc>
      </w:tr>
      <w:tr w14:paraId="719F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04C8A4E9">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7</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1946E721">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信息网络及软件购置更新经费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758A26D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73BE213B">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183D35E">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持平</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2B0B1B43">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756.03</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1F63EFA1">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271.34</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1D17362">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减少</w:t>
            </w:r>
          </w:p>
        </w:tc>
      </w:tr>
      <w:tr w14:paraId="5771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050E1C04">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8</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65F0221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课题经费</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3BC2C9A6">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E07BDBA">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7CD2C671">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持平</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567B7663">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66A73731">
            <w:pPr>
              <w:keepNext w:val="0"/>
              <w:keepLines w:val="0"/>
              <w:widowControl w:val="0"/>
              <w:suppressLineNumbers w:val="0"/>
              <w:autoSpaceDE w:val="0"/>
              <w:autoSpaceDN/>
              <w:adjustRightInd w:val="0"/>
              <w:snapToGrid w:val="0"/>
              <w:spacing w:before="0" w:beforeAutospacing="1" w:after="200" w:afterAutospacing="0" w:line="273" w:lineRule="auto"/>
              <w:ind w:left="0" w:right="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0.00</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3092D201">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持平</w:t>
            </w:r>
          </w:p>
        </w:tc>
      </w:tr>
      <w:tr w14:paraId="64A6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0C13C1">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rightChars="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合计</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3C0DFADD">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1,071.76</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50D6F90">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1,072.34</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086949FE">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增加</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24E3C0FD">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1,956.81</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4BA91F5A">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default" w:ascii="Times New Roman" w:hAnsi="Times New Roman" w:eastAsia="仿宋_GB2312" w:cs="Times New Roman"/>
                <w:color w:val="000000"/>
                <w:kern w:val="60"/>
                <w:sz w:val="24"/>
                <w:szCs w:val="24"/>
                <w:shd w:val="clear" w:fill="FFFFFF"/>
                <w:lang w:val="en-US" w:eastAsia="zh-CN" w:bidi="ar"/>
              </w:rPr>
              <w:t>1,419.83</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5B9E75CC">
            <w:pPr>
              <w:keepNext w:val="0"/>
              <w:keepLines w:val="0"/>
              <w:widowControl w:val="0"/>
              <w:suppressLineNumbers w:val="0"/>
              <w:autoSpaceDE w:val="0"/>
              <w:autoSpaceDN/>
              <w:adjustRightInd w:val="0"/>
              <w:snapToGrid w:val="0"/>
              <w:spacing w:before="0" w:beforeAutospacing="1" w:after="200" w:afterAutospacing="0" w:line="273" w:lineRule="auto"/>
              <w:ind w:left="0" w:leftChars="0" w:right="0" w:firstLine="0" w:firstLineChars="0"/>
              <w:contextualSpacing w:val="0"/>
              <w:jc w:val="center"/>
              <w:rPr>
                <w:rFonts w:hint="default" w:ascii="Times New Roman" w:hAnsi="Times New Roman" w:eastAsia="仿宋_GB2312" w:cs="Times New Roman"/>
                <w:color w:val="000000"/>
                <w:kern w:val="60"/>
                <w:sz w:val="24"/>
                <w:szCs w:val="24"/>
                <w:shd w:val="clear" w:fill="FFFFFF"/>
              </w:rPr>
            </w:pPr>
            <w:r>
              <w:rPr>
                <w:rFonts w:hint="eastAsia" w:ascii="仿宋_GB2312" w:hAnsi="Times New Roman" w:eastAsia="仿宋_GB2312" w:cs="仿宋_GB2312"/>
                <w:color w:val="000000"/>
                <w:kern w:val="60"/>
                <w:sz w:val="24"/>
                <w:szCs w:val="24"/>
                <w:shd w:val="clear" w:fill="FFFFFF"/>
                <w:lang w:val="en-US" w:eastAsia="zh-CN" w:bidi="ar"/>
              </w:rPr>
              <w:t>减少</w:t>
            </w:r>
          </w:p>
        </w:tc>
      </w:tr>
    </w:tbl>
    <w:p w14:paraId="637FE0E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kern w:val="60"/>
          <w:sz w:val="32"/>
          <w:szCs w:val="32"/>
          <w:lang w:val="en-US" w:eastAsia="zh-CN" w:bidi="ar"/>
        </w:rPr>
        <w:t>我单位</w:t>
      </w:r>
      <w:r>
        <w:rPr>
          <w:rFonts w:hint="default" w:ascii="Times New Roman" w:hAnsi="Times New Roman" w:eastAsia="仿宋_GB2312" w:cs="Times New Roman"/>
          <w:kern w:val="60"/>
          <w:sz w:val="32"/>
          <w:szCs w:val="32"/>
          <w:lang w:val="en-US" w:eastAsia="zh-CN" w:bidi="ar"/>
        </w:rPr>
        <w:t>2025</w:t>
      </w:r>
      <w:r>
        <w:rPr>
          <w:rFonts w:hint="eastAsia" w:ascii="仿宋_GB2312" w:hAnsi="Times New Roman" w:eastAsia="仿宋_GB2312" w:cs="仿宋_GB2312"/>
          <w:kern w:val="60"/>
          <w:sz w:val="32"/>
          <w:szCs w:val="32"/>
          <w:lang w:val="en-US" w:eastAsia="zh-CN" w:bidi="ar"/>
        </w:rPr>
        <w:t>年一般性支出财政拨款年初预算较</w:t>
      </w:r>
      <w:r>
        <w:rPr>
          <w:rFonts w:hint="default" w:ascii="Times New Roman" w:hAnsi="Times New Roman" w:eastAsia="仿宋_GB2312" w:cs="Times New Roman"/>
          <w:kern w:val="60"/>
          <w:sz w:val="32"/>
          <w:szCs w:val="32"/>
          <w:lang w:val="en-US" w:eastAsia="zh-CN" w:bidi="ar"/>
        </w:rPr>
        <w:t>2024</w:t>
      </w:r>
      <w:r>
        <w:rPr>
          <w:rFonts w:hint="eastAsia" w:ascii="仿宋_GB2312" w:hAnsi="Times New Roman" w:eastAsia="仿宋_GB2312" w:cs="仿宋_GB2312"/>
          <w:kern w:val="60"/>
          <w:sz w:val="32"/>
          <w:szCs w:val="32"/>
          <w:lang w:val="en-US" w:eastAsia="zh-CN" w:bidi="ar"/>
        </w:rPr>
        <w:t>年一般性支出财政拨款年初预算未实现压减；</w:t>
      </w:r>
      <w:r>
        <w:rPr>
          <w:rFonts w:hint="default" w:ascii="Times New Roman" w:hAnsi="Times New Roman" w:eastAsia="仿宋_GB2312" w:cs="Times New Roman"/>
          <w:kern w:val="60"/>
          <w:sz w:val="32"/>
          <w:szCs w:val="32"/>
          <w:lang w:val="en-US" w:eastAsia="zh-CN" w:bidi="ar"/>
        </w:rPr>
        <w:t>2025</w:t>
      </w:r>
      <w:r>
        <w:rPr>
          <w:rFonts w:hint="eastAsia" w:ascii="仿宋_GB2312" w:hAnsi="Times New Roman" w:eastAsia="仿宋_GB2312" w:cs="仿宋_GB2312"/>
          <w:kern w:val="60"/>
          <w:sz w:val="32"/>
          <w:szCs w:val="32"/>
          <w:lang w:val="en-US" w:eastAsia="zh-CN" w:bidi="ar"/>
        </w:rPr>
        <w:t>年一般性支出财政拨款预算执行较</w:t>
      </w:r>
      <w:r>
        <w:rPr>
          <w:rFonts w:hint="default" w:ascii="Times New Roman" w:hAnsi="Times New Roman" w:eastAsia="仿宋_GB2312" w:cs="Times New Roman"/>
          <w:kern w:val="60"/>
          <w:sz w:val="32"/>
          <w:szCs w:val="32"/>
          <w:lang w:val="en-US" w:eastAsia="zh-CN" w:bidi="ar"/>
        </w:rPr>
        <w:t>2024</w:t>
      </w:r>
      <w:r>
        <w:rPr>
          <w:rFonts w:hint="eastAsia" w:ascii="仿宋_GB2312" w:hAnsi="Times New Roman" w:eastAsia="仿宋_GB2312" w:cs="仿宋_GB2312"/>
          <w:kern w:val="60"/>
          <w:sz w:val="32"/>
          <w:szCs w:val="32"/>
          <w:lang w:val="en-US" w:eastAsia="zh-CN" w:bidi="ar"/>
        </w:rPr>
        <w:t>年一般性支出财政拨款预算执行实现压减，压减率</w:t>
      </w:r>
      <w:r>
        <w:rPr>
          <w:rFonts w:hint="default" w:ascii="Times New Roman" w:hAnsi="Times New Roman" w:eastAsia="仿宋_GB2312" w:cs="Times New Roman"/>
          <w:kern w:val="60"/>
          <w:sz w:val="32"/>
          <w:szCs w:val="32"/>
          <w:lang w:val="en-US" w:eastAsia="zh-CN" w:bidi="ar"/>
        </w:rPr>
        <w:t>27.44%</w:t>
      </w:r>
      <w:r>
        <w:rPr>
          <w:rFonts w:hint="eastAsia" w:ascii="仿宋_GB2312" w:hAnsi="Times New Roman" w:eastAsia="仿宋_GB2312" w:cs="仿宋_GB2312"/>
          <w:kern w:val="60"/>
          <w:sz w:val="32"/>
          <w:szCs w:val="32"/>
          <w:lang w:val="en-US" w:eastAsia="zh-CN" w:bidi="ar"/>
        </w:rPr>
        <w:t>。</w:t>
      </w:r>
    </w:p>
    <w:p w14:paraId="78588FBA">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综上，根据评分标准，该项指标扣</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分，得</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分。</w:t>
      </w:r>
    </w:p>
    <w:p w14:paraId="5414D05A">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3.</w:t>
      </w:r>
      <w:r>
        <w:rPr>
          <w:rFonts w:hint="eastAsia" w:ascii="楷体_GB2312" w:hAnsi="Times New Roman" w:eastAsia="楷体_GB2312" w:cs="楷体_GB2312"/>
          <w:color w:val="000000"/>
          <w:kern w:val="0"/>
          <w:sz w:val="32"/>
          <w:szCs w:val="32"/>
          <w:shd w:val="clear" w:fill="FFFFFF"/>
          <w:lang w:val="en-US" w:eastAsia="zh-CN" w:bidi="ar"/>
        </w:rPr>
        <w:t>财务管理</w:t>
      </w:r>
    </w:p>
    <w:p w14:paraId="77755063">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）财务管理制度</w:t>
      </w:r>
    </w:p>
    <w:p w14:paraId="631D800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kern w:val="60"/>
          <w:sz w:val="32"/>
          <w:szCs w:val="32"/>
          <w:lang w:val="en-US" w:eastAsia="zh-CN" w:bidi="ar"/>
        </w:rPr>
        <w:t>我单位为进一步规范机关财务运行，加强财务管理，提高财务经费使用效益，根据财政部《行政单位财务规则》及相关财经法规制度，结合我单位实际，制订了</w:t>
      </w:r>
      <w:r>
        <w:rPr>
          <w:rFonts w:hint="eastAsia" w:ascii="仿宋_GB2312" w:hAnsi="Times New Roman" w:eastAsia="仿宋_GB2312" w:cs="仿宋_GB2312"/>
          <w:kern w:val="0"/>
          <w:sz w:val="32"/>
          <w:szCs w:val="32"/>
          <w:lang w:val="en-US" w:eastAsia="zh-CN" w:bidi="ar"/>
        </w:rPr>
        <w:t>《阿坝州卫生健康委员会机关财务管理办法》《阿坝州卫生健康委员会专项资金管理办法》等</w:t>
      </w:r>
      <w:r>
        <w:rPr>
          <w:rFonts w:hint="eastAsia" w:ascii="仿宋_GB2312" w:hAnsi="Times New Roman" w:eastAsia="仿宋_GB2312" w:cs="仿宋_GB2312"/>
          <w:kern w:val="60"/>
          <w:sz w:val="32"/>
          <w:szCs w:val="32"/>
          <w:lang w:val="en-US" w:eastAsia="zh-CN" w:bidi="ar"/>
        </w:rPr>
        <w:t>，细化财务管理规范、开支报销规范、经费支出管理、会计档案管理等，并将制度严格落到实处。</w:t>
      </w:r>
    </w:p>
    <w:p w14:paraId="4EA7FB3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w:t>
      </w:r>
    </w:p>
    <w:p w14:paraId="2979787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）财务岗位设置</w:t>
      </w:r>
    </w:p>
    <w:p w14:paraId="665ACDE1">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eastAsia" w:ascii="Times New Roman" w:hAnsi="Times New Roman" w:eastAsia="仿宋_GB2312" w:cs="Times New Roman"/>
          <w:caps w:val="0"/>
          <w:sz w:val="32"/>
          <w:szCs w:val="32"/>
        </w:rPr>
      </w:pPr>
      <w:r>
        <w:rPr>
          <w:rFonts w:hint="eastAsia" w:ascii="仿宋_GB2312" w:hAnsi="Times New Roman" w:eastAsia="仿宋_GB2312" w:cs="仿宋_GB2312"/>
          <w:caps w:val="0"/>
          <w:kern w:val="0"/>
          <w:sz w:val="32"/>
          <w:szCs w:val="32"/>
          <w:lang w:val="en-US" w:eastAsia="zh-CN" w:bidi="ar"/>
        </w:rPr>
        <w:t>我单位合理设置了财务工作岗位，明确了各岗位的职责权限，并严格实行不相容岗位分离，确保财务收支统一核算管理，会计与出纳岗位分设，出纳人员不得兼管审核、会计档案保管等工作，做到了会计与出纳、审核与执行等岗位有效分离。</w:t>
      </w:r>
    </w:p>
    <w:p w14:paraId="7B23CA7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aps w:val="0"/>
          <w:kern w:val="0"/>
          <w:sz w:val="32"/>
          <w:szCs w:val="32"/>
          <w:lang w:val="en-US" w:eastAsia="zh-CN" w:bidi="ar"/>
        </w:rPr>
        <w:t>根据评分标准，该项指标不扣分，得</w:t>
      </w:r>
      <w:r>
        <w:rPr>
          <w:rFonts w:hint="default" w:ascii="Times New Roman" w:hAnsi="Times New Roman" w:eastAsia="仿宋_GB2312" w:cs="Times New Roman"/>
          <w:caps w:val="0"/>
          <w:kern w:val="0"/>
          <w:sz w:val="32"/>
          <w:szCs w:val="32"/>
          <w:lang w:val="en-US" w:eastAsia="zh-CN" w:bidi="ar"/>
        </w:rPr>
        <w:t>2</w:t>
      </w:r>
      <w:r>
        <w:rPr>
          <w:rFonts w:hint="eastAsia" w:ascii="仿宋_GB2312" w:hAnsi="Times New Roman" w:eastAsia="仿宋_GB2312" w:cs="仿宋_GB2312"/>
          <w:caps w:val="0"/>
          <w:kern w:val="0"/>
          <w:sz w:val="32"/>
          <w:szCs w:val="32"/>
          <w:lang w:val="en-US" w:eastAsia="zh-CN" w:bidi="ar"/>
        </w:rPr>
        <w:t>分。</w:t>
      </w:r>
    </w:p>
    <w:p w14:paraId="416CFAC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）资金使用规范</w:t>
      </w:r>
    </w:p>
    <w:p w14:paraId="55B78A4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严格按照相关财务管理制度使用资金，坚持量入为出、确保重点、厉行节约、注重实效的原则，重大经济事项支出由集体决策研究决定，各级领导严把经费审批关，对无预算、超预算开支、开支不明、手续不全、虚列开支等情况不予审批，资金使用合法合规。</w:t>
      </w:r>
    </w:p>
    <w:p w14:paraId="59BC400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aps w:val="0"/>
          <w:kern w:val="0"/>
          <w:sz w:val="32"/>
          <w:szCs w:val="32"/>
          <w:lang w:val="en-US" w:eastAsia="zh-CN" w:bidi="ar"/>
        </w:rPr>
        <w:t>根据评分标准，该项指标不扣分，得</w:t>
      </w:r>
      <w:r>
        <w:rPr>
          <w:rFonts w:hint="default" w:ascii="Times New Roman" w:hAnsi="Times New Roman" w:eastAsia="仿宋_GB2312" w:cs="Times New Roman"/>
          <w:caps w:val="0"/>
          <w:kern w:val="0"/>
          <w:sz w:val="32"/>
          <w:szCs w:val="32"/>
          <w:lang w:val="en-US" w:eastAsia="zh-CN" w:bidi="ar"/>
        </w:rPr>
        <w:t>4</w:t>
      </w:r>
      <w:r>
        <w:rPr>
          <w:rFonts w:hint="eastAsia" w:ascii="仿宋_GB2312" w:hAnsi="Times New Roman" w:eastAsia="仿宋_GB2312" w:cs="仿宋_GB2312"/>
          <w:caps w:val="0"/>
          <w:kern w:val="0"/>
          <w:sz w:val="32"/>
          <w:szCs w:val="32"/>
          <w:lang w:val="en-US" w:eastAsia="zh-CN" w:bidi="ar"/>
        </w:rPr>
        <w:t>分。</w:t>
      </w:r>
    </w:p>
    <w:p w14:paraId="03D1680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4.</w:t>
      </w:r>
      <w:r>
        <w:rPr>
          <w:rFonts w:hint="eastAsia" w:ascii="楷体_GB2312" w:hAnsi="Times New Roman" w:eastAsia="楷体_GB2312" w:cs="楷体_GB2312"/>
          <w:color w:val="000000"/>
          <w:kern w:val="0"/>
          <w:sz w:val="32"/>
          <w:szCs w:val="32"/>
          <w:shd w:val="clear" w:fill="FFFFFF"/>
          <w:lang w:val="en-US" w:eastAsia="zh-CN" w:bidi="ar"/>
        </w:rPr>
        <w:t>资产管理</w:t>
      </w:r>
    </w:p>
    <w:p w14:paraId="1EE1A3F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）人均资产变化率</w:t>
      </w:r>
    </w:p>
    <w:p w14:paraId="1176F8B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w:t>
      </w:r>
      <w:r>
        <w:rPr>
          <w:rFonts w:hint="default" w:ascii="Times New Roman" w:hAnsi="Times New Roman" w:eastAsia="仿宋_GB2312" w:cs="Times New Roman"/>
          <w:color w:val="000000"/>
          <w:kern w:val="0"/>
          <w:sz w:val="32"/>
          <w:szCs w:val="32"/>
          <w:shd w:val="clear" w:fill="FFFFFF"/>
          <w:lang w:val="en-US" w:eastAsia="zh-CN" w:bidi="ar"/>
        </w:rPr>
        <w:t>2024</w:t>
      </w:r>
      <w:r>
        <w:rPr>
          <w:rFonts w:hint="eastAsia" w:ascii="仿宋_GB2312" w:hAnsi="Times New Roman" w:eastAsia="仿宋_GB2312" w:cs="仿宋_GB2312"/>
          <w:color w:val="000000"/>
          <w:kern w:val="0"/>
          <w:sz w:val="32"/>
          <w:szCs w:val="32"/>
          <w:shd w:val="clear" w:fill="FFFFFF"/>
          <w:lang w:val="en-US" w:eastAsia="zh-CN" w:bidi="ar"/>
        </w:rPr>
        <w:t>年末实有在编在职人数为</w:t>
      </w:r>
      <w:r>
        <w:rPr>
          <w:rFonts w:hint="default" w:ascii="Times New Roman" w:hAnsi="Times New Roman" w:eastAsia="仿宋_GB2312" w:cs="Times New Roman"/>
          <w:color w:val="000000"/>
          <w:kern w:val="0"/>
          <w:sz w:val="32"/>
          <w:szCs w:val="32"/>
          <w:shd w:val="clear" w:fill="FFFFFF"/>
          <w:lang w:val="en-US" w:eastAsia="zh-CN" w:bidi="ar"/>
        </w:rPr>
        <w:t>1020</w:t>
      </w:r>
      <w:r>
        <w:rPr>
          <w:rFonts w:hint="eastAsia" w:ascii="仿宋_GB2312" w:hAnsi="Times New Roman" w:eastAsia="仿宋_GB2312" w:cs="仿宋_GB2312"/>
          <w:color w:val="000000"/>
          <w:kern w:val="0"/>
          <w:sz w:val="32"/>
          <w:szCs w:val="32"/>
          <w:shd w:val="clear" w:fill="FFFFFF"/>
          <w:lang w:val="en-US" w:eastAsia="zh-CN" w:bidi="ar"/>
        </w:rPr>
        <w:t>人，固定资产和无形资产期末账面值净值合计</w:t>
      </w:r>
      <w:r>
        <w:rPr>
          <w:rFonts w:hint="default" w:ascii="Times New Roman" w:hAnsi="Times New Roman" w:eastAsia="仿宋_GB2312" w:cs="Times New Roman"/>
          <w:color w:val="000000"/>
          <w:kern w:val="0"/>
          <w:sz w:val="32"/>
          <w:szCs w:val="32"/>
          <w:shd w:val="clear" w:fill="FFFFFF"/>
          <w:lang w:val="en-US" w:eastAsia="zh-CN" w:bidi="ar"/>
        </w:rPr>
        <w:t>1,813.08</w:t>
      </w:r>
      <w:r>
        <w:rPr>
          <w:rFonts w:hint="eastAsia" w:ascii="仿宋_GB2312" w:hAnsi="Times New Roman" w:eastAsia="仿宋_GB2312" w:cs="仿宋_GB2312"/>
          <w:color w:val="000000"/>
          <w:kern w:val="0"/>
          <w:sz w:val="32"/>
          <w:szCs w:val="32"/>
          <w:shd w:val="clear" w:fill="FFFFFF"/>
          <w:lang w:val="en-US" w:eastAsia="zh-CN" w:bidi="ar"/>
        </w:rPr>
        <w:t>万元，人均占有资产为</w:t>
      </w:r>
      <w:r>
        <w:rPr>
          <w:rFonts w:hint="default" w:ascii="Times New Roman" w:hAnsi="Times New Roman" w:eastAsia="仿宋_GB2312" w:cs="Times New Roman"/>
          <w:color w:val="000000"/>
          <w:kern w:val="0"/>
          <w:sz w:val="32"/>
          <w:szCs w:val="32"/>
          <w:shd w:val="clear" w:fill="FFFFFF"/>
          <w:lang w:val="en-US" w:eastAsia="zh-CN" w:bidi="ar"/>
        </w:rPr>
        <w:t>1.78</w:t>
      </w:r>
      <w:r>
        <w:rPr>
          <w:rFonts w:hint="eastAsia" w:ascii="仿宋_GB2312" w:hAnsi="Times New Roman" w:eastAsia="仿宋_GB2312" w:cs="仿宋_GB2312"/>
          <w:color w:val="000000"/>
          <w:kern w:val="0"/>
          <w:sz w:val="32"/>
          <w:szCs w:val="32"/>
          <w:shd w:val="clear" w:fill="FFFFFF"/>
          <w:lang w:val="en-US" w:eastAsia="zh-CN" w:bidi="ar"/>
        </w:rPr>
        <w:t>万元</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人。</w:t>
      </w:r>
    </w:p>
    <w:p w14:paraId="33C02E33">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年末实有在职在编人数为</w:t>
      </w:r>
      <w:r>
        <w:rPr>
          <w:rFonts w:hint="default" w:ascii="Times New Roman" w:hAnsi="Times New Roman" w:eastAsia="仿宋_GB2312" w:cs="Times New Roman"/>
          <w:color w:val="000000"/>
          <w:kern w:val="0"/>
          <w:sz w:val="32"/>
          <w:szCs w:val="32"/>
          <w:shd w:val="clear" w:fill="FFFFFF"/>
          <w:lang w:val="en-US" w:eastAsia="zh-CN" w:bidi="ar"/>
        </w:rPr>
        <w:t>1051</w:t>
      </w:r>
      <w:r>
        <w:rPr>
          <w:rFonts w:hint="eastAsia" w:ascii="仿宋_GB2312" w:hAnsi="Times New Roman" w:eastAsia="仿宋_GB2312" w:cs="仿宋_GB2312"/>
          <w:color w:val="000000"/>
          <w:kern w:val="0"/>
          <w:sz w:val="32"/>
          <w:szCs w:val="32"/>
          <w:shd w:val="clear" w:fill="FFFFFF"/>
          <w:lang w:val="en-US" w:eastAsia="zh-CN" w:bidi="ar"/>
        </w:rPr>
        <w:t>人，固定资产和无形资产净值合计</w:t>
      </w:r>
      <w:r>
        <w:rPr>
          <w:rFonts w:hint="default" w:ascii="Times New Roman" w:hAnsi="Times New Roman" w:eastAsia="仿宋_GB2312" w:cs="Times New Roman"/>
          <w:color w:val="000000"/>
          <w:kern w:val="0"/>
          <w:sz w:val="32"/>
          <w:szCs w:val="32"/>
          <w:shd w:val="clear" w:fill="FFFFFF"/>
          <w:lang w:val="en-US" w:eastAsia="zh-CN" w:bidi="ar"/>
        </w:rPr>
        <w:t>4,388.21</w:t>
      </w:r>
      <w:r>
        <w:rPr>
          <w:rFonts w:hint="eastAsia" w:ascii="仿宋_GB2312" w:hAnsi="Times New Roman" w:eastAsia="仿宋_GB2312" w:cs="仿宋_GB2312"/>
          <w:color w:val="000000"/>
          <w:kern w:val="0"/>
          <w:sz w:val="32"/>
          <w:szCs w:val="32"/>
          <w:shd w:val="clear" w:fill="FFFFFF"/>
          <w:lang w:val="en-US" w:eastAsia="zh-CN" w:bidi="ar"/>
        </w:rPr>
        <w:t>万元，人均占有资产为</w:t>
      </w:r>
      <w:r>
        <w:rPr>
          <w:rFonts w:hint="default" w:ascii="Times New Roman" w:hAnsi="Times New Roman" w:eastAsia="仿宋_GB2312" w:cs="Times New Roman"/>
          <w:color w:val="000000"/>
          <w:kern w:val="0"/>
          <w:sz w:val="32"/>
          <w:szCs w:val="32"/>
          <w:shd w:val="clear" w:fill="FFFFFF"/>
          <w:lang w:val="en-US" w:eastAsia="zh-CN" w:bidi="ar"/>
        </w:rPr>
        <w:t>4.18</w:t>
      </w:r>
      <w:r>
        <w:rPr>
          <w:rFonts w:hint="eastAsia" w:ascii="仿宋_GB2312" w:hAnsi="Times New Roman" w:eastAsia="仿宋_GB2312" w:cs="仿宋_GB2312"/>
          <w:color w:val="000000"/>
          <w:kern w:val="0"/>
          <w:sz w:val="32"/>
          <w:szCs w:val="32"/>
          <w:shd w:val="clear" w:fill="FFFFFF"/>
          <w:lang w:val="en-US" w:eastAsia="zh-CN" w:bidi="ar"/>
        </w:rPr>
        <w:t>万元</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人。</w:t>
      </w:r>
    </w:p>
    <w:p w14:paraId="1EDEA2D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highlight w:val="yellow"/>
          <w:shd w:val="clear" w:fill="FFFFFF"/>
        </w:rPr>
      </w:pPr>
      <w:r>
        <w:rPr>
          <w:rFonts w:hint="eastAsia" w:ascii="仿宋_GB2312" w:hAnsi="Times New Roman" w:eastAsia="仿宋_GB2312" w:cs="仿宋_GB2312"/>
          <w:color w:val="000000"/>
          <w:kern w:val="0"/>
          <w:sz w:val="32"/>
          <w:szCs w:val="32"/>
          <w:shd w:val="clear" w:fill="FFFFFF"/>
          <w:lang w:val="en-US" w:eastAsia="zh-CN" w:bidi="ar"/>
        </w:rPr>
        <w:t>综上，</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年我单位人均资产变化率和人均资产增长率为</w:t>
      </w:r>
      <w:r>
        <w:rPr>
          <w:rFonts w:hint="default" w:ascii="Times New Roman" w:hAnsi="Times New Roman" w:eastAsia="仿宋_GB2312" w:cs="Times New Roman"/>
          <w:color w:val="000000"/>
          <w:kern w:val="0"/>
          <w:sz w:val="32"/>
          <w:szCs w:val="32"/>
          <w:shd w:val="clear" w:fill="FFFFFF"/>
          <w:lang w:val="en-US" w:eastAsia="zh-CN" w:bidi="ar"/>
        </w:rPr>
        <w:t>134.83%</w:t>
      </w:r>
      <w:r>
        <w:rPr>
          <w:rFonts w:hint="eastAsia" w:ascii="仿宋_GB2312" w:hAnsi="Times New Roman" w:eastAsia="仿宋_GB2312" w:cs="仿宋_GB2312"/>
          <w:color w:val="000000"/>
          <w:kern w:val="0"/>
          <w:sz w:val="32"/>
          <w:szCs w:val="32"/>
          <w:shd w:val="clear" w:fill="FFFFFF"/>
          <w:lang w:val="en-US" w:eastAsia="zh-CN" w:bidi="ar"/>
        </w:rPr>
        <w:t>，阿坝州州直行政事业单位</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年人均资产变化率</w:t>
      </w:r>
      <w:r>
        <w:rPr>
          <w:rFonts w:hint="default" w:ascii="Times New Roman" w:hAnsi="Times New Roman" w:eastAsia="仿宋_GB2312" w:cs="Times New Roman"/>
          <w:color w:val="000000"/>
          <w:kern w:val="0"/>
          <w:sz w:val="32"/>
          <w:szCs w:val="32"/>
          <w:shd w:val="clear" w:fill="FFFFFF"/>
          <w:lang w:val="en-US" w:eastAsia="zh-CN" w:bidi="ar"/>
        </w:rPr>
        <w:t>-3.49%</w:t>
      </w: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年我单位人均资产变化率大于</w:t>
      </w:r>
      <w:r>
        <w:rPr>
          <w:rFonts w:hint="default" w:ascii="Times New Roman" w:hAnsi="Times New Roman" w:eastAsia="仿宋_GB2312" w:cs="Times New Roman"/>
          <w:color w:val="000000"/>
          <w:kern w:val="0"/>
          <w:sz w:val="32"/>
          <w:szCs w:val="32"/>
          <w:shd w:val="clear" w:fill="FFFFFF"/>
          <w:lang w:val="en-US" w:eastAsia="zh-CN" w:bidi="ar"/>
        </w:rPr>
        <w:t>1.4</w:t>
      </w:r>
      <w:r>
        <w:rPr>
          <w:rFonts w:hint="eastAsia" w:ascii="仿宋_GB2312" w:hAnsi="Times New Roman" w:eastAsia="仿宋_GB2312" w:cs="仿宋_GB2312"/>
          <w:color w:val="000000"/>
          <w:kern w:val="0"/>
          <w:sz w:val="32"/>
          <w:szCs w:val="32"/>
          <w:shd w:val="clear" w:fill="FFFFFF"/>
          <w:lang w:val="en-US" w:eastAsia="zh-CN" w:bidi="ar"/>
        </w:rPr>
        <w:t>倍州直行政事业单位人均资产变化率；阿坝州州级</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年财政收入增长率为</w:t>
      </w:r>
      <w:r>
        <w:rPr>
          <w:rFonts w:hint="default" w:ascii="Times New Roman" w:hAnsi="Times New Roman" w:eastAsia="仿宋_GB2312" w:cs="Times New Roman"/>
          <w:color w:val="000000"/>
          <w:kern w:val="0"/>
          <w:sz w:val="32"/>
          <w:szCs w:val="32"/>
          <w:shd w:val="clear" w:fill="FFFFFF"/>
          <w:lang w:val="en-US" w:eastAsia="zh-CN" w:bidi="ar"/>
        </w:rPr>
        <w:t>17.10%</w:t>
      </w:r>
      <w:r>
        <w:rPr>
          <w:rFonts w:hint="eastAsia" w:ascii="仿宋_GB2312" w:hAnsi="Times New Roman" w:eastAsia="仿宋_GB2312" w:cs="仿宋_GB2312"/>
          <w:color w:val="000000"/>
          <w:kern w:val="0"/>
          <w:sz w:val="32"/>
          <w:szCs w:val="32"/>
          <w:shd w:val="clear" w:fill="FFFFFF"/>
          <w:lang w:val="en-US" w:eastAsia="zh-CN" w:bidi="ar"/>
        </w:rPr>
        <w:t>，我单位人均资产变化率大于</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倍州级</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年财政收入增长率。</w:t>
      </w:r>
    </w:p>
    <w:p w14:paraId="5810CF5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根据评分标准，该项指标扣</w:t>
      </w:r>
      <w:r>
        <w:rPr>
          <w:rFonts w:hint="default" w:ascii="Times New Roman" w:hAnsi="Times New Roman" w:eastAsia="仿宋_GB2312" w:cs="Times New Roman"/>
          <w:color w:val="000000"/>
          <w:kern w:val="0"/>
          <w:sz w:val="32"/>
          <w:szCs w:val="32"/>
          <w:shd w:val="clear" w:fill="FFFFFF"/>
          <w:lang w:val="en-US" w:eastAsia="zh-CN" w:bidi="ar"/>
        </w:rPr>
        <w:t>2.7</w:t>
      </w:r>
      <w:r>
        <w:rPr>
          <w:rFonts w:hint="eastAsia" w:ascii="仿宋_GB2312" w:hAnsi="Times New Roman" w:eastAsia="仿宋_GB2312" w:cs="仿宋_GB2312"/>
          <w:color w:val="000000"/>
          <w:kern w:val="0"/>
          <w:sz w:val="32"/>
          <w:szCs w:val="32"/>
          <w:shd w:val="clear" w:fill="FFFFFF"/>
          <w:lang w:val="en-US" w:eastAsia="zh-CN" w:bidi="ar"/>
        </w:rPr>
        <w:t>分，得</w:t>
      </w:r>
      <w:r>
        <w:rPr>
          <w:rFonts w:hint="default" w:ascii="Times New Roman" w:hAnsi="Times New Roman" w:eastAsia="仿宋_GB2312" w:cs="Times New Roman"/>
          <w:color w:val="000000"/>
          <w:kern w:val="0"/>
          <w:sz w:val="32"/>
          <w:szCs w:val="32"/>
          <w:shd w:val="clear" w:fill="FFFFFF"/>
          <w:lang w:val="en-US" w:eastAsia="zh-CN" w:bidi="ar"/>
        </w:rPr>
        <w:t>0.3</w:t>
      </w:r>
      <w:r>
        <w:rPr>
          <w:rFonts w:hint="eastAsia" w:ascii="仿宋_GB2312" w:hAnsi="Times New Roman" w:eastAsia="仿宋_GB2312" w:cs="仿宋_GB2312"/>
          <w:color w:val="000000"/>
          <w:kern w:val="0"/>
          <w:sz w:val="32"/>
          <w:szCs w:val="32"/>
          <w:shd w:val="clear" w:fill="FFFFFF"/>
          <w:lang w:val="en-US" w:eastAsia="zh-CN" w:bidi="ar"/>
        </w:rPr>
        <w:t>分。</w:t>
      </w:r>
    </w:p>
    <w:p w14:paraId="6AEE701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）资产利用率</w:t>
      </w:r>
    </w:p>
    <w:p w14:paraId="2AE7CEB8">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eastAsia" w:ascii="Times New Roman" w:hAnsi="Times New Roman" w:eastAsia="仿宋_GB2312" w:cs="Times New Roman"/>
          <w:caps w:val="0"/>
          <w:sz w:val="32"/>
          <w:szCs w:val="32"/>
        </w:rPr>
      </w:pPr>
      <w:r>
        <w:rPr>
          <w:rFonts w:hint="eastAsia" w:ascii="仿宋_GB2312" w:hAnsi="Times New Roman" w:eastAsia="仿宋_GB2312" w:cs="仿宋_GB2312"/>
          <w:caps w:val="0"/>
          <w:kern w:val="0"/>
          <w:sz w:val="32"/>
          <w:szCs w:val="32"/>
          <w:lang w:val="en-US" w:eastAsia="zh-CN" w:bidi="ar"/>
        </w:rPr>
        <w:t>我单位</w:t>
      </w:r>
      <w:r>
        <w:rPr>
          <w:rFonts w:hint="default" w:ascii="Times New Roman" w:hAnsi="Times New Roman" w:eastAsia="仿宋_GB2312" w:cs="Times New Roman"/>
          <w:caps w:val="0"/>
          <w:kern w:val="0"/>
          <w:sz w:val="32"/>
          <w:szCs w:val="32"/>
          <w:lang w:val="en-US" w:eastAsia="zh-CN" w:bidi="ar"/>
        </w:rPr>
        <w:t>2025</w:t>
      </w:r>
      <w:r>
        <w:rPr>
          <w:rFonts w:hint="eastAsia" w:ascii="仿宋_GB2312" w:hAnsi="Times New Roman" w:eastAsia="仿宋_GB2312" w:cs="仿宋_GB2312"/>
          <w:caps w:val="0"/>
          <w:kern w:val="0"/>
          <w:sz w:val="32"/>
          <w:szCs w:val="32"/>
          <w:lang w:val="en-US" w:eastAsia="zh-CN" w:bidi="ar"/>
        </w:rPr>
        <w:t>年办公家具账面价值为</w:t>
      </w:r>
      <w:r>
        <w:rPr>
          <w:rFonts w:hint="default" w:ascii="Times New Roman" w:hAnsi="Times New Roman" w:eastAsia="仿宋_GB2312" w:cs="Times New Roman"/>
          <w:caps w:val="0"/>
          <w:kern w:val="0"/>
          <w:sz w:val="32"/>
          <w:szCs w:val="32"/>
          <w:lang w:val="en-US" w:eastAsia="zh-CN" w:bidi="ar"/>
        </w:rPr>
        <w:t>280.70</w:t>
      </w:r>
      <w:r>
        <w:rPr>
          <w:rFonts w:hint="eastAsia" w:ascii="仿宋_GB2312" w:hAnsi="Times New Roman" w:eastAsia="仿宋_GB2312" w:cs="仿宋_GB2312"/>
          <w:caps w:val="0"/>
          <w:kern w:val="0"/>
          <w:sz w:val="32"/>
          <w:szCs w:val="32"/>
          <w:lang w:val="en-US" w:eastAsia="zh-CN" w:bidi="ar"/>
        </w:rPr>
        <w:t>万元，超最低使用年限的办公家具账面价值为</w:t>
      </w:r>
      <w:r>
        <w:rPr>
          <w:rFonts w:hint="default" w:ascii="Times New Roman" w:hAnsi="Times New Roman" w:eastAsia="仿宋_GB2312" w:cs="Times New Roman"/>
          <w:caps w:val="0"/>
          <w:kern w:val="0"/>
          <w:sz w:val="32"/>
          <w:szCs w:val="32"/>
          <w:lang w:val="en-US" w:eastAsia="zh-CN" w:bidi="ar"/>
        </w:rPr>
        <w:t>28.08</w:t>
      </w:r>
      <w:r>
        <w:rPr>
          <w:rFonts w:hint="eastAsia" w:ascii="仿宋_GB2312" w:hAnsi="Times New Roman" w:eastAsia="仿宋_GB2312" w:cs="仿宋_GB2312"/>
          <w:caps w:val="0"/>
          <w:kern w:val="0"/>
          <w:sz w:val="32"/>
          <w:szCs w:val="32"/>
          <w:lang w:val="en-US" w:eastAsia="zh-CN" w:bidi="ar"/>
        </w:rPr>
        <w:t>万元，故办公家具超最低使用年限资产利用率</w:t>
      </w:r>
      <w:r>
        <w:rPr>
          <w:rFonts w:hint="default" w:ascii="Times New Roman" w:hAnsi="Times New Roman" w:eastAsia="仿宋_GB2312" w:cs="Times New Roman"/>
          <w:caps w:val="0"/>
          <w:kern w:val="0"/>
          <w:sz w:val="32"/>
          <w:szCs w:val="32"/>
          <w:lang w:val="en-US" w:eastAsia="zh-CN" w:bidi="ar"/>
        </w:rPr>
        <w:t>=</w:t>
      </w:r>
      <w:r>
        <w:rPr>
          <w:rFonts w:hint="eastAsia" w:ascii="仿宋_GB2312" w:hAnsi="Times New Roman" w:eastAsia="仿宋_GB2312" w:cs="仿宋_GB2312"/>
          <w:caps w:val="0"/>
          <w:kern w:val="0"/>
          <w:sz w:val="32"/>
          <w:szCs w:val="32"/>
          <w:lang w:val="en-US" w:eastAsia="zh-CN" w:bidi="ar"/>
        </w:rPr>
        <w:t>超最低使用年限的办公家具账面价值÷办公家具账面价值×</w:t>
      </w:r>
      <w:r>
        <w:rPr>
          <w:rFonts w:hint="default" w:ascii="Times New Roman" w:hAnsi="Times New Roman" w:eastAsia="仿宋_GB2312" w:cs="Times New Roman"/>
          <w:caps w:val="0"/>
          <w:kern w:val="0"/>
          <w:sz w:val="32"/>
          <w:szCs w:val="32"/>
          <w:lang w:val="en-US" w:eastAsia="zh-CN" w:bidi="ar"/>
        </w:rPr>
        <w:t>100%=10.00%</w:t>
      </w:r>
      <w:r>
        <w:rPr>
          <w:rFonts w:hint="eastAsia" w:ascii="仿宋_GB2312" w:hAnsi="Times New Roman" w:eastAsia="仿宋_GB2312" w:cs="仿宋_GB2312"/>
          <w:caps w:val="0"/>
          <w:kern w:val="0"/>
          <w:sz w:val="32"/>
          <w:szCs w:val="32"/>
          <w:lang w:val="en-US" w:eastAsia="zh-CN" w:bidi="ar"/>
        </w:rPr>
        <w:t>，州属行政事业单位办公家具资产利用率平均值为</w:t>
      </w:r>
      <w:r>
        <w:rPr>
          <w:rFonts w:hint="default" w:ascii="Times New Roman" w:hAnsi="Times New Roman" w:eastAsia="仿宋_GB2312" w:cs="Times New Roman"/>
          <w:caps w:val="0"/>
          <w:kern w:val="0"/>
          <w:sz w:val="32"/>
          <w:szCs w:val="32"/>
          <w:lang w:val="en-US" w:eastAsia="zh-CN" w:bidi="ar"/>
        </w:rPr>
        <w:t>12.93%</w:t>
      </w:r>
      <w:r>
        <w:rPr>
          <w:rFonts w:hint="eastAsia" w:ascii="仿宋_GB2312" w:hAnsi="Times New Roman" w:eastAsia="仿宋_GB2312" w:cs="仿宋_GB2312"/>
          <w:caps w:val="0"/>
          <w:kern w:val="0"/>
          <w:sz w:val="32"/>
          <w:szCs w:val="32"/>
          <w:lang w:val="en-US" w:eastAsia="zh-CN" w:bidi="ar"/>
        </w:rPr>
        <w:t>。</w:t>
      </w:r>
    </w:p>
    <w:p w14:paraId="582FF27A">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eastAsia"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2025</w:t>
      </w:r>
      <w:r>
        <w:rPr>
          <w:rFonts w:hint="eastAsia" w:ascii="仿宋_GB2312" w:hAnsi="Times New Roman" w:eastAsia="仿宋_GB2312" w:cs="仿宋_GB2312"/>
          <w:caps w:val="0"/>
          <w:kern w:val="0"/>
          <w:sz w:val="32"/>
          <w:szCs w:val="32"/>
          <w:lang w:val="en-US" w:eastAsia="zh-CN" w:bidi="ar"/>
        </w:rPr>
        <w:t>年办公设备账面价值为</w:t>
      </w:r>
      <w:r>
        <w:rPr>
          <w:rFonts w:hint="default" w:ascii="Times New Roman" w:hAnsi="Times New Roman" w:eastAsia="仿宋_GB2312" w:cs="Times New Roman"/>
          <w:caps w:val="0"/>
          <w:kern w:val="0"/>
          <w:sz w:val="32"/>
          <w:szCs w:val="32"/>
          <w:lang w:val="en-US" w:eastAsia="zh-CN" w:bidi="ar"/>
        </w:rPr>
        <w:t>3,451.81</w:t>
      </w:r>
      <w:r>
        <w:rPr>
          <w:rFonts w:hint="eastAsia" w:ascii="仿宋_GB2312" w:hAnsi="Times New Roman" w:eastAsia="仿宋_GB2312" w:cs="仿宋_GB2312"/>
          <w:caps w:val="0"/>
          <w:kern w:val="0"/>
          <w:sz w:val="32"/>
          <w:szCs w:val="32"/>
          <w:lang w:val="en-US" w:eastAsia="zh-CN" w:bidi="ar"/>
        </w:rPr>
        <w:t>万元，超最低使用年限的办公设备账面价值为</w:t>
      </w:r>
      <w:r>
        <w:rPr>
          <w:rFonts w:hint="default" w:ascii="Times New Roman" w:hAnsi="Times New Roman" w:eastAsia="仿宋_GB2312" w:cs="Times New Roman"/>
          <w:caps w:val="0"/>
          <w:kern w:val="0"/>
          <w:sz w:val="32"/>
          <w:szCs w:val="32"/>
          <w:lang w:val="en-US" w:eastAsia="zh-CN" w:bidi="ar"/>
        </w:rPr>
        <w:t>1,183.62</w:t>
      </w:r>
      <w:r>
        <w:rPr>
          <w:rFonts w:hint="eastAsia" w:ascii="仿宋_GB2312" w:hAnsi="Times New Roman" w:eastAsia="仿宋_GB2312" w:cs="仿宋_GB2312"/>
          <w:caps w:val="0"/>
          <w:kern w:val="0"/>
          <w:sz w:val="32"/>
          <w:szCs w:val="32"/>
          <w:lang w:val="en-US" w:eastAsia="zh-CN" w:bidi="ar"/>
        </w:rPr>
        <w:t>万元，故办公设备超最低使用年限资产利用率</w:t>
      </w:r>
      <w:r>
        <w:rPr>
          <w:rFonts w:hint="default" w:ascii="Times New Roman" w:hAnsi="Times New Roman" w:eastAsia="仿宋_GB2312" w:cs="Times New Roman"/>
          <w:caps w:val="0"/>
          <w:kern w:val="0"/>
          <w:sz w:val="32"/>
          <w:szCs w:val="32"/>
          <w:lang w:val="en-US" w:eastAsia="zh-CN" w:bidi="ar"/>
        </w:rPr>
        <w:t>=</w:t>
      </w:r>
      <w:r>
        <w:rPr>
          <w:rFonts w:hint="eastAsia" w:ascii="仿宋_GB2312" w:hAnsi="Times New Roman" w:eastAsia="仿宋_GB2312" w:cs="仿宋_GB2312"/>
          <w:caps w:val="0"/>
          <w:kern w:val="0"/>
          <w:sz w:val="32"/>
          <w:szCs w:val="32"/>
          <w:lang w:val="en-US" w:eastAsia="zh-CN" w:bidi="ar"/>
        </w:rPr>
        <w:t>超最低使用年限的办公设备账面价值÷办公设备账面价值×</w:t>
      </w:r>
      <w:r>
        <w:rPr>
          <w:rFonts w:hint="default" w:ascii="Times New Roman" w:hAnsi="Times New Roman" w:eastAsia="仿宋_GB2312" w:cs="Times New Roman"/>
          <w:caps w:val="0"/>
          <w:kern w:val="0"/>
          <w:sz w:val="32"/>
          <w:szCs w:val="32"/>
          <w:lang w:val="en-US" w:eastAsia="zh-CN" w:bidi="ar"/>
        </w:rPr>
        <w:t>100%=34.29%</w:t>
      </w:r>
      <w:r>
        <w:rPr>
          <w:rFonts w:hint="eastAsia" w:ascii="仿宋_GB2312" w:hAnsi="Times New Roman" w:eastAsia="仿宋_GB2312" w:cs="仿宋_GB2312"/>
          <w:caps w:val="0"/>
          <w:kern w:val="0"/>
          <w:sz w:val="32"/>
          <w:szCs w:val="32"/>
          <w:lang w:val="en-US" w:eastAsia="zh-CN" w:bidi="ar"/>
        </w:rPr>
        <w:t>，州属行政事业单位办公设备资产利用率平均值为</w:t>
      </w:r>
      <w:r>
        <w:rPr>
          <w:rFonts w:hint="default" w:ascii="Times New Roman" w:hAnsi="Times New Roman" w:eastAsia="仿宋_GB2312" w:cs="Times New Roman"/>
          <w:caps w:val="0"/>
          <w:kern w:val="0"/>
          <w:sz w:val="32"/>
          <w:szCs w:val="32"/>
          <w:lang w:val="en-US" w:eastAsia="zh-CN" w:bidi="ar"/>
        </w:rPr>
        <w:t>53.14%</w:t>
      </w:r>
      <w:r>
        <w:rPr>
          <w:rFonts w:hint="eastAsia" w:ascii="仿宋_GB2312" w:hAnsi="Times New Roman" w:eastAsia="仿宋_GB2312" w:cs="仿宋_GB2312"/>
          <w:caps w:val="0"/>
          <w:kern w:val="0"/>
          <w:sz w:val="32"/>
          <w:szCs w:val="32"/>
          <w:lang w:val="en-US" w:eastAsia="zh-CN" w:bidi="ar"/>
        </w:rPr>
        <w:t>。</w:t>
      </w:r>
    </w:p>
    <w:p w14:paraId="7DB57F3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aps w:val="0"/>
          <w:kern w:val="0"/>
          <w:sz w:val="32"/>
          <w:szCs w:val="32"/>
          <w:lang w:val="en-US" w:eastAsia="zh-CN" w:bidi="ar"/>
        </w:rPr>
        <w:t>综上，根据评分标准，该项指标扣</w:t>
      </w:r>
      <w:r>
        <w:rPr>
          <w:rFonts w:hint="default" w:ascii="Times New Roman" w:hAnsi="Times New Roman" w:eastAsia="仿宋_GB2312" w:cs="Times New Roman"/>
          <w:caps w:val="0"/>
          <w:kern w:val="0"/>
          <w:sz w:val="32"/>
          <w:szCs w:val="32"/>
          <w:lang w:val="en-US" w:eastAsia="zh-CN" w:bidi="ar"/>
        </w:rPr>
        <w:t>1.8</w:t>
      </w:r>
      <w:r>
        <w:rPr>
          <w:rFonts w:hint="eastAsia" w:ascii="仿宋_GB2312" w:hAnsi="Times New Roman" w:eastAsia="仿宋_GB2312" w:cs="仿宋_GB2312"/>
          <w:caps w:val="0"/>
          <w:kern w:val="0"/>
          <w:sz w:val="32"/>
          <w:szCs w:val="32"/>
          <w:lang w:val="en-US" w:eastAsia="zh-CN" w:bidi="ar"/>
        </w:rPr>
        <w:t>分，得</w:t>
      </w:r>
      <w:r>
        <w:rPr>
          <w:rFonts w:hint="default" w:ascii="Times New Roman" w:hAnsi="Times New Roman" w:eastAsia="仿宋_GB2312" w:cs="Times New Roman"/>
          <w:caps w:val="0"/>
          <w:kern w:val="0"/>
          <w:sz w:val="32"/>
          <w:szCs w:val="32"/>
          <w:lang w:val="en-US" w:eastAsia="zh-CN" w:bidi="ar"/>
        </w:rPr>
        <w:t>1.2</w:t>
      </w:r>
      <w:r>
        <w:rPr>
          <w:rFonts w:hint="eastAsia" w:ascii="仿宋_GB2312" w:hAnsi="Times New Roman" w:eastAsia="仿宋_GB2312" w:cs="仿宋_GB2312"/>
          <w:caps w:val="0"/>
          <w:kern w:val="0"/>
          <w:sz w:val="32"/>
          <w:szCs w:val="32"/>
          <w:lang w:val="en-US" w:eastAsia="zh-CN" w:bidi="ar"/>
        </w:rPr>
        <w:t>分。</w:t>
      </w:r>
    </w:p>
    <w:p w14:paraId="3A1540D8">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）资产盘活率</w:t>
      </w:r>
    </w:p>
    <w:p w14:paraId="736D052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w:t>
      </w:r>
      <w:r>
        <w:rPr>
          <w:rFonts w:hint="default" w:ascii="Times New Roman" w:hAnsi="Times New Roman" w:eastAsia="仿宋_GB2312" w:cs="Times New Roman"/>
          <w:color w:val="000000"/>
          <w:kern w:val="0"/>
          <w:sz w:val="32"/>
          <w:szCs w:val="32"/>
          <w:shd w:val="clear" w:fill="FFFFFF"/>
          <w:lang w:val="en-US" w:eastAsia="zh-CN" w:bidi="ar"/>
        </w:rPr>
        <w:t>2024</w:t>
      </w:r>
      <w:r>
        <w:rPr>
          <w:rFonts w:hint="eastAsia" w:ascii="仿宋_GB2312" w:hAnsi="Times New Roman" w:eastAsia="仿宋_GB2312" w:cs="仿宋_GB2312"/>
          <w:color w:val="000000"/>
          <w:kern w:val="0"/>
          <w:sz w:val="32"/>
          <w:szCs w:val="32"/>
          <w:shd w:val="clear" w:fill="FFFFFF"/>
          <w:lang w:val="en-US" w:eastAsia="zh-CN" w:bidi="ar"/>
        </w:rPr>
        <w:t>年、</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年均无闲置资产。自评年度我单位部门闲置资产占比变化率为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w:t>
      </w:r>
    </w:p>
    <w:p w14:paraId="3DB7411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分。</w:t>
      </w:r>
    </w:p>
    <w:p w14:paraId="462C57B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5.</w:t>
      </w:r>
      <w:r>
        <w:rPr>
          <w:rFonts w:hint="eastAsia" w:ascii="楷体_GB2312" w:hAnsi="Times New Roman" w:eastAsia="楷体_GB2312" w:cs="楷体_GB2312"/>
          <w:color w:val="000000"/>
          <w:kern w:val="0"/>
          <w:sz w:val="32"/>
          <w:szCs w:val="32"/>
          <w:shd w:val="clear" w:fill="FFFFFF"/>
          <w:lang w:val="en-US" w:eastAsia="zh-CN" w:bidi="ar"/>
        </w:rPr>
        <w:t>采购管理</w:t>
      </w:r>
    </w:p>
    <w:p w14:paraId="038FFFC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）支持中小企业发展</w:t>
      </w:r>
    </w:p>
    <w:p w14:paraId="7ECCAB1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kern w:val="0"/>
          <w:sz w:val="32"/>
          <w:szCs w:val="32"/>
          <w:lang w:val="en-US" w:eastAsia="zh-CN" w:bidi="ar"/>
        </w:rPr>
        <w:t>我单位严格执行政府采购促进中小企业发展相关管理办法，对适宜由中小企业提供的采购项目和采购包，预留了采购份额专门面向中小企业采购，并在采购预算中单独列示。</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年，我单位政府采购授予中小企业合同金额为</w:t>
      </w:r>
      <w:r>
        <w:rPr>
          <w:rFonts w:hint="default" w:ascii="Times New Roman" w:hAnsi="Times New Roman" w:eastAsia="仿宋_GB2312" w:cs="Times New Roman"/>
          <w:kern w:val="0"/>
          <w:sz w:val="32"/>
          <w:szCs w:val="32"/>
          <w:lang w:val="en-US" w:eastAsia="zh-CN" w:bidi="ar"/>
        </w:rPr>
        <w:t>539.80</w:t>
      </w:r>
      <w:r>
        <w:rPr>
          <w:rFonts w:hint="eastAsia" w:ascii="仿宋_GB2312" w:hAnsi="Times New Roman" w:eastAsia="仿宋_GB2312" w:cs="仿宋_GB2312"/>
          <w:kern w:val="0"/>
          <w:sz w:val="32"/>
          <w:szCs w:val="32"/>
          <w:lang w:val="en-US" w:eastAsia="zh-CN" w:bidi="ar"/>
        </w:rPr>
        <w:t>万元。</w:t>
      </w:r>
    </w:p>
    <w:p w14:paraId="18F7A0E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分。</w:t>
      </w:r>
    </w:p>
    <w:p w14:paraId="59AECE7A">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）采购执行率</w:t>
      </w:r>
    </w:p>
    <w:p w14:paraId="577E783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年度的政府采购总预算数为</w:t>
      </w:r>
      <w:r>
        <w:rPr>
          <w:rFonts w:hint="default" w:ascii="Times New Roman" w:hAnsi="Times New Roman" w:eastAsia="仿宋_GB2312" w:cs="Times New Roman"/>
          <w:color w:val="000000"/>
          <w:kern w:val="0"/>
          <w:sz w:val="32"/>
          <w:szCs w:val="32"/>
          <w:shd w:val="clear" w:fill="FFFFFF"/>
          <w:lang w:val="en-US" w:eastAsia="zh-CN" w:bidi="ar"/>
        </w:rPr>
        <w:t>955.56</w:t>
      </w:r>
      <w:r>
        <w:rPr>
          <w:rFonts w:hint="eastAsia" w:ascii="仿宋_GB2312" w:hAnsi="Times New Roman" w:eastAsia="仿宋_GB2312" w:cs="仿宋_GB2312"/>
          <w:color w:val="000000"/>
          <w:kern w:val="0"/>
          <w:sz w:val="32"/>
          <w:szCs w:val="32"/>
          <w:shd w:val="clear" w:fill="FFFFFF"/>
          <w:lang w:val="en-US" w:eastAsia="zh-CN" w:bidi="ar"/>
        </w:rPr>
        <w:t>万元，当年政府采购预算执行数为</w:t>
      </w:r>
      <w:r>
        <w:rPr>
          <w:rFonts w:hint="default" w:ascii="Times New Roman" w:hAnsi="Times New Roman" w:eastAsia="仿宋_GB2312" w:cs="Times New Roman"/>
          <w:color w:val="000000"/>
          <w:kern w:val="0"/>
          <w:sz w:val="32"/>
          <w:szCs w:val="32"/>
          <w:shd w:val="clear" w:fill="FFFFFF"/>
          <w:lang w:val="en-US" w:eastAsia="zh-CN" w:bidi="ar"/>
        </w:rPr>
        <w:t>955.56</w:t>
      </w:r>
      <w:r>
        <w:rPr>
          <w:rFonts w:hint="eastAsia" w:ascii="仿宋_GB2312" w:hAnsi="Times New Roman" w:eastAsia="仿宋_GB2312" w:cs="仿宋_GB2312"/>
          <w:color w:val="000000"/>
          <w:kern w:val="0"/>
          <w:sz w:val="32"/>
          <w:szCs w:val="32"/>
          <w:shd w:val="clear" w:fill="FFFFFF"/>
          <w:lang w:val="en-US" w:eastAsia="zh-CN" w:bidi="ar"/>
        </w:rPr>
        <w:t>万元，已完成采购项目节约金额为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万元，采购执行率为</w:t>
      </w:r>
      <w:r>
        <w:rPr>
          <w:rFonts w:hint="default" w:ascii="Times New Roman" w:hAnsi="Times New Roman" w:eastAsia="仿宋_GB2312" w:cs="Times New Roman"/>
          <w:color w:val="000000"/>
          <w:kern w:val="0"/>
          <w:sz w:val="32"/>
          <w:szCs w:val="32"/>
          <w:shd w:val="clear" w:fill="FFFFFF"/>
          <w:lang w:val="en-US" w:eastAsia="zh-CN" w:bidi="ar"/>
        </w:rPr>
        <w:t>100%</w:t>
      </w:r>
      <w:r>
        <w:rPr>
          <w:rFonts w:hint="eastAsia" w:ascii="仿宋_GB2312" w:hAnsi="Times New Roman" w:eastAsia="仿宋_GB2312" w:cs="仿宋_GB2312"/>
          <w:color w:val="000000"/>
          <w:kern w:val="0"/>
          <w:sz w:val="32"/>
          <w:szCs w:val="32"/>
          <w:shd w:val="clear" w:fill="FFFFFF"/>
          <w:lang w:val="en-US" w:eastAsia="zh-CN" w:bidi="ar"/>
        </w:rPr>
        <w:t>。</w:t>
      </w:r>
    </w:p>
    <w:p w14:paraId="63271C1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分。</w:t>
      </w:r>
    </w:p>
    <w:p w14:paraId="6DA11C43">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仿宋_GB2312" w:cs="Times New Roman"/>
          <w:color w:val="000000"/>
          <w:kern w:val="0"/>
          <w:sz w:val="32"/>
          <w:szCs w:val="32"/>
          <w:shd w:val="clear" w:fill="FFFFFF"/>
        </w:rPr>
      </w:pPr>
      <w:bookmarkStart w:id="25" w:name="_Toc2038"/>
      <w:r>
        <w:rPr>
          <w:rFonts w:hint="eastAsia" w:ascii="楷体_GB2312" w:hAnsi="Times New Roman" w:eastAsia="楷体_GB2312" w:cs="楷体_GB2312"/>
          <w:b/>
          <w:bCs/>
          <w:color w:val="000000"/>
          <w:kern w:val="0"/>
          <w:sz w:val="32"/>
          <w:szCs w:val="32"/>
          <w:shd w:val="clear" w:fill="FFFFFF"/>
          <w:lang w:val="en-US" w:eastAsia="zh-CN" w:bidi="ar"/>
        </w:rPr>
        <w:t>（二）部门预算项目绩效分析</w:t>
      </w:r>
      <w:bookmarkEnd w:id="25"/>
    </w:p>
    <w:p w14:paraId="2D264F3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常年项目绩效分析。该类项目总数</w:t>
      </w:r>
      <w:r>
        <w:rPr>
          <w:rFonts w:hint="default" w:ascii="Times New Roman" w:hAnsi="Times New Roman" w:eastAsia="仿宋_GB2312" w:cs="Times New Roman"/>
          <w:color w:val="000000"/>
          <w:kern w:val="0"/>
          <w:sz w:val="32"/>
          <w:szCs w:val="32"/>
          <w:shd w:val="clear" w:fill="FFFFFF"/>
          <w:lang w:val="en-US" w:eastAsia="zh-CN" w:bidi="ar"/>
        </w:rPr>
        <w:t>101</w:t>
      </w:r>
      <w:r>
        <w:rPr>
          <w:rFonts w:hint="eastAsia" w:ascii="仿宋_GB2312" w:hAnsi="Times New Roman" w:eastAsia="仿宋_GB2312" w:cs="仿宋_GB2312"/>
          <w:color w:val="000000"/>
          <w:kern w:val="0"/>
          <w:sz w:val="32"/>
          <w:szCs w:val="32"/>
          <w:shd w:val="clear" w:fill="FFFFFF"/>
          <w:lang w:val="en-US" w:eastAsia="zh-CN" w:bidi="ar"/>
        </w:rPr>
        <w:t>个，涉及预算总金额</w:t>
      </w:r>
      <w:r>
        <w:rPr>
          <w:rFonts w:hint="default" w:ascii="Times New Roman" w:hAnsi="Times New Roman" w:eastAsia="仿宋_GB2312" w:cs="Times New Roman"/>
          <w:color w:val="000000"/>
          <w:kern w:val="0"/>
          <w:sz w:val="32"/>
          <w:szCs w:val="32"/>
          <w:shd w:val="clear" w:fill="FFFFFF"/>
          <w:lang w:val="en-US" w:eastAsia="zh-CN" w:bidi="ar"/>
        </w:rPr>
        <w:t>21,638.22</w:t>
      </w:r>
      <w:r>
        <w:rPr>
          <w:rFonts w:hint="eastAsia" w:ascii="仿宋_GB2312" w:hAnsi="Times New Roman" w:eastAsia="仿宋_GB2312" w:cs="仿宋_GB2312"/>
          <w:color w:val="000000"/>
          <w:kern w:val="0"/>
          <w:sz w:val="32"/>
          <w:szCs w:val="32"/>
          <w:shd w:val="clear" w:fill="FFFFFF"/>
          <w:lang w:val="en-US" w:eastAsia="zh-CN" w:bidi="ar"/>
        </w:rPr>
        <w:t>万元，</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12</w:t>
      </w:r>
      <w:r>
        <w:rPr>
          <w:rFonts w:hint="eastAsia" w:ascii="仿宋_GB2312" w:hAnsi="Times New Roman" w:eastAsia="仿宋_GB2312" w:cs="仿宋_GB2312"/>
          <w:color w:val="000000"/>
          <w:kern w:val="0"/>
          <w:sz w:val="32"/>
          <w:szCs w:val="32"/>
          <w:shd w:val="clear" w:fill="FFFFFF"/>
          <w:lang w:val="en-US" w:eastAsia="zh-CN" w:bidi="ar"/>
        </w:rPr>
        <w:t>月预算执行总体进度为</w:t>
      </w:r>
      <w:r>
        <w:rPr>
          <w:rFonts w:hint="default" w:ascii="Times New Roman" w:hAnsi="Times New Roman" w:eastAsia="仿宋_GB2312" w:cs="Times New Roman"/>
          <w:color w:val="000000"/>
          <w:kern w:val="0"/>
          <w:sz w:val="32"/>
          <w:szCs w:val="32"/>
          <w:shd w:val="clear" w:fill="FFFFFF"/>
          <w:lang w:val="en-US" w:eastAsia="zh-CN" w:bidi="ar"/>
        </w:rPr>
        <w:t>100%</w:t>
      </w:r>
      <w:r>
        <w:rPr>
          <w:rFonts w:hint="eastAsia" w:ascii="仿宋_GB2312" w:hAnsi="Times New Roman" w:eastAsia="仿宋_GB2312" w:cs="仿宋_GB2312"/>
          <w:color w:val="000000"/>
          <w:kern w:val="0"/>
          <w:sz w:val="32"/>
          <w:szCs w:val="32"/>
          <w:shd w:val="clear" w:fill="FFFFFF"/>
          <w:lang w:val="en-US" w:eastAsia="zh-CN" w:bidi="ar"/>
        </w:rPr>
        <w:t>，其中：预算结余率大于</w:t>
      </w:r>
      <w:r>
        <w:rPr>
          <w:rFonts w:hint="default" w:ascii="Times New Roman" w:hAnsi="Times New Roman" w:eastAsia="仿宋_GB2312" w:cs="Times New Roman"/>
          <w:color w:val="000000"/>
          <w:kern w:val="0"/>
          <w:sz w:val="32"/>
          <w:szCs w:val="32"/>
          <w:shd w:val="clear" w:fill="FFFFFF"/>
          <w:lang w:val="en-US" w:eastAsia="zh-CN" w:bidi="ar"/>
        </w:rPr>
        <w:t>10%</w:t>
      </w:r>
      <w:r>
        <w:rPr>
          <w:rFonts w:hint="eastAsia" w:ascii="仿宋_GB2312" w:hAnsi="Times New Roman" w:eastAsia="仿宋_GB2312" w:cs="仿宋_GB2312"/>
          <w:color w:val="000000"/>
          <w:kern w:val="0"/>
          <w:sz w:val="32"/>
          <w:szCs w:val="32"/>
          <w:shd w:val="clear" w:fill="FFFFFF"/>
          <w:lang w:val="en-US" w:eastAsia="zh-CN" w:bidi="ar"/>
        </w:rPr>
        <w:t>的项目共计</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个。</w:t>
      </w:r>
    </w:p>
    <w:p w14:paraId="56CED04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阶段（含一次性）项目绩效分析。该类项目总数</w:t>
      </w:r>
      <w:r>
        <w:rPr>
          <w:rFonts w:hint="default" w:ascii="Times New Roman" w:hAnsi="Times New Roman" w:eastAsia="仿宋_GB2312" w:cs="Times New Roman"/>
          <w:color w:val="000000"/>
          <w:kern w:val="0"/>
          <w:sz w:val="32"/>
          <w:szCs w:val="32"/>
          <w:shd w:val="clear" w:fill="FFFFFF"/>
          <w:lang w:val="en-US" w:eastAsia="zh-CN" w:bidi="ar"/>
        </w:rPr>
        <w:t>56</w:t>
      </w:r>
      <w:r>
        <w:rPr>
          <w:rFonts w:hint="eastAsia" w:ascii="仿宋_GB2312" w:hAnsi="Times New Roman" w:eastAsia="仿宋_GB2312" w:cs="仿宋_GB2312"/>
          <w:color w:val="000000"/>
          <w:kern w:val="0"/>
          <w:sz w:val="32"/>
          <w:szCs w:val="32"/>
          <w:shd w:val="clear" w:fill="FFFFFF"/>
          <w:lang w:val="en-US" w:eastAsia="zh-CN" w:bidi="ar"/>
        </w:rPr>
        <w:t>个，涉及预算总金额</w:t>
      </w:r>
      <w:r>
        <w:rPr>
          <w:rFonts w:hint="default" w:ascii="Times New Roman" w:hAnsi="Times New Roman" w:eastAsia="仿宋_GB2312" w:cs="Times New Roman"/>
          <w:color w:val="000000"/>
          <w:kern w:val="0"/>
          <w:sz w:val="32"/>
          <w:szCs w:val="32"/>
          <w:shd w:val="clear" w:fill="FFFFFF"/>
          <w:lang w:val="en-US" w:eastAsia="zh-CN" w:bidi="ar"/>
        </w:rPr>
        <w:t>5,122.37</w:t>
      </w:r>
      <w:r>
        <w:rPr>
          <w:rFonts w:hint="eastAsia" w:ascii="仿宋_GB2312" w:hAnsi="Times New Roman" w:eastAsia="仿宋_GB2312" w:cs="仿宋_GB2312"/>
          <w:color w:val="000000"/>
          <w:kern w:val="0"/>
          <w:sz w:val="32"/>
          <w:szCs w:val="32"/>
          <w:shd w:val="clear" w:fill="FFFFFF"/>
          <w:lang w:val="en-US" w:eastAsia="zh-CN" w:bidi="ar"/>
        </w:rPr>
        <w:t>万元，</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12</w:t>
      </w:r>
      <w:r>
        <w:rPr>
          <w:rFonts w:hint="eastAsia" w:ascii="仿宋_GB2312" w:hAnsi="Times New Roman" w:eastAsia="仿宋_GB2312" w:cs="仿宋_GB2312"/>
          <w:color w:val="000000"/>
          <w:kern w:val="0"/>
          <w:sz w:val="32"/>
          <w:szCs w:val="32"/>
          <w:shd w:val="clear" w:fill="FFFFFF"/>
          <w:lang w:val="en-US" w:eastAsia="zh-CN" w:bidi="ar"/>
        </w:rPr>
        <w:t>月预算执行总体进度为</w:t>
      </w:r>
      <w:r>
        <w:rPr>
          <w:rFonts w:hint="default" w:ascii="Times New Roman" w:hAnsi="Times New Roman" w:eastAsia="仿宋_GB2312" w:cs="Times New Roman"/>
          <w:color w:val="000000"/>
          <w:kern w:val="0"/>
          <w:sz w:val="32"/>
          <w:szCs w:val="32"/>
          <w:shd w:val="clear" w:fill="FFFFFF"/>
          <w:lang w:val="en-US" w:eastAsia="zh-CN" w:bidi="ar"/>
        </w:rPr>
        <w:t>100%</w:t>
      </w:r>
      <w:r>
        <w:rPr>
          <w:rFonts w:hint="eastAsia" w:ascii="仿宋_GB2312" w:hAnsi="Times New Roman" w:eastAsia="仿宋_GB2312" w:cs="仿宋_GB2312"/>
          <w:color w:val="000000"/>
          <w:kern w:val="0"/>
          <w:sz w:val="32"/>
          <w:szCs w:val="32"/>
          <w:shd w:val="clear" w:fill="FFFFFF"/>
          <w:lang w:val="en-US" w:eastAsia="zh-CN" w:bidi="ar"/>
        </w:rPr>
        <w:t>，其中：预算结余率大于</w:t>
      </w:r>
      <w:r>
        <w:rPr>
          <w:rFonts w:hint="default" w:ascii="Times New Roman" w:hAnsi="Times New Roman" w:eastAsia="仿宋_GB2312" w:cs="Times New Roman"/>
          <w:color w:val="000000"/>
          <w:kern w:val="0"/>
          <w:sz w:val="32"/>
          <w:szCs w:val="32"/>
          <w:shd w:val="clear" w:fill="FFFFFF"/>
          <w:lang w:val="en-US" w:eastAsia="zh-CN" w:bidi="ar"/>
        </w:rPr>
        <w:t>10%</w:t>
      </w:r>
      <w:r>
        <w:rPr>
          <w:rFonts w:hint="eastAsia" w:ascii="仿宋_GB2312" w:hAnsi="Times New Roman" w:eastAsia="仿宋_GB2312" w:cs="仿宋_GB2312"/>
          <w:color w:val="000000"/>
          <w:kern w:val="0"/>
          <w:sz w:val="32"/>
          <w:szCs w:val="32"/>
          <w:shd w:val="clear" w:fill="FFFFFF"/>
          <w:lang w:val="en-US" w:eastAsia="zh-CN" w:bidi="ar"/>
        </w:rPr>
        <w:t>的项目共计</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个。</w:t>
      </w:r>
    </w:p>
    <w:p w14:paraId="7C71670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w:t>
      </w:r>
      <w:r>
        <w:rPr>
          <w:rFonts w:hint="eastAsia" w:ascii="楷体_GB2312" w:hAnsi="Times New Roman" w:eastAsia="楷体_GB2312" w:cs="楷体_GB2312"/>
          <w:color w:val="000000"/>
          <w:kern w:val="0"/>
          <w:sz w:val="32"/>
          <w:szCs w:val="32"/>
          <w:shd w:val="clear" w:fill="FFFFFF"/>
          <w:lang w:val="en-US" w:eastAsia="zh-CN" w:bidi="ar"/>
        </w:rPr>
        <w:t>项目决策</w:t>
      </w:r>
    </w:p>
    <w:p w14:paraId="13BD734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）决策程序</w:t>
      </w:r>
    </w:p>
    <w:p w14:paraId="4F98338F">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我单位预算阶段项目（含一次性项目）总数为</w:t>
      </w:r>
      <w:r>
        <w:rPr>
          <w:rFonts w:hint="default" w:ascii="Times New Roman" w:hAnsi="Times New Roman" w:eastAsia="仿宋_GB2312" w:cs="Times New Roman"/>
          <w:color w:val="000000"/>
          <w:kern w:val="0"/>
          <w:sz w:val="32"/>
          <w:szCs w:val="32"/>
          <w:shd w:val="clear" w:fill="FFFFFF"/>
          <w:lang w:val="en-US" w:eastAsia="zh-CN" w:bidi="ar"/>
        </w:rPr>
        <w:t>56</w:t>
      </w:r>
      <w:r>
        <w:rPr>
          <w:rFonts w:hint="eastAsia" w:ascii="仿宋_GB2312" w:hAnsi="Times New Roman" w:eastAsia="仿宋_GB2312" w:cs="仿宋_GB2312"/>
          <w:color w:val="000000"/>
          <w:kern w:val="0"/>
          <w:sz w:val="32"/>
          <w:szCs w:val="32"/>
          <w:shd w:val="clear" w:fill="FFFFFF"/>
          <w:lang w:val="en-US" w:eastAsia="zh-CN" w:bidi="ar"/>
        </w:rPr>
        <w:t>个，无未履行事前评估程序的部门预算阶段项目。</w:t>
      </w:r>
    </w:p>
    <w:p w14:paraId="085B035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w:t>
      </w:r>
    </w:p>
    <w:p w14:paraId="07585EDA">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）目标设置</w:t>
      </w:r>
    </w:p>
    <w:p w14:paraId="3A715F0D">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在编制部门预算阶段项目（含一次性项目）绩效目标时，紧紧围绕计划期内的任务量进行统筹规划，确保绩效目标与预算安排的资金量相匹配。各项目标设置科学合理、规范完整，做到了量化细化，既明确了预期产出和效果，也与财政预算安排紧密衔接，为预算执行和绩效监控提供了清晰依据。</w:t>
      </w:r>
    </w:p>
    <w:p w14:paraId="284C9FD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w:t>
      </w:r>
    </w:p>
    <w:p w14:paraId="29E943B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）项目入库</w:t>
      </w:r>
    </w:p>
    <w:p w14:paraId="614A9EB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年我单位需在规定时间内进行入库的部门预算阶段项目（含一次性项目）共有</w:t>
      </w:r>
      <w:r>
        <w:rPr>
          <w:rFonts w:hint="default" w:ascii="Times New Roman" w:hAnsi="Times New Roman" w:eastAsia="仿宋_GB2312" w:cs="Times New Roman"/>
          <w:color w:val="000000"/>
          <w:kern w:val="0"/>
          <w:sz w:val="32"/>
          <w:szCs w:val="32"/>
          <w:shd w:val="clear" w:fill="FFFFFF"/>
          <w:lang w:val="en-US" w:eastAsia="zh-CN" w:bidi="ar"/>
        </w:rPr>
        <w:t>56</w:t>
      </w:r>
      <w:r>
        <w:rPr>
          <w:rFonts w:hint="eastAsia" w:ascii="仿宋_GB2312" w:hAnsi="Times New Roman" w:eastAsia="仿宋_GB2312" w:cs="仿宋_GB2312"/>
          <w:color w:val="000000"/>
          <w:kern w:val="0"/>
          <w:sz w:val="32"/>
          <w:szCs w:val="32"/>
          <w:shd w:val="clear" w:fill="FFFFFF"/>
          <w:lang w:val="en-US" w:eastAsia="zh-CN" w:bidi="ar"/>
        </w:rPr>
        <w:t>个，均在规定时间内完成了项目入库。</w:t>
      </w:r>
    </w:p>
    <w:p w14:paraId="2C073E1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w:t>
      </w:r>
    </w:p>
    <w:p w14:paraId="4A51E04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2.</w:t>
      </w:r>
      <w:r>
        <w:rPr>
          <w:rFonts w:hint="eastAsia" w:ascii="楷体_GB2312" w:hAnsi="Times New Roman" w:eastAsia="楷体_GB2312" w:cs="楷体_GB2312"/>
          <w:color w:val="000000"/>
          <w:kern w:val="0"/>
          <w:sz w:val="32"/>
          <w:szCs w:val="32"/>
          <w:shd w:val="clear" w:fill="FFFFFF"/>
          <w:lang w:val="en-US" w:eastAsia="zh-CN" w:bidi="ar"/>
        </w:rPr>
        <w:t>项目执行</w:t>
      </w:r>
    </w:p>
    <w:p w14:paraId="2204807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）资金执行同向</w:t>
      </w:r>
    </w:p>
    <w:p w14:paraId="275EBED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我单位严格按照部门预算批复内容组织实施，部门预算阶段项目（含一次性项目）资金使用符合预算批复用途，与项目总体绩效目标设置方向保持一致，无相悖或不合理之处。</w:t>
      </w:r>
    </w:p>
    <w:p w14:paraId="2EBB76D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w:t>
      </w:r>
    </w:p>
    <w:p w14:paraId="6D2F166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）项目调整</w:t>
      </w:r>
    </w:p>
    <w:p w14:paraId="3B5E314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严格按照预算绩效管理要求，对部门预算阶段项目（含一次性项目）实施动态监控，针对应采取收回预算、调整目标等处置措施的项目，及时按规定履行程序并落实相应调整。经统计，我单位应采取处置措施的部门预算阶段项目（含一次性项目）均已按要求完成调整，未出现“应采取未采取”的情形。</w:t>
      </w:r>
    </w:p>
    <w:p w14:paraId="127D603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w:t>
      </w:r>
    </w:p>
    <w:p w14:paraId="5877C36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）执行结果</w:t>
      </w:r>
    </w:p>
    <w:p w14:paraId="3047C16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年我单位常年项目共计</w:t>
      </w:r>
      <w:r>
        <w:rPr>
          <w:rFonts w:hint="default" w:ascii="Times New Roman" w:hAnsi="Times New Roman" w:eastAsia="仿宋_GB2312" w:cs="Times New Roman"/>
          <w:color w:val="000000"/>
          <w:kern w:val="0"/>
          <w:sz w:val="32"/>
          <w:szCs w:val="32"/>
          <w:shd w:val="clear" w:fill="FFFFFF"/>
          <w:lang w:val="en-US" w:eastAsia="zh-CN" w:bidi="ar"/>
        </w:rPr>
        <w:t>101</w:t>
      </w:r>
      <w:r>
        <w:rPr>
          <w:rFonts w:hint="eastAsia" w:ascii="仿宋_GB2312" w:hAnsi="Times New Roman" w:eastAsia="仿宋_GB2312" w:cs="仿宋_GB2312"/>
          <w:color w:val="000000"/>
          <w:kern w:val="0"/>
          <w:sz w:val="32"/>
          <w:szCs w:val="32"/>
          <w:shd w:val="clear" w:fill="FFFFFF"/>
          <w:lang w:val="en-US" w:eastAsia="zh-CN" w:bidi="ar"/>
        </w:rPr>
        <w:t>个，预算结余率小于</w:t>
      </w:r>
      <w:r>
        <w:rPr>
          <w:rFonts w:hint="default" w:ascii="Times New Roman" w:hAnsi="Times New Roman" w:eastAsia="仿宋_GB2312" w:cs="Times New Roman"/>
          <w:color w:val="000000"/>
          <w:kern w:val="0"/>
          <w:sz w:val="32"/>
          <w:szCs w:val="32"/>
          <w:shd w:val="clear" w:fill="FFFFFF"/>
          <w:lang w:val="en-US" w:eastAsia="zh-CN" w:bidi="ar"/>
        </w:rPr>
        <w:t>10%</w:t>
      </w:r>
      <w:r>
        <w:rPr>
          <w:rFonts w:hint="eastAsia" w:ascii="仿宋_GB2312" w:hAnsi="Times New Roman" w:eastAsia="仿宋_GB2312" w:cs="仿宋_GB2312"/>
          <w:color w:val="000000"/>
          <w:kern w:val="0"/>
          <w:sz w:val="32"/>
          <w:szCs w:val="32"/>
          <w:shd w:val="clear" w:fill="FFFFFF"/>
          <w:lang w:val="en-US" w:eastAsia="zh-CN" w:bidi="ar"/>
        </w:rPr>
        <w:t>的常年项目数量为</w:t>
      </w:r>
      <w:r>
        <w:rPr>
          <w:rFonts w:hint="default" w:ascii="Times New Roman" w:hAnsi="Times New Roman" w:eastAsia="仿宋_GB2312" w:cs="Times New Roman"/>
          <w:color w:val="000000"/>
          <w:kern w:val="0"/>
          <w:sz w:val="32"/>
          <w:szCs w:val="32"/>
          <w:shd w:val="clear" w:fill="FFFFFF"/>
          <w:lang w:val="en-US" w:eastAsia="zh-CN" w:bidi="ar"/>
        </w:rPr>
        <w:t>101</w:t>
      </w:r>
      <w:r>
        <w:rPr>
          <w:rFonts w:hint="eastAsia" w:ascii="仿宋_GB2312" w:hAnsi="Times New Roman" w:eastAsia="仿宋_GB2312" w:cs="仿宋_GB2312"/>
          <w:color w:val="000000"/>
          <w:kern w:val="0"/>
          <w:sz w:val="32"/>
          <w:szCs w:val="32"/>
          <w:shd w:val="clear" w:fill="FFFFFF"/>
          <w:lang w:val="en-US" w:eastAsia="zh-CN" w:bidi="ar"/>
        </w:rPr>
        <w:t>个；一次性项目和阶段项目共计</w:t>
      </w:r>
      <w:r>
        <w:rPr>
          <w:rFonts w:hint="default" w:ascii="Times New Roman" w:hAnsi="Times New Roman" w:eastAsia="仿宋_GB2312" w:cs="Times New Roman"/>
          <w:color w:val="000000"/>
          <w:kern w:val="0"/>
          <w:sz w:val="32"/>
          <w:szCs w:val="32"/>
          <w:shd w:val="clear" w:fill="FFFFFF"/>
          <w:lang w:val="en-US" w:eastAsia="zh-CN" w:bidi="ar"/>
        </w:rPr>
        <w:t>56</w:t>
      </w:r>
      <w:r>
        <w:rPr>
          <w:rFonts w:hint="eastAsia" w:ascii="仿宋_GB2312" w:hAnsi="Times New Roman" w:eastAsia="仿宋_GB2312" w:cs="仿宋_GB2312"/>
          <w:color w:val="000000"/>
          <w:kern w:val="0"/>
          <w:sz w:val="32"/>
          <w:szCs w:val="32"/>
          <w:shd w:val="clear" w:fill="FFFFFF"/>
          <w:lang w:val="en-US" w:eastAsia="zh-CN" w:bidi="ar"/>
        </w:rPr>
        <w:t>个，预算结余率小于</w:t>
      </w:r>
      <w:r>
        <w:rPr>
          <w:rFonts w:hint="default" w:ascii="Times New Roman" w:hAnsi="Times New Roman" w:eastAsia="仿宋_GB2312" w:cs="Times New Roman"/>
          <w:color w:val="000000"/>
          <w:kern w:val="0"/>
          <w:sz w:val="32"/>
          <w:szCs w:val="32"/>
          <w:shd w:val="clear" w:fill="FFFFFF"/>
          <w:lang w:val="en-US" w:eastAsia="zh-CN" w:bidi="ar"/>
        </w:rPr>
        <w:t>10%</w:t>
      </w:r>
      <w:r>
        <w:rPr>
          <w:rFonts w:hint="eastAsia" w:ascii="仿宋_GB2312" w:hAnsi="Times New Roman" w:eastAsia="仿宋_GB2312" w:cs="仿宋_GB2312"/>
          <w:color w:val="000000"/>
          <w:kern w:val="0"/>
          <w:sz w:val="32"/>
          <w:szCs w:val="32"/>
          <w:shd w:val="clear" w:fill="FFFFFF"/>
          <w:lang w:val="en-US" w:eastAsia="zh-CN" w:bidi="ar"/>
        </w:rPr>
        <w:t>的一次性项目和阶段项目数量为</w:t>
      </w:r>
      <w:r>
        <w:rPr>
          <w:rFonts w:hint="default" w:ascii="Times New Roman" w:hAnsi="Times New Roman" w:eastAsia="仿宋_GB2312" w:cs="Times New Roman"/>
          <w:color w:val="000000"/>
          <w:kern w:val="0"/>
          <w:sz w:val="32"/>
          <w:szCs w:val="32"/>
          <w:shd w:val="clear" w:fill="FFFFFF"/>
          <w:lang w:val="en-US" w:eastAsia="zh-CN" w:bidi="ar"/>
        </w:rPr>
        <w:t>56</w:t>
      </w:r>
      <w:r>
        <w:rPr>
          <w:rFonts w:hint="eastAsia" w:ascii="仿宋_GB2312" w:hAnsi="Times New Roman" w:eastAsia="仿宋_GB2312" w:cs="仿宋_GB2312"/>
          <w:color w:val="000000"/>
          <w:kern w:val="0"/>
          <w:sz w:val="32"/>
          <w:szCs w:val="32"/>
          <w:shd w:val="clear" w:fill="FFFFFF"/>
          <w:lang w:val="en-US" w:eastAsia="zh-CN" w:bidi="ar"/>
        </w:rPr>
        <w:t>个。</w:t>
      </w:r>
    </w:p>
    <w:p w14:paraId="192D4B35">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w:t>
      </w:r>
    </w:p>
    <w:p w14:paraId="76FC3037">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3.</w:t>
      </w:r>
      <w:r>
        <w:rPr>
          <w:rFonts w:hint="eastAsia" w:ascii="楷体_GB2312" w:hAnsi="Times New Roman" w:eastAsia="楷体_GB2312" w:cs="楷体_GB2312"/>
          <w:color w:val="000000"/>
          <w:kern w:val="0"/>
          <w:sz w:val="32"/>
          <w:szCs w:val="32"/>
          <w:shd w:val="clear" w:fill="FFFFFF"/>
          <w:lang w:val="en-US" w:eastAsia="zh-CN" w:bidi="ar"/>
        </w:rPr>
        <w:t>目标实现</w:t>
      </w:r>
    </w:p>
    <w:p w14:paraId="1E3B694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）目标完成</w:t>
      </w:r>
    </w:p>
    <w:p w14:paraId="0F97D3A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年我单位部门预算阶段项目（含一次性项目）共有</w:t>
      </w:r>
      <w:r>
        <w:rPr>
          <w:rFonts w:hint="default" w:ascii="Times New Roman" w:hAnsi="Times New Roman" w:eastAsia="仿宋_GB2312" w:cs="Times New Roman"/>
          <w:color w:val="000000"/>
          <w:kern w:val="0"/>
          <w:sz w:val="32"/>
          <w:szCs w:val="32"/>
          <w:shd w:val="clear" w:fill="FFFFFF"/>
          <w:lang w:val="en-US" w:eastAsia="zh-CN" w:bidi="ar"/>
        </w:rPr>
        <w:t>56</w:t>
      </w:r>
      <w:r>
        <w:rPr>
          <w:rFonts w:hint="eastAsia" w:ascii="仿宋_GB2312" w:hAnsi="Times New Roman" w:eastAsia="仿宋_GB2312" w:cs="仿宋_GB2312"/>
          <w:color w:val="000000"/>
          <w:kern w:val="0"/>
          <w:sz w:val="32"/>
          <w:szCs w:val="32"/>
          <w:shd w:val="clear" w:fill="FFFFFF"/>
          <w:lang w:val="en-US" w:eastAsia="zh-CN" w:bidi="ar"/>
        </w:rPr>
        <w:t>个，结合项目实施情况，我单位所涉及的部门预算阶段项目（含一次性项目）各项数量指标全部完成。</w:t>
      </w:r>
    </w:p>
    <w:p w14:paraId="34A340E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w:t>
      </w:r>
    </w:p>
    <w:p w14:paraId="6FFF5D7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）目标偏离</w:t>
      </w:r>
    </w:p>
    <w:p w14:paraId="2BE30D8E">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年我单位部门预算阶段项目（含一次性项目）共有</w:t>
      </w:r>
      <w:r>
        <w:rPr>
          <w:rFonts w:hint="default" w:ascii="Times New Roman" w:hAnsi="Times New Roman" w:eastAsia="仿宋_GB2312" w:cs="Times New Roman"/>
          <w:color w:val="000000"/>
          <w:kern w:val="0"/>
          <w:sz w:val="32"/>
          <w:szCs w:val="32"/>
          <w:shd w:val="clear" w:fill="FFFFFF"/>
          <w:lang w:val="en-US" w:eastAsia="zh-CN" w:bidi="ar"/>
        </w:rPr>
        <w:t>56</w:t>
      </w:r>
      <w:r>
        <w:rPr>
          <w:rFonts w:hint="eastAsia" w:ascii="仿宋_GB2312" w:hAnsi="Times New Roman" w:eastAsia="仿宋_GB2312" w:cs="仿宋_GB2312"/>
          <w:color w:val="000000"/>
          <w:kern w:val="0"/>
          <w:sz w:val="32"/>
          <w:szCs w:val="32"/>
          <w:shd w:val="clear" w:fill="FFFFFF"/>
          <w:lang w:val="en-US" w:eastAsia="zh-CN" w:bidi="ar"/>
        </w:rPr>
        <w:t>个，所有项目的数量指标完成情况良好，与预期目标的偏离度均未超过</w:t>
      </w:r>
      <w:r>
        <w:rPr>
          <w:rFonts w:hint="default" w:ascii="Times New Roman" w:hAnsi="Times New Roman" w:eastAsia="仿宋_GB2312" w:cs="Times New Roman"/>
          <w:color w:val="000000"/>
          <w:kern w:val="0"/>
          <w:sz w:val="32"/>
          <w:szCs w:val="32"/>
          <w:shd w:val="clear" w:fill="FFFFFF"/>
          <w:lang w:val="en-US" w:eastAsia="zh-CN" w:bidi="ar"/>
        </w:rPr>
        <w:t>30%</w:t>
      </w:r>
      <w:r>
        <w:rPr>
          <w:rFonts w:hint="eastAsia" w:ascii="仿宋_GB2312" w:hAnsi="Times New Roman" w:eastAsia="仿宋_GB2312" w:cs="仿宋_GB2312"/>
          <w:color w:val="000000"/>
          <w:kern w:val="0"/>
          <w:sz w:val="32"/>
          <w:szCs w:val="32"/>
          <w:shd w:val="clear" w:fill="FFFFFF"/>
          <w:lang w:val="en-US" w:eastAsia="zh-CN" w:bidi="ar"/>
        </w:rPr>
        <w:t>。</w:t>
      </w:r>
    </w:p>
    <w:p w14:paraId="2FB053F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根据评分标准，该项指标不扣分，得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w:t>
      </w:r>
    </w:p>
    <w:p w14:paraId="3432DE2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）实现效果</w:t>
      </w:r>
    </w:p>
    <w:p w14:paraId="5D0A5635">
      <w:pPr>
        <w:keepNext w:val="0"/>
        <w:keepLines w:val="0"/>
        <w:widowControl w:val="0"/>
        <w:suppressLineNumbers w:val="0"/>
        <w:autoSpaceDE w:val="0"/>
        <w:autoSpaceDN/>
        <w:spacing w:before="0" w:beforeAutospacing="1" w:after="200" w:afterAutospacing="0" w:line="600" w:lineRule="exact"/>
        <w:ind w:left="0" w:right="0" w:firstLine="640" w:firstLineChars="200"/>
        <w:jc w:val="left"/>
        <w:rPr>
          <w:rFonts w:hint="default" w:ascii="Times New Roman" w:hAnsi="Times New Roman" w:eastAsia="仿宋_GB2312" w:cs="Times New Roman"/>
          <w:caps w:val="0"/>
          <w:sz w:val="32"/>
          <w:szCs w:val="32"/>
        </w:rPr>
      </w:pPr>
      <w:r>
        <w:rPr>
          <w:rFonts w:hint="default" w:ascii="Times New Roman" w:hAnsi="Times New Roman" w:eastAsia="仿宋_GB2312" w:cs="Times New Roman"/>
          <w:caps w:val="0"/>
          <w:kern w:val="0"/>
          <w:sz w:val="32"/>
          <w:szCs w:val="32"/>
          <w:lang w:val="en-US" w:eastAsia="zh-CN" w:bidi="ar"/>
        </w:rPr>
        <w:t>2025</w:t>
      </w:r>
      <w:r>
        <w:rPr>
          <w:rFonts w:hint="eastAsia" w:ascii="仿宋_GB2312" w:hAnsi="Times New Roman" w:eastAsia="仿宋_GB2312" w:cs="仿宋_GB2312"/>
          <w:caps w:val="0"/>
          <w:kern w:val="0"/>
          <w:sz w:val="32"/>
          <w:szCs w:val="32"/>
          <w:lang w:val="en-US" w:eastAsia="zh-CN" w:bidi="ar"/>
        </w:rPr>
        <w:t>年我单位纳入绩效目标管理的部门预算阶段项目（含一次性项目）共计</w:t>
      </w:r>
      <w:r>
        <w:rPr>
          <w:rFonts w:hint="default" w:ascii="Times New Roman" w:hAnsi="Times New Roman" w:eastAsia="仿宋_GB2312" w:cs="Times New Roman"/>
          <w:color w:val="000000"/>
          <w:kern w:val="0"/>
          <w:sz w:val="32"/>
          <w:szCs w:val="32"/>
          <w:shd w:val="clear" w:fill="FFFFFF"/>
          <w:lang w:val="en-US" w:eastAsia="zh-CN" w:bidi="ar"/>
        </w:rPr>
        <w:t>56</w:t>
      </w:r>
      <w:r>
        <w:rPr>
          <w:rFonts w:hint="eastAsia" w:ascii="仿宋_GB2312" w:hAnsi="Times New Roman" w:eastAsia="仿宋_GB2312" w:cs="仿宋_GB2312"/>
          <w:caps w:val="0"/>
          <w:kern w:val="0"/>
          <w:sz w:val="32"/>
          <w:szCs w:val="32"/>
          <w:lang w:val="en-US" w:eastAsia="zh-CN" w:bidi="ar"/>
        </w:rPr>
        <w:t>个，项目均已完成预期设定的效益指标。</w:t>
      </w:r>
    </w:p>
    <w:p w14:paraId="0EDDA2C4">
      <w:pPr>
        <w:keepNext w:val="0"/>
        <w:keepLines w:val="0"/>
        <w:widowControl w:val="0"/>
        <w:suppressLineNumbers w:val="0"/>
        <w:autoSpaceDE w:val="0"/>
        <w:autoSpaceDN/>
        <w:spacing w:before="0" w:beforeAutospacing="1" w:after="200" w:afterAutospacing="0" w:line="578" w:lineRule="exact"/>
        <w:ind w:left="0" w:right="0" w:firstLine="640" w:firstLineChars="200"/>
        <w:jc w:val="both"/>
        <w:rPr>
          <w:rFonts w:hint="default" w:ascii="Times New Roman" w:hAnsi="Times New Roman" w:eastAsia="仿宋_GB2312" w:cs="Times New Roman"/>
          <w:sz w:val="32"/>
          <w:szCs w:val="32"/>
        </w:rPr>
      </w:pPr>
      <w:r>
        <w:rPr>
          <w:rFonts w:hint="eastAsia" w:ascii="仿宋_GB2312" w:hAnsi="Times New Roman" w:eastAsia="仿宋_GB2312" w:cs="仿宋_GB2312"/>
          <w:caps w:val="0"/>
          <w:kern w:val="0"/>
          <w:sz w:val="32"/>
          <w:szCs w:val="32"/>
          <w:lang w:val="en-US" w:eastAsia="zh-CN" w:bidi="ar"/>
        </w:rPr>
        <w:t>根据评分标准，该项指标不扣分，得</w:t>
      </w:r>
      <w:r>
        <w:rPr>
          <w:rFonts w:hint="default" w:ascii="Times New Roman" w:hAnsi="Times New Roman" w:eastAsia="仿宋_GB2312" w:cs="Times New Roman"/>
          <w:caps w:val="0"/>
          <w:kern w:val="0"/>
          <w:sz w:val="32"/>
          <w:szCs w:val="32"/>
          <w:lang w:val="en-US" w:eastAsia="zh-CN" w:bidi="ar"/>
        </w:rPr>
        <w:t>3</w:t>
      </w:r>
      <w:r>
        <w:rPr>
          <w:rFonts w:hint="eastAsia" w:ascii="仿宋_GB2312" w:hAnsi="Times New Roman" w:eastAsia="仿宋_GB2312" w:cs="仿宋_GB2312"/>
          <w:caps w:val="0"/>
          <w:kern w:val="0"/>
          <w:sz w:val="32"/>
          <w:szCs w:val="32"/>
          <w:lang w:val="en-US" w:eastAsia="zh-CN" w:bidi="ar"/>
        </w:rPr>
        <w:t>分。</w:t>
      </w:r>
    </w:p>
    <w:p w14:paraId="23EBA5BF">
      <w:pPr>
        <w:keepNext w:val="0"/>
        <w:keepLines w:val="0"/>
        <w:widowControl w:val="0"/>
        <w:suppressLineNumbers w:val="0"/>
        <w:autoSpaceDE w:val="0"/>
        <w:autoSpaceDN/>
        <w:snapToGrid w:val="0"/>
        <w:spacing w:before="0" w:beforeAutospacing="1" w:after="200" w:afterAutospacing="0" w:line="578" w:lineRule="exact"/>
        <w:ind w:left="0" w:right="0" w:firstLine="643" w:firstLineChars="200"/>
        <w:jc w:val="both"/>
        <w:outlineLvl w:val="1"/>
        <w:rPr>
          <w:rFonts w:hint="default" w:ascii="Times New Roman" w:hAnsi="Times New Roman" w:eastAsia="楷体_GB2312" w:cs="Times New Roman"/>
          <w:b/>
          <w:bCs/>
          <w:sz w:val="32"/>
          <w:szCs w:val="32"/>
        </w:rPr>
      </w:pPr>
      <w:bookmarkStart w:id="26" w:name="_Toc31283"/>
      <w:r>
        <w:rPr>
          <w:rFonts w:hint="eastAsia" w:ascii="楷体_GB2312" w:hAnsi="Times New Roman" w:eastAsia="楷体_GB2312" w:cs="楷体_GB2312"/>
          <w:b/>
          <w:bCs/>
          <w:color w:val="000000"/>
          <w:kern w:val="0"/>
          <w:sz w:val="32"/>
          <w:szCs w:val="32"/>
          <w:shd w:val="clear" w:fill="FFFFFF"/>
          <w:lang w:val="en-US" w:eastAsia="zh-CN" w:bidi="ar"/>
        </w:rPr>
        <w:t>（三）</w:t>
      </w:r>
      <w:r>
        <w:rPr>
          <w:rFonts w:hint="eastAsia" w:ascii="楷体_GB2312" w:hAnsi="Times New Roman" w:eastAsia="楷体_GB2312" w:cs="楷体_GB2312"/>
          <w:b/>
          <w:bCs/>
          <w:kern w:val="0"/>
          <w:sz w:val="32"/>
          <w:szCs w:val="32"/>
          <w:lang w:val="en-US" w:eastAsia="zh-CN" w:bidi="ar"/>
        </w:rPr>
        <w:t>绩效结果应用情况</w:t>
      </w:r>
      <w:bookmarkEnd w:id="26"/>
    </w:p>
    <w:p w14:paraId="4C25D16A">
      <w:pPr>
        <w:keepNext w:val="0"/>
        <w:keepLines w:val="0"/>
        <w:widowControl w:val="0"/>
        <w:suppressLineNumbers w:val="0"/>
        <w:autoSpaceDE w:val="0"/>
        <w:autoSpaceDN/>
        <w:spacing w:before="0" w:beforeAutospacing="1" w:after="200" w:afterAutospacing="0" w:line="600" w:lineRule="exact"/>
        <w:ind w:left="0" w:right="0" w:firstLine="640" w:firstLineChars="200"/>
        <w:jc w:val="left"/>
        <w:rPr>
          <w:rFonts w:hint="eastAsia" w:ascii="Times New Roman" w:hAnsi="Times New Roman" w:eastAsia="仿宋_GB2312" w:cs="Times New Roman"/>
          <w:caps w:val="0"/>
          <w:sz w:val="32"/>
          <w:szCs w:val="32"/>
        </w:rPr>
      </w:pPr>
      <w:r>
        <w:rPr>
          <w:rFonts w:hint="eastAsia" w:ascii="仿宋_GB2312" w:hAnsi="Times New Roman" w:eastAsia="仿宋_GB2312" w:cs="仿宋_GB2312"/>
          <w:caps w:val="0"/>
          <w:kern w:val="0"/>
          <w:sz w:val="32"/>
          <w:szCs w:val="32"/>
          <w:lang w:val="en-US" w:eastAsia="zh-CN" w:bidi="ar"/>
        </w:rPr>
        <w:t>我单位严格按照要求，自觉接受财政、审计等监督部门开展的重点绩效评价，评价结果作为以后年度重点项目资金预算安排的参考依据。将项目绩效与预算资金安排挂钩。项目实施效果不佳、预算执行进度不符合要求的，进行通报并作为年度评优时的参考依据；对于造成财政资金损失的，按照有关规定追究责任。明确预算编制、预算分解、预算执行与分析、预算调整、决算管理、预算绩效管理及预决算信息公开管理等业务环节的管理要求，加强预算业务各环节的风险管控。</w:t>
      </w:r>
    </w:p>
    <w:p w14:paraId="4D47FD2C">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0"/>
        <w:rPr>
          <w:rFonts w:hint="default" w:ascii="Times New Roman" w:hAnsi="Times New Roman" w:eastAsia="黑体" w:cs="Times New Roman"/>
          <w:color w:val="000000"/>
          <w:kern w:val="0"/>
          <w:sz w:val="32"/>
          <w:szCs w:val="32"/>
          <w:shd w:val="clear" w:fill="FFFFFF"/>
        </w:rPr>
      </w:pPr>
      <w:bookmarkStart w:id="27" w:name="_Toc26929"/>
      <w:r>
        <w:rPr>
          <w:rFonts w:hint="eastAsia" w:ascii="黑体" w:hAnsi="宋体" w:eastAsia="黑体" w:cs="黑体"/>
          <w:color w:val="000000"/>
          <w:kern w:val="0"/>
          <w:sz w:val="32"/>
          <w:szCs w:val="32"/>
          <w:shd w:val="clear" w:fill="FFFFFF"/>
          <w:lang w:val="en-US" w:eastAsia="zh-CN" w:bidi="ar"/>
        </w:rPr>
        <w:t>四、评价结论及建议</w:t>
      </w:r>
      <w:bookmarkEnd w:id="27"/>
    </w:p>
    <w:p w14:paraId="13A4B089">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28" w:name="_Toc31047"/>
      <w:r>
        <w:rPr>
          <w:rFonts w:hint="eastAsia" w:ascii="楷体_GB2312" w:hAnsi="Times New Roman" w:eastAsia="楷体_GB2312" w:cs="楷体_GB2312"/>
          <w:b/>
          <w:bCs/>
          <w:color w:val="000000"/>
          <w:kern w:val="0"/>
          <w:sz w:val="32"/>
          <w:szCs w:val="32"/>
          <w:shd w:val="clear" w:fill="FFFFFF"/>
          <w:lang w:val="en-US" w:eastAsia="zh-CN" w:bidi="ar"/>
        </w:rPr>
        <w:t>（一）评价结论</w:t>
      </w:r>
      <w:bookmarkEnd w:id="28"/>
    </w:p>
    <w:p w14:paraId="3D79E073">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楷体_GB2312" w:cs="Times New Roman"/>
          <w:b/>
          <w:bCs/>
          <w:color w:val="000000"/>
          <w:kern w:val="0"/>
          <w:sz w:val="32"/>
          <w:szCs w:val="32"/>
          <w:shd w:val="clear" w:fill="FFFFFF"/>
        </w:rPr>
      </w:pPr>
      <w:r>
        <w:rPr>
          <w:rFonts w:hint="eastAsia" w:ascii="仿宋_GB2312" w:hAnsi="Times New Roman" w:eastAsia="仿宋_GB2312" w:cs="仿宋_GB2312"/>
          <w:kern w:val="0"/>
          <w:sz w:val="32"/>
          <w:szCs w:val="32"/>
          <w:lang w:val="en-US" w:eastAsia="zh-CN" w:bidi="ar"/>
        </w:rPr>
        <w:t>在</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财政预算绩效自评工作中，我单位严格按照《部门预算绩效评价指标体系》进行逐项打分。总体来看，年度内我单位切实履行部门职责，预算执行情况良好，财务管理与采购管理规范有序，决策程序合规，绩效目标设置合理，各项指标实现情况良好，整体绩效水平稳步提升，绩效评价综合得分</w:t>
      </w:r>
      <w:r>
        <w:rPr>
          <w:rFonts w:hint="default" w:ascii="Times New Roman" w:hAnsi="Times New Roman" w:eastAsia="仿宋_GB2312" w:cs="Times New Roman"/>
          <w:kern w:val="0"/>
          <w:sz w:val="32"/>
          <w:szCs w:val="32"/>
          <w:lang w:val="en-US" w:eastAsia="zh-CN" w:bidi="ar"/>
        </w:rPr>
        <w:t>85.55</w:t>
      </w:r>
      <w:r>
        <w:rPr>
          <w:rFonts w:hint="eastAsia" w:ascii="仿宋_GB2312" w:hAnsi="Times New Roman" w:eastAsia="仿宋_GB2312" w:cs="仿宋_GB2312"/>
          <w:kern w:val="0"/>
          <w:sz w:val="32"/>
          <w:szCs w:val="32"/>
          <w:lang w:val="en-US" w:eastAsia="zh-CN" w:bidi="ar"/>
        </w:rPr>
        <w:t>分。</w:t>
      </w:r>
    </w:p>
    <w:p w14:paraId="4FB70CA9">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29" w:name="_Toc26440"/>
      <w:r>
        <w:rPr>
          <w:rFonts w:hint="eastAsia" w:ascii="楷体_GB2312" w:hAnsi="Times New Roman" w:eastAsia="楷体_GB2312" w:cs="楷体_GB2312"/>
          <w:b/>
          <w:bCs/>
          <w:color w:val="000000"/>
          <w:kern w:val="0"/>
          <w:sz w:val="32"/>
          <w:szCs w:val="32"/>
          <w:shd w:val="clear" w:fill="FFFFFF"/>
          <w:lang w:val="en-US" w:eastAsia="zh-CN" w:bidi="ar"/>
        </w:rPr>
        <w:t>（二）存在问题</w:t>
      </w:r>
      <w:bookmarkEnd w:id="29"/>
    </w:p>
    <w:p w14:paraId="34F9C550">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w:t>
      </w:r>
      <w:r>
        <w:rPr>
          <w:rFonts w:hint="eastAsia" w:ascii="楷体_GB2312" w:hAnsi="Times New Roman" w:eastAsia="楷体_GB2312" w:cs="楷体_GB2312"/>
          <w:color w:val="000000"/>
          <w:kern w:val="0"/>
          <w:sz w:val="32"/>
          <w:szCs w:val="32"/>
          <w:shd w:val="clear" w:fill="FFFFFF"/>
          <w:lang w:val="en-US" w:eastAsia="zh-CN" w:bidi="ar"/>
        </w:rPr>
        <w:t>预算执行偏离度较高</w:t>
      </w:r>
    </w:p>
    <w:p w14:paraId="45DC0BDB">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年我单位财政拨款预算执行偏离度为</w:t>
      </w:r>
      <w:r>
        <w:rPr>
          <w:rFonts w:hint="default" w:ascii="Times New Roman" w:hAnsi="Times New Roman" w:eastAsia="仿宋_GB2312" w:cs="Times New Roman"/>
          <w:kern w:val="0"/>
          <w:sz w:val="32"/>
          <w:szCs w:val="32"/>
          <w:lang w:val="en-US" w:eastAsia="zh-CN" w:bidi="ar"/>
        </w:rPr>
        <w:t>37.70%</w:t>
      </w:r>
      <w:r>
        <w:rPr>
          <w:rFonts w:hint="eastAsia" w:ascii="仿宋_GB2312" w:hAnsi="Times New Roman" w:eastAsia="仿宋_GB2312" w:cs="仿宋_GB2312"/>
          <w:kern w:val="0"/>
          <w:sz w:val="32"/>
          <w:szCs w:val="32"/>
          <w:lang w:val="en-US" w:eastAsia="zh-CN" w:bidi="ar"/>
        </w:rPr>
        <w:t>，资产配置预算执行偏离度为</w:t>
      </w:r>
      <w:r>
        <w:rPr>
          <w:rFonts w:hint="default" w:ascii="Times New Roman" w:hAnsi="Times New Roman" w:eastAsia="仿宋_GB2312" w:cs="Times New Roman"/>
          <w:kern w:val="0"/>
          <w:sz w:val="32"/>
          <w:szCs w:val="32"/>
          <w:lang w:val="en-US" w:eastAsia="zh-CN" w:bidi="ar"/>
        </w:rPr>
        <w:t>1074.48%</w:t>
      </w:r>
      <w:r>
        <w:rPr>
          <w:rFonts w:hint="eastAsia" w:ascii="仿宋_GB2312" w:hAnsi="Times New Roman" w:eastAsia="仿宋_GB2312" w:cs="仿宋_GB2312"/>
          <w:kern w:val="0"/>
          <w:sz w:val="32"/>
          <w:szCs w:val="32"/>
          <w:lang w:val="en-US" w:eastAsia="zh-CN" w:bidi="ar"/>
        </w:rPr>
        <w:t>，政府采购预算执行偏离度为</w:t>
      </w:r>
      <w:r>
        <w:rPr>
          <w:rFonts w:hint="default" w:ascii="Times New Roman" w:hAnsi="Times New Roman" w:eastAsia="仿宋_GB2312" w:cs="Times New Roman"/>
          <w:kern w:val="0"/>
          <w:sz w:val="32"/>
          <w:szCs w:val="32"/>
          <w:lang w:val="en-US" w:eastAsia="zh-CN" w:bidi="ar"/>
        </w:rPr>
        <w:t>116.59%</w:t>
      </w:r>
      <w:r>
        <w:rPr>
          <w:rFonts w:hint="eastAsia" w:ascii="仿宋_GB2312" w:hAnsi="Times New Roman" w:eastAsia="仿宋_GB2312" w:cs="仿宋_GB2312"/>
          <w:kern w:val="0"/>
          <w:sz w:val="32"/>
          <w:szCs w:val="32"/>
          <w:lang w:val="en-US" w:eastAsia="zh-CN" w:bidi="ar"/>
        </w:rPr>
        <w:t>，预算编制精准性不足，执行偏离度较高。</w:t>
      </w:r>
    </w:p>
    <w:p w14:paraId="49364BA3">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eastAsia"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2.</w:t>
      </w:r>
      <w:r>
        <w:rPr>
          <w:rFonts w:hint="eastAsia" w:ascii="楷体_GB2312" w:hAnsi="Times New Roman" w:eastAsia="楷体_GB2312" w:cs="楷体_GB2312"/>
          <w:color w:val="000000"/>
          <w:kern w:val="0"/>
          <w:sz w:val="32"/>
          <w:szCs w:val="32"/>
          <w:shd w:val="clear" w:fill="FFFFFF"/>
          <w:lang w:val="en-US" w:eastAsia="zh-CN" w:bidi="ar"/>
        </w:rPr>
        <w:t>预算执行进度未达序时进度要求</w:t>
      </w:r>
    </w:p>
    <w:p w14:paraId="6F6F5B1E">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年我单位</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至</w:t>
      </w:r>
      <w:r>
        <w:rPr>
          <w:rFonts w:hint="default" w:ascii="Times New Roman" w:hAnsi="Times New Roman" w:eastAsia="仿宋_GB2312" w:cs="Times New Roman"/>
          <w:kern w:val="0"/>
          <w:sz w:val="32"/>
          <w:szCs w:val="32"/>
          <w:lang w:val="en-US" w:eastAsia="zh-CN" w:bidi="ar"/>
        </w:rPr>
        <w:t>6</w:t>
      </w:r>
      <w:r>
        <w:rPr>
          <w:rFonts w:hint="eastAsia" w:ascii="仿宋_GB2312" w:hAnsi="Times New Roman" w:eastAsia="仿宋_GB2312" w:cs="仿宋_GB2312"/>
          <w:kern w:val="0"/>
          <w:sz w:val="32"/>
          <w:szCs w:val="32"/>
          <w:lang w:val="en-US" w:eastAsia="zh-CN" w:bidi="ar"/>
        </w:rPr>
        <w:t>月预算执行数</w:t>
      </w:r>
      <w:r>
        <w:rPr>
          <w:rFonts w:hint="default" w:ascii="Times New Roman" w:hAnsi="Times New Roman" w:eastAsia="仿宋_GB2312" w:cs="Times New Roman"/>
          <w:kern w:val="0"/>
          <w:sz w:val="32"/>
          <w:szCs w:val="32"/>
          <w:lang w:val="en-US" w:eastAsia="zh-CN" w:bidi="ar"/>
        </w:rPr>
        <w:t>11,679.67</w:t>
      </w:r>
      <w:r>
        <w:rPr>
          <w:rFonts w:hint="eastAsia" w:ascii="仿宋_GB2312" w:hAnsi="Times New Roman" w:eastAsia="仿宋_GB2312" w:cs="仿宋_GB2312"/>
          <w:kern w:val="0"/>
          <w:sz w:val="32"/>
          <w:szCs w:val="32"/>
          <w:lang w:val="en-US" w:eastAsia="zh-CN" w:bidi="ar"/>
        </w:rPr>
        <w:t>万元，执行率为</w:t>
      </w:r>
      <w:r>
        <w:rPr>
          <w:rFonts w:hint="default" w:ascii="Times New Roman" w:hAnsi="Times New Roman" w:eastAsia="仿宋_GB2312" w:cs="Times New Roman"/>
          <w:kern w:val="0"/>
          <w:sz w:val="32"/>
          <w:szCs w:val="32"/>
          <w:lang w:val="en-US" w:eastAsia="zh-CN" w:bidi="ar"/>
        </w:rPr>
        <w:t>21.07%</w:t>
      </w:r>
      <w:r>
        <w:rPr>
          <w:rFonts w:hint="eastAsia" w:ascii="仿宋_GB2312" w:hAnsi="Times New Roman" w:eastAsia="仿宋_GB2312" w:cs="仿宋_GB2312"/>
          <w:kern w:val="0"/>
          <w:sz w:val="32"/>
          <w:szCs w:val="32"/>
          <w:lang w:val="en-US" w:eastAsia="zh-CN" w:bidi="ar"/>
        </w:rPr>
        <w:t>，未达到序时进度</w:t>
      </w:r>
      <w:r>
        <w:rPr>
          <w:rFonts w:hint="default" w:ascii="Times New Roman" w:hAnsi="Times New Roman" w:eastAsia="仿宋_GB2312" w:cs="Times New Roman"/>
          <w:kern w:val="0"/>
          <w:sz w:val="32"/>
          <w:szCs w:val="32"/>
          <w:lang w:val="en-US" w:eastAsia="zh-CN" w:bidi="ar"/>
        </w:rPr>
        <w:t>50%</w:t>
      </w:r>
      <w:r>
        <w:rPr>
          <w:rFonts w:hint="eastAsia" w:ascii="仿宋_GB2312" w:hAnsi="Times New Roman" w:eastAsia="仿宋_GB2312" w:cs="仿宋_GB2312"/>
          <w:kern w:val="0"/>
          <w:sz w:val="32"/>
          <w:szCs w:val="32"/>
          <w:lang w:val="en-US" w:eastAsia="zh-CN" w:bidi="ar"/>
        </w:rPr>
        <w:t>的要求；</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至</w:t>
      </w:r>
      <w:r>
        <w:rPr>
          <w:rFonts w:hint="default" w:ascii="Times New Roman" w:hAnsi="Times New Roman" w:eastAsia="仿宋_GB2312" w:cs="Times New Roman"/>
          <w:kern w:val="0"/>
          <w:sz w:val="32"/>
          <w:szCs w:val="32"/>
          <w:lang w:val="en-US" w:eastAsia="zh-CN" w:bidi="ar"/>
        </w:rPr>
        <w:t>10</w:t>
      </w:r>
      <w:r>
        <w:rPr>
          <w:rFonts w:hint="eastAsia" w:ascii="仿宋_GB2312" w:hAnsi="Times New Roman" w:eastAsia="仿宋_GB2312" w:cs="仿宋_GB2312"/>
          <w:kern w:val="0"/>
          <w:sz w:val="32"/>
          <w:szCs w:val="32"/>
          <w:lang w:val="en-US" w:eastAsia="zh-CN" w:bidi="ar"/>
        </w:rPr>
        <w:t>月预算执行数</w:t>
      </w:r>
      <w:r>
        <w:rPr>
          <w:rFonts w:hint="default" w:ascii="Times New Roman" w:hAnsi="Times New Roman" w:eastAsia="仿宋_GB2312" w:cs="Times New Roman"/>
          <w:kern w:val="0"/>
          <w:sz w:val="32"/>
          <w:szCs w:val="32"/>
          <w:lang w:val="en-US" w:eastAsia="zh-CN" w:bidi="ar"/>
        </w:rPr>
        <w:t>19,342.19</w:t>
      </w:r>
      <w:r>
        <w:rPr>
          <w:rFonts w:hint="eastAsia" w:ascii="仿宋_GB2312" w:hAnsi="Times New Roman" w:eastAsia="仿宋_GB2312" w:cs="仿宋_GB2312"/>
          <w:kern w:val="0"/>
          <w:sz w:val="32"/>
          <w:szCs w:val="32"/>
          <w:lang w:val="en-US" w:eastAsia="zh-CN" w:bidi="ar"/>
        </w:rPr>
        <w:t>万元，执行率为</w:t>
      </w:r>
      <w:r>
        <w:rPr>
          <w:rFonts w:hint="default" w:ascii="Times New Roman" w:hAnsi="Times New Roman" w:eastAsia="仿宋_GB2312" w:cs="Times New Roman"/>
          <w:kern w:val="0"/>
          <w:sz w:val="32"/>
          <w:szCs w:val="32"/>
          <w:lang w:val="en-US" w:eastAsia="zh-CN" w:bidi="ar"/>
        </w:rPr>
        <w:t>34.89%</w:t>
      </w:r>
      <w:r>
        <w:rPr>
          <w:rFonts w:hint="eastAsia" w:ascii="仿宋_GB2312" w:hAnsi="Times New Roman" w:eastAsia="仿宋_GB2312" w:cs="仿宋_GB2312"/>
          <w:kern w:val="0"/>
          <w:sz w:val="32"/>
          <w:szCs w:val="32"/>
          <w:lang w:val="en-US" w:eastAsia="zh-CN" w:bidi="ar"/>
        </w:rPr>
        <w:t>，未达到序时进度</w:t>
      </w:r>
      <w:r>
        <w:rPr>
          <w:rFonts w:hint="default" w:ascii="Times New Roman" w:hAnsi="Times New Roman" w:eastAsia="仿宋_GB2312" w:cs="Times New Roman"/>
          <w:kern w:val="0"/>
          <w:sz w:val="32"/>
          <w:szCs w:val="32"/>
          <w:lang w:val="en-US" w:eastAsia="zh-CN" w:bidi="ar"/>
        </w:rPr>
        <w:t>83.33%</w:t>
      </w:r>
      <w:r>
        <w:rPr>
          <w:rFonts w:hint="eastAsia" w:ascii="仿宋_GB2312" w:hAnsi="Times New Roman" w:eastAsia="仿宋_GB2312" w:cs="仿宋_GB2312"/>
          <w:kern w:val="0"/>
          <w:sz w:val="32"/>
          <w:szCs w:val="32"/>
          <w:lang w:val="en-US" w:eastAsia="zh-CN" w:bidi="ar"/>
        </w:rPr>
        <w:t>的要求。</w:t>
      </w:r>
    </w:p>
    <w:p w14:paraId="285E6F10">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3.</w:t>
      </w:r>
      <w:r>
        <w:rPr>
          <w:rFonts w:hint="eastAsia" w:ascii="楷体_GB2312" w:hAnsi="Times New Roman" w:eastAsia="楷体_GB2312" w:cs="楷体_GB2312"/>
          <w:color w:val="000000"/>
          <w:kern w:val="0"/>
          <w:sz w:val="32"/>
          <w:szCs w:val="32"/>
          <w:shd w:val="clear" w:fill="FFFFFF"/>
          <w:lang w:val="en-US" w:eastAsia="zh-CN" w:bidi="ar"/>
        </w:rPr>
        <w:t>一般性支出控制有待加强</w:t>
      </w:r>
    </w:p>
    <w:p w14:paraId="2CE1543F">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年一般性支出财政拨款年初预算较</w:t>
      </w:r>
      <w:r>
        <w:rPr>
          <w:rFonts w:hint="default" w:ascii="Times New Roman" w:hAnsi="Times New Roman" w:eastAsia="仿宋_GB2312" w:cs="Times New Roman"/>
          <w:color w:val="000000"/>
          <w:kern w:val="0"/>
          <w:sz w:val="32"/>
          <w:szCs w:val="32"/>
          <w:shd w:val="clear" w:fill="FFFFFF"/>
          <w:lang w:val="en-US" w:eastAsia="zh-CN" w:bidi="ar"/>
        </w:rPr>
        <w:t>2024</w:t>
      </w:r>
      <w:r>
        <w:rPr>
          <w:rFonts w:hint="eastAsia" w:ascii="仿宋_GB2312" w:hAnsi="Times New Roman" w:eastAsia="仿宋_GB2312" w:cs="仿宋_GB2312"/>
          <w:color w:val="000000"/>
          <w:kern w:val="0"/>
          <w:sz w:val="32"/>
          <w:szCs w:val="32"/>
          <w:shd w:val="clear" w:fill="FFFFFF"/>
          <w:lang w:val="en-US" w:eastAsia="zh-CN" w:bidi="ar"/>
        </w:rPr>
        <w:t>年一般性支出财政拨款年初预算未实现压减。</w:t>
      </w:r>
    </w:p>
    <w:p w14:paraId="4BFCBFDC">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4.</w:t>
      </w:r>
      <w:r>
        <w:rPr>
          <w:rFonts w:hint="eastAsia" w:ascii="楷体_GB2312" w:hAnsi="Times New Roman" w:eastAsia="楷体_GB2312" w:cs="楷体_GB2312"/>
          <w:color w:val="000000"/>
          <w:kern w:val="0"/>
          <w:sz w:val="32"/>
          <w:szCs w:val="32"/>
          <w:shd w:val="clear" w:fill="FFFFFF"/>
          <w:lang w:val="en-US" w:eastAsia="zh-CN" w:bidi="ar"/>
        </w:rPr>
        <w:t>人均资产变化率较高</w:t>
      </w:r>
    </w:p>
    <w:p w14:paraId="087D3356">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年我单位人均资产变化率为</w:t>
      </w:r>
      <w:r>
        <w:rPr>
          <w:rFonts w:hint="default" w:ascii="Times New Roman" w:hAnsi="Times New Roman" w:eastAsia="仿宋_GB2312" w:cs="Times New Roman"/>
          <w:kern w:val="2"/>
          <w:sz w:val="32"/>
          <w:szCs w:val="32"/>
          <w:lang w:val="en-US" w:eastAsia="zh-CN" w:bidi="ar"/>
        </w:rPr>
        <w:t>134.83%</w:t>
      </w:r>
      <w:r>
        <w:rPr>
          <w:rFonts w:hint="eastAsia" w:ascii="仿宋_GB2312" w:hAnsi="Times New Roman" w:eastAsia="仿宋_GB2312" w:cs="仿宋_GB2312"/>
          <w:kern w:val="2"/>
          <w:sz w:val="32"/>
          <w:szCs w:val="32"/>
          <w:lang w:val="en-US" w:eastAsia="zh-CN" w:bidi="ar"/>
        </w:rPr>
        <w:t>，阿坝州州直行政事业单位</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年人均资产变化率</w:t>
      </w:r>
      <w:r>
        <w:rPr>
          <w:rFonts w:hint="default" w:ascii="Times New Roman" w:hAnsi="Times New Roman" w:eastAsia="仿宋_GB2312" w:cs="Times New Roman"/>
          <w:kern w:val="2"/>
          <w:sz w:val="32"/>
          <w:szCs w:val="32"/>
          <w:lang w:val="en-US" w:eastAsia="zh-CN" w:bidi="ar"/>
        </w:rPr>
        <w:t>-3.49%</w:t>
      </w:r>
      <w:r>
        <w:rPr>
          <w:rFonts w:hint="eastAsia"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年我单位人均资产变化率大于</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倍州直行政事业单位人均资产变化率；阿坝州州级</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年财政收入增长率为</w:t>
      </w:r>
      <w:r>
        <w:rPr>
          <w:rFonts w:hint="default" w:ascii="Times New Roman" w:hAnsi="Times New Roman" w:eastAsia="仿宋_GB2312" w:cs="Times New Roman"/>
          <w:kern w:val="2"/>
          <w:sz w:val="32"/>
          <w:szCs w:val="32"/>
          <w:lang w:val="en-US" w:eastAsia="zh-CN" w:bidi="ar"/>
        </w:rPr>
        <w:t>17.10%</w:t>
      </w:r>
      <w:r>
        <w:rPr>
          <w:rFonts w:hint="eastAsia" w:ascii="仿宋_GB2312" w:hAnsi="Times New Roman" w:eastAsia="仿宋_GB2312" w:cs="仿宋_GB2312"/>
          <w:kern w:val="2"/>
          <w:sz w:val="32"/>
          <w:szCs w:val="32"/>
          <w:lang w:val="en-US" w:eastAsia="zh-CN" w:bidi="ar"/>
        </w:rPr>
        <w:t>，我单位人均资产变化率大于</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倍州级</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年财政收入增长率。</w:t>
      </w:r>
    </w:p>
    <w:p w14:paraId="399E56D2">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5.</w:t>
      </w:r>
      <w:r>
        <w:rPr>
          <w:rFonts w:hint="eastAsia" w:ascii="楷体_GB2312" w:hAnsi="Times New Roman" w:eastAsia="楷体_GB2312" w:cs="楷体_GB2312"/>
          <w:color w:val="000000"/>
          <w:kern w:val="0"/>
          <w:sz w:val="32"/>
          <w:szCs w:val="32"/>
          <w:shd w:val="clear" w:fill="FFFFFF"/>
          <w:lang w:val="en-US" w:eastAsia="zh-CN" w:bidi="ar"/>
        </w:rPr>
        <w:t>部门资产超最低使用年限资产利用率较低</w:t>
      </w:r>
    </w:p>
    <w:p w14:paraId="0DBE33CC">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年我单位办公家具超最低使用年限资产利用率为</w:t>
      </w:r>
      <w:r>
        <w:rPr>
          <w:rFonts w:hint="default" w:ascii="Times New Roman" w:hAnsi="Times New Roman" w:eastAsia="仿宋_GB2312" w:cs="Times New Roman"/>
          <w:kern w:val="2"/>
          <w:sz w:val="32"/>
          <w:szCs w:val="32"/>
          <w:lang w:val="en-US" w:eastAsia="zh-CN" w:bidi="ar"/>
        </w:rPr>
        <w:t>10.00%</w:t>
      </w:r>
      <w:r>
        <w:rPr>
          <w:rFonts w:hint="eastAsia" w:ascii="仿宋_GB2312" w:hAnsi="Times New Roman" w:eastAsia="仿宋_GB2312" w:cs="仿宋_GB2312"/>
          <w:kern w:val="2"/>
          <w:sz w:val="32"/>
          <w:szCs w:val="32"/>
          <w:lang w:val="en-US" w:eastAsia="zh-CN" w:bidi="ar"/>
        </w:rPr>
        <w:t>，低于州属行政事业单位办公家具资产利用率平均值</w:t>
      </w:r>
      <w:r>
        <w:rPr>
          <w:rFonts w:hint="default" w:ascii="Times New Roman" w:hAnsi="Times New Roman" w:eastAsia="仿宋_GB2312" w:cs="Times New Roman"/>
          <w:kern w:val="2"/>
          <w:sz w:val="32"/>
          <w:szCs w:val="32"/>
          <w:lang w:val="en-US" w:eastAsia="zh-CN" w:bidi="ar"/>
        </w:rPr>
        <w:t>12.93%</w:t>
      </w:r>
      <w:r>
        <w:rPr>
          <w:rFonts w:hint="eastAsia" w:ascii="仿宋_GB2312" w:hAnsi="Times New Roman" w:eastAsia="仿宋_GB2312" w:cs="仿宋_GB2312"/>
          <w:kern w:val="2"/>
          <w:sz w:val="32"/>
          <w:szCs w:val="32"/>
          <w:lang w:val="en-US" w:eastAsia="zh-CN" w:bidi="ar"/>
        </w:rPr>
        <w:t>；我单位办公设备超最低使用年限资产利用率为</w:t>
      </w:r>
      <w:r>
        <w:rPr>
          <w:rFonts w:hint="default" w:ascii="Times New Roman" w:hAnsi="Times New Roman" w:eastAsia="仿宋_GB2312" w:cs="Times New Roman"/>
          <w:kern w:val="2"/>
          <w:sz w:val="32"/>
          <w:szCs w:val="32"/>
          <w:lang w:val="en-US" w:eastAsia="zh-CN" w:bidi="ar"/>
        </w:rPr>
        <w:t>34.29%</w:t>
      </w:r>
      <w:r>
        <w:rPr>
          <w:rFonts w:hint="eastAsia" w:ascii="仿宋_GB2312" w:hAnsi="Times New Roman" w:eastAsia="仿宋_GB2312" w:cs="仿宋_GB2312"/>
          <w:kern w:val="2"/>
          <w:sz w:val="32"/>
          <w:szCs w:val="32"/>
          <w:lang w:val="en-US" w:eastAsia="zh-CN" w:bidi="ar"/>
        </w:rPr>
        <w:t>，低于州属行政事业单位办公设备资产利用率平均值</w:t>
      </w:r>
      <w:r>
        <w:rPr>
          <w:rFonts w:hint="default" w:ascii="Times New Roman" w:hAnsi="Times New Roman" w:eastAsia="仿宋_GB2312" w:cs="Times New Roman"/>
          <w:kern w:val="2"/>
          <w:sz w:val="32"/>
          <w:szCs w:val="32"/>
          <w:lang w:val="en-US" w:eastAsia="zh-CN" w:bidi="ar"/>
        </w:rPr>
        <w:t>53.14%</w:t>
      </w:r>
      <w:r>
        <w:rPr>
          <w:rFonts w:hint="eastAsia" w:ascii="仿宋_GB2312" w:hAnsi="Times New Roman" w:eastAsia="仿宋_GB2312" w:cs="仿宋_GB2312"/>
          <w:kern w:val="2"/>
          <w:sz w:val="32"/>
          <w:szCs w:val="32"/>
          <w:lang w:val="en-US" w:eastAsia="zh-CN" w:bidi="ar"/>
        </w:rPr>
        <w:t>。</w:t>
      </w:r>
    </w:p>
    <w:p w14:paraId="2DF57DB5">
      <w:pPr>
        <w:keepNext w:val="0"/>
        <w:keepLines w:val="0"/>
        <w:widowControl/>
        <w:suppressLineNumbers w:val="0"/>
        <w:autoSpaceDE w:val="0"/>
        <w:autoSpaceDN/>
        <w:adjustRightInd w:val="0"/>
        <w:snapToGrid w:val="0"/>
        <w:spacing w:before="0" w:beforeAutospacing="1" w:after="200" w:afterAutospacing="0" w:line="578" w:lineRule="exact"/>
        <w:ind w:left="0" w:right="0" w:firstLine="643" w:firstLineChars="200"/>
        <w:contextualSpacing/>
        <w:jc w:val="both"/>
        <w:outlineLvl w:val="1"/>
        <w:rPr>
          <w:rFonts w:hint="default" w:ascii="Times New Roman" w:hAnsi="Times New Roman" w:eastAsia="楷体_GB2312" w:cs="Times New Roman"/>
          <w:b/>
          <w:bCs/>
          <w:color w:val="000000"/>
          <w:kern w:val="0"/>
          <w:sz w:val="32"/>
          <w:szCs w:val="32"/>
          <w:shd w:val="clear" w:fill="FFFFFF"/>
        </w:rPr>
      </w:pPr>
      <w:bookmarkStart w:id="30" w:name="_Toc25130"/>
      <w:r>
        <w:rPr>
          <w:rFonts w:hint="eastAsia" w:ascii="楷体_GB2312" w:hAnsi="Times New Roman" w:eastAsia="楷体_GB2312" w:cs="楷体_GB2312"/>
          <w:b/>
          <w:bCs/>
          <w:color w:val="000000"/>
          <w:kern w:val="0"/>
          <w:sz w:val="32"/>
          <w:szCs w:val="32"/>
          <w:shd w:val="clear" w:fill="FFFFFF"/>
          <w:lang w:val="en-US" w:eastAsia="zh-CN" w:bidi="ar"/>
        </w:rPr>
        <w:t>（三）改进建议</w:t>
      </w:r>
      <w:bookmarkEnd w:id="30"/>
    </w:p>
    <w:p w14:paraId="5B1060A4">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eastAsia"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1.</w:t>
      </w:r>
      <w:r>
        <w:rPr>
          <w:rFonts w:hint="eastAsia" w:ascii="楷体_GB2312" w:hAnsi="Times New Roman" w:eastAsia="楷体_GB2312" w:cs="楷体_GB2312"/>
          <w:color w:val="000000"/>
          <w:kern w:val="0"/>
          <w:sz w:val="32"/>
          <w:szCs w:val="32"/>
          <w:shd w:val="clear" w:fill="FFFFFF"/>
          <w:lang w:val="en-US" w:eastAsia="zh-CN" w:bidi="ar"/>
        </w:rPr>
        <w:t>提高预算编制精准度</w:t>
      </w:r>
    </w:p>
    <w:p w14:paraId="70622FD4">
      <w:pPr>
        <w:keepNext w:val="0"/>
        <w:keepLines w:val="0"/>
        <w:widowControl/>
        <w:suppressLineNumbers w:val="0"/>
        <w:autoSpaceDE w:val="0"/>
        <w:autoSpaceDN/>
        <w:adjustRightInd w:val="0"/>
        <w:snapToGrid w:val="0"/>
        <w:spacing w:before="0" w:beforeAutospacing="1" w:after="200" w:afterAutospacing="0" w:line="578" w:lineRule="exact"/>
        <w:ind w:left="0" w:right="0" w:firstLine="640" w:firstLineChars="200"/>
        <w:contextualSpacing/>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一是我单位在今后预算编制中强化前期论证与需求测算，紧密结合司法行政工作实际，提升预算精准性；二是加强对资产配置和政府采购项目的统筹规划，提前明确采购需求，确保预算与执行有效衔接；三是建立健全预算执行动态监控机制，定期分析偏差并及时调整，切实提高财政资金使用效益和预算执行效率。</w:t>
      </w:r>
    </w:p>
    <w:p w14:paraId="5A347F7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2.</w:t>
      </w:r>
      <w:r>
        <w:rPr>
          <w:rFonts w:hint="eastAsia" w:ascii="楷体_GB2312" w:hAnsi="Times New Roman" w:eastAsia="楷体_GB2312" w:cs="楷体_GB2312"/>
          <w:color w:val="000000"/>
          <w:kern w:val="0"/>
          <w:sz w:val="32"/>
          <w:szCs w:val="32"/>
          <w:shd w:val="clear" w:fill="FFFFFF"/>
          <w:lang w:val="en-US" w:eastAsia="zh-CN" w:bidi="ar"/>
        </w:rPr>
        <w:t>严格把控预算执行进度</w:t>
      </w:r>
    </w:p>
    <w:p w14:paraId="3EB71876">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我单位将加强资金调度与支出管理，提前研判影响执行进度的因素，及时协调解决堵点难点；同时推动预算执行与业务开展深度融合，确保全年支出达到目标进度要求。</w:t>
      </w:r>
    </w:p>
    <w:p w14:paraId="4118CAE9">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3.</w:t>
      </w:r>
      <w:r>
        <w:rPr>
          <w:rFonts w:hint="eastAsia" w:ascii="楷体_GB2312" w:hAnsi="Times New Roman" w:eastAsia="楷体_GB2312" w:cs="楷体_GB2312"/>
          <w:color w:val="000000"/>
          <w:kern w:val="0"/>
          <w:sz w:val="32"/>
          <w:szCs w:val="32"/>
          <w:shd w:val="clear" w:fill="FFFFFF"/>
          <w:lang w:val="en-US" w:eastAsia="zh-CN" w:bidi="ar"/>
        </w:rPr>
        <w:t>加强一般性支出控制</w:t>
      </w:r>
    </w:p>
    <w:p w14:paraId="01692863">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eastAsia" w:ascii="Times New Roman" w:hAnsi="Times New Roman" w:eastAsia="楷体_GB2312" w:cs="Times New Roman"/>
          <w:color w:val="000000"/>
          <w:kern w:val="0"/>
          <w:sz w:val="32"/>
          <w:szCs w:val="32"/>
          <w:shd w:val="clear" w:fill="FFFFFF"/>
        </w:rPr>
      </w:pPr>
      <w:r>
        <w:rPr>
          <w:rFonts w:hint="eastAsia" w:ascii="仿宋_GB2312" w:hAnsi="Times New Roman" w:eastAsia="仿宋_GB2312" w:cs="仿宋_GB2312"/>
          <w:b w:val="0"/>
          <w:bCs w:val="0"/>
          <w:kern w:val="0"/>
          <w:sz w:val="32"/>
          <w:szCs w:val="32"/>
          <w:lang w:val="en-US" w:eastAsia="zh-CN" w:bidi="ar"/>
        </w:rPr>
        <w:t>我单位将严格执行一般性支出有关政策与制度要求，有效落实中央八项规定及其“过紧日子”的要求，强化纪律约束和内外部监督；同时严格执行各项经费开支标准，按照务实节俭原则，从严审核会议费、培训费、差旅费、“三公”经费等一般性支出，严禁超标准、超范围列支经费。</w:t>
      </w:r>
    </w:p>
    <w:p w14:paraId="67A1BD01">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4.</w:t>
      </w:r>
      <w:r>
        <w:rPr>
          <w:rFonts w:hint="eastAsia" w:ascii="楷体_GB2312" w:hAnsi="Times New Roman" w:eastAsia="楷体_GB2312" w:cs="楷体_GB2312"/>
          <w:color w:val="000000"/>
          <w:kern w:val="0"/>
          <w:sz w:val="32"/>
          <w:szCs w:val="32"/>
          <w:shd w:val="clear" w:fill="FFFFFF"/>
          <w:lang w:val="en-US" w:eastAsia="zh-CN" w:bidi="ar"/>
        </w:rPr>
        <w:t>加强资产绩效管理</w:t>
      </w:r>
    </w:p>
    <w:p w14:paraId="3C3CA87D">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后续将加强资产配置的预算约束和绩效管理，严格审核新增资产的必要性和合理性，避免盲目购置或重复建设；同时开展全面的资产清查，核实资产净值大幅增长的具体原因，确保数据真实准确，并建立动态监控机制，将人均资产变化率纳入考核指标，促进资产合理配置与高效使用，防止资产过度膨胀。</w:t>
      </w:r>
    </w:p>
    <w:p w14:paraId="65D256AA">
      <w:pPr>
        <w:keepNext w:val="0"/>
        <w:keepLines w:val="0"/>
        <w:widowControl w:val="0"/>
        <w:suppressLineNumbers w:val="0"/>
        <w:autoSpaceDE w:val="0"/>
        <w:autoSpaceDN/>
        <w:adjustRightInd w:val="0"/>
        <w:snapToGrid w:val="0"/>
        <w:spacing w:before="0" w:beforeAutospacing="1" w:after="200" w:afterAutospacing="0" w:line="578" w:lineRule="exact"/>
        <w:ind w:left="0" w:right="0" w:firstLine="640" w:firstLineChars="200"/>
        <w:contextualSpacing/>
        <w:jc w:val="both"/>
        <w:outlineLvl w:val="2"/>
        <w:rPr>
          <w:rFonts w:hint="default" w:ascii="Times New Roman" w:hAnsi="Times New Roman" w:eastAsia="楷体_GB2312" w:cs="Times New Roman"/>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5.</w:t>
      </w:r>
      <w:r>
        <w:rPr>
          <w:rFonts w:hint="eastAsia" w:ascii="楷体_GB2312" w:hAnsi="Times New Roman" w:eastAsia="楷体_GB2312" w:cs="楷体_GB2312"/>
          <w:color w:val="000000"/>
          <w:kern w:val="0"/>
          <w:sz w:val="32"/>
          <w:szCs w:val="32"/>
          <w:shd w:val="clear" w:fill="FFFFFF"/>
          <w:lang w:val="en-US" w:eastAsia="zh-CN" w:bidi="ar"/>
        </w:rPr>
        <w:t>提高资产使用效率</w:t>
      </w:r>
    </w:p>
    <w:p w14:paraId="7DF8AB5D">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将全面开展超年限办公家具、办公设备清查盘点，建立专项台账并区分资产使用状态，对仍具有使用价值的资产加强维护并通过内部调剂实现资源共享，对确需报废的资产按规定规范处置，同时健全资产配置与使用衔接机制，强化使用管控，着力提升资产周转效率、降低闲置率，切实改善资产利用率偏低的现状。</w:t>
      </w:r>
    </w:p>
    <w:p w14:paraId="2722E618">
      <w:pPr>
        <w:pStyle w:val="37"/>
        <w:keepNext/>
        <w:keepLines/>
        <w:widowControl w:val="0"/>
        <w:suppressLineNumbers w:val="0"/>
        <w:spacing w:before="280" w:beforeAutospacing="0" w:after="156" w:afterAutospacing="0" w:line="376" w:lineRule="auto"/>
        <w:ind w:left="0" w:right="0"/>
        <w:jc w:val="left"/>
        <w:outlineLvl w:val="4"/>
        <w:rPr>
          <w:rFonts w:hint="default" w:ascii="Arial" w:hAnsi="Arial" w:eastAsia="黑体" w:cs="Times New Roman"/>
          <w:b/>
          <w:bCs w:val="0"/>
          <w:kern w:val="2"/>
          <w:sz w:val="24"/>
          <w:szCs w:val="24"/>
        </w:rPr>
      </w:pPr>
      <w:r>
        <w:rPr>
          <w:rFonts w:hint="default" w:ascii="Arial" w:hAnsi="Arial" w:eastAsia="黑体" w:cs="Times New Roman"/>
          <w:b/>
          <w:bCs w:val="0"/>
          <w:kern w:val="2"/>
          <w:sz w:val="24"/>
          <w:szCs w:val="24"/>
          <w:lang w:val="en-US" w:eastAsia="zh-CN" w:bidi="ar"/>
        </w:rPr>
        <w:t xml:space="preserve"> </w:t>
      </w:r>
    </w:p>
    <w:p w14:paraId="281BB640">
      <w:pPr>
        <w:keepNext w:val="0"/>
        <w:keepLines w:val="0"/>
        <w:widowControl w:val="0"/>
        <w:suppressLineNumbers w:val="0"/>
        <w:autoSpaceDE w:val="0"/>
        <w:autoSpaceDN/>
        <w:spacing w:before="0" w:beforeAutospacing="1" w:after="200" w:afterAutospacing="0" w:line="578" w:lineRule="exact"/>
        <w:ind w:left="0" w:right="0" w:firstLine="640" w:firstLineChars="200"/>
        <w:jc w:val="left"/>
        <w:rPr>
          <w:rFonts w:hint="default" w:ascii="Times New Roman" w:hAnsi="Times New Roman" w:eastAsia="仿宋_GB2312" w:cs="Times New Roman"/>
          <w:sz w:val="32"/>
          <w:szCs w:val="32"/>
        </w:rPr>
      </w:pPr>
      <w:r>
        <w:rPr>
          <w:rFonts w:hint="eastAsia"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kern w:val="0"/>
          <w:sz w:val="32"/>
          <w:szCs w:val="32"/>
          <w:lang w:val="en-US" w:eastAsia="zh-CN" w:bidi="ar"/>
        </w:rPr>
        <w:t>部门预算绩效自评打分表</w:t>
      </w:r>
    </w:p>
    <w:p w14:paraId="6F04196C">
      <w:pPr>
        <w:keepNext w:val="0"/>
        <w:keepLines w:val="0"/>
        <w:widowControl/>
        <w:suppressLineNumbers w:val="0"/>
        <w:spacing w:before="0" w:beforeAutospacing="1" w:after="200" w:afterAutospacing="0" w:line="578" w:lineRule="exact"/>
        <w:ind w:left="0" w:right="0" w:firstLine="1600" w:firstLineChars="500"/>
        <w:jc w:val="left"/>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部门整体支出绩效目标完成情况自评表</w:t>
      </w:r>
    </w:p>
    <w:p w14:paraId="3E56C9D8">
      <w:pPr>
        <w:keepNext w:val="0"/>
        <w:keepLines w:val="0"/>
        <w:widowControl/>
        <w:suppressLineNumbers w:val="0"/>
        <w:spacing w:before="0" w:beforeAutospacing="1" w:after="200" w:afterAutospacing="0" w:line="578" w:lineRule="exact"/>
        <w:ind w:left="0" w:right="0"/>
        <w:jc w:val="left"/>
        <w:rPr>
          <w:rFonts w:hint="default" w:ascii="Times New Roman" w:hAnsi="Times New Roman" w:eastAsia="黑体" w:cs="Times New Roman"/>
          <w:sz w:val="32"/>
          <w:szCs w:val="32"/>
        </w:rPr>
      </w:pPr>
      <w:r>
        <w:rPr>
          <w:rFonts w:hint="default" w:ascii="Times New Roman" w:hAnsi="Times New Roman" w:eastAsia="仿宋_GB2312" w:cs="Times New Roman"/>
          <w:color w:val="000000"/>
          <w:kern w:val="0"/>
          <w:sz w:val="32"/>
          <w:szCs w:val="32"/>
          <w:shd w:val="clear" w:fill="FFFFFF"/>
          <w:lang w:val="en-US" w:eastAsia="zh-CN" w:bidi="ar"/>
        </w:rPr>
        <w:br w:type="page"/>
      </w:r>
      <w:r>
        <w:rPr>
          <w:rFonts w:hint="eastAsia" w:ascii="黑体" w:hAnsi="宋体" w:eastAsia="黑体" w:cs="黑体"/>
          <w:kern w:val="0"/>
          <w:sz w:val="32"/>
          <w:szCs w:val="32"/>
          <w:lang w:val="en-US" w:eastAsia="zh-CN" w:bidi="ar"/>
        </w:rPr>
        <w:t>附表</w:t>
      </w:r>
      <w:r>
        <w:rPr>
          <w:rFonts w:hint="default" w:ascii="Times New Roman" w:hAnsi="Times New Roman" w:eastAsia="黑体" w:cs="Times New Roman"/>
          <w:kern w:val="0"/>
          <w:sz w:val="32"/>
          <w:szCs w:val="32"/>
          <w:lang w:val="en-US" w:eastAsia="zh-CN" w:bidi="ar"/>
        </w:rPr>
        <w:t>1</w:t>
      </w:r>
    </w:p>
    <w:p w14:paraId="6251449C">
      <w:pPr>
        <w:keepNext w:val="0"/>
        <w:keepLines w:val="0"/>
        <w:widowControl/>
        <w:suppressLineNumbers w:val="0"/>
        <w:spacing w:before="0" w:beforeAutospacing="1" w:after="200" w:afterAutospacing="0" w:line="600" w:lineRule="exact"/>
        <w:ind w:left="0" w:right="0"/>
        <w:jc w:val="center"/>
        <w:textAlignment w:val="center"/>
        <w:rPr>
          <w:rFonts w:hint="default" w:ascii="Times New Roman" w:hAnsi="Times New Roman" w:eastAsia="方正小标宋简体" w:cs="Times New Roman"/>
          <w:color w:val="000000"/>
          <w:kern w:val="0"/>
          <w:sz w:val="44"/>
          <w:szCs w:val="44"/>
        </w:rPr>
      </w:pPr>
      <w:r>
        <w:rPr>
          <w:rFonts w:hint="eastAsia" w:ascii="方正小标宋简体" w:hAnsi="方正小标宋简体" w:eastAsia="方正小标宋简体" w:cs="方正小标宋简体"/>
          <w:color w:val="000000"/>
          <w:kern w:val="0"/>
          <w:sz w:val="44"/>
          <w:szCs w:val="44"/>
          <w:lang w:val="en-US" w:eastAsia="zh-CN" w:bidi="ar"/>
        </w:rPr>
        <w:t>部门预算绩效自评打分表</w:t>
      </w:r>
    </w:p>
    <w:tbl>
      <w:tblPr>
        <w:tblStyle w:val="40"/>
        <w:tblW w:w="109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7"/>
        <w:gridCol w:w="1201"/>
        <w:gridCol w:w="1929"/>
        <w:gridCol w:w="717"/>
        <w:gridCol w:w="4760"/>
        <w:gridCol w:w="730"/>
        <w:gridCol w:w="478"/>
      </w:tblGrid>
      <w:tr w14:paraId="03999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7CE771">
            <w:pPr>
              <w:keepNext w:val="0"/>
              <w:keepLines w:val="0"/>
              <w:widowControl/>
              <w:suppressLineNumbers w:val="0"/>
              <w:spacing w:before="0" w:beforeAutospacing="1" w:after="200" w:afterAutospacing="0" w:line="240" w:lineRule="exact"/>
              <w:ind w:left="0" w:right="0"/>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val="en-US" w:eastAsia="zh-CN" w:bidi="ar"/>
              </w:rPr>
              <w:t>绩效评价指标分值</w:t>
            </w:r>
          </w:p>
        </w:tc>
        <w:tc>
          <w:tcPr>
            <w:tcW w:w="4760" w:type="dxa"/>
            <w:vMerge w:val="restart"/>
            <w:tcBorders>
              <w:top w:val="single" w:color="000000" w:sz="4" w:space="0"/>
              <w:left w:val="nil"/>
              <w:bottom w:val="single" w:color="000000" w:sz="4" w:space="0"/>
              <w:right w:val="single" w:color="000000" w:sz="4" w:space="0"/>
            </w:tcBorders>
            <w:shd w:val="clear" w:color="auto" w:fill="auto"/>
            <w:vAlign w:val="center"/>
          </w:tcPr>
          <w:p w14:paraId="3B17B67C">
            <w:pPr>
              <w:keepNext w:val="0"/>
              <w:keepLines w:val="0"/>
              <w:widowControl/>
              <w:suppressLineNumbers w:val="0"/>
              <w:spacing w:before="0" w:beforeAutospacing="1" w:after="200" w:afterAutospacing="0" w:line="240" w:lineRule="exact"/>
              <w:ind w:left="0" w:right="0"/>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val="en-US" w:eastAsia="zh-CN" w:bidi="ar"/>
              </w:rPr>
              <w:t>指标解释</w:t>
            </w:r>
          </w:p>
        </w:tc>
        <w:tc>
          <w:tcPr>
            <w:tcW w:w="730" w:type="dxa"/>
            <w:vMerge w:val="restart"/>
            <w:tcBorders>
              <w:top w:val="single" w:color="000000" w:sz="4" w:space="0"/>
              <w:left w:val="nil"/>
              <w:bottom w:val="nil"/>
              <w:right w:val="single" w:color="000000" w:sz="4" w:space="0"/>
            </w:tcBorders>
            <w:shd w:val="clear" w:color="auto" w:fill="auto"/>
            <w:vAlign w:val="center"/>
          </w:tcPr>
          <w:p w14:paraId="5781609F">
            <w:pPr>
              <w:keepNext w:val="0"/>
              <w:keepLines w:val="0"/>
              <w:widowControl/>
              <w:suppressLineNumbers w:val="0"/>
              <w:spacing w:before="0" w:beforeAutospacing="1" w:after="200" w:afterAutospacing="0" w:line="240" w:lineRule="exact"/>
              <w:ind w:left="0" w:right="0"/>
              <w:jc w:val="center"/>
              <w:textAlignment w:val="center"/>
              <w:rPr>
                <w:rFonts w:hint="eastAsia" w:ascii="黑体" w:hAnsi="宋体" w:eastAsia="黑体" w:cs="黑体"/>
                <w:color w:val="000000"/>
                <w:kern w:val="0"/>
                <w:sz w:val="24"/>
                <w:szCs w:val="24"/>
              </w:rPr>
            </w:pPr>
            <w:r>
              <w:rPr>
                <w:rFonts w:hint="eastAsia" w:ascii="黑体" w:hAnsi="宋体" w:eastAsia="黑体" w:cs="黑体"/>
                <w:color w:val="000000"/>
                <w:kern w:val="0"/>
                <w:sz w:val="24"/>
                <w:szCs w:val="24"/>
                <w:lang w:val="en-US" w:eastAsia="zh-CN" w:bidi="ar"/>
              </w:rPr>
              <w:t>自评得分</w:t>
            </w:r>
          </w:p>
        </w:tc>
        <w:tc>
          <w:tcPr>
            <w:tcW w:w="478" w:type="dxa"/>
            <w:vMerge w:val="restart"/>
            <w:tcBorders>
              <w:top w:val="single" w:color="000000" w:sz="4" w:space="0"/>
              <w:left w:val="nil"/>
              <w:bottom w:val="nil"/>
              <w:right w:val="single" w:color="000000" w:sz="4" w:space="0"/>
            </w:tcBorders>
            <w:shd w:val="clear" w:color="auto" w:fill="auto"/>
            <w:vAlign w:val="center"/>
          </w:tcPr>
          <w:p w14:paraId="3C6B017C">
            <w:pPr>
              <w:keepNext w:val="0"/>
              <w:keepLines w:val="0"/>
              <w:widowControl/>
              <w:suppressLineNumbers w:val="0"/>
              <w:spacing w:before="0" w:beforeAutospacing="1" w:after="200" w:afterAutospacing="0" w:line="240" w:lineRule="exact"/>
              <w:ind w:left="0" w:right="0"/>
              <w:jc w:val="center"/>
              <w:textAlignment w:val="center"/>
              <w:rPr>
                <w:rFonts w:hint="eastAsia" w:ascii="黑体" w:hAnsi="宋体" w:eastAsia="黑体" w:cs="黑体"/>
                <w:color w:val="000000"/>
                <w:kern w:val="0"/>
                <w:sz w:val="24"/>
                <w:szCs w:val="24"/>
              </w:rPr>
            </w:pPr>
            <w:r>
              <w:rPr>
                <w:rFonts w:hint="eastAsia" w:ascii="黑体" w:hAnsi="宋体" w:eastAsia="黑体" w:cs="黑体"/>
                <w:color w:val="000000"/>
                <w:kern w:val="0"/>
                <w:sz w:val="24"/>
                <w:szCs w:val="24"/>
                <w:lang w:val="en-US" w:eastAsia="zh-CN" w:bidi="ar"/>
              </w:rPr>
              <w:t>备注</w:t>
            </w:r>
          </w:p>
        </w:tc>
      </w:tr>
      <w:tr w14:paraId="20E9E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4124E07B">
            <w:pPr>
              <w:keepNext w:val="0"/>
              <w:keepLines w:val="0"/>
              <w:widowControl/>
              <w:suppressLineNumbers w:val="0"/>
              <w:spacing w:before="0" w:beforeAutospacing="1" w:after="200" w:afterAutospacing="0" w:line="240" w:lineRule="exact"/>
              <w:ind w:left="0" w:right="0"/>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val="en-US" w:eastAsia="zh-CN" w:bidi="ar"/>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5771">
            <w:pPr>
              <w:keepNext w:val="0"/>
              <w:keepLines w:val="0"/>
              <w:widowControl/>
              <w:suppressLineNumbers w:val="0"/>
              <w:spacing w:before="0" w:beforeAutospacing="1" w:after="200" w:afterAutospacing="0" w:line="240" w:lineRule="exact"/>
              <w:ind w:left="0" w:right="0"/>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val="en-US" w:eastAsia="zh-CN" w:bidi="ar"/>
              </w:rPr>
              <w:t>二级指标</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675438F3">
            <w:pPr>
              <w:keepNext w:val="0"/>
              <w:keepLines w:val="0"/>
              <w:widowControl/>
              <w:suppressLineNumbers w:val="0"/>
              <w:spacing w:before="0" w:beforeAutospacing="1" w:after="200" w:afterAutospacing="0" w:line="240" w:lineRule="exact"/>
              <w:ind w:left="0" w:right="0"/>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val="en-US" w:eastAsia="zh-CN" w:bidi="ar"/>
              </w:rPr>
              <w:t>三级指标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3EE8CB5">
            <w:pPr>
              <w:keepNext w:val="0"/>
              <w:keepLines w:val="0"/>
              <w:widowControl/>
              <w:suppressLineNumbers w:val="0"/>
              <w:spacing w:before="0" w:beforeAutospacing="1" w:after="200" w:afterAutospacing="0" w:line="240" w:lineRule="exact"/>
              <w:ind w:left="0" w:right="0"/>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val="en-US" w:eastAsia="zh-CN" w:bidi="ar"/>
              </w:rPr>
              <w:t>指标</w:t>
            </w:r>
            <w:r>
              <w:rPr>
                <w:rFonts w:hint="eastAsia" w:ascii="黑体" w:hAnsi="宋体" w:eastAsia="黑体" w:cs="黑体"/>
                <w:color w:val="000000"/>
                <w:kern w:val="0"/>
                <w:sz w:val="24"/>
                <w:szCs w:val="24"/>
                <w:lang w:val="en-US" w:eastAsia="zh-CN" w:bidi="ar"/>
              </w:rPr>
              <w:br w:type="textWrapping"/>
            </w:r>
            <w:r>
              <w:rPr>
                <w:rFonts w:hint="eastAsia" w:ascii="黑体" w:hAnsi="宋体" w:eastAsia="黑体" w:cs="黑体"/>
                <w:color w:val="000000"/>
                <w:kern w:val="0"/>
                <w:sz w:val="24"/>
                <w:szCs w:val="24"/>
                <w:lang w:val="en-US" w:eastAsia="zh-CN" w:bidi="ar"/>
              </w:rPr>
              <w:t>分值</w:t>
            </w:r>
          </w:p>
        </w:tc>
        <w:tc>
          <w:tcPr>
            <w:tcW w:w="4760" w:type="dxa"/>
            <w:vMerge w:val="continue"/>
            <w:tcBorders>
              <w:top w:val="single" w:color="000000" w:sz="4" w:space="0"/>
              <w:left w:val="nil"/>
              <w:bottom w:val="single" w:color="000000" w:sz="4" w:space="0"/>
              <w:right w:val="single" w:color="000000" w:sz="4" w:space="0"/>
            </w:tcBorders>
            <w:shd w:val="clear" w:color="auto" w:fill="auto"/>
            <w:vAlign w:val="center"/>
          </w:tcPr>
          <w:p w14:paraId="7D6BB7D5">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730" w:type="dxa"/>
            <w:vMerge w:val="continue"/>
            <w:tcBorders>
              <w:top w:val="single" w:color="000000" w:sz="4" w:space="0"/>
              <w:left w:val="nil"/>
              <w:bottom w:val="nil"/>
              <w:right w:val="single" w:color="000000" w:sz="4" w:space="0"/>
            </w:tcBorders>
            <w:shd w:val="clear" w:color="auto" w:fill="auto"/>
            <w:vAlign w:val="center"/>
          </w:tcPr>
          <w:p w14:paraId="5E2699C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78" w:type="dxa"/>
            <w:vMerge w:val="continue"/>
            <w:tcBorders>
              <w:top w:val="single" w:color="000000" w:sz="4" w:space="0"/>
              <w:left w:val="nil"/>
              <w:bottom w:val="nil"/>
              <w:right w:val="single" w:color="000000" w:sz="4" w:space="0"/>
            </w:tcBorders>
            <w:shd w:val="clear" w:color="auto" w:fill="auto"/>
            <w:vAlign w:val="center"/>
          </w:tcPr>
          <w:p w14:paraId="1B0B5805">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r>
      <w:tr w14:paraId="43C08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nil"/>
              <w:left w:val="single" w:color="000000" w:sz="4" w:space="0"/>
              <w:bottom w:val="nil"/>
              <w:right w:val="single" w:color="000000" w:sz="4" w:space="0"/>
            </w:tcBorders>
            <w:shd w:val="clear" w:color="auto" w:fill="auto"/>
            <w:vAlign w:val="center"/>
          </w:tcPr>
          <w:p w14:paraId="34B3393C">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总体绩效（65分）</w:t>
            </w:r>
          </w:p>
        </w:tc>
        <w:tc>
          <w:tcPr>
            <w:tcW w:w="1201" w:type="dxa"/>
            <w:vMerge w:val="restart"/>
            <w:tcBorders>
              <w:top w:val="nil"/>
              <w:left w:val="nil"/>
              <w:bottom w:val="nil"/>
              <w:right w:val="single" w:color="000000" w:sz="4" w:space="0"/>
            </w:tcBorders>
            <w:shd w:val="clear" w:color="auto" w:fill="auto"/>
            <w:vAlign w:val="center"/>
          </w:tcPr>
          <w:p w14:paraId="77FCE5E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履职效能</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（15分）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066CC49F">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培训场次</w:t>
            </w:r>
          </w:p>
        </w:tc>
        <w:tc>
          <w:tcPr>
            <w:tcW w:w="717" w:type="dxa"/>
            <w:tcBorders>
              <w:top w:val="nil"/>
              <w:left w:val="nil"/>
              <w:bottom w:val="single" w:color="000000" w:sz="4" w:space="0"/>
              <w:right w:val="single" w:color="000000" w:sz="4" w:space="0"/>
            </w:tcBorders>
            <w:shd w:val="clear" w:color="auto" w:fill="auto"/>
            <w:vAlign w:val="center"/>
          </w:tcPr>
          <w:p w14:paraId="42CC7D8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5</w:t>
            </w:r>
          </w:p>
        </w:tc>
        <w:tc>
          <w:tcPr>
            <w:tcW w:w="4760" w:type="dxa"/>
            <w:vMerge w:val="restart"/>
            <w:tcBorders>
              <w:top w:val="nil"/>
              <w:left w:val="nil"/>
              <w:bottom w:val="nil"/>
              <w:right w:val="single" w:color="000000" w:sz="4" w:space="0"/>
            </w:tcBorders>
            <w:shd w:val="clear" w:color="auto" w:fill="auto"/>
            <w:vAlign w:val="center"/>
          </w:tcPr>
          <w:p w14:paraId="7A23FE7F">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部门整体绩效目标中选定3-5个核心职能目标，反映该项职能目标完成效果情况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4369B0A4">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5</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CDB8E29">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588AB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10D3DFBD">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3A017E8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38F97B92">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加强人才队伍建设</w:t>
            </w:r>
          </w:p>
        </w:tc>
        <w:tc>
          <w:tcPr>
            <w:tcW w:w="717" w:type="dxa"/>
            <w:tcBorders>
              <w:top w:val="nil"/>
              <w:left w:val="nil"/>
              <w:bottom w:val="single" w:color="000000" w:sz="4" w:space="0"/>
              <w:right w:val="single" w:color="000000" w:sz="4" w:space="0"/>
            </w:tcBorders>
            <w:shd w:val="clear" w:color="auto" w:fill="auto"/>
            <w:vAlign w:val="center"/>
          </w:tcPr>
          <w:p w14:paraId="287A5D42">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w:t>
            </w:r>
          </w:p>
        </w:tc>
        <w:tc>
          <w:tcPr>
            <w:tcW w:w="4760" w:type="dxa"/>
            <w:vMerge w:val="continue"/>
            <w:tcBorders>
              <w:top w:val="nil"/>
              <w:left w:val="nil"/>
              <w:bottom w:val="nil"/>
              <w:right w:val="single" w:color="000000" w:sz="4" w:space="0"/>
            </w:tcBorders>
            <w:shd w:val="clear" w:color="auto" w:fill="auto"/>
            <w:vAlign w:val="center"/>
          </w:tcPr>
          <w:p w14:paraId="6B989EA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730" w:type="dxa"/>
            <w:tcBorders>
              <w:top w:val="single" w:color="000000" w:sz="4" w:space="0"/>
              <w:left w:val="nil"/>
              <w:bottom w:val="single" w:color="000000" w:sz="4" w:space="0"/>
              <w:right w:val="single" w:color="000000" w:sz="4" w:space="0"/>
            </w:tcBorders>
            <w:shd w:val="clear" w:color="auto" w:fill="auto"/>
            <w:vAlign w:val="center"/>
          </w:tcPr>
          <w:p w14:paraId="3F292D9D">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CD3873C">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20BE4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6E4424D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290E634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01AD50A8">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提升基层医疗机构服务能力</w:t>
            </w:r>
          </w:p>
        </w:tc>
        <w:tc>
          <w:tcPr>
            <w:tcW w:w="717" w:type="dxa"/>
            <w:tcBorders>
              <w:top w:val="nil"/>
              <w:left w:val="nil"/>
              <w:bottom w:val="single" w:color="000000" w:sz="4" w:space="0"/>
              <w:right w:val="single" w:color="000000" w:sz="4" w:space="0"/>
            </w:tcBorders>
            <w:shd w:val="clear" w:color="auto" w:fill="auto"/>
            <w:vAlign w:val="center"/>
          </w:tcPr>
          <w:p w14:paraId="65DECDC7">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w:t>
            </w:r>
          </w:p>
        </w:tc>
        <w:tc>
          <w:tcPr>
            <w:tcW w:w="4760" w:type="dxa"/>
            <w:vMerge w:val="continue"/>
            <w:tcBorders>
              <w:top w:val="nil"/>
              <w:left w:val="nil"/>
              <w:bottom w:val="nil"/>
              <w:right w:val="single" w:color="000000" w:sz="4" w:space="0"/>
            </w:tcBorders>
            <w:shd w:val="clear" w:color="auto" w:fill="auto"/>
            <w:vAlign w:val="center"/>
          </w:tcPr>
          <w:p w14:paraId="036A1EC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730" w:type="dxa"/>
            <w:tcBorders>
              <w:top w:val="single" w:color="000000" w:sz="4" w:space="0"/>
              <w:left w:val="nil"/>
              <w:bottom w:val="single" w:color="000000" w:sz="4" w:space="0"/>
              <w:right w:val="single" w:color="000000" w:sz="4" w:space="0"/>
            </w:tcBorders>
            <w:shd w:val="clear" w:color="auto" w:fill="auto"/>
            <w:vAlign w:val="center"/>
          </w:tcPr>
          <w:p w14:paraId="5002D5F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A670D89">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686F2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6089E41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nil"/>
              <w:left w:val="nil"/>
              <w:bottom w:val="nil"/>
              <w:right w:val="single" w:color="000000" w:sz="4" w:space="0"/>
            </w:tcBorders>
            <w:shd w:val="clear" w:color="auto" w:fill="auto"/>
            <w:vAlign w:val="center"/>
          </w:tcPr>
          <w:p w14:paraId="6DE80E17">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预算管理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（25分）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3DDB8FA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预算编制质量</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2AD36F2">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8</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1FDD624B">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部门是否严格按要求编制年初部门预算，年初预算编制的科学性和准确性</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4B912D1A">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2.49</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DD5A0B8">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7306C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55D1AFD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3B5799F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0E8784DF">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单位收入统筹</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0ECFF4C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1073B785">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部门统筹自有收入努力程度</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056585D">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3.94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79E5D94">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1BEA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396C81A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17349A3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6649802D">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支出执行管理</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2534F3E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6</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E3BC96D">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部门1至6月、1至10月预算执行情况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7A644A44">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3.68</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307D798">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7F63D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0F253E85">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3D5CBA6D">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270C3487">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预算年终结余</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4EF1D5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2</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4930ECC1">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部门整体年终预算结余情况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094C0BC4">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1.94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8F4609A">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70694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03A786F5">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733FF835">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70F8C150">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严控一般性支出</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216E090">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216A825B">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部门严控“三公”经费、会议、培训、差旅、办节办展、办公设备购置、信息化建设和运维、课题经费、竞赛活动、规划编制等一般性支出情况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36A2162">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CB53AF9">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5879B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2E761ACF">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single" w:color="000000" w:sz="4" w:space="0"/>
              <w:left w:val="nil"/>
              <w:bottom w:val="single" w:color="000000" w:sz="4" w:space="0"/>
              <w:right w:val="single" w:color="000000" w:sz="4" w:space="0"/>
            </w:tcBorders>
            <w:shd w:val="clear" w:color="auto" w:fill="auto"/>
            <w:vAlign w:val="center"/>
          </w:tcPr>
          <w:p w14:paraId="2C4D28CF">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财务管理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（10分）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952B75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财务管理制度</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7DC6407">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41E1C0A0">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部门财务管理制度建立情况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3CBAE5D3">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FAF8F92">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24CF1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4C14928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14:paraId="676C0ACC">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1DEA777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财务岗位设置</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0D79F7D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2</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7FA9D196">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部门财务岗位设置是否符合相关财务管理制度要求</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08BF1DE4">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A13284C">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4B169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62A4D26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14:paraId="247BA90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115B663E">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资金使用规范</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76745AF2">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1DEB38D9">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部门资金使用是否符合相关财务管理制度规定</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7B923CC7">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19DB4A6">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477DD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21A3D03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nil"/>
              <w:left w:val="nil"/>
              <w:bottom w:val="single" w:color="000000" w:sz="4" w:space="0"/>
              <w:right w:val="single" w:color="000000" w:sz="4" w:space="0"/>
            </w:tcBorders>
            <w:shd w:val="clear" w:color="auto" w:fill="auto"/>
            <w:vAlign w:val="center"/>
          </w:tcPr>
          <w:p w14:paraId="4B9A62F8">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资产管理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（9分）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6FB3F39C">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人均资产变化率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76C5AD9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0E0BFAFB">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部门人均资产变化情况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5A21AA37">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0.30</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014D265">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09ABA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17B10223">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single" w:color="000000" w:sz="4" w:space="0"/>
              <w:right w:val="single" w:color="000000" w:sz="4" w:space="0"/>
            </w:tcBorders>
            <w:shd w:val="clear" w:color="auto" w:fill="auto"/>
            <w:vAlign w:val="center"/>
          </w:tcPr>
          <w:p w14:paraId="62F9E8B1">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D0C9AD0">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资产利用率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7058BA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11C3A8DE">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部门资产超最低使用年限情况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3F8FCDED">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1.20</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E90F7DC">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73833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297617F1">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tcBorders>
              <w:top w:val="single" w:color="000000" w:sz="4" w:space="0"/>
              <w:left w:val="nil"/>
              <w:bottom w:val="single" w:color="000000" w:sz="4" w:space="0"/>
              <w:right w:val="single" w:color="000000" w:sz="4" w:space="0"/>
            </w:tcBorders>
            <w:shd w:val="clear" w:color="auto" w:fill="auto"/>
            <w:vAlign w:val="center"/>
          </w:tcPr>
          <w:p w14:paraId="115496E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资产管理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（9分）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3CD3274C">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资产盘活率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18253ADD">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3ACFD56D">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部门闲置一年以上的资产盘活情况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76D7E4EA">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75CBC02">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673A5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78D8EC7B">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nil"/>
              <w:left w:val="nil"/>
              <w:bottom w:val="single" w:color="000000" w:sz="4" w:space="0"/>
              <w:right w:val="single" w:color="000000" w:sz="4" w:space="0"/>
            </w:tcBorders>
            <w:shd w:val="clear" w:color="auto" w:fill="auto"/>
            <w:vAlign w:val="center"/>
          </w:tcPr>
          <w:p w14:paraId="6CCCDFA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采购管理</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（6分）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6A96C5F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支持中小企业发展</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6E4A1C3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114F39A3">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部门是否严格执行政府采购促进中小企业发展相关管理办法</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C6AC1A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AE4B382">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65116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jc w:val="center"/>
        </w:trPr>
        <w:tc>
          <w:tcPr>
            <w:tcW w:w="1097" w:type="dxa"/>
            <w:vMerge w:val="continue"/>
            <w:tcBorders>
              <w:top w:val="nil"/>
              <w:left w:val="single" w:color="000000" w:sz="4" w:space="0"/>
              <w:bottom w:val="nil"/>
              <w:right w:val="single" w:color="000000" w:sz="4" w:space="0"/>
            </w:tcBorders>
            <w:shd w:val="clear" w:color="auto" w:fill="auto"/>
            <w:vAlign w:val="center"/>
          </w:tcPr>
          <w:p w14:paraId="7074BA8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single" w:color="000000" w:sz="4" w:space="0"/>
              <w:right w:val="single" w:color="000000" w:sz="4" w:space="0"/>
            </w:tcBorders>
            <w:shd w:val="clear" w:color="auto" w:fill="auto"/>
            <w:vAlign w:val="center"/>
          </w:tcPr>
          <w:p w14:paraId="3FF7AB95">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EE1A836">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采购执行率</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28B0FE4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558054B1">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部门政府采购项目资金支付比例情况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5776834E">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1486191">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2FC0C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nil"/>
              <w:left w:val="single" w:color="000000" w:sz="4" w:space="0"/>
              <w:bottom w:val="single" w:color="000000" w:sz="4" w:space="0"/>
              <w:right w:val="single" w:color="000000" w:sz="4" w:space="0"/>
            </w:tcBorders>
            <w:shd w:val="clear" w:color="auto" w:fill="auto"/>
            <w:vAlign w:val="center"/>
          </w:tcPr>
          <w:p w14:paraId="2488A618">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项目绩效（35分）</w:t>
            </w:r>
          </w:p>
        </w:tc>
        <w:tc>
          <w:tcPr>
            <w:tcW w:w="1201" w:type="dxa"/>
            <w:vMerge w:val="restart"/>
            <w:tcBorders>
              <w:top w:val="nil"/>
              <w:left w:val="nil"/>
              <w:bottom w:val="nil"/>
              <w:right w:val="single" w:color="000000" w:sz="4" w:space="0"/>
            </w:tcBorders>
            <w:shd w:val="clear" w:color="auto" w:fill="auto"/>
            <w:vAlign w:val="center"/>
          </w:tcPr>
          <w:p w14:paraId="74B94D93">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项目决策</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（12分）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2BFA69D">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决策程序</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7E96BAF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5DF0C39F">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部门预算项目设立是否按规定履行评估论证、申报程序</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210F246C">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6E67FA0">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266B7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5F3D505D">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031AD24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5D5F0FDF">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目标设置</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31C7176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0C922E29">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部门预算项目绩效目标与计划期内的任务量、预算安排的资金量匹配情况，绩效目标设置是否科学合理、规范完整、量化细化、预算匹配</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44308F30">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ED2F3A2">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5E5B0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28F9AAE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nil"/>
              <w:left w:val="nil"/>
              <w:bottom w:val="nil"/>
              <w:right w:val="single" w:color="000000" w:sz="4" w:space="0"/>
            </w:tcBorders>
            <w:shd w:val="clear" w:color="auto" w:fill="auto"/>
            <w:vAlign w:val="center"/>
          </w:tcPr>
          <w:p w14:paraId="4F8E5EE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76C532FC">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项目入库</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62B04E6">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0C12138A">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部门预算项目是否在规定时间内完成项目入库</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30D2282D">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82D2A90">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095F7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4BEBA1B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single" w:color="000000" w:sz="4" w:space="0"/>
              <w:left w:val="nil"/>
              <w:bottom w:val="nil"/>
              <w:right w:val="single" w:color="000000" w:sz="4" w:space="0"/>
            </w:tcBorders>
            <w:shd w:val="clear" w:color="auto" w:fill="auto"/>
            <w:vAlign w:val="center"/>
          </w:tcPr>
          <w:p w14:paraId="7D48FF3F">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项目执行</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（12分）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3FCBBBDE">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执行同向</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9C742E4">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FE142B5">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部门预算项目实际列支内容是否与绩效目标设置方向相符</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1984180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D4D5F04">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71989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0F1AED01">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nil"/>
              <w:right w:val="single" w:color="000000" w:sz="4" w:space="0"/>
            </w:tcBorders>
            <w:shd w:val="clear" w:color="auto" w:fill="auto"/>
            <w:vAlign w:val="center"/>
          </w:tcPr>
          <w:p w14:paraId="3F1E5011">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nil"/>
              <w:right w:val="single" w:color="000000" w:sz="4" w:space="0"/>
            </w:tcBorders>
            <w:shd w:val="clear" w:color="auto" w:fill="auto"/>
            <w:vAlign w:val="center"/>
          </w:tcPr>
          <w:p w14:paraId="3380AC4E">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项目调整</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79D9AEC">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4FFF233B">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部门预算项目是否采取对应调整措施</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5709664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267DE945">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7A3C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572ABD9D">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nil"/>
              <w:right w:val="single" w:color="000000" w:sz="4" w:space="0"/>
            </w:tcBorders>
            <w:shd w:val="clear" w:color="auto" w:fill="auto"/>
            <w:vAlign w:val="center"/>
          </w:tcPr>
          <w:p w14:paraId="1A495351">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76BB49AF">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执行结果</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849F108">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08063587">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部门预算项目预算执行情况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6EA676F4">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378299D">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2A64B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4DA1E43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restart"/>
            <w:tcBorders>
              <w:top w:val="single" w:color="000000" w:sz="4" w:space="0"/>
              <w:left w:val="nil"/>
              <w:bottom w:val="single" w:color="000000" w:sz="4" w:space="0"/>
              <w:right w:val="single" w:color="000000" w:sz="4" w:space="0"/>
            </w:tcBorders>
            <w:shd w:val="clear" w:color="auto" w:fill="auto"/>
            <w:vAlign w:val="center"/>
          </w:tcPr>
          <w:p w14:paraId="224E92B4">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目标实现</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（11分）</w:t>
            </w: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0DBB48B6">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目标完成</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52E2F47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65725B30">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部门预算项目绩效目标数量指标完成情况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66CC169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15626F0">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300A7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3673B2C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14:paraId="663C344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4A585C80">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目标偏离</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791C4510">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4</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23689AA5">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部门预算项目绩效目标数量指标实现程度与预期目标的偏离情况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565E0002">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DC53D35">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5B459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nil"/>
              <w:left w:val="single" w:color="000000" w:sz="4" w:space="0"/>
              <w:bottom w:val="single" w:color="000000" w:sz="4" w:space="0"/>
              <w:right w:val="single" w:color="000000" w:sz="4" w:space="0"/>
            </w:tcBorders>
            <w:shd w:val="clear" w:color="auto" w:fill="auto"/>
            <w:vAlign w:val="center"/>
          </w:tcPr>
          <w:p w14:paraId="2D2D7AB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14:paraId="1F7DA92B">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929" w:type="dxa"/>
            <w:tcBorders>
              <w:top w:val="single" w:color="000000" w:sz="4" w:space="0"/>
              <w:left w:val="nil"/>
              <w:bottom w:val="single" w:color="000000" w:sz="4" w:space="0"/>
              <w:right w:val="single" w:color="000000" w:sz="4" w:space="0"/>
            </w:tcBorders>
            <w:shd w:val="clear" w:color="auto" w:fill="auto"/>
            <w:vAlign w:val="center"/>
          </w:tcPr>
          <w:p w14:paraId="359B5D5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实现效果</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439DC2D2">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3</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1E05AC4D">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部门预算项目绩效目标效益指标实施效果</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39D365EE">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14AA306">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r w14:paraId="55CBC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790F">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b/>
                <w:bCs w:val="0"/>
                <w:color w:val="000000"/>
                <w:sz w:val="24"/>
                <w:szCs w:val="24"/>
              </w:rPr>
            </w:pPr>
            <w:r>
              <w:rPr>
                <w:rFonts w:hint="eastAsia" w:ascii="宋体" w:hAnsi="宋体" w:eastAsia="宋体" w:cs="宋体"/>
                <w:b/>
                <w:bCs w:val="0"/>
                <w:color w:val="000000"/>
                <w:kern w:val="0"/>
                <w:sz w:val="24"/>
                <w:szCs w:val="24"/>
                <w:lang w:val="en-US" w:eastAsia="zh-CN" w:bidi="ar"/>
              </w:rPr>
              <w:t>扣分项</w:t>
            </w:r>
            <w:r>
              <w:rPr>
                <w:rFonts w:hint="eastAsia" w:ascii="宋体" w:hAnsi="宋体" w:eastAsia="宋体" w:cs="宋体"/>
                <w:b/>
                <w:bCs w:val="0"/>
                <w:color w:val="000000"/>
                <w:kern w:val="0"/>
                <w:sz w:val="24"/>
                <w:szCs w:val="24"/>
                <w:lang w:val="en-US" w:eastAsia="zh-CN" w:bidi="ar"/>
              </w:rPr>
              <w:br w:type="textWrapping"/>
            </w:r>
            <w:r>
              <w:rPr>
                <w:rFonts w:hint="eastAsia" w:ascii="宋体" w:hAnsi="宋体" w:eastAsia="宋体" w:cs="宋体"/>
                <w:b/>
                <w:bCs w:val="0"/>
                <w:color w:val="000000"/>
                <w:kern w:val="0"/>
                <w:sz w:val="24"/>
                <w:szCs w:val="24"/>
                <w:lang w:val="en-US" w:eastAsia="zh-CN" w:bidi="ar"/>
              </w:rPr>
              <w:t>（10分）</w:t>
            </w:r>
          </w:p>
        </w:tc>
        <w:tc>
          <w:tcPr>
            <w:tcW w:w="3130" w:type="dxa"/>
            <w:gridSpan w:val="2"/>
            <w:tcBorders>
              <w:top w:val="single" w:color="000000" w:sz="4" w:space="0"/>
              <w:left w:val="nil"/>
              <w:bottom w:val="single" w:color="000000" w:sz="4" w:space="0"/>
              <w:right w:val="single" w:color="000000" w:sz="4" w:space="0"/>
            </w:tcBorders>
            <w:shd w:val="clear" w:color="auto" w:fill="auto"/>
            <w:vAlign w:val="center"/>
          </w:tcPr>
          <w:p w14:paraId="3F5CEF77">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被评价部门配合度</w:t>
            </w:r>
          </w:p>
        </w:tc>
        <w:tc>
          <w:tcPr>
            <w:tcW w:w="717" w:type="dxa"/>
            <w:tcBorders>
              <w:top w:val="single" w:color="000000" w:sz="4" w:space="0"/>
              <w:left w:val="nil"/>
              <w:bottom w:val="single" w:color="000000" w:sz="4" w:space="0"/>
              <w:right w:val="single" w:color="000000" w:sz="4" w:space="0"/>
            </w:tcBorders>
            <w:shd w:val="clear" w:color="auto" w:fill="auto"/>
            <w:vAlign w:val="center"/>
          </w:tcPr>
          <w:p w14:paraId="0CFBCE7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w:t>
            </w:r>
          </w:p>
        </w:tc>
        <w:tc>
          <w:tcPr>
            <w:tcW w:w="4760" w:type="dxa"/>
            <w:tcBorders>
              <w:top w:val="single" w:color="000000" w:sz="4" w:space="0"/>
              <w:left w:val="nil"/>
              <w:bottom w:val="single" w:color="000000" w:sz="4" w:space="0"/>
              <w:right w:val="single" w:color="000000" w:sz="4" w:space="0"/>
            </w:tcBorders>
            <w:shd w:val="clear" w:color="auto" w:fill="auto"/>
            <w:vAlign w:val="center"/>
          </w:tcPr>
          <w:p w14:paraId="0B640777">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被评价对象工作配合情况</w:t>
            </w:r>
          </w:p>
        </w:tc>
        <w:tc>
          <w:tcPr>
            <w:tcW w:w="730" w:type="dxa"/>
            <w:tcBorders>
              <w:top w:val="single" w:color="000000" w:sz="4" w:space="0"/>
              <w:left w:val="nil"/>
              <w:bottom w:val="single" w:color="000000" w:sz="4" w:space="0"/>
              <w:right w:val="single" w:color="000000" w:sz="4" w:space="0"/>
            </w:tcBorders>
            <w:shd w:val="clear" w:color="auto" w:fill="auto"/>
            <w:vAlign w:val="center"/>
          </w:tcPr>
          <w:p w14:paraId="4AE0E412">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9F9EC5E">
            <w:pPr>
              <w:keepNext w:val="0"/>
              <w:keepLines w:val="0"/>
              <w:widowControl/>
              <w:suppressLineNumbers w:val="0"/>
              <w:spacing w:before="0" w:beforeAutospacing="1" w:after="200" w:afterAutospacing="0" w:line="240" w:lineRule="exact"/>
              <w:ind w:left="0" w:right="0"/>
              <w:jc w:val="left"/>
              <w:textAlignment w:val="center"/>
              <w:rPr>
                <w:rFonts w:hint="eastAsia" w:ascii="宋体" w:hAnsi="宋体" w:eastAsia="宋体" w:cs="宋体"/>
                <w:color w:val="000000"/>
                <w:kern w:val="0"/>
                <w:sz w:val="24"/>
                <w:szCs w:val="24"/>
              </w:rPr>
            </w:pPr>
          </w:p>
        </w:tc>
      </w:tr>
    </w:tbl>
    <w:p w14:paraId="29F1C84E">
      <w:pPr>
        <w:rPr>
          <w:rFonts w:hint="default" w:ascii="Times New Roman" w:hAnsi="Times New Roman" w:eastAsia="仿宋_GB2312" w:cs="Times New Roman"/>
          <w:sz w:val="32"/>
          <w:szCs w:val="32"/>
        </w:rPr>
        <w:sectPr>
          <w:footerReference r:id="rId7" w:type="default"/>
          <w:pgSz w:w="11906" w:h="16838"/>
          <w:pgMar w:top="2098" w:right="1474" w:bottom="1984" w:left="1587" w:header="851" w:footer="992" w:gutter="0"/>
          <w:pgNumType w:fmt="numberInDash" w:start="1"/>
          <w:cols w:space="720" w:num="1"/>
          <w:docGrid w:type="lines" w:linePitch="435" w:charSpace="0"/>
        </w:sectPr>
      </w:pPr>
    </w:p>
    <w:p w14:paraId="477C4993">
      <w:pPr>
        <w:keepNext w:val="0"/>
        <w:keepLines w:val="0"/>
        <w:widowControl/>
        <w:suppressLineNumbers w:val="0"/>
        <w:spacing w:before="0" w:beforeAutospacing="1" w:after="200" w:afterAutospacing="0" w:line="578" w:lineRule="exact"/>
        <w:ind w:left="0" w:right="0"/>
        <w:jc w:val="left"/>
        <w:rPr>
          <w:rFonts w:hint="default" w:ascii="Times New Roman" w:hAnsi="Times New Roman" w:eastAsia="黑体" w:cs="Times New Roman"/>
          <w:sz w:val="32"/>
          <w:szCs w:val="32"/>
        </w:rPr>
      </w:pPr>
      <w:r>
        <w:rPr>
          <w:rFonts w:hint="eastAsia" w:ascii="黑体" w:hAnsi="宋体" w:eastAsia="黑体" w:cs="黑体"/>
          <w:kern w:val="0"/>
          <w:sz w:val="32"/>
          <w:szCs w:val="32"/>
          <w:lang w:val="en-US" w:eastAsia="zh-CN" w:bidi="ar"/>
        </w:rPr>
        <w:t>附表</w:t>
      </w:r>
      <w:r>
        <w:rPr>
          <w:rFonts w:hint="default" w:ascii="Times New Roman" w:hAnsi="Times New Roman" w:eastAsia="黑体" w:cs="Times New Roman"/>
          <w:kern w:val="0"/>
          <w:sz w:val="32"/>
          <w:szCs w:val="32"/>
          <w:lang w:val="en-US" w:eastAsia="zh-CN" w:bidi="ar"/>
        </w:rPr>
        <w:t>2</w:t>
      </w:r>
    </w:p>
    <w:p w14:paraId="2A040525">
      <w:pPr>
        <w:keepNext w:val="0"/>
        <w:keepLines w:val="0"/>
        <w:widowControl/>
        <w:suppressLineNumbers w:val="0"/>
        <w:spacing w:before="0" w:beforeAutospacing="1" w:after="200" w:afterAutospacing="0" w:line="578" w:lineRule="exact"/>
        <w:ind w:left="0" w:right="0"/>
        <w:jc w:val="center"/>
        <w:textAlignment w:val="center"/>
        <w:rPr>
          <w:rFonts w:hint="default" w:ascii="Times New Roman" w:hAnsi="Times New Roman" w:eastAsia="方正小标宋简体" w:cs="Times New Roman"/>
          <w:color w:val="000000"/>
          <w:kern w:val="0"/>
          <w:sz w:val="44"/>
          <w:szCs w:val="44"/>
        </w:rPr>
      </w:pPr>
      <w:r>
        <w:rPr>
          <w:rFonts w:hint="eastAsia" w:ascii="方正小标宋简体" w:hAnsi="方正小标宋简体" w:eastAsia="方正小标宋简体" w:cs="方正小标宋简体"/>
          <w:color w:val="000000"/>
          <w:kern w:val="0"/>
          <w:sz w:val="44"/>
          <w:szCs w:val="44"/>
          <w:lang w:val="en-US" w:eastAsia="zh-CN" w:bidi="ar"/>
        </w:rPr>
        <w:t>部门整体支出绩效目标完成情况自评表</w:t>
      </w:r>
    </w:p>
    <w:tbl>
      <w:tblPr>
        <w:tblStyle w:val="40"/>
        <w:tblW w:w="96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488"/>
        <w:gridCol w:w="803"/>
        <w:gridCol w:w="1246"/>
        <w:gridCol w:w="803"/>
        <w:gridCol w:w="777"/>
        <w:gridCol w:w="1018"/>
        <w:gridCol w:w="1045"/>
        <w:gridCol w:w="1111"/>
        <w:gridCol w:w="1931"/>
      </w:tblGrid>
      <w:tr w14:paraId="3E563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shd w:val="clear" w:color="auto" w:fill="auto"/>
            <w:noWrap/>
            <w:vAlign w:val="center"/>
          </w:tcPr>
          <w:p w14:paraId="00A310BD">
            <w:pPr>
              <w:keepNext w:val="0"/>
              <w:keepLines w:val="0"/>
              <w:widowControl/>
              <w:suppressLineNumbers w:val="0"/>
              <w:spacing w:before="0" w:beforeAutospacing="1" w:after="200" w:afterAutospacing="0" w:line="273" w:lineRule="auto"/>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部门名称</w:t>
            </w:r>
          </w:p>
        </w:tc>
        <w:tc>
          <w:tcPr>
            <w:tcW w:w="7931" w:type="dxa"/>
            <w:gridSpan w:val="7"/>
            <w:tcBorders>
              <w:top w:val="single" w:color="000000" w:sz="4" w:space="0"/>
              <w:left w:val="nil"/>
              <w:bottom w:val="single" w:color="000000" w:sz="4" w:space="0"/>
              <w:right w:val="single" w:color="000000" w:sz="4" w:space="0"/>
            </w:tcBorders>
            <w:shd w:val="clear" w:color="auto" w:fill="auto"/>
            <w:noWrap/>
            <w:vAlign w:val="center"/>
          </w:tcPr>
          <w:p w14:paraId="238CDF83">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阿坝州卫生健康委员会</w:t>
            </w:r>
          </w:p>
        </w:tc>
      </w:tr>
      <w:tr w14:paraId="073C6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2713E76">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年度部门整体预算</w:t>
            </w:r>
          </w:p>
        </w:tc>
        <w:tc>
          <w:tcPr>
            <w:tcW w:w="2049" w:type="dxa"/>
            <w:gridSpan w:val="2"/>
            <w:tcBorders>
              <w:top w:val="single" w:color="000000" w:sz="4" w:space="0"/>
              <w:left w:val="nil"/>
              <w:bottom w:val="single" w:color="000000" w:sz="4" w:space="0"/>
              <w:right w:val="single" w:color="auto" w:sz="4" w:space="0"/>
            </w:tcBorders>
            <w:shd w:val="clear" w:color="auto" w:fill="auto"/>
            <w:noWrap/>
            <w:vAlign w:val="center"/>
          </w:tcPr>
          <w:p w14:paraId="320A84CA">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资金总额</w:t>
            </w:r>
          </w:p>
        </w:tc>
        <w:tc>
          <w:tcPr>
            <w:tcW w:w="1795" w:type="dxa"/>
            <w:gridSpan w:val="2"/>
            <w:tcBorders>
              <w:top w:val="single" w:color="auto" w:sz="4" w:space="0"/>
              <w:left w:val="nil"/>
              <w:bottom w:val="single" w:color="auto" w:sz="4" w:space="0"/>
              <w:right w:val="single" w:color="auto" w:sz="4" w:space="0"/>
            </w:tcBorders>
            <w:shd w:val="clear" w:color="auto" w:fill="auto"/>
            <w:noWrap/>
            <w:vAlign w:val="center"/>
          </w:tcPr>
          <w:p w14:paraId="4AE46FE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财政拨款</w:t>
            </w:r>
          </w:p>
        </w:tc>
        <w:tc>
          <w:tcPr>
            <w:tcW w:w="4087" w:type="dxa"/>
            <w:gridSpan w:val="3"/>
            <w:tcBorders>
              <w:top w:val="single" w:color="auto" w:sz="4" w:space="0"/>
              <w:left w:val="nil"/>
              <w:bottom w:val="single" w:color="auto" w:sz="4" w:space="0"/>
              <w:right w:val="single" w:color="auto" w:sz="4" w:space="0"/>
            </w:tcBorders>
            <w:shd w:val="clear" w:color="auto" w:fill="auto"/>
            <w:noWrap/>
            <w:vAlign w:val="center"/>
          </w:tcPr>
          <w:p w14:paraId="76D743F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其他资金</w:t>
            </w:r>
          </w:p>
        </w:tc>
      </w:tr>
      <w:tr w14:paraId="31C42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81A59D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收入预算</w:t>
            </w:r>
          </w:p>
        </w:tc>
        <w:tc>
          <w:tcPr>
            <w:tcW w:w="2049" w:type="dxa"/>
            <w:gridSpan w:val="2"/>
            <w:tcBorders>
              <w:top w:val="single" w:color="000000" w:sz="4" w:space="0"/>
              <w:left w:val="nil"/>
              <w:bottom w:val="single" w:color="000000" w:sz="4" w:space="0"/>
              <w:right w:val="single" w:color="auto" w:sz="4" w:space="0"/>
            </w:tcBorders>
            <w:shd w:val="clear" w:color="auto" w:fill="auto"/>
            <w:noWrap/>
            <w:vAlign w:val="center"/>
          </w:tcPr>
          <w:p w14:paraId="3C917BC7">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47505.73</w:t>
            </w:r>
          </w:p>
        </w:tc>
        <w:tc>
          <w:tcPr>
            <w:tcW w:w="1795" w:type="dxa"/>
            <w:gridSpan w:val="2"/>
            <w:tcBorders>
              <w:top w:val="single" w:color="auto" w:sz="4" w:space="0"/>
              <w:left w:val="nil"/>
              <w:bottom w:val="single" w:color="auto" w:sz="4" w:space="0"/>
              <w:right w:val="single" w:color="auto" w:sz="4" w:space="0"/>
            </w:tcBorders>
            <w:shd w:val="clear" w:color="auto" w:fill="auto"/>
            <w:noWrap/>
            <w:vAlign w:val="center"/>
          </w:tcPr>
          <w:p w14:paraId="099BF46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18185.37</w:t>
            </w:r>
          </w:p>
        </w:tc>
        <w:tc>
          <w:tcPr>
            <w:tcW w:w="4087" w:type="dxa"/>
            <w:gridSpan w:val="3"/>
            <w:tcBorders>
              <w:top w:val="single" w:color="auto" w:sz="4" w:space="0"/>
              <w:left w:val="nil"/>
              <w:bottom w:val="single" w:color="auto" w:sz="4" w:space="0"/>
              <w:right w:val="single" w:color="auto" w:sz="4" w:space="0"/>
            </w:tcBorders>
            <w:shd w:val="clear" w:color="auto" w:fill="auto"/>
            <w:noWrap/>
            <w:vAlign w:val="center"/>
          </w:tcPr>
          <w:p w14:paraId="3AB6E85B">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29320.36</w:t>
            </w:r>
          </w:p>
        </w:tc>
      </w:tr>
      <w:tr w14:paraId="2C4E2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3191F69">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支出预算</w:t>
            </w:r>
          </w:p>
        </w:tc>
        <w:tc>
          <w:tcPr>
            <w:tcW w:w="2049" w:type="dxa"/>
            <w:gridSpan w:val="2"/>
            <w:tcBorders>
              <w:top w:val="single" w:color="000000" w:sz="4" w:space="0"/>
              <w:left w:val="nil"/>
              <w:bottom w:val="single" w:color="000000" w:sz="4" w:space="0"/>
              <w:right w:val="single" w:color="000000" w:sz="4" w:space="0"/>
            </w:tcBorders>
            <w:shd w:val="clear" w:color="auto" w:fill="auto"/>
            <w:noWrap/>
            <w:vAlign w:val="center"/>
          </w:tcPr>
          <w:p w14:paraId="3C2C259E">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47505.73</w:t>
            </w:r>
          </w:p>
        </w:tc>
        <w:tc>
          <w:tcPr>
            <w:tcW w:w="1795" w:type="dxa"/>
            <w:gridSpan w:val="2"/>
            <w:tcBorders>
              <w:top w:val="single" w:color="auto" w:sz="4" w:space="0"/>
              <w:left w:val="nil"/>
              <w:bottom w:val="single" w:color="000000" w:sz="4" w:space="0"/>
              <w:right w:val="single" w:color="000000" w:sz="4" w:space="0"/>
            </w:tcBorders>
            <w:shd w:val="clear" w:color="auto" w:fill="auto"/>
            <w:noWrap/>
            <w:vAlign w:val="center"/>
          </w:tcPr>
          <w:p w14:paraId="465BC1AF">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18185.37</w:t>
            </w:r>
          </w:p>
        </w:tc>
        <w:tc>
          <w:tcPr>
            <w:tcW w:w="4087" w:type="dxa"/>
            <w:gridSpan w:val="3"/>
            <w:tcBorders>
              <w:top w:val="single" w:color="auto" w:sz="4" w:space="0"/>
              <w:left w:val="nil"/>
              <w:bottom w:val="single" w:color="000000" w:sz="4" w:space="0"/>
              <w:right w:val="single" w:color="000000" w:sz="4" w:space="0"/>
            </w:tcBorders>
            <w:shd w:val="clear" w:color="auto" w:fill="auto"/>
            <w:noWrap/>
            <w:vAlign w:val="center"/>
          </w:tcPr>
          <w:p w14:paraId="349501E7">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29320.36</w:t>
            </w:r>
          </w:p>
        </w:tc>
      </w:tr>
      <w:tr w14:paraId="0DCEF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279112C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年度总体目标</w:t>
            </w:r>
          </w:p>
        </w:tc>
        <w:tc>
          <w:tcPr>
            <w:tcW w:w="7931" w:type="dxa"/>
            <w:gridSpan w:val="7"/>
            <w:tcBorders>
              <w:top w:val="single" w:color="000000" w:sz="4" w:space="0"/>
              <w:left w:val="nil"/>
              <w:bottom w:val="single" w:color="000000" w:sz="4" w:space="0"/>
              <w:right w:val="single" w:color="000000" w:sz="4" w:space="0"/>
            </w:tcBorders>
            <w:shd w:val="clear" w:color="auto" w:fill="auto"/>
            <w:noWrap/>
            <w:vAlign w:val="center"/>
          </w:tcPr>
          <w:p w14:paraId="462FDD8C">
            <w:pPr>
              <w:keepNext w:val="0"/>
              <w:keepLines w:val="0"/>
              <w:widowControl/>
              <w:suppressLineNumbers w:val="0"/>
              <w:spacing w:before="0" w:beforeAutospacing="1" w:after="200" w:afterAutospacing="0" w:line="273" w:lineRule="auto"/>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州卫生健康部门聚焦“川甘青结合部区域医疗高地”建设目标，以推动医疗卫生质量提升“六大提升行动”和健康惠民“十大举措”为抓手，以以“十五五”规划编制为契机，不断深化改革、完善体制机制、优化功能布局、培育优质资源、提升服务效能、推动城乡一体化发展。做好辖区内的公共卫生监督管理，健全卫生健康综合监督体系；推进卫生健康基本公共服务均等化、普惠化、便捷化，推动公共资源向基层延伸。任务1：抓实卫生项目投资，加快提标扩能项目建设，完成“互联网+医疗健康”二期项目，加快区域龙头医院建设。任务2：加强人才队伍建设，加强定向医学生、医疗骨干人才培养，为全州基层医疗卫生机构培养优秀人才，为建设川甘青结合部区域医疗高地提供人才保障。任务3：深化医药卫生体制改革，加快紧密型县域医共体建设，加强专科联盟协作，促进“三医”协同发展，深化医疗服务价格、医保支付方式改革。任务4：加强医养结合示范，支持茂县、九寨沟县建设“医养康养示范区”，持续深化“中医药+”模式。任务5：民生保障持续夯实，农村妇女“两癌”筛查有精度。</w:t>
            </w:r>
          </w:p>
        </w:tc>
      </w:tr>
      <w:tr w14:paraId="36100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436" w:type="dxa"/>
            <w:vMerge w:val="restart"/>
            <w:tcBorders>
              <w:top w:val="nil"/>
              <w:left w:val="single" w:color="000000" w:sz="4" w:space="0"/>
              <w:bottom w:val="single" w:color="000000" w:sz="4" w:space="0"/>
              <w:right w:val="single" w:color="000000" w:sz="4" w:space="0"/>
            </w:tcBorders>
            <w:shd w:val="clear" w:color="auto" w:fill="auto"/>
            <w:noWrap/>
            <w:vAlign w:val="center"/>
          </w:tcPr>
          <w:p w14:paraId="69E84D5C">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管理效率</w:t>
            </w:r>
          </w:p>
        </w:tc>
        <w:tc>
          <w:tcPr>
            <w:tcW w:w="488" w:type="dxa"/>
            <w:vMerge w:val="restart"/>
            <w:tcBorders>
              <w:top w:val="nil"/>
              <w:left w:val="nil"/>
              <w:bottom w:val="single" w:color="000000" w:sz="4" w:space="0"/>
              <w:right w:val="single" w:color="000000" w:sz="4" w:space="0"/>
            </w:tcBorders>
            <w:shd w:val="clear" w:color="auto" w:fill="auto"/>
            <w:noWrap/>
            <w:vAlign w:val="center"/>
          </w:tcPr>
          <w:p w14:paraId="1298801C">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一级指标</w:t>
            </w:r>
          </w:p>
        </w:tc>
        <w:tc>
          <w:tcPr>
            <w:tcW w:w="803" w:type="dxa"/>
            <w:vMerge w:val="restart"/>
            <w:tcBorders>
              <w:top w:val="single" w:color="000000" w:sz="4" w:space="0"/>
              <w:left w:val="nil"/>
              <w:bottom w:val="single" w:color="000000" w:sz="4" w:space="0"/>
              <w:right w:val="single" w:color="000000" w:sz="4" w:space="0"/>
            </w:tcBorders>
            <w:shd w:val="clear" w:color="auto" w:fill="auto"/>
            <w:noWrap/>
            <w:vAlign w:val="center"/>
          </w:tcPr>
          <w:p w14:paraId="2EB9A47F">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二级指标</w:t>
            </w:r>
          </w:p>
        </w:tc>
        <w:tc>
          <w:tcPr>
            <w:tcW w:w="1246" w:type="dxa"/>
            <w:vMerge w:val="restart"/>
            <w:tcBorders>
              <w:top w:val="single" w:color="000000" w:sz="4" w:space="0"/>
              <w:left w:val="nil"/>
              <w:bottom w:val="single" w:color="000000" w:sz="4" w:space="0"/>
              <w:right w:val="single" w:color="000000" w:sz="4" w:space="0"/>
            </w:tcBorders>
            <w:shd w:val="clear" w:color="auto" w:fill="auto"/>
            <w:noWrap/>
            <w:vAlign w:val="center"/>
          </w:tcPr>
          <w:p w14:paraId="114E85F3">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三级指标</w:t>
            </w:r>
          </w:p>
        </w:tc>
        <w:tc>
          <w:tcPr>
            <w:tcW w:w="803" w:type="dxa"/>
            <w:vMerge w:val="restart"/>
            <w:tcBorders>
              <w:top w:val="single" w:color="000000" w:sz="4" w:space="0"/>
              <w:left w:val="nil"/>
              <w:bottom w:val="single" w:color="000000" w:sz="4" w:space="0"/>
              <w:right w:val="single" w:color="000000" w:sz="4" w:space="0"/>
            </w:tcBorders>
            <w:shd w:val="clear" w:color="auto" w:fill="auto"/>
            <w:noWrap/>
            <w:vAlign w:val="center"/>
          </w:tcPr>
          <w:p w14:paraId="04E915AD">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指标值</w:t>
            </w:r>
          </w:p>
        </w:tc>
        <w:tc>
          <w:tcPr>
            <w:tcW w:w="3951" w:type="dxa"/>
            <w:gridSpan w:val="4"/>
            <w:tcBorders>
              <w:top w:val="single" w:color="000000" w:sz="4" w:space="0"/>
              <w:left w:val="nil"/>
              <w:bottom w:val="single" w:color="000000" w:sz="4" w:space="0"/>
              <w:right w:val="single" w:color="000000" w:sz="4" w:space="0"/>
            </w:tcBorders>
            <w:shd w:val="clear" w:color="auto" w:fill="auto"/>
            <w:noWrap/>
            <w:vAlign w:val="center"/>
          </w:tcPr>
          <w:p w14:paraId="611ED86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指标设置参考值</w:t>
            </w:r>
          </w:p>
        </w:tc>
        <w:tc>
          <w:tcPr>
            <w:tcW w:w="1931" w:type="dxa"/>
            <w:vMerge w:val="restart"/>
            <w:tcBorders>
              <w:top w:val="single" w:color="000000" w:sz="4" w:space="0"/>
              <w:left w:val="nil"/>
              <w:bottom w:val="nil"/>
              <w:right w:val="single" w:color="000000" w:sz="4" w:space="0"/>
            </w:tcBorders>
            <w:shd w:val="clear" w:color="auto" w:fill="auto"/>
            <w:noWrap/>
            <w:vAlign w:val="center"/>
          </w:tcPr>
          <w:p w14:paraId="7491915A">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指标实际完成值</w:t>
            </w:r>
          </w:p>
        </w:tc>
      </w:tr>
      <w:tr w14:paraId="642E6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4A94318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000000" w:sz="4" w:space="0"/>
              <w:right w:val="single" w:color="000000" w:sz="4" w:space="0"/>
            </w:tcBorders>
            <w:shd w:val="clear" w:color="auto" w:fill="auto"/>
            <w:noWrap/>
            <w:vAlign w:val="center"/>
          </w:tcPr>
          <w:p w14:paraId="7994A4DD">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vMerge w:val="continue"/>
            <w:tcBorders>
              <w:top w:val="single" w:color="000000" w:sz="4" w:space="0"/>
              <w:left w:val="nil"/>
              <w:bottom w:val="single" w:color="000000" w:sz="4" w:space="0"/>
              <w:right w:val="single" w:color="000000" w:sz="4" w:space="0"/>
            </w:tcBorders>
            <w:shd w:val="clear" w:color="auto" w:fill="auto"/>
            <w:noWrap/>
            <w:vAlign w:val="center"/>
          </w:tcPr>
          <w:p w14:paraId="0B380B45">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4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214276E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vMerge w:val="continue"/>
            <w:tcBorders>
              <w:top w:val="single" w:color="000000" w:sz="4" w:space="0"/>
              <w:left w:val="nil"/>
              <w:bottom w:val="single" w:color="000000" w:sz="4" w:space="0"/>
              <w:right w:val="single" w:color="000000" w:sz="4" w:space="0"/>
            </w:tcBorders>
            <w:shd w:val="clear" w:color="auto" w:fill="auto"/>
            <w:noWrap/>
            <w:vAlign w:val="center"/>
          </w:tcPr>
          <w:p w14:paraId="0B78B3FB">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777" w:type="dxa"/>
            <w:tcBorders>
              <w:top w:val="single" w:color="000000" w:sz="4" w:space="0"/>
              <w:left w:val="nil"/>
              <w:bottom w:val="nil"/>
              <w:right w:val="single" w:color="000000" w:sz="4" w:space="0"/>
            </w:tcBorders>
            <w:shd w:val="clear" w:color="auto" w:fill="auto"/>
            <w:noWrap/>
            <w:vAlign w:val="center"/>
          </w:tcPr>
          <w:p w14:paraId="4DDC7AD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三年</w:t>
            </w:r>
          </w:p>
          <w:p w14:paraId="112BBB3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均值</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14:paraId="13E5C6D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2022年</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14:paraId="31792634">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2023年</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14:paraId="542A00E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2024年</w:t>
            </w:r>
          </w:p>
        </w:tc>
        <w:tc>
          <w:tcPr>
            <w:tcW w:w="1931" w:type="dxa"/>
            <w:vMerge w:val="continue"/>
            <w:tcBorders>
              <w:top w:val="single" w:color="000000" w:sz="4" w:space="0"/>
              <w:left w:val="nil"/>
              <w:bottom w:val="nil"/>
              <w:right w:val="single" w:color="000000" w:sz="4" w:space="0"/>
            </w:tcBorders>
            <w:shd w:val="clear" w:color="auto" w:fill="auto"/>
            <w:noWrap/>
            <w:vAlign w:val="center"/>
          </w:tcPr>
          <w:p w14:paraId="25BA2DB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r>
      <w:tr w14:paraId="22B5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04FDB2C2">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restart"/>
            <w:tcBorders>
              <w:top w:val="nil"/>
              <w:left w:val="nil"/>
              <w:bottom w:val="single" w:color="000000" w:sz="4" w:space="0"/>
              <w:right w:val="single" w:color="000000" w:sz="4" w:space="0"/>
            </w:tcBorders>
            <w:shd w:val="clear" w:color="auto" w:fill="auto"/>
            <w:noWrap/>
            <w:vAlign w:val="center"/>
          </w:tcPr>
          <w:p w14:paraId="04028F0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成本指标</w:t>
            </w:r>
          </w:p>
        </w:tc>
        <w:tc>
          <w:tcPr>
            <w:tcW w:w="803" w:type="dxa"/>
            <w:vMerge w:val="restart"/>
            <w:tcBorders>
              <w:top w:val="nil"/>
              <w:left w:val="nil"/>
              <w:bottom w:val="single" w:color="000000" w:sz="4" w:space="0"/>
              <w:right w:val="single" w:color="000000" w:sz="4" w:space="0"/>
            </w:tcBorders>
            <w:shd w:val="clear" w:color="auto" w:fill="auto"/>
            <w:noWrap/>
            <w:vAlign w:val="center"/>
          </w:tcPr>
          <w:p w14:paraId="1EEC4F28">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预算管理</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42B3FB30">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财政拨款预算编制偏离度</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2DDBE7A3">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43%</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14:paraId="4CC4D0DF">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43.22%</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14:paraId="39CDCA92">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57.7%</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14:paraId="3C91C2A6">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39.3%</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14:paraId="4D44AD97">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32.67%</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65A65A34">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37.70%</w:t>
            </w:r>
          </w:p>
        </w:tc>
      </w:tr>
      <w:tr w14:paraId="14181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7E6F197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000000" w:sz="4" w:space="0"/>
              <w:right w:val="single" w:color="000000" w:sz="4" w:space="0"/>
            </w:tcBorders>
            <w:shd w:val="clear" w:color="auto" w:fill="auto"/>
            <w:noWrap/>
            <w:vAlign w:val="center"/>
          </w:tcPr>
          <w:p w14:paraId="247244D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vMerge w:val="continue"/>
            <w:tcBorders>
              <w:top w:val="nil"/>
              <w:left w:val="nil"/>
              <w:bottom w:val="single" w:color="000000" w:sz="4" w:space="0"/>
              <w:right w:val="single" w:color="000000" w:sz="4" w:space="0"/>
            </w:tcBorders>
            <w:shd w:val="clear" w:color="auto" w:fill="auto"/>
            <w:noWrap/>
            <w:vAlign w:val="center"/>
          </w:tcPr>
          <w:p w14:paraId="30E79F18">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5F42EF3E">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预算年终结余率</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1100F0FD">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6.65%</w:t>
            </w:r>
          </w:p>
        </w:tc>
        <w:tc>
          <w:tcPr>
            <w:tcW w:w="777" w:type="dxa"/>
            <w:tcBorders>
              <w:top w:val="single" w:color="000000" w:sz="4" w:space="0"/>
              <w:left w:val="nil"/>
              <w:bottom w:val="single" w:color="000000" w:sz="4" w:space="0"/>
              <w:right w:val="single" w:color="000000" w:sz="4" w:space="0"/>
            </w:tcBorders>
            <w:shd w:val="clear" w:color="auto" w:fill="auto"/>
            <w:noWrap/>
            <w:vAlign w:val="center"/>
          </w:tcPr>
          <w:p w14:paraId="42C60FFB">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6.67%</w:t>
            </w:r>
          </w:p>
        </w:tc>
        <w:tc>
          <w:tcPr>
            <w:tcW w:w="1018" w:type="dxa"/>
            <w:tcBorders>
              <w:top w:val="single" w:color="000000" w:sz="4" w:space="0"/>
              <w:left w:val="nil"/>
              <w:bottom w:val="single" w:color="000000" w:sz="4" w:space="0"/>
              <w:right w:val="single" w:color="000000" w:sz="4" w:space="0"/>
            </w:tcBorders>
            <w:shd w:val="clear" w:color="auto" w:fill="auto"/>
            <w:noWrap/>
            <w:vAlign w:val="center"/>
          </w:tcPr>
          <w:p w14:paraId="61387190">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4%</w:t>
            </w:r>
          </w:p>
        </w:tc>
        <w:tc>
          <w:tcPr>
            <w:tcW w:w="1045" w:type="dxa"/>
            <w:tcBorders>
              <w:top w:val="single" w:color="000000" w:sz="4" w:space="0"/>
              <w:left w:val="nil"/>
              <w:bottom w:val="single" w:color="000000" w:sz="4" w:space="0"/>
              <w:right w:val="single" w:color="000000" w:sz="4" w:space="0"/>
            </w:tcBorders>
            <w:shd w:val="clear" w:color="auto" w:fill="auto"/>
            <w:noWrap/>
            <w:vAlign w:val="center"/>
          </w:tcPr>
          <w:p w14:paraId="11FC5A39">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8%</w:t>
            </w:r>
          </w:p>
        </w:tc>
        <w:tc>
          <w:tcPr>
            <w:tcW w:w="1111" w:type="dxa"/>
            <w:tcBorders>
              <w:top w:val="single" w:color="000000" w:sz="4" w:space="0"/>
              <w:left w:val="nil"/>
              <w:bottom w:val="single" w:color="000000" w:sz="4" w:space="0"/>
              <w:right w:val="single" w:color="000000" w:sz="4" w:space="0"/>
            </w:tcBorders>
            <w:shd w:val="clear" w:color="auto" w:fill="auto"/>
            <w:noWrap/>
            <w:vAlign w:val="center"/>
          </w:tcPr>
          <w:p w14:paraId="322F6975">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8%</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56BDB4D4">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3.03%</w:t>
            </w:r>
          </w:p>
        </w:tc>
      </w:tr>
      <w:tr w14:paraId="3CFA3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382C84B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000000" w:sz="4" w:space="0"/>
              <w:right w:val="single" w:color="000000" w:sz="4" w:space="0"/>
            </w:tcBorders>
            <w:shd w:val="clear" w:color="auto" w:fill="auto"/>
            <w:noWrap/>
            <w:vAlign w:val="center"/>
          </w:tcPr>
          <w:p w14:paraId="579E81FB">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vMerge w:val="continue"/>
            <w:tcBorders>
              <w:top w:val="nil"/>
              <w:left w:val="nil"/>
              <w:bottom w:val="single" w:color="000000" w:sz="4" w:space="0"/>
              <w:right w:val="single" w:color="000000" w:sz="4" w:space="0"/>
            </w:tcBorders>
            <w:shd w:val="clear" w:color="auto" w:fill="auto"/>
            <w:noWrap/>
            <w:vAlign w:val="center"/>
          </w:tcPr>
          <w:p w14:paraId="3CD0DAF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49B61F7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一般性支出金额</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4601A66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12439.16</w:t>
            </w:r>
            <w:r>
              <w:rPr>
                <w:rFonts w:hint="eastAsia" w:ascii="宋体" w:hAnsi="宋体" w:eastAsia="宋体" w:cs="宋体"/>
                <w:color w:val="000000"/>
                <w:kern w:val="0"/>
                <w:sz w:val="24"/>
                <w:szCs w:val="24"/>
                <w:lang w:val="en-US" w:eastAsia="zh-CN" w:bidi="ar"/>
              </w:rPr>
              <w:t>万元</w:t>
            </w:r>
          </w:p>
        </w:tc>
        <w:tc>
          <w:tcPr>
            <w:tcW w:w="3951" w:type="dxa"/>
            <w:gridSpan w:val="4"/>
            <w:tcBorders>
              <w:top w:val="single" w:color="000000" w:sz="4" w:space="0"/>
              <w:left w:val="nil"/>
              <w:bottom w:val="single" w:color="000000" w:sz="4" w:space="0"/>
              <w:right w:val="single" w:color="000000" w:sz="4" w:space="0"/>
            </w:tcBorders>
            <w:shd w:val="clear" w:color="auto" w:fill="auto"/>
            <w:noWrap/>
            <w:vAlign w:val="center"/>
          </w:tcPr>
          <w:p w14:paraId="29CBA051">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578AD0D9">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仿宋_GB2312" w:cs="Times New Roman"/>
                <w:color w:val="000000"/>
                <w:kern w:val="60"/>
                <w:sz w:val="24"/>
                <w:szCs w:val="24"/>
                <w:shd w:val="clear" w:fill="FFFFFF"/>
                <w:lang w:val="en-US" w:eastAsia="zh-CN" w:bidi="ar"/>
              </w:rPr>
              <w:t>1,419.83</w:t>
            </w:r>
            <w:r>
              <w:rPr>
                <w:rFonts w:hint="eastAsia" w:ascii="宋体" w:hAnsi="宋体" w:eastAsia="宋体" w:cs="宋体"/>
                <w:color w:val="000000"/>
                <w:kern w:val="0"/>
                <w:sz w:val="24"/>
                <w:szCs w:val="24"/>
                <w:lang w:val="en-US" w:eastAsia="zh-CN" w:bidi="ar"/>
              </w:rPr>
              <w:t>万元</w:t>
            </w:r>
          </w:p>
        </w:tc>
      </w:tr>
      <w:tr w14:paraId="20829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6" w:type="dxa"/>
            <w:vMerge w:val="continue"/>
            <w:tcBorders>
              <w:top w:val="nil"/>
              <w:left w:val="single" w:color="000000" w:sz="4" w:space="0"/>
              <w:bottom w:val="single" w:color="000000" w:sz="4" w:space="0"/>
              <w:right w:val="single" w:color="000000" w:sz="4" w:space="0"/>
            </w:tcBorders>
            <w:shd w:val="clear" w:color="auto" w:fill="auto"/>
            <w:noWrap/>
            <w:vAlign w:val="center"/>
          </w:tcPr>
          <w:p w14:paraId="27E839F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000000" w:sz="4" w:space="0"/>
              <w:right w:val="single" w:color="000000" w:sz="4" w:space="0"/>
            </w:tcBorders>
            <w:shd w:val="clear" w:color="auto" w:fill="auto"/>
            <w:noWrap/>
            <w:vAlign w:val="center"/>
          </w:tcPr>
          <w:p w14:paraId="7B70FEAD">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25C05DD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财务管理</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75B4C0C5">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财务管理规范</w:t>
            </w:r>
          </w:p>
        </w:tc>
        <w:tc>
          <w:tcPr>
            <w:tcW w:w="803" w:type="dxa"/>
            <w:tcBorders>
              <w:top w:val="single" w:color="000000" w:sz="4" w:space="0"/>
              <w:left w:val="nil"/>
              <w:bottom w:val="single" w:color="000000" w:sz="4" w:space="0"/>
              <w:right w:val="single" w:color="000000" w:sz="4" w:space="0"/>
            </w:tcBorders>
            <w:shd w:val="clear" w:color="auto" w:fill="auto"/>
            <w:noWrap/>
            <w:vAlign w:val="center"/>
          </w:tcPr>
          <w:p w14:paraId="7B9037FE">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良</w:t>
            </w:r>
          </w:p>
        </w:tc>
        <w:tc>
          <w:tcPr>
            <w:tcW w:w="3951" w:type="dxa"/>
            <w:gridSpan w:val="4"/>
            <w:tcBorders>
              <w:top w:val="single" w:color="000000" w:sz="4" w:space="0"/>
              <w:left w:val="nil"/>
              <w:bottom w:val="single" w:color="000000" w:sz="4" w:space="0"/>
              <w:right w:val="single" w:color="000000" w:sz="4" w:space="0"/>
            </w:tcBorders>
            <w:shd w:val="clear" w:color="auto" w:fill="auto"/>
            <w:noWrap/>
            <w:vAlign w:val="center"/>
          </w:tcPr>
          <w:p w14:paraId="15DDDF60">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6964D2F5">
            <w:pPr>
              <w:keepNext w:val="0"/>
              <w:keepLines w:val="0"/>
              <w:widowControl/>
              <w:suppressLineNumbers w:val="0"/>
              <w:spacing w:before="0" w:beforeAutospacing="1" w:after="200" w:afterAutospacing="0" w:line="240" w:lineRule="exact"/>
              <w:ind w:left="0" w:right="0"/>
              <w:jc w:val="center"/>
              <w:textAlignment w:val="center"/>
              <w:rPr>
                <w:rFonts w:hint="default"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良</w:t>
            </w:r>
          </w:p>
        </w:tc>
      </w:tr>
      <w:tr w14:paraId="1A365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436" w:type="dxa"/>
            <w:vMerge w:val="restart"/>
            <w:tcBorders>
              <w:top w:val="nil"/>
              <w:left w:val="single" w:color="auto" w:sz="4" w:space="0"/>
              <w:bottom w:val="single" w:color="auto" w:sz="4" w:space="0"/>
              <w:right w:val="single" w:color="auto" w:sz="4" w:space="0"/>
            </w:tcBorders>
            <w:shd w:val="clear" w:color="auto" w:fill="auto"/>
            <w:noWrap/>
            <w:vAlign w:val="center"/>
          </w:tcPr>
          <w:p w14:paraId="3A82C613">
            <w:pPr>
              <w:keepNext w:val="0"/>
              <w:keepLines w:val="0"/>
              <w:widowControl/>
              <w:suppressLineNumbers w:val="0"/>
              <w:autoSpaceDE w:val="0"/>
              <w:autoSpaceDN/>
              <w:spacing w:before="0" w:beforeAutospacing="1" w:after="200" w:afterAutospacing="0" w:line="273" w:lineRule="auto"/>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履职效能</w:t>
            </w:r>
          </w:p>
        </w:tc>
        <w:tc>
          <w:tcPr>
            <w:tcW w:w="488" w:type="dxa"/>
            <w:tcBorders>
              <w:top w:val="single" w:color="auto" w:sz="4" w:space="0"/>
              <w:left w:val="nil"/>
              <w:bottom w:val="single" w:color="auto" w:sz="4" w:space="0"/>
              <w:right w:val="single" w:color="auto" w:sz="4" w:space="0"/>
            </w:tcBorders>
            <w:shd w:val="clear" w:color="auto" w:fill="auto"/>
            <w:noWrap/>
            <w:vAlign w:val="center"/>
          </w:tcPr>
          <w:p w14:paraId="2DA0A870">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一级指标</w:t>
            </w: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6932D594">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二级指标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408CA68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三级指标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47F985CB">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指标值（包含数字及文字描述）</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6BD228F1">
            <w:pPr>
              <w:keepNext w:val="0"/>
              <w:keepLines w:val="0"/>
              <w:widowControl/>
              <w:suppressLineNumbers w:val="0"/>
              <w:spacing w:before="0" w:beforeAutospacing="1" w:after="200" w:afterAutospacing="0" w:line="240" w:lineRule="exact"/>
              <w:ind w:left="0" w:right="0"/>
              <w:jc w:val="center"/>
              <w:textAlignment w:val="center"/>
              <w:rPr>
                <w:rFonts w:hint="eastAsia" w:ascii="宋体" w:hAnsi="宋体" w:eastAsia="宋体" w:cs="宋体"/>
                <w:color w:val="000000"/>
                <w:kern w:val="0"/>
                <w:sz w:val="24"/>
                <w:szCs w:val="24"/>
              </w:rPr>
            </w:pPr>
          </w:p>
        </w:tc>
      </w:tr>
      <w:tr w14:paraId="09DCF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412E68B6">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restart"/>
            <w:tcBorders>
              <w:top w:val="nil"/>
              <w:left w:val="nil"/>
              <w:bottom w:val="nil"/>
              <w:right w:val="single" w:color="auto" w:sz="4" w:space="0"/>
            </w:tcBorders>
            <w:shd w:val="clear" w:color="auto" w:fill="auto"/>
            <w:noWrap/>
            <w:vAlign w:val="center"/>
          </w:tcPr>
          <w:p w14:paraId="30139B49">
            <w:pPr>
              <w:keepNext w:val="0"/>
              <w:keepLines w:val="0"/>
              <w:widowControl/>
              <w:suppressLineNumbers w:val="0"/>
              <w:spacing w:before="0" w:beforeAutospacing="1" w:after="200" w:afterAutospacing="0" w:line="273" w:lineRule="auto"/>
              <w:ind w:left="0" w:right="0"/>
              <w:jc w:val="center"/>
              <w:textAlignment w:val="center"/>
              <w:rPr>
                <w:rFonts w:hint="eastAsia" w:ascii="黑体" w:hAnsi="宋体" w:eastAsia="黑体" w:cs="黑体"/>
                <w:i w:val="0"/>
                <w:iCs w:val="0"/>
                <w:color w:val="000000"/>
                <w:kern w:val="0"/>
                <w:sz w:val="18"/>
                <w:szCs w:val="18"/>
              </w:rPr>
            </w:pPr>
            <w:r>
              <w:rPr>
                <w:rFonts w:hint="eastAsia" w:ascii="黑体" w:hAnsi="宋体" w:eastAsia="黑体" w:cs="黑体"/>
                <w:i w:val="0"/>
                <w:iCs w:val="0"/>
                <w:color w:val="000000"/>
                <w:kern w:val="0"/>
                <w:sz w:val="24"/>
                <w:szCs w:val="24"/>
                <w:lang w:val="en-US" w:eastAsia="zh-CN" w:bidi="ar"/>
              </w:rPr>
              <w:t>产出指标</w:t>
            </w:r>
          </w:p>
          <w:p w14:paraId="4B1B63C6">
            <w:pPr>
              <w:keepNext w:val="0"/>
              <w:keepLines w:val="0"/>
              <w:widowControl/>
              <w:suppressLineNumbers w:val="0"/>
              <w:spacing w:before="0" w:beforeAutospacing="1" w:after="200" w:afterAutospacing="0" w:line="273" w:lineRule="auto"/>
              <w:ind w:left="0" w:right="0"/>
              <w:jc w:val="left"/>
              <w:textAlignment w:val="center"/>
              <w:rPr>
                <w:rFonts w:hint="eastAsia" w:ascii="黑体" w:hAnsi="宋体" w:eastAsia="黑体" w:cs="黑体"/>
                <w:i w:val="0"/>
                <w:iCs w:val="0"/>
                <w:color w:val="000000"/>
                <w:kern w:val="0"/>
                <w:sz w:val="18"/>
                <w:szCs w:val="18"/>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67E1013D">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时效指标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1E6A93B9">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项目完成时间</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194A26C7">
            <w:pPr>
              <w:keepNext w:val="0"/>
              <w:keepLines w:val="0"/>
              <w:widowControl/>
              <w:suppressLineNumbers w:val="0"/>
              <w:spacing w:before="0" w:beforeAutospacing="1" w:after="200" w:afterAutospacing="0" w:line="273" w:lineRule="auto"/>
              <w:ind w:left="0" w:right="0"/>
              <w:jc w:val="center"/>
              <w:textAlignment w:val="center"/>
              <w:rPr>
                <w:rFonts w:hint="eastAsia" w:ascii="宋体" w:hAnsi="宋体" w:eastAsia="宋体" w:cs="Times New Roman"/>
                <w:color w:val="000000"/>
                <w:kern w:val="2"/>
                <w:sz w:val="18"/>
                <w:szCs w:val="18"/>
              </w:rPr>
            </w:pPr>
            <w:r>
              <w:rPr>
                <w:rFonts w:hint="default" w:ascii="Times New Roman" w:hAnsi="Times New Roman" w:eastAsia="宋体" w:cs="Times New Roman"/>
                <w:i w:val="0"/>
                <w:iCs w:val="0"/>
                <w:color w:val="000000"/>
                <w:kern w:val="0"/>
                <w:sz w:val="24"/>
                <w:szCs w:val="24"/>
                <w:lang w:val="en-US" w:eastAsia="zh-CN" w:bidi="ar"/>
              </w:rPr>
              <w:t>2025</w:t>
            </w:r>
            <w:r>
              <w:rPr>
                <w:rFonts w:hint="eastAsia" w:ascii="宋体" w:hAnsi="宋体" w:eastAsia="宋体" w:cs="宋体"/>
                <w:i w:val="0"/>
                <w:iCs w:val="0"/>
                <w:color w:val="000000"/>
                <w:kern w:val="0"/>
                <w:sz w:val="24"/>
                <w:szCs w:val="24"/>
                <w:lang w:val="en-US" w:eastAsia="zh-CN" w:bidi="ar"/>
              </w:rPr>
              <w:t>年</w:t>
            </w:r>
            <w:r>
              <w:rPr>
                <w:rFonts w:hint="default" w:ascii="Times New Roman" w:hAnsi="Times New Roman" w:eastAsia="宋体" w:cs="Times New Roman"/>
                <w:i w:val="0"/>
                <w:iCs w:val="0"/>
                <w:color w:val="000000"/>
                <w:kern w:val="0"/>
                <w:sz w:val="24"/>
                <w:szCs w:val="24"/>
                <w:lang w:val="en-US" w:eastAsia="zh-CN" w:bidi="ar"/>
              </w:rPr>
              <w:t>12</w:t>
            </w:r>
            <w:r>
              <w:rPr>
                <w:rFonts w:hint="eastAsia" w:ascii="宋体" w:hAnsi="宋体" w:eastAsia="宋体" w:cs="宋体"/>
                <w:i w:val="0"/>
                <w:iCs w:val="0"/>
                <w:color w:val="000000"/>
                <w:kern w:val="0"/>
                <w:sz w:val="24"/>
                <w:szCs w:val="24"/>
                <w:lang w:val="en-US" w:eastAsia="zh-CN" w:bidi="ar"/>
              </w:rPr>
              <w:t>月底完成各类项目支付</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4A785FFF">
            <w:pPr>
              <w:keepNext w:val="0"/>
              <w:keepLines w:val="0"/>
              <w:widowControl/>
              <w:suppressLineNumbers w:val="0"/>
              <w:spacing w:before="0" w:beforeAutospacing="1" w:after="200" w:afterAutospacing="0" w:line="273" w:lineRule="auto"/>
              <w:ind w:left="0" w:right="0"/>
              <w:jc w:val="center"/>
              <w:textAlignment w:val="center"/>
              <w:rPr>
                <w:rFonts w:hint="eastAsia" w:ascii="宋体" w:hAnsi="宋体" w:eastAsia="宋体" w:cs="宋体"/>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2025</w:t>
            </w:r>
            <w:r>
              <w:rPr>
                <w:rFonts w:hint="eastAsia" w:ascii="宋体" w:hAnsi="宋体" w:eastAsia="宋体" w:cs="宋体"/>
                <w:i w:val="0"/>
                <w:iCs w:val="0"/>
                <w:color w:val="000000"/>
                <w:kern w:val="0"/>
                <w:sz w:val="24"/>
                <w:szCs w:val="24"/>
                <w:lang w:val="en-US" w:eastAsia="zh-CN" w:bidi="ar"/>
              </w:rPr>
              <w:t>年</w:t>
            </w:r>
            <w:r>
              <w:rPr>
                <w:rFonts w:hint="default" w:ascii="Times New Roman" w:hAnsi="Times New Roman" w:eastAsia="宋体" w:cs="Times New Roman"/>
                <w:i w:val="0"/>
                <w:iCs w:val="0"/>
                <w:color w:val="000000"/>
                <w:kern w:val="0"/>
                <w:sz w:val="24"/>
                <w:szCs w:val="24"/>
                <w:lang w:val="en-US" w:eastAsia="zh-CN" w:bidi="ar"/>
              </w:rPr>
              <w:t>12</w:t>
            </w:r>
            <w:r>
              <w:rPr>
                <w:rFonts w:hint="eastAsia" w:ascii="宋体" w:hAnsi="宋体" w:eastAsia="宋体" w:cs="宋体"/>
                <w:i w:val="0"/>
                <w:iCs w:val="0"/>
                <w:color w:val="000000"/>
                <w:kern w:val="0"/>
                <w:sz w:val="24"/>
                <w:szCs w:val="24"/>
                <w:lang w:val="en-US" w:eastAsia="zh-CN" w:bidi="ar"/>
              </w:rPr>
              <w:t>月底完成各类项目支付</w:t>
            </w:r>
          </w:p>
        </w:tc>
      </w:tr>
      <w:tr w14:paraId="5454B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6F123F7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nil"/>
              <w:right w:val="single" w:color="auto" w:sz="4" w:space="0"/>
            </w:tcBorders>
            <w:shd w:val="clear" w:color="auto" w:fill="auto"/>
            <w:noWrap/>
            <w:vAlign w:val="center"/>
          </w:tcPr>
          <w:p w14:paraId="0274D2B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336EEFE8">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数量指标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09FF8AFB">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考试人员</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2C43A381">
            <w:pPr>
              <w:keepNext w:val="0"/>
              <w:keepLines w:val="0"/>
              <w:widowControl/>
              <w:suppressLineNumbers w:val="0"/>
              <w:spacing w:before="0" w:beforeLines="0" w:beforeAutospacing="0" w:after="200" w:afterLines="0" w:afterAutospacing="0" w:line="273" w:lineRule="auto"/>
              <w:ind w:left="0" w:right="0"/>
              <w:jc w:val="center"/>
              <w:rPr>
                <w:rFonts w:hint="eastAsia" w:ascii="宋体" w:hAnsi="宋体" w:eastAsia="宋体" w:cs="Times New Roman"/>
                <w:color w:val="000000"/>
                <w:kern w:val="2"/>
                <w:sz w:val="18"/>
                <w:szCs w:val="18"/>
              </w:rPr>
            </w:pPr>
            <w:r>
              <w:rPr>
                <w:rFonts w:hint="eastAsia" w:ascii="宋体" w:hAnsi="宋体" w:eastAsia="宋体" w:cs="宋体"/>
                <w:i w:val="0"/>
                <w:iCs w:val="0"/>
                <w:color w:val="000000"/>
                <w:kern w:val="0"/>
                <w:sz w:val="24"/>
                <w:szCs w:val="24"/>
                <w:lang w:val="en-US" w:eastAsia="zh-CN" w:bidi="ar"/>
              </w:rPr>
              <w:t>≥</w:t>
            </w:r>
            <w:r>
              <w:rPr>
                <w:rFonts w:hint="default" w:ascii="Times New Roman" w:hAnsi="Times New Roman" w:eastAsia="宋体" w:cs="Times New Roman"/>
                <w:i w:val="0"/>
                <w:iCs w:val="0"/>
                <w:color w:val="000000"/>
                <w:kern w:val="0"/>
                <w:sz w:val="24"/>
                <w:szCs w:val="24"/>
                <w:lang w:val="en-US" w:eastAsia="zh-CN" w:bidi="ar"/>
              </w:rPr>
              <w:t>6000</w:t>
            </w:r>
            <w:r>
              <w:rPr>
                <w:rFonts w:hint="eastAsia" w:ascii="宋体" w:hAnsi="宋体" w:eastAsia="宋体" w:cs="宋体"/>
                <w:i w:val="0"/>
                <w:iCs w:val="0"/>
                <w:color w:val="000000"/>
                <w:kern w:val="0"/>
                <w:sz w:val="24"/>
                <w:szCs w:val="24"/>
                <w:lang w:val="en-US" w:eastAsia="zh-CN" w:bidi="ar"/>
              </w:rPr>
              <w:t>人次</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1E6971B6">
            <w:pPr>
              <w:keepNext w:val="0"/>
              <w:keepLines w:val="0"/>
              <w:widowControl/>
              <w:suppressLineNumbers w:val="0"/>
              <w:spacing w:before="0" w:beforeAutospacing="1" w:after="200" w:afterAutospacing="0" w:line="273" w:lineRule="auto"/>
              <w:ind w:left="0" w:right="0"/>
              <w:jc w:val="center"/>
              <w:textAlignment w:val="center"/>
              <w:rPr>
                <w:rFonts w:hint="eastAsia" w:ascii="宋体" w:hAnsi="宋体" w:eastAsia="宋体" w:cs="宋体"/>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6000</w:t>
            </w:r>
            <w:r>
              <w:rPr>
                <w:rFonts w:hint="eastAsia" w:ascii="宋体" w:hAnsi="宋体" w:eastAsia="宋体" w:cs="宋体"/>
                <w:i w:val="0"/>
                <w:iCs w:val="0"/>
                <w:color w:val="000000"/>
                <w:kern w:val="0"/>
                <w:sz w:val="24"/>
                <w:szCs w:val="24"/>
                <w:lang w:val="en-US" w:eastAsia="zh-CN" w:bidi="ar"/>
              </w:rPr>
              <w:t>人次</w:t>
            </w:r>
          </w:p>
        </w:tc>
      </w:tr>
      <w:tr w14:paraId="1E5D0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51B3D45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nil"/>
              <w:right w:val="single" w:color="auto" w:sz="4" w:space="0"/>
            </w:tcBorders>
            <w:shd w:val="clear" w:color="auto" w:fill="auto"/>
            <w:noWrap/>
            <w:vAlign w:val="center"/>
          </w:tcPr>
          <w:p w14:paraId="4D45E25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7410FEEC">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数量指标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61669667">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培训次数</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738F64EB">
            <w:pPr>
              <w:keepNext w:val="0"/>
              <w:keepLines w:val="0"/>
              <w:widowControl/>
              <w:suppressLineNumbers w:val="0"/>
              <w:spacing w:before="0" w:beforeLines="0" w:beforeAutospacing="0" w:after="200" w:afterLines="0" w:afterAutospacing="0" w:line="273" w:lineRule="auto"/>
              <w:ind w:left="0" w:right="0"/>
              <w:jc w:val="center"/>
              <w:rPr>
                <w:rFonts w:hint="eastAsia" w:ascii="Times New Roman" w:hAnsi="Times New Roman" w:eastAsia="宋体" w:cs="Times New Roman"/>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w:t>
            </w:r>
            <w:r>
              <w:rPr>
                <w:rFonts w:hint="default" w:ascii="Times New Roman" w:hAnsi="Times New Roman" w:eastAsia="宋体" w:cs="Times New Roman"/>
                <w:i w:val="0"/>
                <w:iCs w:val="0"/>
                <w:color w:val="000000"/>
                <w:kern w:val="0"/>
                <w:sz w:val="24"/>
                <w:szCs w:val="24"/>
                <w:lang w:val="en-US" w:eastAsia="zh-CN" w:bidi="ar"/>
              </w:rPr>
              <w:t>24</w:t>
            </w:r>
            <w:r>
              <w:rPr>
                <w:rFonts w:hint="eastAsia" w:ascii="宋体" w:hAnsi="宋体" w:eastAsia="宋体" w:cs="宋体"/>
                <w:i w:val="0"/>
                <w:iCs w:val="0"/>
                <w:color w:val="000000"/>
                <w:kern w:val="0"/>
                <w:sz w:val="24"/>
                <w:szCs w:val="24"/>
                <w:lang w:val="en-US" w:eastAsia="zh-CN" w:bidi="ar"/>
              </w:rPr>
              <w:t>次</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75096B72">
            <w:pPr>
              <w:keepNext w:val="0"/>
              <w:keepLines w:val="0"/>
              <w:widowControl/>
              <w:suppressLineNumbers w:val="0"/>
              <w:spacing w:before="0" w:beforeAutospacing="1" w:after="200" w:afterAutospacing="0" w:line="273" w:lineRule="auto"/>
              <w:ind w:left="0" w:right="0"/>
              <w:jc w:val="center"/>
              <w:textAlignment w:val="center"/>
              <w:rPr>
                <w:rFonts w:hint="eastAsia" w:ascii="Times New Roman" w:hAnsi="Times New Roman" w:eastAsia="宋体" w:cs="Times New Roman"/>
                <w:i w:val="0"/>
                <w:iCs w:val="0"/>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24</w:t>
            </w:r>
            <w:r>
              <w:rPr>
                <w:rFonts w:hint="eastAsia" w:ascii="宋体" w:hAnsi="宋体" w:eastAsia="宋体" w:cs="宋体"/>
                <w:i w:val="0"/>
                <w:iCs w:val="0"/>
                <w:color w:val="000000"/>
                <w:kern w:val="0"/>
                <w:sz w:val="24"/>
                <w:szCs w:val="24"/>
                <w:lang w:val="en-US" w:eastAsia="zh-CN" w:bidi="ar"/>
              </w:rPr>
              <w:t>次</w:t>
            </w:r>
          </w:p>
        </w:tc>
      </w:tr>
      <w:tr w14:paraId="448D4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77BE7C97">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nil"/>
              <w:right w:val="single" w:color="auto" w:sz="4" w:space="0"/>
            </w:tcBorders>
            <w:shd w:val="clear" w:color="auto" w:fill="auto"/>
            <w:noWrap/>
            <w:vAlign w:val="center"/>
          </w:tcPr>
          <w:p w14:paraId="000256CF">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26E59DC0">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质量指标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516209C9">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培训合格率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68CC583E">
            <w:pPr>
              <w:keepNext w:val="0"/>
              <w:keepLines w:val="0"/>
              <w:widowControl/>
              <w:suppressLineNumbers w:val="0"/>
              <w:spacing w:before="0" w:beforeLines="0" w:beforeAutospacing="0" w:after="200" w:afterLines="0" w:afterAutospacing="0" w:line="273" w:lineRule="auto"/>
              <w:ind w:left="0" w:right="0"/>
              <w:jc w:val="center"/>
              <w:rPr>
                <w:rFonts w:hint="eastAsia" w:ascii="宋体" w:hAnsi="宋体" w:eastAsia="宋体" w:cs="Times New Roman"/>
                <w:color w:val="000000"/>
                <w:kern w:val="2"/>
                <w:sz w:val="18"/>
                <w:szCs w:val="18"/>
              </w:rPr>
            </w:pPr>
            <w:r>
              <w:rPr>
                <w:rFonts w:hint="eastAsia" w:ascii="宋体" w:hAnsi="宋体" w:eastAsia="宋体" w:cs="宋体"/>
                <w:i w:val="0"/>
                <w:iCs w:val="0"/>
                <w:color w:val="000000"/>
                <w:kern w:val="0"/>
                <w:sz w:val="24"/>
                <w:szCs w:val="24"/>
                <w:lang w:val="en-US" w:eastAsia="zh-CN" w:bidi="ar"/>
              </w:rPr>
              <w:t>≥</w:t>
            </w:r>
            <w:r>
              <w:rPr>
                <w:rFonts w:hint="default" w:ascii="Times New Roman" w:hAnsi="Times New Roman" w:eastAsia="宋体" w:cs="Times New Roman"/>
                <w:i w:val="0"/>
                <w:iCs w:val="0"/>
                <w:color w:val="000000"/>
                <w:kern w:val="0"/>
                <w:sz w:val="24"/>
                <w:szCs w:val="24"/>
                <w:lang w:val="en-US" w:eastAsia="zh-CN" w:bidi="ar"/>
              </w:rPr>
              <w:t>90%</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7ECECC19">
            <w:pPr>
              <w:keepNext w:val="0"/>
              <w:keepLines w:val="0"/>
              <w:widowControl/>
              <w:suppressLineNumbers w:val="0"/>
              <w:spacing w:before="0" w:beforeAutospacing="1" w:after="200" w:afterAutospacing="0" w:line="273" w:lineRule="auto"/>
              <w:ind w:left="0" w:right="0"/>
              <w:jc w:val="center"/>
              <w:textAlignment w:val="center"/>
              <w:rPr>
                <w:rFonts w:hint="eastAsia" w:ascii="黑体" w:hAnsi="宋体" w:eastAsia="黑体" w:cs="黑体"/>
                <w:i w:val="0"/>
                <w:iCs w:val="0"/>
                <w:color w:val="000000"/>
                <w:kern w:val="0"/>
                <w:sz w:val="18"/>
                <w:szCs w:val="18"/>
              </w:rPr>
            </w:pPr>
            <w:r>
              <w:rPr>
                <w:rFonts w:hint="default" w:ascii="Times New Roman" w:hAnsi="Times New Roman" w:eastAsia="宋体" w:cs="Times New Roman"/>
                <w:i w:val="0"/>
                <w:iCs w:val="0"/>
                <w:color w:val="000000"/>
                <w:kern w:val="0"/>
                <w:sz w:val="24"/>
                <w:szCs w:val="24"/>
                <w:lang w:val="en-US" w:eastAsia="zh-CN" w:bidi="ar"/>
              </w:rPr>
              <w:t>90%</w:t>
            </w:r>
          </w:p>
        </w:tc>
      </w:tr>
      <w:tr w14:paraId="7B8E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27D3F91C">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nil"/>
              <w:right w:val="single" w:color="auto" w:sz="4" w:space="0"/>
            </w:tcBorders>
            <w:shd w:val="clear" w:color="auto" w:fill="auto"/>
            <w:noWrap/>
            <w:vAlign w:val="center"/>
          </w:tcPr>
          <w:p w14:paraId="412AD7D9">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1ED8B5E2">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质量指标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6AFDCBAA">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考试通过率</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2743A3A0">
            <w:pPr>
              <w:keepNext w:val="0"/>
              <w:keepLines w:val="0"/>
              <w:widowControl/>
              <w:suppressLineNumbers w:val="0"/>
              <w:spacing w:before="0" w:beforeLines="0" w:beforeAutospacing="0" w:after="200" w:afterLines="0" w:afterAutospacing="0" w:line="273" w:lineRule="auto"/>
              <w:ind w:left="0" w:right="0"/>
              <w:jc w:val="center"/>
              <w:rPr>
                <w:rFonts w:hint="eastAsia" w:ascii="Times New Roman" w:hAnsi="Times New Roman" w:eastAsia="宋体" w:cs="Times New Roman"/>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w:t>
            </w:r>
            <w:r>
              <w:rPr>
                <w:rFonts w:hint="default" w:ascii="Times New Roman" w:hAnsi="Times New Roman" w:eastAsia="宋体" w:cs="Times New Roman"/>
                <w:i w:val="0"/>
                <w:iCs w:val="0"/>
                <w:color w:val="000000"/>
                <w:kern w:val="0"/>
                <w:sz w:val="24"/>
                <w:szCs w:val="24"/>
                <w:lang w:val="en-US" w:eastAsia="zh-CN" w:bidi="ar"/>
              </w:rPr>
              <w:t>60%</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2B8BB214">
            <w:pPr>
              <w:keepNext w:val="0"/>
              <w:keepLines w:val="0"/>
              <w:widowControl/>
              <w:suppressLineNumbers w:val="0"/>
              <w:spacing w:before="0" w:beforeAutospacing="1" w:after="200" w:afterAutospacing="0" w:line="273" w:lineRule="auto"/>
              <w:ind w:left="0" w:right="0"/>
              <w:jc w:val="center"/>
              <w:textAlignment w:val="center"/>
              <w:rPr>
                <w:rFonts w:hint="eastAsia" w:ascii="Times New Roman" w:hAnsi="Times New Roman" w:eastAsia="宋体" w:cs="Times New Roman"/>
                <w:i w:val="0"/>
                <w:iCs w:val="0"/>
                <w:color w:val="000000"/>
                <w:kern w:val="0"/>
                <w:sz w:val="24"/>
                <w:szCs w:val="24"/>
              </w:rPr>
            </w:pPr>
            <w:r>
              <w:rPr>
                <w:rFonts w:hint="default" w:ascii="Times New Roman" w:hAnsi="Times New Roman" w:eastAsia="宋体" w:cs="Times New Roman"/>
                <w:i w:val="0"/>
                <w:iCs w:val="0"/>
                <w:color w:val="000000"/>
                <w:kern w:val="0"/>
                <w:sz w:val="24"/>
                <w:szCs w:val="24"/>
                <w:lang w:val="en-US" w:eastAsia="zh-CN" w:bidi="ar"/>
              </w:rPr>
              <w:t>60%</w:t>
            </w:r>
          </w:p>
        </w:tc>
      </w:tr>
      <w:tr w14:paraId="1AAC2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621D85AA">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restart"/>
            <w:tcBorders>
              <w:top w:val="nil"/>
              <w:left w:val="nil"/>
              <w:bottom w:val="single" w:color="auto" w:sz="4" w:space="0"/>
              <w:right w:val="single" w:color="auto" w:sz="4" w:space="0"/>
            </w:tcBorders>
            <w:shd w:val="clear" w:color="auto" w:fill="auto"/>
            <w:noWrap/>
            <w:vAlign w:val="center"/>
          </w:tcPr>
          <w:p w14:paraId="6926F057">
            <w:pPr>
              <w:keepNext w:val="0"/>
              <w:keepLines w:val="0"/>
              <w:widowControl/>
              <w:suppressLineNumbers w:val="0"/>
              <w:spacing w:before="0" w:beforeAutospacing="1" w:after="200" w:afterAutospacing="0" w:line="273" w:lineRule="auto"/>
              <w:ind w:left="0" w:right="0"/>
              <w:jc w:val="left"/>
              <w:textAlignment w:val="center"/>
              <w:rPr>
                <w:rFonts w:hint="eastAsia" w:ascii="黑体" w:hAnsi="宋体" w:eastAsia="黑体" w:cs="黑体"/>
                <w:i w:val="0"/>
                <w:iCs w:val="0"/>
                <w:color w:val="000000"/>
                <w:kern w:val="0"/>
                <w:sz w:val="24"/>
                <w:szCs w:val="24"/>
              </w:rPr>
            </w:pPr>
            <w:r>
              <w:rPr>
                <w:rFonts w:hint="eastAsia" w:ascii="黑体" w:hAnsi="宋体" w:eastAsia="黑体" w:cs="黑体"/>
                <w:i w:val="0"/>
                <w:iCs w:val="0"/>
                <w:color w:val="000000"/>
                <w:kern w:val="0"/>
                <w:sz w:val="24"/>
                <w:szCs w:val="24"/>
                <w:lang w:val="en-US" w:eastAsia="zh-CN" w:bidi="ar"/>
              </w:rPr>
              <w:t>效益指标</w:t>
            </w: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1B7935B4">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社会效益指标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1B0CB4CE">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加强人才队伍建设</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36274A86">
            <w:pPr>
              <w:keepNext w:val="0"/>
              <w:keepLines w:val="0"/>
              <w:widowControl/>
              <w:suppressLineNumbers w:val="0"/>
              <w:spacing w:before="0" w:beforeLines="0" w:beforeAutospacing="0" w:after="200" w:afterLines="0" w:afterAutospacing="0" w:line="273" w:lineRule="auto"/>
              <w:ind w:left="0" w:right="0"/>
              <w:jc w:val="center"/>
              <w:rPr>
                <w:rFonts w:hint="eastAsia" w:ascii="宋体" w:hAnsi="宋体" w:eastAsia="宋体" w:cs="Times New Roman"/>
                <w:color w:val="000000"/>
                <w:kern w:val="2"/>
                <w:sz w:val="18"/>
                <w:szCs w:val="18"/>
              </w:rPr>
            </w:pPr>
            <w:r>
              <w:rPr>
                <w:rFonts w:hint="eastAsia" w:ascii="宋体" w:hAnsi="宋体" w:eastAsia="宋体" w:cs="宋体"/>
                <w:i w:val="0"/>
                <w:iCs w:val="0"/>
                <w:color w:val="000000"/>
                <w:kern w:val="0"/>
                <w:sz w:val="24"/>
                <w:szCs w:val="24"/>
                <w:lang w:val="en-US" w:eastAsia="zh-CN" w:bidi="ar"/>
              </w:rPr>
              <w:t>不断加强</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2907D0CA">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不断加强</w:t>
            </w:r>
          </w:p>
        </w:tc>
      </w:tr>
      <w:tr w14:paraId="32AA6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436" w:type="dxa"/>
            <w:vMerge w:val="continue"/>
            <w:tcBorders>
              <w:top w:val="nil"/>
              <w:left w:val="single" w:color="auto" w:sz="4" w:space="0"/>
              <w:bottom w:val="single" w:color="auto" w:sz="4" w:space="0"/>
              <w:right w:val="single" w:color="auto" w:sz="4" w:space="0"/>
            </w:tcBorders>
            <w:shd w:val="clear" w:color="auto" w:fill="auto"/>
            <w:noWrap/>
            <w:vAlign w:val="center"/>
          </w:tcPr>
          <w:p w14:paraId="2D087894">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488" w:type="dxa"/>
            <w:vMerge w:val="continue"/>
            <w:tcBorders>
              <w:top w:val="nil"/>
              <w:left w:val="nil"/>
              <w:bottom w:val="single" w:color="auto" w:sz="4" w:space="0"/>
              <w:right w:val="single" w:color="auto" w:sz="4" w:space="0"/>
            </w:tcBorders>
            <w:shd w:val="clear" w:color="auto" w:fill="auto"/>
            <w:noWrap/>
            <w:vAlign w:val="center"/>
          </w:tcPr>
          <w:p w14:paraId="3DC3EFF0">
            <w:pPr>
              <w:keepNext w:val="0"/>
              <w:keepLines w:val="0"/>
              <w:widowControl/>
              <w:suppressLineNumbers w:val="0"/>
              <w:spacing w:before="0" w:beforeAutospacing="0" w:afterAutospacing="0"/>
              <w:ind w:left="0" w:right="0"/>
              <w:rPr>
                <w:rFonts w:hint="default" w:ascii="Times New Roman" w:hAnsi="Times New Roman" w:cs="Times New Roman"/>
                <w:sz w:val="20"/>
                <w:szCs w:val="20"/>
              </w:rPr>
            </w:pPr>
          </w:p>
        </w:tc>
        <w:tc>
          <w:tcPr>
            <w:tcW w:w="803" w:type="dxa"/>
            <w:tcBorders>
              <w:top w:val="single" w:color="auto" w:sz="4" w:space="0"/>
              <w:left w:val="nil"/>
              <w:bottom w:val="single" w:color="auto" w:sz="4" w:space="0"/>
              <w:right w:val="single" w:color="auto" w:sz="4" w:space="0"/>
            </w:tcBorders>
            <w:shd w:val="clear" w:color="auto" w:fill="auto"/>
            <w:noWrap/>
            <w:vAlign w:val="center"/>
          </w:tcPr>
          <w:p w14:paraId="6778A93B">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社会效益指标</w:t>
            </w:r>
          </w:p>
        </w:tc>
        <w:tc>
          <w:tcPr>
            <w:tcW w:w="1246" w:type="dxa"/>
            <w:tcBorders>
              <w:top w:val="single" w:color="000000" w:sz="4" w:space="0"/>
              <w:left w:val="nil"/>
              <w:bottom w:val="single" w:color="000000" w:sz="4" w:space="0"/>
              <w:right w:val="single" w:color="000000" w:sz="4" w:space="0"/>
            </w:tcBorders>
            <w:shd w:val="clear" w:color="auto" w:fill="auto"/>
            <w:noWrap/>
            <w:vAlign w:val="center"/>
          </w:tcPr>
          <w:p w14:paraId="06975492">
            <w:pPr>
              <w:keepNext w:val="0"/>
              <w:keepLines w:val="0"/>
              <w:widowControl/>
              <w:suppressLineNumbers w:val="0"/>
              <w:autoSpaceDE w:val="0"/>
              <w:autoSpaceDN/>
              <w:spacing w:before="0" w:beforeAutospacing="1" w:after="20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提升基层医疗机构服务能力</w:t>
            </w:r>
          </w:p>
        </w:tc>
        <w:tc>
          <w:tcPr>
            <w:tcW w:w="4754" w:type="dxa"/>
            <w:gridSpan w:val="5"/>
            <w:tcBorders>
              <w:top w:val="single" w:color="000000" w:sz="4" w:space="0"/>
              <w:left w:val="nil"/>
              <w:bottom w:val="single" w:color="000000" w:sz="4" w:space="0"/>
              <w:right w:val="single" w:color="000000" w:sz="4" w:space="0"/>
            </w:tcBorders>
            <w:shd w:val="clear" w:color="auto" w:fill="auto"/>
            <w:noWrap/>
            <w:vAlign w:val="center"/>
          </w:tcPr>
          <w:p w14:paraId="25795753">
            <w:pPr>
              <w:keepNext w:val="0"/>
              <w:keepLines w:val="0"/>
              <w:widowControl/>
              <w:suppressLineNumbers w:val="0"/>
              <w:spacing w:before="0" w:beforeLines="0" w:beforeAutospacing="0" w:after="200" w:afterLines="0" w:afterAutospacing="0" w:line="273" w:lineRule="auto"/>
              <w:ind w:left="0" w:right="0"/>
              <w:jc w:val="center"/>
              <w:rPr>
                <w:rFonts w:hint="eastAsia" w:ascii="宋体" w:hAnsi="宋体" w:eastAsia="宋体" w:cs="Times New Roman"/>
                <w:color w:val="000000"/>
                <w:kern w:val="2"/>
                <w:sz w:val="18"/>
                <w:szCs w:val="18"/>
              </w:rPr>
            </w:pPr>
            <w:r>
              <w:rPr>
                <w:rFonts w:hint="eastAsia" w:ascii="宋体" w:hAnsi="宋体" w:eastAsia="宋体" w:cs="宋体"/>
                <w:i w:val="0"/>
                <w:iCs w:val="0"/>
                <w:color w:val="000000"/>
                <w:kern w:val="0"/>
                <w:sz w:val="24"/>
                <w:szCs w:val="24"/>
                <w:lang w:val="en-US" w:eastAsia="zh-CN" w:bidi="ar"/>
              </w:rPr>
              <w:t>不断提升</w:t>
            </w:r>
          </w:p>
        </w:tc>
        <w:tc>
          <w:tcPr>
            <w:tcW w:w="1931" w:type="dxa"/>
            <w:tcBorders>
              <w:top w:val="single" w:color="000000" w:sz="4" w:space="0"/>
              <w:left w:val="nil"/>
              <w:bottom w:val="single" w:color="000000" w:sz="4" w:space="0"/>
              <w:right w:val="single" w:color="000000" w:sz="4" w:space="0"/>
            </w:tcBorders>
            <w:shd w:val="clear" w:color="auto" w:fill="auto"/>
            <w:noWrap/>
            <w:vAlign w:val="center"/>
          </w:tcPr>
          <w:p w14:paraId="2A420B11">
            <w:pPr>
              <w:keepNext w:val="0"/>
              <w:keepLines w:val="0"/>
              <w:widowControl/>
              <w:suppressLineNumbers w:val="0"/>
              <w:spacing w:before="0" w:beforeAutospacing="1" w:after="200" w:afterAutospacing="0" w:line="273" w:lineRule="auto"/>
              <w:ind w:left="0" w:right="0"/>
              <w:jc w:val="center"/>
              <w:textAlignment w:val="center"/>
              <w:rPr>
                <w:rFonts w:hint="default" w:ascii="Times New Roman" w:hAnsi="Times New Roman" w:eastAsia="宋体" w:cs="Times New Roman"/>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不断提升</w:t>
            </w:r>
          </w:p>
        </w:tc>
      </w:tr>
    </w:tbl>
    <w:p w14:paraId="2C1B74BD">
      <w:pPr>
        <w:pStyle w:val="32"/>
      </w:pPr>
    </w:p>
    <w:p w14:paraId="22DBD0D5">
      <w:pPr>
        <w:keepNext w:val="0"/>
        <w:keepLines w:val="0"/>
        <w:pageBreakBefore w:val="0"/>
        <w:widowControl/>
        <w:numPr>
          <w:ilvl w:val="0"/>
          <w:numId w:val="7"/>
        </w:numPr>
        <w:kinsoku/>
        <w:wordWrap/>
        <w:overflowPunct/>
        <w:topLinePunct w:val="0"/>
        <w:autoSpaceDE/>
        <w:autoSpaceDN/>
        <w:bidi w:val="0"/>
        <w:adjustRightInd/>
        <w:snapToGrid/>
        <w:spacing w:before="240" w:after="120" w:line="720" w:lineRule="exact"/>
        <w:ind w:left="0" w:leftChars="0" w:firstLine="0" w:firstLineChars="0"/>
        <w:jc w:val="center"/>
        <w:textAlignment w:val="auto"/>
        <w:outlineLvl w:val="0"/>
        <w:rPr>
          <w:rFonts w:ascii="Times New Roman" w:hAnsi="Times New Roman" w:eastAsia="方正小标宋简体"/>
          <w:b w:val="0"/>
          <w:bCs/>
          <w:color w:val="000000"/>
          <w:sz w:val="44"/>
        </w:rPr>
      </w:pPr>
      <w:r>
        <w:rPr>
          <w:rFonts w:ascii="Times New Roman" w:hAnsi="Times New Roman" w:eastAsia="方正小标宋简体"/>
          <w:b w:val="0"/>
          <w:bCs/>
          <w:color w:val="000000"/>
          <w:sz w:val="44"/>
        </w:rPr>
        <w:t xml:space="preserve"> </w:t>
      </w:r>
      <w:bookmarkStart w:id="31" w:name="_Toc969"/>
      <w:r>
        <w:rPr>
          <w:rFonts w:ascii="Times New Roman" w:hAnsi="Times New Roman" w:eastAsia="方正小标宋简体"/>
          <w:b w:val="0"/>
          <w:bCs/>
          <w:color w:val="000000"/>
          <w:sz w:val="44"/>
        </w:rPr>
        <w:t>附表</w:t>
      </w:r>
      <w:bookmarkEnd w:id="31"/>
    </w:p>
    <w:p w14:paraId="24FFF42F">
      <w:pPr>
        <w:pStyle w:val="32"/>
        <w:numPr>
          <w:ilvl w:val="0"/>
          <w:numId w:val="0"/>
        </w:numPr>
        <w:ind w:leftChars="0"/>
      </w:pPr>
    </w:p>
    <w:p w14:paraId="0502A7B8">
      <w:pPr>
        <w:spacing w:before="0" w:after="0" w:line="560" w:lineRule="exact"/>
        <w:ind w:firstLine="640"/>
      </w:pPr>
      <w:r>
        <w:rPr>
          <w:rFonts w:ascii="Times New Roman" w:hAnsi="Times New Roman" w:eastAsia="仿宋_GB2312"/>
          <w:b w:val="0"/>
          <w:color w:val="000000"/>
          <w:sz w:val="32"/>
        </w:rPr>
        <w:t>2025年度决算公开附表共13张，详见随文附表《2025年度阿坝州深化医药卫生体制改革领导小组办公室决算公开附表》。附表目录如下：</w:t>
      </w:r>
    </w:p>
    <w:p w14:paraId="51FED030">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32" w:name="_Toc1353"/>
      <w:r>
        <w:rPr>
          <w:rFonts w:ascii="Times New Roman" w:hAnsi="Times New Roman" w:eastAsia="黑体"/>
          <w:b w:val="0"/>
          <w:bCs/>
          <w:color w:val="000000"/>
          <w:sz w:val="32"/>
        </w:rPr>
        <w:t>一、收入支出决算总表（公开01表）</w:t>
      </w:r>
      <w:bookmarkEnd w:id="32"/>
    </w:p>
    <w:p w14:paraId="26EBAE1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33" w:name="_Toc13852"/>
      <w:r>
        <w:rPr>
          <w:rFonts w:ascii="Times New Roman" w:hAnsi="Times New Roman" w:eastAsia="黑体"/>
          <w:b w:val="0"/>
          <w:bCs/>
          <w:color w:val="000000"/>
          <w:sz w:val="32"/>
        </w:rPr>
        <w:t>二、收入决算表（公开02表）</w:t>
      </w:r>
      <w:bookmarkEnd w:id="33"/>
    </w:p>
    <w:p w14:paraId="7CD9748D">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34" w:name="_Toc2652"/>
      <w:r>
        <w:rPr>
          <w:rFonts w:ascii="Times New Roman" w:hAnsi="Times New Roman" w:eastAsia="黑体"/>
          <w:b w:val="0"/>
          <w:bCs/>
          <w:color w:val="000000"/>
          <w:sz w:val="32"/>
        </w:rPr>
        <w:t>三、支出决算表（公开03表）</w:t>
      </w:r>
      <w:bookmarkEnd w:id="34"/>
    </w:p>
    <w:p w14:paraId="2DA69A1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35" w:name="_Toc1375"/>
      <w:r>
        <w:rPr>
          <w:rFonts w:ascii="Times New Roman" w:hAnsi="Times New Roman" w:eastAsia="黑体"/>
          <w:b w:val="0"/>
          <w:bCs/>
          <w:color w:val="000000"/>
          <w:sz w:val="32"/>
        </w:rPr>
        <w:t>四、财政拨款收入支出决算总表（公开04表）</w:t>
      </w:r>
      <w:bookmarkEnd w:id="35"/>
    </w:p>
    <w:p w14:paraId="7CADF86C">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36" w:name="_Toc26947"/>
      <w:r>
        <w:rPr>
          <w:rFonts w:ascii="Times New Roman" w:hAnsi="Times New Roman" w:eastAsia="黑体"/>
          <w:b w:val="0"/>
          <w:bCs/>
          <w:color w:val="000000"/>
          <w:sz w:val="32"/>
        </w:rPr>
        <w:t>五、财政拨款支出决算明细表（公开05表）</w:t>
      </w:r>
      <w:bookmarkEnd w:id="36"/>
    </w:p>
    <w:p w14:paraId="45890568">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37" w:name="_Toc19010"/>
      <w:r>
        <w:rPr>
          <w:rFonts w:ascii="Times New Roman" w:hAnsi="Times New Roman" w:eastAsia="黑体"/>
          <w:b w:val="0"/>
          <w:bCs/>
          <w:color w:val="000000"/>
          <w:sz w:val="32"/>
        </w:rPr>
        <w:t>六、一般公共预算财政拨款支出决算表（公开06表）</w:t>
      </w:r>
      <w:bookmarkEnd w:id="37"/>
    </w:p>
    <w:p w14:paraId="776C2F73">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38" w:name="_Toc7920"/>
      <w:r>
        <w:rPr>
          <w:rFonts w:ascii="Times New Roman" w:hAnsi="Times New Roman" w:eastAsia="黑体"/>
          <w:b w:val="0"/>
          <w:bCs/>
          <w:color w:val="000000"/>
          <w:sz w:val="32"/>
        </w:rPr>
        <w:t>七、一般公共预算财政拨款支出决算明细表（公开07表）</w:t>
      </w:r>
      <w:bookmarkEnd w:id="38"/>
    </w:p>
    <w:p w14:paraId="5EF88A41">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39" w:name="_Toc8400"/>
      <w:r>
        <w:rPr>
          <w:rFonts w:ascii="Times New Roman" w:hAnsi="Times New Roman" w:eastAsia="黑体"/>
          <w:b w:val="0"/>
          <w:bCs/>
          <w:color w:val="000000"/>
          <w:sz w:val="32"/>
        </w:rPr>
        <w:t>八、一般公共预算财政拨款基本支出决算明细表（公开08表）</w:t>
      </w:r>
      <w:bookmarkEnd w:id="39"/>
    </w:p>
    <w:p w14:paraId="757D781E">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40" w:name="_Toc9895"/>
      <w:r>
        <w:rPr>
          <w:rFonts w:ascii="Times New Roman" w:hAnsi="Times New Roman" w:eastAsia="黑体"/>
          <w:b w:val="0"/>
          <w:bCs/>
          <w:color w:val="000000"/>
          <w:sz w:val="32"/>
        </w:rPr>
        <w:t>九、一般公共预算财政拨款项目支出决算表（公开09表）</w:t>
      </w:r>
      <w:bookmarkEnd w:id="40"/>
    </w:p>
    <w:p w14:paraId="122D8CE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41" w:name="_Toc4403"/>
      <w:r>
        <w:rPr>
          <w:rFonts w:ascii="Times New Roman" w:hAnsi="Times New Roman" w:eastAsia="黑体"/>
          <w:b w:val="0"/>
          <w:bCs/>
          <w:color w:val="000000"/>
          <w:sz w:val="32"/>
        </w:rPr>
        <w:t>十、政府性基金预算财政拨款收入支出决算表（公开10表）</w:t>
      </w:r>
      <w:bookmarkEnd w:id="41"/>
    </w:p>
    <w:p w14:paraId="3CEE6DA9">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42" w:name="_Toc16906"/>
      <w:r>
        <w:rPr>
          <w:rFonts w:ascii="Times New Roman" w:hAnsi="Times New Roman" w:eastAsia="黑体"/>
          <w:b w:val="0"/>
          <w:bCs/>
          <w:color w:val="000000"/>
          <w:sz w:val="32"/>
        </w:rPr>
        <w:t>十一、国有资本经营预算财政拨款收入支出决算表（公开11表）</w:t>
      </w:r>
      <w:bookmarkEnd w:id="42"/>
    </w:p>
    <w:p w14:paraId="460D926A">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43" w:name="_Toc28673"/>
      <w:r>
        <w:rPr>
          <w:rFonts w:ascii="Times New Roman" w:hAnsi="Times New Roman" w:eastAsia="黑体"/>
          <w:b w:val="0"/>
          <w:bCs/>
          <w:color w:val="000000"/>
          <w:sz w:val="32"/>
        </w:rPr>
        <w:t>十二、国有资本经营预算财政拨款支出决算表（公开12表）</w:t>
      </w:r>
      <w:bookmarkEnd w:id="43"/>
    </w:p>
    <w:p w14:paraId="3ED0ABD6">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ascii="Times New Roman" w:hAnsi="Times New Roman" w:eastAsia="黑体"/>
          <w:b w:val="0"/>
          <w:bCs/>
          <w:color w:val="000000"/>
          <w:sz w:val="32"/>
        </w:rPr>
      </w:pPr>
      <w:bookmarkStart w:id="44" w:name="_Toc11991"/>
      <w:r>
        <w:rPr>
          <w:rFonts w:ascii="Times New Roman" w:hAnsi="Times New Roman" w:eastAsia="黑体"/>
          <w:b w:val="0"/>
          <w:bCs/>
          <w:color w:val="000000"/>
          <w:sz w:val="32"/>
        </w:rPr>
        <w:t>十三、财政拨款“三公”经费支出决算表（公开13表）</w:t>
      </w:r>
      <w:bookmarkEnd w:id="44"/>
    </w:p>
    <w:sectPr>
      <w:pgSz w:w="11906" w:h="16838"/>
      <w:pgMar w:top="1440" w:right="1803" w:bottom="1440" w:left="1803"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FA0D6">
    <w:pPr>
      <w:pStyle w:val="27"/>
    </w:pPr>
    <w:r>
      <w:rPr>
        <w:sz w:val="2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31F7C">
                          <w:pPr>
                            <w:pStyle w:val="27"/>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3D31F7C">
                    <w:pPr>
                      <w:pStyle w:val="27"/>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819BA">
    <w:pPr>
      <w:pStyle w:val="27"/>
    </w:pPr>
    <w:r>
      <w:rPr>
        <w:sz w:val="22"/>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45729">
                          <w:pPr>
                            <w:pStyle w:val="27"/>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5645729">
                    <w:pPr>
                      <w:pStyle w:val="27"/>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B9DE0">
    <w:pPr>
      <w:pStyle w:val="28"/>
      <w:pBdr>
        <w:bottom w:val="none" w:color="auto" w:sz="0" w:space="0"/>
      </w:pBdr>
      <w:tabs>
        <w:tab w:val="center" w:pos="4153"/>
        <w:tab w:val="right" w:pos="8306"/>
        <w:tab w:val="clear" w:pos="4680"/>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3"/>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6"/>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abstractNum w:abstractNumId="6">
    <w:nsid w:val="032C6DA1"/>
    <w:multiLevelType w:val="singleLevel"/>
    <w:tmpl w:val="032C6DA1"/>
    <w:lvl w:ilvl="0" w:tentative="0">
      <w:start w:val="3"/>
      <w:numFmt w:val="chineseCounting"/>
      <w:suff w:val="space"/>
      <w:lvlText w:val="第%1部分"/>
      <w:lvlJc w:val="left"/>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DDD275B"/>
    <w:rsid w:val="3DB45E66"/>
    <w:rsid w:val="427D172E"/>
    <w:rsid w:val="45A510F2"/>
    <w:rsid w:val="5257222D"/>
    <w:rsid w:val="5BAA7871"/>
    <w:rsid w:val="6CB87914"/>
    <w:rsid w:val="78FA19E0"/>
    <w:rsid w:val="7E7457B8"/>
    <w:rsid w:val="7F185C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qFormat="1" w:unhideWhenUsed="0" w:uiPriority="0" w:semiHidden="0"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4">
    <w:name w:val="heading 1"/>
    <w:basedOn w:val="1"/>
    <w:next w:val="1"/>
    <w:link w:val="146"/>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7"/>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8"/>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8"/>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9"/>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60"/>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61"/>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62"/>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63"/>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0">
    <w:name w:val="Default Paragraph Font"/>
    <w:semiHidden/>
    <w:unhideWhenUsed/>
    <w:qFormat/>
    <w:uiPriority w:val="1"/>
  </w:style>
  <w:style w:type="table" w:default="1" w:styleId="40">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macro"/>
    <w:link w:val="155"/>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uiPriority w:val="99"/>
    <w:pPr>
      <w:numPr>
        <w:ilvl w:val="0"/>
        <w:numId w:val="3"/>
      </w:numPr>
      <w:contextualSpacing/>
    </w:pPr>
  </w:style>
  <w:style w:type="paragraph" w:styleId="18">
    <w:name w:val="Body Text 3"/>
    <w:basedOn w:val="1"/>
    <w:link w:val="154"/>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52"/>
    <w:unhideWhenUsed/>
    <w:uiPriority w:val="99"/>
    <w:pPr>
      <w:spacing w:after="120"/>
    </w:pPr>
  </w:style>
  <w:style w:type="paragraph" w:styleId="21">
    <w:name w:val="Body Text Indent"/>
    <w:basedOn w:val="1"/>
    <w:next w:val="22"/>
    <w:qFormat/>
    <w:uiPriority w:val="0"/>
    <w:pPr>
      <w:spacing w:after="120"/>
      <w:ind w:leftChars="200"/>
    </w:pPr>
    <w:rPr>
      <w:rFonts w:ascii="仿宋_GB2312"/>
      <w:szCs w:val="32"/>
    </w:rPr>
  </w:style>
  <w:style w:type="paragraph" w:styleId="22">
    <w:name w:val="Body Text First Indent 2"/>
    <w:basedOn w:val="21"/>
    <w:next w:val="1"/>
    <w:unhideWhenUsed/>
    <w:qFormat/>
    <w:uiPriority w:val="99"/>
    <w:pPr>
      <w:ind w:firstLine="420" w:firstLineChars="200"/>
    </w:pPr>
  </w:style>
  <w:style w:type="paragraph" w:styleId="23">
    <w:name w:val="List Number 3"/>
    <w:basedOn w:val="1"/>
    <w:unhideWhenUsed/>
    <w:uiPriority w:val="99"/>
    <w:pPr>
      <w:numPr>
        <w:ilvl w:val="0"/>
        <w:numId w:val="5"/>
      </w:numPr>
      <w:contextualSpacing/>
    </w:pPr>
  </w:style>
  <w:style w:type="paragraph" w:styleId="24">
    <w:name w:val="List 2"/>
    <w:basedOn w:val="1"/>
    <w:unhideWhenUsed/>
    <w:uiPriority w:val="99"/>
    <w:pPr>
      <w:ind w:left="720" w:hanging="360"/>
      <w:contextualSpacing/>
    </w:pPr>
  </w:style>
  <w:style w:type="paragraph" w:styleId="25">
    <w:name w:val="List Continue"/>
    <w:basedOn w:val="1"/>
    <w:unhideWhenUsed/>
    <w:qFormat/>
    <w:uiPriority w:val="99"/>
    <w:pPr>
      <w:spacing w:after="120"/>
      <w:ind w:left="360"/>
      <w:contextualSpacing/>
    </w:pPr>
  </w:style>
  <w:style w:type="paragraph" w:styleId="26">
    <w:name w:val="List Bullet 2"/>
    <w:basedOn w:val="1"/>
    <w:unhideWhenUsed/>
    <w:uiPriority w:val="99"/>
    <w:pPr>
      <w:numPr>
        <w:ilvl w:val="0"/>
        <w:numId w:val="6"/>
      </w:numPr>
      <w:contextualSpacing/>
    </w:pPr>
  </w:style>
  <w:style w:type="paragraph" w:styleId="27">
    <w:name w:val="footer"/>
    <w:basedOn w:val="1"/>
    <w:link w:val="144"/>
    <w:unhideWhenUsed/>
    <w:uiPriority w:val="99"/>
    <w:pPr>
      <w:tabs>
        <w:tab w:val="center" w:pos="4680"/>
        <w:tab w:val="right" w:pos="9360"/>
      </w:tabs>
      <w:spacing w:after="0" w:line="240" w:lineRule="auto"/>
    </w:pPr>
  </w:style>
  <w:style w:type="paragraph" w:styleId="28">
    <w:name w:val="header"/>
    <w:basedOn w:val="1"/>
    <w:link w:val="143"/>
    <w:unhideWhenUsed/>
    <w:uiPriority w:val="99"/>
    <w:pPr>
      <w:tabs>
        <w:tab w:val="center" w:pos="4680"/>
        <w:tab w:val="right" w:pos="9360"/>
      </w:tabs>
      <w:spacing w:after="0" w:line="240" w:lineRule="auto"/>
    </w:pPr>
  </w:style>
  <w:style w:type="paragraph" w:styleId="29">
    <w:name w:val="toc 1"/>
    <w:basedOn w:val="1"/>
    <w:next w:val="1"/>
    <w:semiHidden/>
    <w:unhideWhenUsed/>
    <w:uiPriority w:val="39"/>
  </w:style>
  <w:style w:type="paragraph" w:styleId="30">
    <w:name w:val="Subtitle"/>
    <w:basedOn w:val="1"/>
    <w:next w:val="1"/>
    <w:link w:val="15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1">
    <w:name w:val="List"/>
    <w:basedOn w:val="1"/>
    <w:unhideWhenUsed/>
    <w:uiPriority w:val="99"/>
    <w:pPr>
      <w:ind w:left="360" w:hanging="360"/>
      <w:contextualSpacing/>
    </w:pPr>
  </w:style>
  <w:style w:type="paragraph" w:styleId="32">
    <w:name w:val="footnote text"/>
    <w:basedOn w:val="1"/>
    <w:next w:val="22"/>
    <w:semiHidden/>
    <w:qFormat/>
    <w:uiPriority w:val="0"/>
    <w:pPr>
      <w:snapToGrid w:val="0"/>
      <w:jc w:val="left"/>
    </w:pPr>
    <w:rPr>
      <w:sz w:val="18"/>
      <w:szCs w:val="18"/>
    </w:rPr>
  </w:style>
  <w:style w:type="paragraph" w:styleId="33">
    <w:name w:val="table of figures"/>
    <w:basedOn w:val="1"/>
    <w:next w:val="1"/>
    <w:unhideWhenUsed/>
    <w:qFormat/>
    <w:uiPriority w:val="99"/>
    <w:pPr>
      <w:ind w:left="840" w:leftChars="200" w:hanging="420" w:hangingChars="200"/>
    </w:pPr>
    <w:rPr>
      <w:b/>
      <w:bCs/>
    </w:rPr>
  </w:style>
  <w:style w:type="paragraph" w:styleId="34">
    <w:name w:val="toc 2"/>
    <w:basedOn w:val="1"/>
    <w:next w:val="1"/>
    <w:unhideWhenUsed/>
    <w:qFormat/>
    <w:uiPriority w:val="39"/>
    <w:pPr>
      <w:ind w:left="420" w:leftChars="200"/>
    </w:pPr>
  </w:style>
  <w:style w:type="paragraph" w:styleId="35">
    <w:name w:val="Body Text 2"/>
    <w:basedOn w:val="1"/>
    <w:link w:val="153"/>
    <w:unhideWhenUsed/>
    <w:uiPriority w:val="99"/>
    <w:pPr>
      <w:spacing w:after="120" w:line="480" w:lineRule="auto"/>
    </w:pPr>
  </w:style>
  <w:style w:type="paragraph" w:styleId="36">
    <w:name w:val="List Continue 2"/>
    <w:basedOn w:val="1"/>
    <w:unhideWhenUsed/>
    <w:uiPriority w:val="99"/>
    <w:pPr>
      <w:spacing w:after="120"/>
      <w:ind w:left="720"/>
      <w:contextualSpacing/>
    </w:pPr>
  </w:style>
  <w:style w:type="paragraph" w:styleId="37">
    <w:name w:val="Normal (Web)"/>
    <w:basedOn w:val="1"/>
    <w:semiHidden/>
    <w:unhideWhenUsed/>
    <w:uiPriority w:val="99"/>
    <w:rPr>
      <w:sz w:val="24"/>
    </w:rPr>
  </w:style>
  <w:style w:type="paragraph" w:styleId="38">
    <w:name w:val="List Continue 3"/>
    <w:basedOn w:val="1"/>
    <w:unhideWhenUsed/>
    <w:qFormat/>
    <w:uiPriority w:val="99"/>
    <w:pPr>
      <w:spacing w:after="120"/>
      <w:ind w:left="1080"/>
      <w:contextualSpacing/>
    </w:pPr>
  </w:style>
  <w:style w:type="paragraph" w:styleId="39">
    <w:name w:val="Title"/>
    <w:basedOn w:val="1"/>
    <w:next w:val="1"/>
    <w:link w:val="14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41">
    <w:name w:val="Table Grid"/>
    <w:basedOn w:val="4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2">
    <w:name w:val="Light Shading"/>
    <w:basedOn w:val="40"/>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3">
    <w:name w:val="Light Shading Accent 1"/>
    <w:basedOn w:val="40"/>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4">
    <w:name w:val="Light Shading Accent 2"/>
    <w:basedOn w:val="40"/>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5">
    <w:name w:val="Light Shading Accent 3"/>
    <w:basedOn w:val="40"/>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6">
    <w:name w:val="Light Shading Accent 4"/>
    <w:basedOn w:val="40"/>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7">
    <w:name w:val="Light Shading Accent 5"/>
    <w:basedOn w:val="40"/>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8">
    <w:name w:val="Light Shading Accent 6"/>
    <w:basedOn w:val="40"/>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9">
    <w:name w:val="Light List"/>
    <w:basedOn w:val="40"/>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0">
    <w:name w:val="Light List Accent 1"/>
    <w:basedOn w:val="40"/>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1">
    <w:name w:val="Light List Accent 2"/>
    <w:basedOn w:val="40"/>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2">
    <w:name w:val="Light List Accent 3"/>
    <w:basedOn w:val="40"/>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3">
    <w:name w:val="Light List Accent 4"/>
    <w:basedOn w:val="40"/>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4">
    <w:name w:val="Light List Accent 5"/>
    <w:basedOn w:val="40"/>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5">
    <w:name w:val="Light List Accent 6"/>
    <w:basedOn w:val="40"/>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6">
    <w:name w:val="Light Grid"/>
    <w:basedOn w:val="40"/>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7">
    <w:name w:val="Light Grid Accent 1"/>
    <w:basedOn w:val="40"/>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8">
    <w:name w:val="Light Grid Accent 2"/>
    <w:basedOn w:val="40"/>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9">
    <w:name w:val="Light Grid Accent 3"/>
    <w:basedOn w:val="40"/>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0">
    <w:name w:val="Light Grid Accent 4"/>
    <w:basedOn w:val="40"/>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1">
    <w:name w:val="Light Grid Accent 5"/>
    <w:basedOn w:val="40"/>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2">
    <w:name w:val="Light Grid Accent 6"/>
    <w:basedOn w:val="40"/>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3">
    <w:name w:val="Medium Shading 1"/>
    <w:basedOn w:val="40"/>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4">
    <w:name w:val="Medium Shading 1 Accent 1"/>
    <w:basedOn w:val="40"/>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5">
    <w:name w:val="Medium Shading 1 Accent 2"/>
    <w:basedOn w:val="40"/>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6">
    <w:name w:val="Medium Shading 1 Accent 3"/>
    <w:basedOn w:val="40"/>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7">
    <w:name w:val="Medium Shading 1 Accent 4"/>
    <w:basedOn w:val="40"/>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8">
    <w:name w:val="Medium Shading 1 Accent 5"/>
    <w:basedOn w:val="40"/>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9">
    <w:name w:val="Medium Shading 1 Accent 6"/>
    <w:basedOn w:val="40"/>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0">
    <w:name w:val="Medium Shading 2"/>
    <w:basedOn w:val="40"/>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1"/>
    <w:basedOn w:val="40"/>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2"/>
    <w:basedOn w:val="40"/>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3"/>
    <w:basedOn w:val="40"/>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4"/>
    <w:basedOn w:val="40"/>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5"/>
    <w:basedOn w:val="40"/>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6"/>
    <w:basedOn w:val="40"/>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List 1"/>
    <w:basedOn w:val="40"/>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8">
    <w:name w:val="Medium List 1 Accent 1"/>
    <w:basedOn w:val="40"/>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9">
    <w:name w:val="Medium List 1 Accent 2"/>
    <w:basedOn w:val="40"/>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0">
    <w:name w:val="Medium List 1 Accent 3"/>
    <w:basedOn w:val="40"/>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1">
    <w:name w:val="Medium List 1 Accent 4"/>
    <w:basedOn w:val="40"/>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2">
    <w:name w:val="Medium List 1 Accent 5"/>
    <w:basedOn w:val="40"/>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3">
    <w:name w:val="Medium List 1 Accent 6"/>
    <w:basedOn w:val="40"/>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4">
    <w:name w:val="Medium List 2"/>
    <w:basedOn w:val="40"/>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1"/>
    <w:basedOn w:val="40"/>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2"/>
    <w:basedOn w:val="40"/>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3"/>
    <w:basedOn w:val="40"/>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4"/>
    <w:basedOn w:val="40"/>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5"/>
    <w:basedOn w:val="40"/>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6"/>
    <w:basedOn w:val="40"/>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Grid 1"/>
    <w:basedOn w:val="40"/>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2">
    <w:name w:val="Medium Grid 1 Accent 1"/>
    <w:basedOn w:val="40"/>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3">
    <w:name w:val="Medium Grid 1 Accent 2"/>
    <w:basedOn w:val="40"/>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4">
    <w:name w:val="Medium Grid 1 Accent 3"/>
    <w:basedOn w:val="40"/>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5">
    <w:name w:val="Medium Grid 1 Accent 4"/>
    <w:basedOn w:val="40"/>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6">
    <w:name w:val="Medium Grid 1 Accent 5"/>
    <w:basedOn w:val="40"/>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7">
    <w:name w:val="Medium Grid 1 Accent 6"/>
    <w:basedOn w:val="40"/>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8">
    <w:name w:val="Medium Grid 2"/>
    <w:basedOn w:val="40"/>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9">
    <w:name w:val="Medium Grid 2 Accent 1"/>
    <w:basedOn w:val="40"/>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0">
    <w:name w:val="Medium Grid 2 Accent 2"/>
    <w:basedOn w:val="40"/>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1">
    <w:name w:val="Medium Grid 2 Accent 3"/>
    <w:basedOn w:val="40"/>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2">
    <w:name w:val="Medium Grid 2 Accent 4"/>
    <w:basedOn w:val="40"/>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3">
    <w:name w:val="Medium Grid 2 Accent 5"/>
    <w:basedOn w:val="40"/>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4">
    <w:name w:val="Medium Grid 2 Accent 6"/>
    <w:basedOn w:val="40"/>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5">
    <w:name w:val="Medium Grid 3"/>
    <w:basedOn w:val="4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6">
    <w:name w:val="Medium Grid 3 Accent 1"/>
    <w:basedOn w:val="4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7">
    <w:name w:val="Medium Grid 3 Accent 2"/>
    <w:basedOn w:val="4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8">
    <w:name w:val="Medium Grid 3 Accent 3"/>
    <w:basedOn w:val="4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9">
    <w:name w:val="Medium Grid 3 Accent 4"/>
    <w:basedOn w:val="4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0">
    <w:name w:val="Medium Grid 3 Accent 5"/>
    <w:basedOn w:val="4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1">
    <w:name w:val="Medium Grid 3 Accent 6"/>
    <w:basedOn w:val="4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2">
    <w:name w:val="Dark List"/>
    <w:basedOn w:val="40"/>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3">
    <w:name w:val="Dark List Accent 1"/>
    <w:basedOn w:val="40"/>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4">
    <w:name w:val="Dark List Accent 2"/>
    <w:basedOn w:val="40"/>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5">
    <w:name w:val="Dark List Accent 3"/>
    <w:basedOn w:val="40"/>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6">
    <w:name w:val="Dark List Accent 4"/>
    <w:basedOn w:val="40"/>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7">
    <w:name w:val="Dark List Accent 5"/>
    <w:basedOn w:val="40"/>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8">
    <w:name w:val="Dark List Accent 6"/>
    <w:basedOn w:val="40"/>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9">
    <w:name w:val="Colorful Shading"/>
    <w:basedOn w:val="40"/>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1"/>
    <w:basedOn w:val="40"/>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2"/>
    <w:basedOn w:val="40"/>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3"/>
    <w:basedOn w:val="40"/>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3">
    <w:name w:val="Colorful Shading Accent 4"/>
    <w:basedOn w:val="40"/>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5"/>
    <w:basedOn w:val="40"/>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6"/>
    <w:basedOn w:val="40"/>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List"/>
    <w:basedOn w:val="40"/>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7">
    <w:name w:val="Colorful List Accent 1"/>
    <w:basedOn w:val="40"/>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8">
    <w:name w:val="Colorful List Accent 2"/>
    <w:basedOn w:val="40"/>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9">
    <w:name w:val="Colorful List Accent 3"/>
    <w:basedOn w:val="40"/>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0">
    <w:name w:val="Colorful List Accent 4"/>
    <w:basedOn w:val="40"/>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1">
    <w:name w:val="Colorful List Accent 5"/>
    <w:basedOn w:val="40"/>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2">
    <w:name w:val="Colorful List Accent 6"/>
    <w:basedOn w:val="40"/>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3">
    <w:name w:val="Colorful Grid"/>
    <w:basedOn w:val="40"/>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4">
    <w:name w:val="Colorful Grid Accent 1"/>
    <w:basedOn w:val="40"/>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5">
    <w:name w:val="Colorful Grid Accent 2"/>
    <w:basedOn w:val="40"/>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6">
    <w:name w:val="Colorful Grid Accent 3"/>
    <w:basedOn w:val="40"/>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7">
    <w:name w:val="Colorful Grid Accent 4"/>
    <w:basedOn w:val="40"/>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8">
    <w:name w:val="Colorful Grid Accent 5"/>
    <w:basedOn w:val="40"/>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9">
    <w:name w:val="Colorful Grid Accent 6"/>
    <w:basedOn w:val="40"/>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1">
    <w:name w:val="Strong"/>
    <w:basedOn w:val="140"/>
    <w:qFormat/>
    <w:uiPriority w:val="22"/>
    <w:rPr>
      <w:b/>
      <w:bCs/>
    </w:rPr>
  </w:style>
  <w:style w:type="character" w:styleId="142">
    <w:name w:val="Emphasis"/>
    <w:basedOn w:val="140"/>
    <w:qFormat/>
    <w:uiPriority w:val="20"/>
    <w:rPr>
      <w:i/>
      <w:iCs/>
    </w:rPr>
  </w:style>
  <w:style w:type="character" w:customStyle="1" w:styleId="143">
    <w:name w:val="Header Char"/>
    <w:basedOn w:val="140"/>
    <w:link w:val="28"/>
    <w:uiPriority w:val="99"/>
  </w:style>
  <w:style w:type="character" w:customStyle="1" w:styleId="144">
    <w:name w:val="Footer Char"/>
    <w:basedOn w:val="140"/>
    <w:link w:val="27"/>
    <w:uiPriority w:val="99"/>
  </w:style>
  <w:style w:type="paragraph" w:styleId="145">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6">
    <w:name w:val="Heading 1 Char"/>
    <w:basedOn w:val="140"/>
    <w:link w:val="4"/>
    <w:uiPriority w:val="9"/>
    <w:rPr>
      <w:rFonts w:asciiTheme="majorHAnsi" w:hAnsiTheme="majorHAnsi" w:eastAsiaTheme="majorEastAsia" w:cstheme="majorBidi"/>
      <w:b/>
      <w:bCs/>
      <w:color w:val="376092" w:themeColor="accent1" w:themeShade="BF"/>
      <w:sz w:val="28"/>
      <w:szCs w:val="28"/>
    </w:rPr>
  </w:style>
  <w:style w:type="character" w:customStyle="1" w:styleId="147">
    <w:name w:val="Heading 2 Char"/>
    <w:basedOn w:val="140"/>
    <w:link w:val="5"/>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8">
    <w:name w:val="Heading 3 Char"/>
    <w:basedOn w:val="140"/>
    <w:link w:val="6"/>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9">
    <w:name w:val="Title Char"/>
    <w:basedOn w:val="140"/>
    <w:link w:val="39"/>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0">
    <w:name w:val="Subtitle Char"/>
    <w:basedOn w:val="140"/>
    <w:link w:val="30"/>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1">
    <w:name w:val="List Paragraph"/>
    <w:basedOn w:val="1"/>
    <w:qFormat/>
    <w:uiPriority w:val="34"/>
    <w:pPr>
      <w:ind w:left="720"/>
      <w:contextualSpacing/>
    </w:pPr>
  </w:style>
  <w:style w:type="character" w:customStyle="1" w:styleId="152">
    <w:name w:val="Body Text Char"/>
    <w:basedOn w:val="140"/>
    <w:link w:val="20"/>
    <w:uiPriority w:val="99"/>
  </w:style>
  <w:style w:type="character" w:customStyle="1" w:styleId="153">
    <w:name w:val="Body Text 2 Char"/>
    <w:basedOn w:val="140"/>
    <w:link w:val="35"/>
    <w:uiPriority w:val="99"/>
  </w:style>
  <w:style w:type="character" w:customStyle="1" w:styleId="154">
    <w:name w:val="Body Text 3 Char"/>
    <w:basedOn w:val="140"/>
    <w:link w:val="18"/>
    <w:uiPriority w:val="99"/>
    <w:rPr>
      <w:sz w:val="16"/>
      <w:szCs w:val="16"/>
    </w:rPr>
  </w:style>
  <w:style w:type="character" w:customStyle="1" w:styleId="155">
    <w:name w:val="Macro Text Char"/>
    <w:basedOn w:val="140"/>
    <w:link w:val="3"/>
    <w:qFormat/>
    <w:uiPriority w:val="99"/>
    <w:rPr>
      <w:rFonts w:ascii="Courier" w:hAnsi="Courier"/>
      <w:sz w:val="20"/>
      <w:szCs w:val="20"/>
    </w:rPr>
  </w:style>
  <w:style w:type="paragraph" w:styleId="156">
    <w:name w:val="Quote"/>
    <w:basedOn w:val="1"/>
    <w:next w:val="1"/>
    <w:link w:val="157"/>
    <w:qFormat/>
    <w:uiPriority w:val="29"/>
    <w:rPr>
      <w:i/>
      <w:iCs/>
      <w:color w:val="000000" w:themeColor="text1"/>
      <w14:textFill>
        <w14:solidFill>
          <w14:schemeClr w14:val="tx1"/>
        </w14:solidFill>
      </w14:textFill>
    </w:rPr>
  </w:style>
  <w:style w:type="character" w:customStyle="1" w:styleId="157">
    <w:name w:val="Quote Char"/>
    <w:basedOn w:val="140"/>
    <w:link w:val="156"/>
    <w:qFormat/>
    <w:uiPriority w:val="29"/>
    <w:rPr>
      <w:i/>
      <w:iCs/>
      <w:color w:val="000000" w:themeColor="text1"/>
      <w14:textFill>
        <w14:solidFill>
          <w14:schemeClr w14:val="tx1"/>
        </w14:solidFill>
      </w14:textFill>
    </w:rPr>
  </w:style>
  <w:style w:type="character" w:customStyle="1" w:styleId="158">
    <w:name w:val="Heading 4 Char"/>
    <w:basedOn w:val="140"/>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9">
    <w:name w:val="Heading 5 Char"/>
    <w:basedOn w:val="140"/>
    <w:link w:val="8"/>
    <w:semiHidden/>
    <w:qFormat/>
    <w:uiPriority w:val="9"/>
    <w:rPr>
      <w:rFonts w:asciiTheme="majorHAnsi" w:hAnsiTheme="majorHAnsi" w:eastAsiaTheme="majorEastAsia" w:cstheme="majorBidi"/>
      <w:color w:val="254061" w:themeColor="accent1" w:themeShade="80"/>
    </w:rPr>
  </w:style>
  <w:style w:type="character" w:customStyle="1" w:styleId="160">
    <w:name w:val="Heading 6 Char"/>
    <w:basedOn w:val="140"/>
    <w:link w:val="9"/>
    <w:semiHidden/>
    <w:qFormat/>
    <w:uiPriority w:val="9"/>
    <w:rPr>
      <w:rFonts w:asciiTheme="majorHAnsi" w:hAnsiTheme="majorHAnsi" w:eastAsiaTheme="majorEastAsia" w:cstheme="majorBidi"/>
      <w:i/>
      <w:iCs/>
      <w:color w:val="254061" w:themeColor="accent1" w:themeShade="80"/>
    </w:rPr>
  </w:style>
  <w:style w:type="character" w:customStyle="1" w:styleId="161">
    <w:name w:val="Heading 7 Char"/>
    <w:basedOn w:val="140"/>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2">
    <w:name w:val="Heading 8 Char"/>
    <w:basedOn w:val="140"/>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3">
    <w:name w:val="Heading 9 Char"/>
    <w:basedOn w:val="140"/>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4">
    <w:name w:val="Intense Quote"/>
    <w:basedOn w:val="1"/>
    <w:next w:val="1"/>
    <w:link w:val="165"/>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5">
    <w:name w:val="Intense Quote Char"/>
    <w:basedOn w:val="140"/>
    <w:link w:val="164"/>
    <w:qFormat/>
    <w:uiPriority w:val="30"/>
    <w:rPr>
      <w:b/>
      <w:bCs/>
      <w:i/>
      <w:iCs/>
      <w:color w:val="4F81BD" w:themeColor="accent1"/>
      <w14:textFill>
        <w14:solidFill>
          <w14:schemeClr w14:val="accent1"/>
        </w14:solidFill>
      </w14:textFill>
    </w:rPr>
  </w:style>
  <w:style w:type="character" w:customStyle="1" w:styleId="166">
    <w:name w:val="Subtle Emphasis"/>
    <w:basedOn w:val="140"/>
    <w:qFormat/>
    <w:uiPriority w:val="19"/>
    <w:rPr>
      <w:i/>
      <w:iCs/>
      <w:color w:val="808080" w:themeColor="text1" w:themeTint="80"/>
      <w14:textFill>
        <w14:solidFill>
          <w14:schemeClr w14:val="tx1">
            <w14:lumMod w14:val="50000"/>
            <w14:lumOff w14:val="50000"/>
          </w14:schemeClr>
        </w14:solidFill>
      </w14:textFill>
    </w:rPr>
  </w:style>
  <w:style w:type="character" w:customStyle="1" w:styleId="167">
    <w:name w:val="Intense Emphasis"/>
    <w:basedOn w:val="140"/>
    <w:qFormat/>
    <w:uiPriority w:val="21"/>
    <w:rPr>
      <w:b/>
      <w:bCs/>
      <w:i/>
      <w:iCs/>
      <w:color w:val="4F81BD" w:themeColor="accent1"/>
      <w14:textFill>
        <w14:solidFill>
          <w14:schemeClr w14:val="accent1"/>
        </w14:solidFill>
      </w14:textFill>
    </w:rPr>
  </w:style>
  <w:style w:type="character" w:customStyle="1" w:styleId="168">
    <w:name w:val="Subtle Reference"/>
    <w:basedOn w:val="140"/>
    <w:qFormat/>
    <w:uiPriority w:val="31"/>
    <w:rPr>
      <w:smallCaps/>
      <w:color w:val="C0504D" w:themeColor="accent2"/>
      <w:u w:val="single"/>
      <w14:textFill>
        <w14:solidFill>
          <w14:schemeClr w14:val="accent2"/>
        </w14:solidFill>
      </w14:textFill>
    </w:rPr>
  </w:style>
  <w:style w:type="character" w:customStyle="1" w:styleId="169">
    <w:name w:val="Intense Reference"/>
    <w:basedOn w:val="140"/>
    <w:qFormat/>
    <w:uiPriority w:val="32"/>
    <w:rPr>
      <w:b/>
      <w:bCs/>
      <w:smallCaps/>
      <w:color w:val="C0504D" w:themeColor="accent2"/>
      <w:spacing w:val="5"/>
      <w:u w:val="single"/>
      <w14:textFill>
        <w14:solidFill>
          <w14:schemeClr w14:val="accent2"/>
        </w14:solidFill>
      </w14:textFill>
    </w:rPr>
  </w:style>
  <w:style w:type="character" w:customStyle="1" w:styleId="170">
    <w:name w:val="Book Title"/>
    <w:basedOn w:val="140"/>
    <w:qFormat/>
    <w:uiPriority w:val="33"/>
    <w:rPr>
      <w:b/>
      <w:bCs/>
      <w:smallCaps/>
      <w:spacing w:val="5"/>
    </w:rPr>
  </w:style>
  <w:style w:type="paragraph" w:customStyle="1" w:styleId="171">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afbd056d-7cce-49b2-9364-7879762599d9</errorID>
      <errorWord>使用</errorWord>
      <group>L1_Grammar</group>
      <groupName>语法问题</groupName>
      <ability>L2_Grammar</ability>
      <abilityName>语法错误</abilityName>
      <candidateList>
        <item>采取</item>
      </candidateList>
      <explain>“使用～措施”搭配不当，建议修改为“采取～措施”。</explain>
      <paraID>1A5CDBE8</paraID>
      <start>69</start>
      <end>71</end>
      <status>modified</status>
      <modifiedWord>采取</modifiedWord>
      <trackRevisions>false</trackRevisions>
    </reviewItem>
    <reviewItem>
      <errorID>b001b4c8-651e-4f48-a3af-989295bd77a6</errorID>
      <errorWord>提高</errorWord>
      <group>L1_Punc</group>
      <groupName>标点问题</groupName>
      <ability>L2_Punc_CN</ability>
      <abilityName>标点符号问题</abilityName>
      <candidateList>
        <item>，提高</item>
      </candidateList>
      <explain/>
      <paraID>631D8002</paraID>
      <start>22</start>
      <end>25</end>
      <status>modified</status>
      <modifiedWord>，提高</modifiedWord>
      <trackRevisions>false</trackRevisions>
    </reviewItem>
    <reviewItem>
      <errorID>bf8e3e3b-9d8b-4d90-8d90-47f361ff807d</errorID>
      <errorWord>进行使用</errorWord>
      <group>L1_Word</group>
      <groupName>字词问题</groupName>
      <ability>L2_Typo</ability>
      <abilityName>字词错误</abilityName>
      <candidateList>
        <item>使用资金</item>
      </candidateList>
      <explain/>
      <paraID>55B78A49</paraID>
      <start>15</start>
      <end>19</end>
      <status>modified</status>
      <modifiedWord>使用资金</modifiedWord>
      <trackRevisions>false</trackRevisions>
    </reviewItem>
    <reviewItem>
      <errorID>b58b6a82-22f1-4ee3-8c9b-eb6a31c065ec</errorID>
      <errorWord>、</errorWord>
      <group>L1_Grammar</group>
      <groupName>语法问题</groupName>
      <ability>L2_Grammar</ability>
      <abilityName>语法错误</abilityName>
      <candidateList>
        <item>的原则，</item>
      </candidateList>
      <explain/>
      <paraID>55B78A49</paraID>
      <start>41</start>
      <end>45</end>
      <status>modified</status>
      <modifiedWord>的原则，</modifiedWord>
      <trackRevisions>false</trackRevisions>
    </reviewItem>
    <reviewItem>
      <errorID>23a85c67-b20f-4f4a-b231-c054b10fb5c9</errorID>
      <errorWord>决定的原则</errorWord>
      <group>L1_Grammar</group>
      <groupName>语法问题</groupName>
      <ability>L2_Grammar</ability>
      <abilityName>语法错误</abilityName>
      <candidateList>
        <item>决定</item>
      </candidateList>
      <explain/>
      <paraID>55B78A49</paraID>
      <start>60</start>
      <end>62</end>
      <status>modified</status>
      <modifiedWord>决定</modifiedWord>
      <trackRevisions>false</trackRevisions>
    </reviewItem>
    <reviewItem>
      <errorID>ca4111f7-5fb6-4744-86d4-73d5448d7e83</errorID>
      <errorWord>虚列</errorWord>
      <group>L1_Punc</group>
      <groupName>标点问题</groupName>
      <ability>L2_Punc_CN</ability>
      <abilityName>标点符号问题</abilityName>
      <candidateList>
        <item>、虚列</item>
      </candidateList>
      <explain/>
      <paraID>55B78A49</paraID>
      <start>95</start>
      <end>98</end>
      <status>modified</status>
      <modifiedWord>、虚列</modifiedWord>
      <trackRevisions>false</trackRevisions>
    </reviewItem>
    <reviewItem>
      <errorID>bfc03e9d-8019-447f-bfa9-81dad18a0298</errorID>
      <errorWord>各</errorWord>
      <group>L1_Word</group>
      <groupName>字词问题</groupName>
      <ability>L2_Typo</ability>
      <abilityName>字词错误</abilityName>
      <candidateList>
        <item>各项</item>
      </candidateList>
      <explain/>
      <paraID> F97D3AE</paraID>
      <start>62</start>
      <end>64</end>
      <status>modified</status>
      <modifiedWord>各项</modifiedWord>
      <trackRevisions>false</trackRevisions>
    </reviewItem>
    <reviewItem>
      <errorID>999e20ab-f621-4091-b144-39481dbdec6a</errorID>
      <errorWord>；</errorWord>
      <group>L1_Punc</group>
      <groupName>标点问题</groupName>
      <ability>L2_Punc_CN</ability>
      <abilityName>标点符号问题</abilityName>
      <candidateList>
        <item>。</item>
      </candidateList>
      <explain/>
      <paraID>4C25D16A</paraID>
      <start>74</start>
      <end>75</end>
      <status>modified</status>
      <modifiedWord>。</modifiedWord>
      <trackRevisions>false</trackRevisions>
    </reviewItem>
    <reviewItem>
      <errorID>fbc8b5f8-8a00-45e0-be7f-3a5742458594</errorID>
      <errorWord>不及效果</errorWord>
      <group>L1_Word</group>
      <groupName>字词问题</groupName>
      <ability>L2_Typo</ability>
      <abilityName>字词错误</abilityName>
      <candidateList>
        <item>效果不佳</item>
      </candidateList>
      <explain/>
      <paraID>4C25D16A</paraID>
      <start>79</start>
      <end>83</end>
      <status>modified</status>
      <modifiedWord>效果不佳</modifiedWord>
      <trackRevisions>false</trackRevisions>
    </reviewItem>
    <reviewItem>
      <errorID>8e31915c-44b7-4162-9fb9-5c71f6f2d54a</errorID>
      <errorWord>变化率和人均资产增长率</errorWord>
      <group>L1_Grammar</group>
      <groupName>语法问题</groupName>
      <ability>L2_Grammar</ability>
      <abilityName>语法错误</abilityName>
      <candidateList>
        <item>变化率</item>
      </candidateList>
      <explain/>
      <paraID> 87D3356</paraID>
      <start>12</start>
      <end>15</end>
      <status>modified</status>
      <modifiedWord>变化率</modifiedWord>
      <trackRevisions>false</trackRevisions>
    </reviewItem>
    <reviewItem>
      <errorID>ebc2b748-f068-4e0d-a378-dbfd0f9eaf46</errorID>
      <errorWord>八项规定及</errorWord>
      <group>L1_Word</group>
      <groupName>字词问题</groupName>
      <ability>L2_Typo</ability>
      <abilityName>字词错误</abilityName>
      <candidateList>
        <item>八项规定及其</item>
      </candidateList>
      <explain/>
      <paraID> 1692863</paraID>
      <start>29</start>
      <end>35</end>
      <status>modified</status>
      <modifiedWord>八项规定及其</modifiedWord>
      <trackRevisions>false</trackRevisions>
    </reviewItem>
    <reviewItem>
      <errorID>d63907f0-8cb1-4b82-8e00-ddcb9aac7057</errorID>
      <errorWord>具使用价值</errorWord>
      <group>L1_Word</group>
      <groupName>字词问题</groupName>
      <ability>L2_Typo</ability>
      <abilityName>字词错误</abilityName>
      <candidateList>
        <item>具有使用价值</item>
      </candidateList>
      <explain/>
      <paraID>7DF8AB5D</paraID>
      <start>43</start>
      <end>49</end>
      <status>modified</status>
      <modifiedWord>具有使用价值</modifiedWord>
      <trackRevisions>false</trackRevisions>
    </reviewItem>
    <reviewItem>
      <errorID>b0a1513e-121e-47ea-8f3b-07c275e9ed50</errorID>
      <errorWord>指标指标</errorWord>
      <group>L1_Word</group>
      <groupName>字词问题</groupName>
      <ability>L2_Typo</ability>
      <abilityName>字词错误</abilityName>
      <candidateList>
        <item>指标</item>
      </candidateList>
      <explain/>
      <paraID>227CE771</paraID>
      <start>4</start>
      <end>6</end>
      <status>modified</status>
      <modifiedWord>指标</modifiedWord>
      <trackRevisions>false</trackRevisions>
    </reviewItem>
    <reviewItem>
      <errorID>5159de02-9f9b-4931-88e7-bce26634ff5a</errorID>
      <errorWord>制</errorWord>
      <group>L1_Word</group>
      <groupName>字词问题</groupName>
      <ability>L2_Typo</ability>
      <abilityName>字词错误</abilityName>
      <candidateList>
        <item>制等</item>
      </candidateList>
      <explain/>
      <paraID>216A825B</paraID>
      <start>54</start>
      <end>56</end>
      <status>modified</status>
      <modifiedWord>制等</modifiedWord>
      <trackRevisions>false</trackRevisions>
    </reviewItem>
    <reviewItem>
      <errorID>91c6d189-cdbd-44fa-b805-fa18eeb1926c</errorID>
      <errorWord>间</errorWord>
      <group>L1_Word</group>
      <groupName>字词问题</groupName>
      <ability>L2_Typo</ability>
      <abilityName>字词错误</abilityName>
      <candidateList>
        <item>间内</item>
      </candidateList>
      <explain/>
      <paraID> C12138A</paraID>
      <start>12</start>
      <end>14</end>
      <status>modified</status>
      <modifiedWord>间内</modifiedWord>
      <trackRevisions>false</trackRevisions>
    </reviewItem>
    <reviewItem>
      <errorID>553ec356-bab6-4aa1-9ee5-d42e656dabf7</errorID>
      <errorWord>，</errorWord>
      <group>L1_Word</group>
      <groupName>字词问题</groupName>
      <ability>L2_Typo</ability>
      <abilityName>字词错误</abilityName>
      <candidateList>
        <item>，以</item>
      </candidateList>
      <explain/>
      <paraID>462FDD8C</paraID>
      <start>61</start>
      <end>63</end>
      <status>modified</status>
      <modifiedWord>，以</modifiedWord>
      <trackRevisions>false</trackRevisions>
    </reviewItem>
    <reviewItem>
      <errorID>9bf44d0f-9fa8-4f13-956e-2674a20749b5</errorID>
      <errorWord>“十五五”规划</errorWord>
      <group>L1_Political</group>
      <groupName>政治性问题</groupName>
      <ability>L2_Keyword</ability>
      <abilityName>固定表述</abilityName>
      <candidateList>
        <item>以“十五五”规划</item>
      </candidateList>
      <explain>此处内容疑似含有固定表述相关错误，建议核查。</explain>
      <paraID>462FDD8C</paraID>
      <start>63</start>
      <end>71</end>
      <status>modified</status>
      <modifiedWord>以“十五五”规划</modifiedWord>
      <trackRevisions>false</trackRevisions>
    </reviewItem>
    <reviewItem>
      <errorID>08182d3d-21c6-42e7-a111-f475f72e4e00</errorID>
      <errorWord>公共卫生的</errorWord>
      <group>L1_Word</group>
      <groupName>字词问题</groupName>
      <ability>L2_Typo</ability>
      <abilityName>字词错误</abilityName>
      <candidateList>
        <item>公共卫生</item>
      </candidateList>
      <explain/>
      <paraID>462FDD8C</paraID>
      <start>128</start>
      <end>132</end>
      <status>modified</status>
      <modifiedWord>公共卫生</modifiedWord>
      <trackRevisions>false</trackRevisions>
    </reviewItem>
    <reviewItem>
      <errorID>099bbfd0-82c5-454f-8582-9c569f62916d</errorID>
      <errorWord>、和</errorWord>
      <group>L1_Word</group>
      <groupName>字词问题</groupName>
      <ability>L2_Typo</ability>
      <abilityName>字词错误</abilityName>
      <candidateList>
        <item>，推动</item>
      </candidateList>
      <explain/>
      <paraID>462FDD8C</paraID>
      <start>173</start>
      <end>176</end>
      <status>modified</status>
      <modifiedWord>，推动</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60cdb5-18dc-4d2a-8d5e-76aeaba3cfc8}">
  <ds:schemaRefs/>
</ds:datastoreItem>
</file>

<file path=customXml/itemProps3.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14306</Words>
  <Characters>15934</Characters>
  <Lines>1</Lines>
  <Paragraphs>1</Paragraphs>
  <TotalTime>4</TotalTime>
  <ScaleCrop>false</ScaleCrop>
  <LinksUpToDate>false</LinksUpToDate>
  <CharactersWithSpaces>16170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靜勤行遠</cp:lastModifiedBy>
  <dcterms:modified xsi:type="dcterms:W3CDTF">2026-09-18T04:46:15Z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eyJoZGlkIjoiNzgzOWU2Nzk0NjY4OWEzNzhjZmIzMzEwZDdlZmRiNmUiLCJ1c2VySWQiOiIzODQ4NzQ5NDAifQ==</vt:lpwstr>
  </property>
  <property fmtid="{D5CDD505-2E9C-101B-9397-08002B2CF9AE}" pid="3" name="KSOProductBuildVer">
    <vt:lpwstr>2052-12.1.0.28505</vt:lpwstr>
  </property>
  <property fmtid="{D5CDD505-2E9C-101B-9397-08002B2CF9AE}" pid="4" name="ICV">
    <vt:lpwstr>78C8493309DB4E588E03B9823F1C0555_12</vt:lpwstr>
  </property>
</Properties>
</file>