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30525">
      <w:pPr>
        <w:pStyle w:val="5"/>
        <w:jc w:val="center"/>
        <w:rPr>
          <w:rFonts w:hint="eastAsia" w:ascii="方正小标宋简体" w:hAnsi="宋体" w:eastAsia="方正小标宋简体"/>
          <w:sz w:val="72"/>
          <w:szCs w:val="72"/>
        </w:rPr>
      </w:pPr>
    </w:p>
    <w:p w14:paraId="4A550E09">
      <w:pPr>
        <w:pStyle w:val="5"/>
        <w:jc w:val="center"/>
        <w:rPr>
          <w:rFonts w:hint="eastAsia" w:ascii="方正小标宋简体" w:hAnsi="宋体" w:eastAsia="方正小标宋简体"/>
          <w:sz w:val="72"/>
          <w:szCs w:val="72"/>
        </w:rPr>
      </w:pPr>
    </w:p>
    <w:p w14:paraId="1EC7E41A">
      <w:pPr>
        <w:pStyle w:val="5"/>
        <w:jc w:val="center"/>
        <w:rPr>
          <w:rFonts w:hint="eastAsia" w:ascii="方正小标宋简体" w:hAnsi="宋体" w:eastAsia="方正小标宋简体"/>
          <w:sz w:val="72"/>
          <w:szCs w:val="72"/>
        </w:rPr>
      </w:pPr>
    </w:p>
    <w:p w14:paraId="6A4F1986">
      <w:pPr>
        <w:pStyle w:val="5"/>
        <w:jc w:val="center"/>
        <w:rPr>
          <w:rFonts w:hint="eastAsia" w:ascii="方正小标宋简体" w:hAnsi="宋体" w:eastAsia="方正小标宋简体"/>
          <w:sz w:val="72"/>
          <w:szCs w:val="72"/>
        </w:rPr>
      </w:pPr>
      <w:r>
        <w:rPr>
          <w:rFonts w:hint="eastAsia" w:ascii="方正小标宋简体" w:hAnsi="宋体" w:eastAsia="方正小标宋简体"/>
          <w:sz w:val="72"/>
          <w:szCs w:val="72"/>
        </w:rPr>
        <w:t>202</w:t>
      </w:r>
      <w:r>
        <w:rPr>
          <w:rFonts w:hint="eastAsia" w:ascii="方正小标宋简体" w:hAnsi="宋体" w:eastAsia="方正小标宋简体"/>
          <w:sz w:val="72"/>
          <w:szCs w:val="72"/>
          <w:lang w:val="en-US" w:eastAsia="zh-CN"/>
        </w:rPr>
        <w:t>5</w:t>
      </w:r>
      <w:r>
        <w:rPr>
          <w:rFonts w:hint="eastAsia" w:ascii="方正小标宋简体" w:hAnsi="宋体" w:eastAsia="方正小标宋简体"/>
          <w:sz w:val="72"/>
          <w:szCs w:val="72"/>
        </w:rPr>
        <w:t>年度</w:t>
      </w:r>
      <w:bookmarkStart w:id="0" w:name="_Toc15377426"/>
      <w:bookmarkStart w:id="1" w:name="_Toc15396598"/>
      <w:bookmarkStart w:id="2" w:name="_Toc15377194"/>
      <w:bookmarkStart w:id="3" w:name="_Toc15378442"/>
      <w:bookmarkStart w:id="4" w:name="_Toc15396476"/>
      <w:bookmarkStart w:id="5" w:name="_Toc15306268"/>
    </w:p>
    <w:p w14:paraId="7AE3561A">
      <w:pPr>
        <w:pStyle w:val="5"/>
        <w:jc w:val="center"/>
        <w:rPr>
          <w:rFonts w:hint="eastAsia" w:ascii="方正小标宋简体" w:hAnsi="宋体" w:eastAsia="方正小标宋简体"/>
          <w:sz w:val="72"/>
          <w:szCs w:val="72"/>
        </w:rPr>
      </w:pPr>
      <w:r>
        <w:rPr>
          <w:rFonts w:hint="eastAsia" w:ascii="方正小标宋简体" w:hAnsi="宋体" w:eastAsia="方正小标宋简体"/>
          <w:sz w:val="72"/>
          <w:szCs w:val="72"/>
          <w:lang w:eastAsia="zh-CN"/>
        </w:rPr>
        <w:t>阿坝州疾病预防控制中心</w:t>
      </w:r>
      <w:r>
        <w:rPr>
          <w:rFonts w:hint="eastAsia" w:ascii="方正小标宋简体" w:hAnsi="宋体" w:eastAsia="方正小标宋简体"/>
          <w:sz w:val="72"/>
          <w:szCs w:val="72"/>
        </w:rPr>
        <w:t>部门决算</w:t>
      </w:r>
      <w:bookmarkEnd w:id="0"/>
      <w:bookmarkEnd w:id="1"/>
      <w:bookmarkEnd w:id="2"/>
      <w:bookmarkEnd w:id="3"/>
      <w:bookmarkEnd w:id="4"/>
      <w:bookmarkEnd w:id="5"/>
    </w:p>
    <w:p w14:paraId="2D246374">
      <w:pPr>
        <w:widowControl/>
        <w:jc w:val="center"/>
        <w:rPr>
          <w:rFonts w:ascii="方正小标宋简体" w:hAnsi="宋体" w:eastAsia="方正小标宋简体"/>
          <w:sz w:val="36"/>
          <w:szCs w:val="36"/>
        </w:rPr>
      </w:pPr>
    </w:p>
    <w:p w14:paraId="18B02DCE">
      <w:pPr>
        <w:widowControl/>
        <w:jc w:val="center"/>
        <w:rPr>
          <w:rFonts w:ascii="方正小标宋简体" w:hAnsi="宋体" w:eastAsia="方正小标宋简体"/>
          <w:sz w:val="36"/>
          <w:szCs w:val="36"/>
        </w:rPr>
      </w:pPr>
    </w:p>
    <w:p w14:paraId="24F28894">
      <w:pPr>
        <w:widowControl/>
        <w:jc w:val="center"/>
        <w:rPr>
          <w:rFonts w:ascii="方正小标宋简体" w:hAnsi="宋体" w:eastAsia="方正小标宋简体"/>
          <w:sz w:val="36"/>
          <w:szCs w:val="36"/>
        </w:rPr>
      </w:pPr>
    </w:p>
    <w:p w14:paraId="2E2E701F">
      <w:pPr>
        <w:widowControl/>
        <w:jc w:val="center"/>
        <w:rPr>
          <w:rFonts w:ascii="方正小标宋简体" w:hAnsi="宋体" w:eastAsia="方正小标宋简体"/>
          <w:sz w:val="36"/>
          <w:szCs w:val="36"/>
        </w:rPr>
      </w:pPr>
    </w:p>
    <w:p w14:paraId="1C01969E">
      <w:pPr>
        <w:widowControl/>
        <w:jc w:val="center"/>
        <w:rPr>
          <w:rFonts w:ascii="方正小标宋简体" w:hAnsi="宋体" w:eastAsia="方正小标宋简体"/>
          <w:sz w:val="36"/>
          <w:szCs w:val="36"/>
        </w:rPr>
      </w:pPr>
    </w:p>
    <w:p w14:paraId="51073C5F">
      <w:pPr>
        <w:widowControl/>
        <w:jc w:val="both"/>
        <w:rPr>
          <w:rFonts w:ascii="方正小标宋简体" w:hAnsi="宋体" w:eastAsia="方正小标宋简体"/>
          <w:sz w:val="36"/>
          <w:szCs w:val="36"/>
        </w:rPr>
      </w:pPr>
    </w:p>
    <w:p w14:paraId="7CC1708C">
      <w:pPr>
        <w:widowControl/>
        <w:jc w:val="center"/>
        <w:rPr>
          <w:rFonts w:ascii="方正小标宋简体" w:hAnsi="宋体" w:eastAsia="方正小标宋简体"/>
          <w:sz w:val="36"/>
          <w:szCs w:val="36"/>
        </w:rPr>
      </w:pPr>
    </w:p>
    <w:p w14:paraId="24D0730D">
      <w:pPr>
        <w:widowControl/>
        <w:jc w:val="center"/>
        <w:rPr>
          <w:rFonts w:ascii="仿宋" w:hAnsi="仿宋" w:eastAsia="仿宋"/>
          <w:b/>
          <w:sz w:val="24"/>
        </w:rPr>
        <w:sectPr>
          <w:pgSz w:w="11906" w:h="16838"/>
          <w:pgMar w:top="1440" w:right="1800" w:bottom="1440" w:left="1800" w:header="720" w:footer="720" w:gutter="0"/>
          <w:pgNumType w:fmt="numberInDash" w:start="1"/>
          <w:cols w:space="720" w:num="1"/>
          <w:docGrid w:type="lines" w:linePitch="312" w:charSpace="0"/>
        </w:sectPr>
      </w:pPr>
      <w:r>
        <w:rPr>
          <w:rFonts w:hint="eastAsia" w:ascii="仿宋_GB2312" w:eastAsia="仿宋_GB2312" w:cs="仿宋_GB2312"/>
          <w:sz w:val="32"/>
          <w:szCs w:val="32"/>
        </w:rPr>
        <w:t>已经保密审查、内容审定，同意对外</w:t>
      </w:r>
      <w:r>
        <w:rPr>
          <w:rFonts w:hint="eastAsia" w:ascii="仿宋_GB2312" w:eastAsia="仿宋_GB2312" w:cs="仿宋_GB2312"/>
          <w:sz w:val="32"/>
          <w:szCs w:val="32"/>
          <w:lang w:eastAsia="zh-CN"/>
        </w:rPr>
        <w:t>公开</w:t>
      </w:r>
      <w:bookmarkStart w:id="6" w:name="_Toc15396599"/>
      <w:bookmarkStart w:id="7" w:name="_Toc15377196"/>
    </w:p>
    <w:p w14:paraId="7439BB9A">
      <w:pPr>
        <w:spacing w:before="0" w:beforeLines="0" w:after="0" w:afterLines="0" w:line="240" w:lineRule="auto"/>
        <w:ind w:left="0" w:leftChars="0" w:right="0" w:rightChars="0" w:firstLine="0" w:firstLineChars="0"/>
        <w:jc w:val="center"/>
        <w:rPr>
          <w:rFonts w:hint="eastAsia" w:ascii="国标黑体" w:hAnsi="国标黑体" w:eastAsia="国标黑体" w:cs="国标黑体"/>
          <w:sz w:val="48"/>
          <w:szCs w:val="48"/>
        </w:rPr>
      </w:pPr>
      <w:r>
        <w:rPr>
          <w:rFonts w:hint="eastAsia" w:ascii="国标黑体" w:hAnsi="国标黑体" w:eastAsia="国标黑体" w:cs="国标黑体"/>
          <w:sz w:val="48"/>
          <w:szCs w:val="48"/>
        </w:rPr>
        <w:t>目录</w:t>
      </w:r>
    </w:p>
    <w:p w14:paraId="7815BA9F">
      <w:pPr>
        <w:pStyle w:val="10"/>
        <w:rPr>
          <w:sz w:val="32"/>
          <w:szCs w:val="32"/>
        </w:rPr>
      </w:pPr>
      <w:r>
        <w:rPr>
          <w:rFonts w:hint="eastAsia"/>
          <w:sz w:val="32"/>
          <w:szCs w:val="32"/>
        </w:rPr>
        <w:t>公开时间：202</w:t>
      </w:r>
      <w:r>
        <w:rPr>
          <w:rFonts w:hint="eastAsia"/>
          <w:sz w:val="32"/>
          <w:szCs w:val="32"/>
          <w:lang w:val="en-US" w:eastAsia="zh-CN"/>
        </w:rPr>
        <w:t>6</w:t>
      </w:r>
      <w:r>
        <w:rPr>
          <w:rFonts w:hint="eastAsia"/>
          <w:sz w:val="32"/>
          <w:szCs w:val="32"/>
        </w:rPr>
        <w:t>年</w:t>
      </w:r>
      <w:r>
        <w:rPr>
          <w:sz w:val="32"/>
          <w:szCs w:val="32"/>
        </w:rPr>
        <w:t>9</w:t>
      </w:r>
      <w:r>
        <w:rPr>
          <w:rFonts w:hint="eastAsia"/>
          <w:sz w:val="32"/>
          <w:szCs w:val="32"/>
        </w:rPr>
        <w:t>月</w:t>
      </w:r>
      <w:r>
        <w:rPr>
          <w:rFonts w:hint="eastAsia"/>
          <w:sz w:val="32"/>
          <w:szCs w:val="32"/>
          <w:lang w:val="en-US" w:eastAsia="zh-CN"/>
        </w:rPr>
        <w:t>15</w:t>
      </w:r>
      <w:r>
        <w:rPr>
          <w:rFonts w:hint="eastAsia"/>
          <w:sz w:val="32"/>
          <w:szCs w:val="32"/>
        </w:rPr>
        <w:t>日</w:t>
      </w:r>
    </w:p>
    <w:p w14:paraId="069EE3A5">
      <w:pPr>
        <w:pStyle w:val="5"/>
        <w:rPr>
          <w:rFonts w:hint="eastAsia"/>
        </w:rPr>
      </w:pPr>
    </w:p>
    <w:p w14:paraId="4D9F68E0">
      <w:pPr>
        <w:pStyle w:val="10"/>
        <w:tabs>
          <w:tab w:val="right" w:leader="dot" w:pos="8306"/>
          <w:tab w:val="clear" w:pos="8296"/>
        </w:tabs>
        <w:rPr>
          <w:sz w:val="28"/>
          <w:szCs w:val="28"/>
        </w:rPr>
      </w:pPr>
      <w:r>
        <w:rPr>
          <w:rFonts w:ascii="仿宋" w:hAnsi="仿宋" w:eastAsia="仿宋"/>
          <w:b/>
          <w:sz w:val="28"/>
          <w:szCs w:val="28"/>
        </w:rPr>
        <w:fldChar w:fldCharType="begin"/>
      </w:r>
      <w:r>
        <w:rPr>
          <w:rFonts w:ascii="仿宋" w:hAnsi="仿宋" w:eastAsia="仿宋"/>
          <w:b/>
          <w:sz w:val="28"/>
          <w:szCs w:val="28"/>
        </w:rPr>
        <w:instrText xml:space="preserve">TOC \o "1-2" \h \u </w:instrText>
      </w:r>
      <w:r>
        <w:rPr>
          <w:rFonts w:ascii="仿宋" w:hAnsi="仿宋" w:eastAsia="仿宋"/>
          <w:b/>
          <w:sz w:val="28"/>
          <w:szCs w:val="28"/>
        </w:rPr>
        <w:fldChar w:fldCharType="separate"/>
      </w:r>
      <w:r>
        <w:rPr>
          <w:rFonts w:ascii="仿宋" w:hAnsi="仿宋" w:eastAsia="仿宋"/>
          <w:sz w:val="28"/>
          <w:szCs w:val="28"/>
        </w:rPr>
        <w:fldChar w:fldCharType="begin"/>
      </w:r>
      <w:r>
        <w:rPr>
          <w:rFonts w:ascii="仿宋" w:hAnsi="仿宋" w:eastAsia="仿宋"/>
          <w:sz w:val="28"/>
          <w:szCs w:val="28"/>
        </w:rPr>
        <w:instrText xml:space="preserve"> HYPERLINK \l _Toc238988088 </w:instrText>
      </w:r>
      <w:r>
        <w:rPr>
          <w:rFonts w:ascii="仿宋" w:hAnsi="仿宋" w:eastAsia="仿宋"/>
          <w:sz w:val="28"/>
          <w:szCs w:val="28"/>
        </w:rPr>
        <w:fldChar w:fldCharType="separate"/>
      </w:r>
      <w:r>
        <w:rPr>
          <w:rFonts w:hint="eastAsia" w:ascii="黑体" w:hAnsi="黑体" w:eastAsia="黑体" w:cs="Times New Roman"/>
          <w:sz w:val="28"/>
          <w:szCs w:val="28"/>
        </w:rPr>
        <w:t>第一部分 部门概况</w:t>
      </w:r>
      <w:r>
        <w:rPr>
          <w:sz w:val="28"/>
          <w:szCs w:val="28"/>
        </w:rPr>
        <w:tab/>
      </w:r>
      <w:r>
        <w:rPr>
          <w:rFonts w:hint="eastAsia"/>
          <w:b/>
          <w:bCs/>
          <w:sz w:val="28"/>
          <w:szCs w:val="28"/>
          <w:lang w:val="en-US" w:eastAsia="zh-CN"/>
        </w:rPr>
        <w:t>1</w:t>
      </w:r>
      <w:r>
        <w:rPr>
          <w:rFonts w:ascii="仿宋" w:hAnsi="仿宋" w:eastAsia="仿宋"/>
          <w:sz w:val="28"/>
          <w:szCs w:val="28"/>
        </w:rPr>
        <w:fldChar w:fldCharType="end"/>
      </w:r>
    </w:p>
    <w:p w14:paraId="6FB59DD5">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_Toc816211098 </w:instrText>
      </w:r>
      <w:r>
        <w:rPr>
          <w:rFonts w:ascii="仿宋" w:hAnsi="仿宋" w:eastAsia="仿宋"/>
          <w:sz w:val="28"/>
          <w:szCs w:val="28"/>
        </w:rPr>
        <w:fldChar w:fldCharType="separate"/>
      </w:r>
      <w:r>
        <w:rPr>
          <w:rFonts w:hint="eastAsia" w:ascii="黑体" w:hAnsi="黑体" w:eastAsia="黑体"/>
          <w:sz w:val="28"/>
          <w:szCs w:val="28"/>
        </w:rPr>
        <w:t>一、 部门职责</w:t>
      </w:r>
      <w:r>
        <w:rPr>
          <w:sz w:val="28"/>
          <w:szCs w:val="28"/>
        </w:rPr>
        <w:tab/>
      </w:r>
      <w:r>
        <w:rPr>
          <w:rFonts w:hint="eastAsia"/>
          <w:sz w:val="28"/>
          <w:szCs w:val="28"/>
          <w:lang w:val="en-US" w:eastAsia="zh-CN"/>
        </w:rPr>
        <w:t>1</w:t>
      </w:r>
      <w:r>
        <w:rPr>
          <w:rFonts w:ascii="仿宋" w:hAnsi="仿宋" w:eastAsia="仿宋"/>
          <w:sz w:val="28"/>
          <w:szCs w:val="28"/>
        </w:rPr>
        <w:fldChar w:fldCharType="end"/>
      </w:r>
    </w:p>
    <w:p w14:paraId="0515D603">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_Toc1607938347 </w:instrText>
      </w:r>
      <w:r>
        <w:rPr>
          <w:rFonts w:ascii="仿宋" w:hAnsi="仿宋" w:eastAsia="仿宋"/>
          <w:sz w:val="28"/>
          <w:szCs w:val="28"/>
        </w:rPr>
        <w:fldChar w:fldCharType="separate"/>
      </w:r>
      <w:r>
        <w:rPr>
          <w:rFonts w:hint="eastAsia" w:ascii="黑体" w:hAnsi="黑体" w:eastAsia="黑体" w:cs="Times New Roman"/>
          <w:bCs w:val="0"/>
          <w:sz w:val="28"/>
          <w:szCs w:val="28"/>
        </w:rPr>
        <w:t xml:space="preserve">二、 </w:t>
      </w:r>
      <w:r>
        <w:rPr>
          <w:rFonts w:hint="eastAsia" w:ascii="黑体" w:hAnsi="黑体" w:eastAsia="黑体" w:cs="Times New Roman"/>
          <w:bCs w:val="0"/>
          <w:sz w:val="28"/>
          <w:szCs w:val="28"/>
          <w:lang w:eastAsia="zh-CN"/>
        </w:rPr>
        <w:t>机构设置</w:t>
      </w:r>
      <w:r>
        <w:rPr>
          <w:sz w:val="28"/>
          <w:szCs w:val="28"/>
        </w:rPr>
        <w:tab/>
      </w:r>
      <w:r>
        <w:rPr>
          <w:sz w:val="28"/>
          <w:szCs w:val="28"/>
        </w:rPr>
        <w:fldChar w:fldCharType="begin"/>
      </w:r>
      <w:r>
        <w:rPr>
          <w:sz w:val="28"/>
          <w:szCs w:val="28"/>
        </w:rPr>
        <w:instrText xml:space="preserve"> PAGEREF _Toc1607938347 \h </w:instrText>
      </w:r>
      <w:r>
        <w:rPr>
          <w:sz w:val="28"/>
          <w:szCs w:val="28"/>
        </w:rPr>
        <w:fldChar w:fldCharType="separate"/>
      </w:r>
      <w:r>
        <w:rPr>
          <w:sz w:val="28"/>
          <w:szCs w:val="28"/>
        </w:rPr>
        <w:t>- 1 -</w:t>
      </w:r>
      <w:r>
        <w:rPr>
          <w:sz w:val="28"/>
          <w:szCs w:val="28"/>
        </w:rPr>
        <w:fldChar w:fldCharType="end"/>
      </w:r>
      <w:r>
        <w:rPr>
          <w:rFonts w:ascii="仿宋" w:hAnsi="仿宋" w:eastAsia="仿宋"/>
          <w:sz w:val="28"/>
          <w:szCs w:val="28"/>
        </w:rPr>
        <w:fldChar w:fldCharType="end"/>
      </w:r>
    </w:p>
    <w:p w14:paraId="3893E575">
      <w:pPr>
        <w:pStyle w:val="10"/>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_Toc100197681 </w:instrText>
      </w:r>
      <w:r>
        <w:rPr>
          <w:rFonts w:ascii="仿宋" w:hAnsi="仿宋" w:eastAsia="仿宋"/>
          <w:sz w:val="28"/>
          <w:szCs w:val="28"/>
        </w:rPr>
        <w:fldChar w:fldCharType="separate"/>
      </w:r>
      <w:r>
        <w:rPr>
          <w:rFonts w:hint="eastAsia" w:ascii="黑体" w:hAnsi="黑体" w:eastAsia="黑体"/>
          <w:sz w:val="28"/>
          <w:szCs w:val="28"/>
        </w:rPr>
        <w:t>第二部分 202</w:t>
      </w:r>
      <w:r>
        <w:rPr>
          <w:rFonts w:hint="eastAsia" w:ascii="黑体" w:hAnsi="黑体" w:eastAsia="黑体"/>
          <w:sz w:val="28"/>
          <w:szCs w:val="28"/>
          <w:lang w:val="en-US" w:eastAsia="zh-CN"/>
        </w:rPr>
        <w:t>5</w:t>
      </w:r>
      <w:r>
        <w:rPr>
          <w:rFonts w:hint="eastAsia" w:ascii="黑体" w:hAnsi="黑体" w:eastAsia="黑体"/>
          <w:sz w:val="28"/>
          <w:szCs w:val="28"/>
        </w:rPr>
        <w:t>年度</w:t>
      </w:r>
      <w:r>
        <w:rPr>
          <w:rFonts w:hint="eastAsia" w:ascii="黑体" w:hAnsi="黑体" w:eastAsia="黑体"/>
          <w:bCs/>
          <w:sz w:val="28"/>
          <w:szCs w:val="28"/>
        </w:rPr>
        <w:t>部门决算情况说明</w:t>
      </w:r>
      <w:r>
        <w:rPr>
          <w:sz w:val="28"/>
          <w:szCs w:val="28"/>
        </w:rPr>
        <w:tab/>
      </w:r>
      <w:r>
        <w:rPr>
          <w:sz w:val="28"/>
          <w:szCs w:val="28"/>
        </w:rPr>
        <w:fldChar w:fldCharType="begin"/>
      </w:r>
      <w:r>
        <w:rPr>
          <w:sz w:val="28"/>
          <w:szCs w:val="28"/>
        </w:rPr>
        <w:instrText xml:space="preserve"> PAGEREF _Toc100197681 \h </w:instrText>
      </w:r>
      <w:r>
        <w:rPr>
          <w:sz w:val="28"/>
          <w:szCs w:val="28"/>
        </w:rPr>
        <w:fldChar w:fldCharType="separate"/>
      </w:r>
      <w:r>
        <w:rPr>
          <w:sz w:val="28"/>
          <w:szCs w:val="28"/>
        </w:rPr>
        <w:t>- 1 -</w:t>
      </w:r>
      <w:r>
        <w:rPr>
          <w:sz w:val="28"/>
          <w:szCs w:val="28"/>
        </w:rPr>
        <w:fldChar w:fldCharType="end"/>
      </w:r>
      <w:r>
        <w:rPr>
          <w:rFonts w:ascii="仿宋" w:hAnsi="仿宋" w:eastAsia="仿宋"/>
          <w:sz w:val="28"/>
          <w:szCs w:val="28"/>
        </w:rPr>
        <w:fldChar w:fldCharType="end"/>
      </w:r>
    </w:p>
    <w:p w14:paraId="6264066C">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_Toc1576144292 </w:instrText>
      </w:r>
      <w:r>
        <w:rPr>
          <w:rFonts w:ascii="仿宋" w:hAnsi="仿宋" w:eastAsia="仿宋"/>
          <w:sz w:val="28"/>
          <w:szCs w:val="28"/>
        </w:rPr>
        <w:fldChar w:fldCharType="separate"/>
      </w:r>
      <w:r>
        <w:rPr>
          <w:rFonts w:hint="default" w:ascii="黑体" w:hAnsi="黑体" w:eastAsia="黑体"/>
          <w:sz w:val="28"/>
          <w:szCs w:val="28"/>
        </w:rPr>
        <w:t xml:space="preserve">一、 </w:t>
      </w:r>
      <w:r>
        <w:rPr>
          <w:rFonts w:hint="eastAsia" w:ascii="黑体" w:hAnsi="黑体" w:eastAsia="黑体"/>
          <w:sz w:val="28"/>
          <w:szCs w:val="28"/>
        </w:rPr>
        <w:t>收入支出决算总体情况说明</w:t>
      </w:r>
      <w:r>
        <w:rPr>
          <w:sz w:val="28"/>
          <w:szCs w:val="28"/>
        </w:rPr>
        <w:tab/>
      </w:r>
      <w:r>
        <w:rPr>
          <w:sz w:val="28"/>
          <w:szCs w:val="28"/>
        </w:rPr>
        <w:fldChar w:fldCharType="begin"/>
      </w:r>
      <w:r>
        <w:rPr>
          <w:sz w:val="28"/>
          <w:szCs w:val="28"/>
        </w:rPr>
        <w:instrText xml:space="preserve"> PAGEREF _Toc1576144292 \h </w:instrText>
      </w:r>
      <w:r>
        <w:rPr>
          <w:sz w:val="28"/>
          <w:szCs w:val="28"/>
        </w:rPr>
        <w:fldChar w:fldCharType="separate"/>
      </w:r>
      <w:r>
        <w:rPr>
          <w:sz w:val="28"/>
          <w:szCs w:val="28"/>
        </w:rPr>
        <w:t>- 2 -</w:t>
      </w:r>
      <w:r>
        <w:rPr>
          <w:sz w:val="28"/>
          <w:szCs w:val="28"/>
        </w:rPr>
        <w:fldChar w:fldCharType="end"/>
      </w:r>
      <w:r>
        <w:rPr>
          <w:rFonts w:ascii="仿宋" w:hAnsi="仿宋" w:eastAsia="仿宋"/>
          <w:sz w:val="28"/>
          <w:szCs w:val="28"/>
        </w:rPr>
        <w:fldChar w:fldCharType="end"/>
      </w:r>
    </w:p>
    <w:p w14:paraId="572235E9">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_Toc1477755223 </w:instrText>
      </w:r>
      <w:r>
        <w:rPr>
          <w:rFonts w:ascii="仿宋" w:hAnsi="仿宋" w:eastAsia="仿宋"/>
          <w:sz w:val="28"/>
          <w:szCs w:val="28"/>
        </w:rPr>
        <w:fldChar w:fldCharType="separate"/>
      </w:r>
      <w:r>
        <w:rPr>
          <w:rFonts w:hint="default" w:ascii="黑体" w:hAnsi="黑体" w:eastAsia="黑体"/>
          <w:sz w:val="28"/>
          <w:szCs w:val="28"/>
        </w:rPr>
        <w:t xml:space="preserve">二、 </w:t>
      </w:r>
      <w:r>
        <w:rPr>
          <w:rFonts w:hint="eastAsia" w:ascii="黑体" w:hAnsi="黑体" w:eastAsia="黑体"/>
          <w:sz w:val="28"/>
          <w:szCs w:val="28"/>
        </w:rPr>
        <w:t>收入决算情况说明</w:t>
      </w:r>
      <w:r>
        <w:rPr>
          <w:sz w:val="28"/>
          <w:szCs w:val="28"/>
        </w:rPr>
        <w:tab/>
      </w:r>
      <w:r>
        <w:rPr>
          <w:sz w:val="28"/>
          <w:szCs w:val="28"/>
        </w:rPr>
        <w:fldChar w:fldCharType="begin"/>
      </w:r>
      <w:r>
        <w:rPr>
          <w:sz w:val="28"/>
          <w:szCs w:val="28"/>
        </w:rPr>
        <w:instrText xml:space="preserve"> PAGEREF _Toc1477755223 \h </w:instrText>
      </w:r>
      <w:r>
        <w:rPr>
          <w:sz w:val="28"/>
          <w:szCs w:val="28"/>
        </w:rPr>
        <w:fldChar w:fldCharType="separate"/>
      </w:r>
      <w:r>
        <w:rPr>
          <w:sz w:val="28"/>
          <w:szCs w:val="28"/>
        </w:rPr>
        <w:t>- 2 -</w:t>
      </w:r>
      <w:r>
        <w:rPr>
          <w:sz w:val="28"/>
          <w:szCs w:val="28"/>
        </w:rPr>
        <w:fldChar w:fldCharType="end"/>
      </w:r>
      <w:r>
        <w:rPr>
          <w:rFonts w:ascii="仿宋" w:hAnsi="仿宋" w:eastAsia="仿宋"/>
          <w:sz w:val="28"/>
          <w:szCs w:val="28"/>
        </w:rPr>
        <w:fldChar w:fldCharType="end"/>
      </w:r>
    </w:p>
    <w:p w14:paraId="42763D16">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_Toc1655651371 </w:instrText>
      </w:r>
      <w:r>
        <w:rPr>
          <w:rFonts w:ascii="仿宋" w:hAnsi="仿宋" w:eastAsia="仿宋"/>
          <w:sz w:val="28"/>
          <w:szCs w:val="28"/>
        </w:rPr>
        <w:fldChar w:fldCharType="separate"/>
      </w:r>
      <w:r>
        <w:rPr>
          <w:rFonts w:hint="default" w:ascii="黑体" w:hAnsi="黑体" w:eastAsia="黑体"/>
          <w:sz w:val="28"/>
          <w:szCs w:val="28"/>
        </w:rPr>
        <w:t xml:space="preserve">三、 </w:t>
      </w:r>
      <w:r>
        <w:rPr>
          <w:rFonts w:hint="eastAsia" w:ascii="黑体" w:hAnsi="黑体" w:eastAsia="黑体"/>
          <w:sz w:val="28"/>
          <w:szCs w:val="28"/>
        </w:rPr>
        <w:t>支出决算情况说明</w:t>
      </w:r>
      <w:r>
        <w:rPr>
          <w:sz w:val="28"/>
          <w:szCs w:val="28"/>
        </w:rPr>
        <w:tab/>
      </w:r>
      <w:r>
        <w:rPr>
          <w:sz w:val="28"/>
          <w:szCs w:val="28"/>
        </w:rPr>
        <w:fldChar w:fldCharType="begin"/>
      </w:r>
      <w:r>
        <w:rPr>
          <w:sz w:val="28"/>
          <w:szCs w:val="28"/>
        </w:rPr>
        <w:instrText xml:space="preserve"> PAGEREF _Toc1655651371 \h </w:instrText>
      </w:r>
      <w:r>
        <w:rPr>
          <w:sz w:val="28"/>
          <w:szCs w:val="28"/>
        </w:rPr>
        <w:fldChar w:fldCharType="separate"/>
      </w:r>
      <w:r>
        <w:rPr>
          <w:sz w:val="28"/>
          <w:szCs w:val="28"/>
        </w:rPr>
        <w:t>- 3 -</w:t>
      </w:r>
      <w:r>
        <w:rPr>
          <w:sz w:val="28"/>
          <w:szCs w:val="28"/>
        </w:rPr>
        <w:fldChar w:fldCharType="end"/>
      </w:r>
      <w:r>
        <w:rPr>
          <w:rFonts w:ascii="仿宋" w:hAnsi="仿宋" w:eastAsia="仿宋"/>
          <w:sz w:val="28"/>
          <w:szCs w:val="28"/>
        </w:rPr>
        <w:fldChar w:fldCharType="end"/>
      </w:r>
    </w:p>
    <w:p w14:paraId="47ED5D54">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_Toc216289579 </w:instrText>
      </w:r>
      <w:r>
        <w:rPr>
          <w:rFonts w:ascii="仿宋" w:hAnsi="仿宋" w:eastAsia="仿宋"/>
          <w:sz w:val="28"/>
          <w:szCs w:val="28"/>
        </w:rPr>
        <w:fldChar w:fldCharType="separate"/>
      </w:r>
      <w:r>
        <w:rPr>
          <w:rFonts w:hint="eastAsia" w:ascii="黑体" w:hAnsi="黑体" w:eastAsia="黑体"/>
          <w:sz w:val="28"/>
          <w:szCs w:val="28"/>
        </w:rPr>
        <w:t>四、财政拨款收入支出决算总体情况说明</w:t>
      </w:r>
      <w:r>
        <w:rPr>
          <w:sz w:val="28"/>
          <w:szCs w:val="28"/>
        </w:rPr>
        <w:tab/>
      </w:r>
      <w:r>
        <w:rPr>
          <w:sz w:val="28"/>
          <w:szCs w:val="28"/>
        </w:rPr>
        <w:fldChar w:fldCharType="begin"/>
      </w:r>
      <w:r>
        <w:rPr>
          <w:sz w:val="28"/>
          <w:szCs w:val="28"/>
        </w:rPr>
        <w:instrText xml:space="preserve"> PAGEREF _Toc216289579 \h </w:instrText>
      </w:r>
      <w:r>
        <w:rPr>
          <w:sz w:val="28"/>
          <w:szCs w:val="28"/>
        </w:rPr>
        <w:fldChar w:fldCharType="separate"/>
      </w:r>
      <w:r>
        <w:rPr>
          <w:sz w:val="28"/>
          <w:szCs w:val="28"/>
        </w:rPr>
        <w:t>- 4 -</w:t>
      </w:r>
      <w:r>
        <w:rPr>
          <w:sz w:val="28"/>
          <w:szCs w:val="28"/>
        </w:rPr>
        <w:fldChar w:fldCharType="end"/>
      </w:r>
      <w:r>
        <w:rPr>
          <w:rFonts w:ascii="仿宋" w:hAnsi="仿宋" w:eastAsia="仿宋"/>
          <w:sz w:val="28"/>
          <w:szCs w:val="28"/>
        </w:rPr>
        <w:fldChar w:fldCharType="end"/>
      </w:r>
    </w:p>
    <w:p w14:paraId="20D5242E">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_Toc372456571 </w:instrText>
      </w:r>
      <w:r>
        <w:rPr>
          <w:rFonts w:ascii="仿宋" w:hAnsi="仿宋" w:eastAsia="仿宋"/>
          <w:sz w:val="28"/>
          <w:szCs w:val="28"/>
        </w:rPr>
        <w:fldChar w:fldCharType="separate"/>
      </w:r>
      <w:r>
        <w:rPr>
          <w:rFonts w:hint="eastAsia" w:ascii="黑体" w:hAnsi="黑体" w:eastAsia="黑体"/>
          <w:sz w:val="28"/>
          <w:szCs w:val="28"/>
        </w:rPr>
        <w:t>五、一般公共预算财政拨款支出决算情况说明</w:t>
      </w:r>
      <w:r>
        <w:rPr>
          <w:sz w:val="28"/>
          <w:szCs w:val="28"/>
        </w:rPr>
        <w:tab/>
      </w:r>
      <w:r>
        <w:rPr>
          <w:sz w:val="28"/>
          <w:szCs w:val="28"/>
        </w:rPr>
        <w:fldChar w:fldCharType="begin"/>
      </w:r>
      <w:r>
        <w:rPr>
          <w:sz w:val="28"/>
          <w:szCs w:val="28"/>
        </w:rPr>
        <w:instrText xml:space="preserve"> PAGEREF _Toc372456571 \h </w:instrText>
      </w:r>
      <w:r>
        <w:rPr>
          <w:sz w:val="28"/>
          <w:szCs w:val="28"/>
        </w:rPr>
        <w:fldChar w:fldCharType="separate"/>
      </w:r>
      <w:r>
        <w:rPr>
          <w:sz w:val="28"/>
          <w:szCs w:val="28"/>
        </w:rPr>
        <w:t>- 4 -</w:t>
      </w:r>
      <w:r>
        <w:rPr>
          <w:sz w:val="28"/>
          <w:szCs w:val="28"/>
        </w:rPr>
        <w:fldChar w:fldCharType="end"/>
      </w:r>
      <w:r>
        <w:rPr>
          <w:rFonts w:ascii="仿宋" w:hAnsi="仿宋" w:eastAsia="仿宋"/>
          <w:sz w:val="28"/>
          <w:szCs w:val="28"/>
        </w:rPr>
        <w:fldChar w:fldCharType="end"/>
      </w:r>
    </w:p>
    <w:p w14:paraId="54640514">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_Toc773903220 </w:instrText>
      </w:r>
      <w:r>
        <w:rPr>
          <w:rFonts w:ascii="仿宋" w:hAnsi="仿宋" w:eastAsia="仿宋"/>
          <w:sz w:val="28"/>
          <w:szCs w:val="28"/>
        </w:rPr>
        <w:fldChar w:fldCharType="separate"/>
      </w:r>
      <w:r>
        <w:rPr>
          <w:rFonts w:hint="eastAsia" w:ascii="黑体" w:eastAsia="黑体"/>
          <w:sz w:val="28"/>
          <w:szCs w:val="28"/>
        </w:rPr>
        <w:t>六、</w:t>
      </w:r>
      <w:r>
        <w:rPr>
          <w:rFonts w:hint="eastAsia" w:ascii="黑体" w:hAnsi="黑体" w:eastAsia="黑体"/>
          <w:sz w:val="28"/>
          <w:szCs w:val="28"/>
        </w:rPr>
        <w:t>一般公共预算财政拨款基本支出决算情况说明</w:t>
      </w:r>
      <w:r>
        <w:rPr>
          <w:sz w:val="28"/>
          <w:szCs w:val="28"/>
        </w:rPr>
        <w:tab/>
      </w:r>
      <w:r>
        <w:rPr>
          <w:sz w:val="28"/>
          <w:szCs w:val="28"/>
        </w:rPr>
        <w:fldChar w:fldCharType="begin"/>
      </w:r>
      <w:r>
        <w:rPr>
          <w:sz w:val="28"/>
          <w:szCs w:val="28"/>
        </w:rPr>
        <w:instrText xml:space="preserve"> PAGEREF _Toc773903220 \h </w:instrText>
      </w:r>
      <w:r>
        <w:rPr>
          <w:sz w:val="28"/>
          <w:szCs w:val="28"/>
        </w:rPr>
        <w:fldChar w:fldCharType="separate"/>
      </w:r>
      <w:r>
        <w:rPr>
          <w:sz w:val="28"/>
          <w:szCs w:val="28"/>
        </w:rPr>
        <w:t>- 6 -</w:t>
      </w:r>
      <w:r>
        <w:rPr>
          <w:sz w:val="28"/>
          <w:szCs w:val="28"/>
        </w:rPr>
        <w:fldChar w:fldCharType="end"/>
      </w:r>
      <w:r>
        <w:rPr>
          <w:rFonts w:ascii="仿宋" w:hAnsi="仿宋" w:eastAsia="仿宋"/>
          <w:sz w:val="28"/>
          <w:szCs w:val="28"/>
        </w:rPr>
        <w:fldChar w:fldCharType="end"/>
      </w:r>
    </w:p>
    <w:p w14:paraId="4249FFE3">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_Toc843574248 </w:instrText>
      </w:r>
      <w:r>
        <w:rPr>
          <w:rFonts w:ascii="仿宋" w:hAnsi="仿宋" w:eastAsia="仿宋"/>
          <w:sz w:val="28"/>
          <w:szCs w:val="28"/>
        </w:rPr>
        <w:fldChar w:fldCharType="separate"/>
      </w:r>
      <w:r>
        <w:rPr>
          <w:rFonts w:hint="eastAsia" w:ascii="黑体" w:eastAsia="黑体"/>
          <w:sz w:val="28"/>
          <w:szCs w:val="28"/>
        </w:rPr>
        <w:t>七、</w:t>
      </w:r>
      <w:r>
        <w:rPr>
          <w:rFonts w:hint="eastAsia" w:ascii="黑体" w:hAnsi="黑体" w:eastAsia="黑体"/>
          <w:sz w:val="28"/>
          <w:szCs w:val="28"/>
        </w:rPr>
        <w:t>财政拨款“三公”经费支出决算情况说明</w:t>
      </w:r>
      <w:r>
        <w:rPr>
          <w:sz w:val="28"/>
          <w:szCs w:val="28"/>
        </w:rPr>
        <w:tab/>
      </w:r>
      <w:r>
        <w:rPr>
          <w:sz w:val="28"/>
          <w:szCs w:val="28"/>
        </w:rPr>
        <w:fldChar w:fldCharType="begin"/>
      </w:r>
      <w:r>
        <w:rPr>
          <w:sz w:val="28"/>
          <w:szCs w:val="28"/>
        </w:rPr>
        <w:instrText xml:space="preserve"> PAGEREF _Toc843574248 \h </w:instrText>
      </w:r>
      <w:r>
        <w:rPr>
          <w:sz w:val="28"/>
          <w:szCs w:val="28"/>
        </w:rPr>
        <w:fldChar w:fldCharType="separate"/>
      </w:r>
      <w:r>
        <w:rPr>
          <w:sz w:val="28"/>
          <w:szCs w:val="28"/>
        </w:rPr>
        <w:t>- 7 -</w:t>
      </w:r>
      <w:r>
        <w:rPr>
          <w:sz w:val="28"/>
          <w:szCs w:val="28"/>
        </w:rPr>
        <w:fldChar w:fldCharType="end"/>
      </w:r>
      <w:r>
        <w:rPr>
          <w:rFonts w:ascii="仿宋" w:hAnsi="仿宋" w:eastAsia="仿宋"/>
          <w:sz w:val="28"/>
          <w:szCs w:val="28"/>
        </w:rPr>
        <w:fldChar w:fldCharType="end"/>
      </w:r>
    </w:p>
    <w:p w14:paraId="1110F589">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_Toc2049739031 </w:instrText>
      </w:r>
      <w:r>
        <w:rPr>
          <w:rFonts w:ascii="仿宋" w:hAnsi="仿宋" w:eastAsia="仿宋"/>
          <w:sz w:val="28"/>
          <w:szCs w:val="28"/>
        </w:rPr>
        <w:fldChar w:fldCharType="separate"/>
      </w:r>
      <w:r>
        <w:rPr>
          <w:rFonts w:hint="eastAsia" w:ascii="黑体" w:eastAsia="黑体"/>
          <w:sz w:val="28"/>
          <w:szCs w:val="28"/>
        </w:rPr>
        <w:t>八、</w:t>
      </w:r>
      <w:r>
        <w:rPr>
          <w:rFonts w:hint="eastAsia" w:ascii="黑体" w:hAnsi="黑体" w:eastAsia="黑体"/>
          <w:sz w:val="28"/>
          <w:szCs w:val="28"/>
        </w:rPr>
        <w:t>政府性基金预算支出决算情况说明</w:t>
      </w:r>
      <w:r>
        <w:rPr>
          <w:sz w:val="28"/>
          <w:szCs w:val="28"/>
        </w:rPr>
        <w:tab/>
      </w:r>
      <w:r>
        <w:rPr>
          <w:sz w:val="28"/>
          <w:szCs w:val="28"/>
        </w:rPr>
        <w:fldChar w:fldCharType="begin"/>
      </w:r>
      <w:r>
        <w:rPr>
          <w:sz w:val="28"/>
          <w:szCs w:val="28"/>
        </w:rPr>
        <w:instrText xml:space="preserve"> PAGEREF _Toc2049739031 \h </w:instrText>
      </w:r>
      <w:r>
        <w:rPr>
          <w:sz w:val="28"/>
          <w:szCs w:val="28"/>
        </w:rPr>
        <w:fldChar w:fldCharType="separate"/>
      </w:r>
      <w:r>
        <w:rPr>
          <w:sz w:val="28"/>
          <w:szCs w:val="28"/>
        </w:rPr>
        <w:t>- 8 -</w:t>
      </w:r>
      <w:r>
        <w:rPr>
          <w:sz w:val="28"/>
          <w:szCs w:val="28"/>
        </w:rPr>
        <w:fldChar w:fldCharType="end"/>
      </w:r>
      <w:r>
        <w:rPr>
          <w:rFonts w:ascii="仿宋" w:hAnsi="仿宋" w:eastAsia="仿宋"/>
          <w:sz w:val="28"/>
          <w:szCs w:val="28"/>
        </w:rPr>
        <w:fldChar w:fldCharType="end"/>
      </w:r>
    </w:p>
    <w:p w14:paraId="5680FB7F">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_Toc2086999257 </w:instrText>
      </w:r>
      <w:r>
        <w:rPr>
          <w:rFonts w:ascii="仿宋" w:hAnsi="仿宋" w:eastAsia="仿宋"/>
          <w:sz w:val="28"/>
          <w:szCs w:val="28"/>
        </w:rPr>
        <w:fldChar w:fldCharType="separate"/>
      </w:r>
      <w:r>
        <w:rPr>
          <w:rFonts w:hint="eastAsia" w:ascii="黑体" w:hAnsi="黑体" w:eastAsia="黑体"/>
          <w:sz w:val="28"/>
          <w:szCs w:val="28"/>
        </w:rPr>
        <w:t>九、 国有资本经营预算支出决算情况说明</w:t>
      </w:r>
      <w:r>
        <w:rPr>
          <w:sz w:val="28"/>
          <w:szCs w:val="28"/>
        </w:rPr>
        <w:tab/>
      </w:r>
      <w:r>
        <w:rPr>
          <w:sz w:val="28"/>
          <w:szCs w:val="28"/>
        </w:rPr>
        <w:fldChar w:fldCharType="begin"/>
      </w:r>
      <w:r>
        <w:rPr>
          <w:sz w:val="28"/>
          <w:szCs w:val="28"/>
        </w:rPr>
        <w:instrText xml:space="preserve"> PAGEREF _Toc2086999257 \h </w:instrText>
      </w:r>
      <w:r>
        <w:rPr>
          <w:sz w:val="28"/>
          <w:szCs w:val="28"/>
        </w:rPr>
        <w:fldChar w:fldCharType="separate"/>
      </w:r>
      <w:r>
        <w:rPr>
          <w:sz w:val="28"/>
          <w:szCs w:val="28"/>
        </w:rPr>
        <w:t>- 9 -</w:t>
      </w:r>
      <w:r>
        <w:rPr>
          <w:sz w:val="28"/>
          <w:szCs w:val="28"/>
        </w:rPr>
        <w:fldChar w:fldCharType="end"/>
      </w:r>
      <w:r>
        <w:rPr>
          <w:rFonts w:ascii="仿宋" w:hAnsi="仿宋" w:eastAsia="仿宋"/>
          <w:sz w:val="28"/>
          <w:szCs w:val="28"/>
        </w:rPr>
        <w:fldChar w:fldCharType="end"/>
      </w:r>
    </w:p>
    <w:p w14:paraId="49DECE96">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_Toc919423643 </w:instrText>
      </w:r>
      <w:r>
        <w:rPr>
          <w:rFonts w:ascii="仿宋" w:hAnsi="仿宋" w:eastAsia="仿宋"/>
          <w:sz w:val="28"/>
          <w:szCs w:val="28"/>
        </w:rPr>
        <w:fldChar w:fldCharType="separate"/>
      </w:r>
      <w:r>
        <w:rPr>
          <w:rFonts w:hint="eastAsia" w:ascii="黑体" w:hAnsi="黑体" w:eastAsia="黑体"/>
          <w:sz w:val="28"/>
          <w:szCs w:val="28"/>
        </w:rPr>
        <w:t>十、 其他重要事项的情况说明</w:t>
      </w:r>
      <w:r>
        <w:rPr>
          <w:sz w:val="28"/>
          <w:szCs w:val="28"/>
        </w:rPr>
        <w:tab/>
      </w:r>
      <w:r>
        <w:rPr>
          <w:sz w:val="28"/>
          <w:szCs w:val="28"/>
        </w:rPr>
        <w:fldChar w:fldCharType="begin"/>
      </w:r>
      <w:r>
        <w:rPr>
          <w:sz w:val="28"/>
          <w:szCs w:val="28"/>
        </w:rPr>
        <w:instrText xml:space="preserve"> PAGEREF _Toc919423643 \h </w:instrText>
      </w:r>
      <w:r>
        <w:rPr>
          <w:sz w:val="28"/>
          <w:szCs w:val="28"/>
        </w:rPr>
        <w:fldChar w:fldCharType="separate"/>
      </w:r>
      <w:r>
        <w:rPr>
          <w:sz w:val="28"/>
          <w:szCs w:val="28"/>
        </w:rPr>
        <w:t>- 9 -</w:t>
      </w:r>
      <w:r>
        <w:rPr>
          <w:sz w:val="28"/>
          <w:szCs w:val="28"/>
        </w:rPr>
        <w:fldChar w:fldCharType="end"/>
      </w:r>
      <w:r>
        <w:rPr>
          <w:rFonts w:ascii="仿宋" w:hAnsi="仿宋" w:eastAsia="仿宋"/>
          <w:sz w:val="28"/>
          <w:szCs w:val="28"/>
        </w:rPr>
        <w:fldChar w:fldCharType="end"/>
      </w:r>
    </w:p>
    <w:p w14:paraId="7B31040C">
      <w:pPr>
        <w:pStyle w:val="10"/>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_Toc1774395101 </w:instrText>
      </w:r>
      <w:r>
        <w:rPr>
          <w:rFonts w:ascii="仿宋" w:hAnsi="仿宋" w:eastAsia="仿宋"/>
          <w:sz w:val="28"/>
          <w:szCs w:val="28"/>
        </w:rPr>
        <w:fldChar w:fldCharType="separate"/>
      </w:r>
      <w:r>
        <w:rPr>
          <w:rFonts w:hint="eastAsia" w:ascii="黑体" w:hAnsi="黑体" w:eastAsia="黑体"/>
          <w:sz w:val="28"/>
          <w:szCs w:val="28"/>
        </w:rPr>
        <w:t>第三部分 名词解释</w:t>
      </w:r>
      <w:r>
        <w:rPr>
          <w:sz w:val="28"/>
          <w:szCs w:val="28"/>
        </w:rPr>
        <w:tab/>
      </w:r>
      <w:r>
        <w:rPr>
          <w:sz w:val="28"/>
          <w:szCs w:val="28"/>
        </w:rPr>
        <w:fldChar w:fldCharType="begin"/>
      </w:r>
      <w:r>
        <w:rPr>
          <w:sz w:val="28"/>
          <w:szCs w:val="28"/>
        </w:rPr>
        <w:instrText xml:space="preserve"> PAGEREF _Toc1774395101 \h </w:instrText>
      </w:r>
      <w:r>
        <w:rPr>
          <w:sz w:val="28"/>
          <w:szCs w:val="28"/>
        </w:rPr>
        <w:fldChar w:fldCharType="separate"/>
      </w:r>
      <w:r>
        <w:rPr>
          <w:sz w:val="28"/>
          <w:szCs w:val="28"/>
        </w:rPr>
        <w:t>- 10 -</w:t>
      </w:r>
      <w:r>
        <w:rPr>
          <w:sz w:val="28"/>
          <w:szCs w:val="28"/>
        </w:rPr>
        <w:fldChar w:fldCharType="end"/>
      </w:r>
      <w:r>
        <w:rPr>
          <w:rFonts w:ascii="仿宋" w:hAnsi="仿宋" w:eastAsia="仿宋"/>
          <w:sz w:val="28"/>
          <w:szCs w:val="28"/>
        </w:rPr>
        <w:fldChar w:fldCharType="end"/>
      </w:r>
    </w:p>
    <w:p w14:paraId="669A23EB">
      <w:pPr>
        <w:pStyle w:val="10"/>
        <w:tabs>
          <w:tab w:val="right" w:leader="dot" w:pos="8306"/>
          <w:tab w:val="clear" w:pos="8296"/>
        </w:tabs>
        <w:rPr>
          <w:rFonts w:hint="eastAsia" w:eastAsia="仿宋"/>
          <w:sz w:val="28"/>
          <w:szCs w:val="28"/>
          <w:lang w:val="en-US" w:eastAsia="zh-CN"/>
        </w:rPr>
      </w:pPr>
      <w:r>
        <w:rPr>
          <w:rFonts w:ascii="仿宋" w:hAnsi="仿宋" w:eastAsia="仿宋"/>
          <w:sz w:val="28"/>
          <w:szCs w:val="28"/>
        </w:rPr>
        <w:fldChar w:fldCharType="begin"/>
      </w:r>
      <w:r>
        <w:rPr>
          <w:rFonts w:ascii="仿宋" w:hAnsi="仿宋" w:eastAsia="仿宋"/>
          <w:sz w:val="28"/>
          <w:szCs w:val="28"/>
        </w:rPr>
        <w:instrText xml:space="preserve"> HYPERLINK \l _Toc320660297 </w:instrText>
      </w:r>
      <w:r>
        <w:rPr>
          <w:rFonts w:ascii="仿宋" w:hAnsi="仿宋" w:eastAsia="仿宋"/>
          <w:sz w:val="28"/>
          <w:szCs w:val="28"/>
        </w:rPr>
        <w:fldChar w:fldCharType="separate"/>
      </w:r>
      <w:r>
        <w:rPr>
          <w:rFonts w:hint="eastAsia" w:ascii="黑体" w:hAnsi="黑体" w:eastAsia="黑体"/>
          <w:sz w:val="28"/>
          <w:szCs w:val="28"/>
        </w:rPr>
        <w:t>第四部分 附件</w:t>
      </w:r>
      <w:r>
        <w:rPr>
          <w:sz w:val="28"/>
          <w:szCs w:val="28"/>
        </w:rPr>
        <w:tab/>
      </w:r>
      <w:r>
        <w:rPr>
          <w:rFonts w:hint="eastAsia"/>
          <w:sz w:val="28"/>
          <w:szCs w:val="28"/>
          <w:lang w:val="en-US" w:eastAsia="zh-CN"/>
        </w:rPr>
        <w:t>1</w:t>
      </w:r>
      <w:r>
        <w:rPr>
          <w:rFonts w:ascii="仿宋" w:hAnsi="仿宋" w:eastAsia="仿宋"/>
          <w:sz w:val="28"/>
          <w:szCs w:val="28"/>
        </w:rPr>
        <w:fldChar w:fldCharType="end"/>
      </w:r>
      <w:r>
        <w:rPr>
          <w:rFonts w:hint="eastAsia"/>
          <w:sz w:val="28"/>
          <w:szCs w:val="28"/>
          <w:lang w:val="en-US" w:eastAsia="zh-CN"/>
        </w:rPr>
        <w:t>2</w:t>
      </w:r>
    </w:p>
    <w:p w14:paraId="5D7C1497">
      <w:pPr>
        <w:pStyle w:val="10"/>
        <w:adjustRightInd w:val="0"/>
        <w:snapToGrid w:val="0"/>
        <w:spacing w:before="0" w:line="440" w:lineRule="exact"/>
        <w:jc w:val="left"/>
        <w:rPr>
          <w:rFonts w:hint="eastAsia" w:ascii="黑体" w:hAnsi="黑体" w:eastAsia="黑体" w:cs="黑体"/>
          <w:sz w:val="28"/>
          <w:szCs w:val="28"/>
        </w:rPr>
      </w:pPr>
    </w:p>
    <w:p w14:paraId="5A2A8AFB">
      <w:pPr>
        <w:rPr>
          <w:rFonts w:hint="eastAsia" w:ascii="黑体" w:hAnsi="黑体" w:eastAsia="黑体" w:cs="黑体"/>
          <w:sz w:val="28"/>
          <w:szCs w:val="28"/>
        </w:rPr>
      </w:pPr>
    </w:p>
    <w:p w14:paraId="47537525">
      <w:pPr>
        <w:pStyle w:val="2"/>
        <w:rPr>
          <w:rFonts w:hint="eastAsia" w:ascii="黑体" w:hAnsi="黑体" w:eastAsia="黑体" w:cs="黑体"/>
          <w:sz w:val="28"/>
          <w:szCs w:val="28"/>
        </w:rPr>
      </w:pPr>
    </w:p>
    <w:p w14:paraId="2ED8C46F">
      <w:pPr>
        <w:rPr>
          <w:rFonts w:hint="eastAsia"/>
        </w:rPr>
      </w:pPr>
    </w:p>
    <w:p w14:paraId="43195363">
      <w:pPr>
        <w:pStyle w:val="10"/>
        <w:adjustRightInd w:val="0"/>
        <w:snapToGrid w:val="0"/>
        <w:spacing w:before="0" w:line="440" w:lineRule="exact"/>
        <w:jc w:val="left"/>
        <w:rPr>
          <w:rFonts w:hint="eastAsia" w:ascii="黑体" w:hAnsi="黑体" w:eastAsia="黑体" w:cs="黑体"/>
          <w:sz w:val="28"/>
          <w:szCs w:val="28"/>
        </w:rPr>
      </w:pPr>
      <w:r>
        <w:rPr>
          <w:rFonts w:hint="eastAsia" w:ascii="黑体" w:hAnsi="黑体" w:eastAsia="黑体" w:cs="黑体"/>
          <w:sz w:val="28"/>
          <w:szCs w:val="28"/>
        </w:rPr>
        <w:t>第五部分附表</w:t>
      </w:r>
    </w:p>
    <w:p w14:paraId="04F389A8">
      <w:pPr>
        <w:rPr>
          <w:rFonts w:hint="eastAsia"/>
        </w:rPr>
      </w:pPr>
    </w:p>
    <w:p w14:paraId="1B31B894">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_Toc907768289 </w:instrText>
      </w:r>
      <w:r>
        <w:rPr>
          <w:rFonts w:ascii="仿宋" w:hAnsi="仿宋" w:eastAsia="仿宋"/>
          <w:sz w:val="28"/>
          <w:szCs w:val="28"/>
        </w:rPr>
        <w:fldChar w:fldCharType="separate"/>
      </w:r>
      <w:r>
        <w:rPr>
          <w:rFonts w:hint="eastAsia" w:ascii="仿宋" w:hAnsi="仿宋" w:eastAsia="仿宋"/>
          <w:sz w:val="28"/>
          <w:szCs w:val="28"/>
        </w:rPr>
        <w:t>一、收入支出决算总表</w:t>
      </w:r>
      <w:r>
        <w:rPr>
          <w:rFonts w:ascii="仿宋" w:hAnsi="仿宋" w:eastAsia="仿宋"/>
          <w:sz w:val="28"/>
          <w:szCs w:val="28"/>
        </w:rPr>
        <w:fldChar w:fldCharType="end"/>
      </w:r>
    </w:p>
    <w:p w14:paraId="4A286174">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_Toc1121748681 </w:instrText>
      </w:r>
      <w:r>
        <w:rPr>
          <w:rFonts w:ascii="仿宋" w:hAnsi="仿宋" w:eastAsia="仿宋"/>
          <w:sz w:val="28"/>
          <w:szCs w:val="28"/>
        </w:rPr>
        <w:fldChar w:fldCharType="separate"/>
      </w:r>
      <w:r>
        <w:rPr>
          <w:rFonts w:hint="eastAsia" w:ascii="仿宋" w:hAnsi="仿宋" w:eastAsia="仿宋"/>
          <w:sz w:val="28"/>
          <w:szCs w:val="28"/>
        </w:rPr>
        <w:t>二、收入决算表</w:t>
      </w:r>
      <w:r>
        <w:rPr>
          <w:rFonts w:ascii="仿宋" w:hAnsi="仿宋" w:eastAsia="仿宋"/>
          <w:sz w:val="28"/>
          <w:szCs w:val="28"/>
        </w:rPr>
        <w:fldChar w:fldCharType="end"/>
      </w:r>
    </w:p>
    <w:p w14:paraId="152BF9BE">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_Toc1453604651 </w:instrText>
      </w:r>
      <w:r>
        <w:rPr>
          <w:rFonts w:ascii="仿宋" w:hAnsi="仿宋" w:eastAsia="仿宋"/>
          <w:sz w:val="28"/>
          <w:szCs w:val="28"/>
        </w:rPr>
        <w:fldChar w:fldCharType="separate"/>
      </w:r>
      <w:r>
        <w:rPr>
          <w:rFonts w:hint="eastAsia" w:ascii="仿宋" w:hAnsi="仿宋" w:eastAsia="仿宋"/>
          <w:sz w:val="28"/>
          <w:szCs w:val="28"/>
        </w:rPr>
        <w:t>三、支出决算表</w:t>
      </w:r>
      <w:r>
        <w:rPr>
          <w:rFonts w:ascii="仿宋" w:hAnsi="仿宋" w:eastAsia="仿宋"/>
          <w:sz w:val="28"/>
          <w:szCs w:val="28"/>
        </w:rPr>
        <w:fldChar w:fldCharType="end"/>
      </w:r>
    </w:p>
    <w:p w14:paraId="56B72529">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_Toc1252587839 </w:instrText>
      </w:r>
      <w:r>
        <w:rPr>
          <w:rFonts w:ascii="仿宋" w:hAnsi="仿宋" w:eastAsia="仿宋"/>
          <w:sz w:val="28"/>
          <w:szCs w:val="28"/>
        </w:rPr>
        <w:fldChar w:fldCharType="separate"/>
      </w:r>
      <w:r>
        <w:rPr>
          <w:rFonts w:hint="eastAsia" w:ascii="仿宋" w:hAnsi="仿宋" w:eastAsia="仿宋"/>
          <w:sz w:val="28"/>
          <w:szCs w:val="28"/>
        </w:rPr>
        <w:t>四、财政拨款收入支出决算总表</w:t>
      </w:r>
      <w:r>
        <w:rPr>
          <w:rFonts w:ascii="仿宋" w:hAnsi="仿宋" w:eastAsia="仿宋"/>
          <w:sz w:val="28"/>
          <w:szCs w:val="28"/>
        </w:rPr>
        <w:fldChar w:fldCharType="end"/>
      </w:r>
    </w:p>
    <w:p w14:paraId="06A966BF">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_Toc1817349447 </w:instrText>
      </w:r>
      <w:r>
        <w:rPr>
          <w:rFonts w:ascii="仿宋" w:hAnsi="仿宋" w:eastAsia="仿宋"/>
          <w:sz w:val="28"/>
          <w:szCs w:val="28"/>
        </w:rPr>
        <w:fldChar w:fldCharType="separate"/>
      </w:r>
      <w:r>
        <w:rPr>
          <w:rFonts w:hint="eastAsia" w:ascii="仿宋" w:hAnsi="仿宋" w:eastAsia="仿宋"/>
          <w:sz w:val="28"/>
          <w:szCs w:val="28"/>
        </w:rPr>
        <w:t>五、财政拨款支出决算明细表</w:t>
      </w:r>
      <w:r>
        <w:rPr>
          <w:rFonts w:ascii="仿宋" w:hAnsi="仿宋" w:eastAsia="仿宋"/>
          <w:sz w:val="28"/>
          <w:szCs w:val="28"/>
        </w:rPr>
        <w:fldChar w:fldCharType="end"/>
      </w:r>
    </w:p>
    <w:p w14:paraId="07DB8A65">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_Toc961772374 </w:instrText>
      </w:r>
      <w:r>
        <w:rPr>
          <w:rFonts w:ascii="仿宋" w:hAnsi="仿宋" w:eastAsia="仿宋"/>
          <w:sz w:val="28"/>
          <w:szCs w:val="28"/>
        </w:rPr>
        <w:fldChar w:fldCharType="separate"/>
      </w:r>
      <w:r>
        <w:rPr>
          <w:rFonts w:hint="eastAsia" w:ascii="仿宋" w:hAnsi="仿宋" w:eastAsia="仿宋"/>
          <w:sz w:val="28"/>
          <w:szCs w:val="28"/>
        </w:rPr>
        <w:t>六、一般公共预算财政拨款支出决算表</w:t>
      </w:r>
      <w:r>
        <w:rPr>
          <w:rFonts w:ascii="仿宋" w:hAnsi="仿宋" w:eastAsia="仿宋"/>
          <w:sz w:val="28"/>
          <w:szCs w:val="28"/>
        </w:rPr>
        <w:fldChar w:fldCharType="end"/>
      </w:r>
    </w:p>
    <w:p w14:paraId="13476948">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_Toc428274821 </w:instrText>
      </w:r>
      <w:r>
        <w:rPr>
          <w:rFonts w:ascii="仿宋" w:hAnsi="仿宋" w:eastAsia="仿宋"/>
          <w:sz w:val="28"/>
          <w:szCs w:val="28"/>
        </w:rPr>
        <w:fldChar w:fldCharType="separate"/>
      </w:r>
      <w:r>
        <w:rPr>
          <w:rFonts w:hint="eastAsia" w:ascii="仿宋" w:hAnsi="仿宋" w:eastAsia="仿宋"/>
          <w:sz w:val="28"/>
          <w:szCs w:val="28"/>
        </w:rPr>
        <w:t>七、一般公共预算财政拨款支出决算明细表</w:t>
      </w:r>
      <w:r>
        <w:rPr>
          <w:rFonts w:ascii="仿宋" w:hAnsi="仿宋" w:eastAsia="仿宋"/>
          <w:sz w:val="28"/>
          <w:szCs w:val="28"/>
        </w:rPr>
        <w:fldChar w:fldCharType="end"/>
      </w:r>
    </w:p>
    <w:p w14:paraId="4C5EA80C">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_Toc1000732056 </w:instrText>
      </w:r>
      <w:r>
        <w:rPr>
          <w:rFonts w:ascii="仿宋" w:hAnsi="仿宋" w:eastAsia="仿宋"/>
          <w:sz w:val="28"/>
          <w:szCs w:val="28"/>
        </w:rPr>
        <w:fldChar w:fldCharType="separate"/>
      </w:r>
      <w:r>
        <w:rPr>
          <w:rFonts w:hint="eastAsia" w:ascii="仿宋" w:hAnsi="仿宋" w:eastAsia="仿宋"/>
          <w:sz w:val="28"/>
          <w:szCs w:val="28"/>
        </w:rPr>
        <w:t>八、一般公共预算财政拨款基本支出决算表</w:t>
      </w:r>
      <w:r>
        <w:rPr>
          <w:rFonts w:ascii="仿宋" w:hAnsi="仿宋" w:eastAsia="仿宋"/>
          <w:sz w:val="28"/>
          <w:szCs w:val="28"/>
        </w:rPr>
        <w:fldChar w:fldCharType="end"/>
      </w:r>
    </w:p>
    <w:p w14:paraId="5AFB6FCF">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_Toc1178061954 </w:instrText>
      </w:r>
      <w:r>
        <w:rPr>
          <w:rFonts w:ascii="仿宋" w:hAnsi="仿宋" w:eastAsia="仿宋"/>
          <w:sz w:val="28"/>
          <w:szCs w:val="28"/>
        </w:rPr>
        <w:fldChar w:fldCharType="separate"/>
      </w:r>
      <w:r>
        <w:rPr>
          <w:rFonts w:hint="eastAsia" w:ascii="仿宋" w:hAnsi="仿宋" w:eastAsia="仿宋"/>
          <w:sz w:val="28"/>
          <w:szCs w:val="28"/>
        </w:rPr>
        <w:t>九、一般公共预算财政拨款项目支出决算表</w:t>
      </w:r>
      <w:r>
        <w:rPr>
          <w:rFonts w:ascii="仿宋" w:hAnsi="仿宋" w:eastAsia="仿宋"/>
          <w:sz w:val="28"/>
          <w:szCs w:val="28"/>
        </w:rPr>
        <w:fldChar w:fldCharType="end"/>
      </w:r>
    </w:p>
    <w:p w14:paraId="7B567E03">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_Toc800731392 </w:instrText>
      </w:r>
      <w:r>
        <w:rPr>
          <w:rFonts w:ascii="仿宋" w:hAnsi="仿宋" w:eastAsia="仿宋"/>
          <w:sz w:val="28"/>
          <w:szCs w:val="28"/>
        </w:rPr>
        <w:fldChar w:fldCharType="separate"/>
      </w:r>
      <w:r>
        <w:rPr>
          <w:rFonts w:hint="eastAsia" w:ascii="仿宋" w:hAnsi="仿宋" w:eastAsia="仿宋"/>
          <w:sz w:val="28"/>
          <w:szCs w:val="28"/>
        </w:rPr>
        <w:t>十、政府性基金预算财政拨款收入支出决算表</w:t>
      </w:r>
      <w:r>
        <w:rPr>
          <w:rFonts w:ascii="仿宋" w:hAnsi="仿宋" w:eastAsia="仿宋"/>
          <w:sz w:val="28"/>
          <w:szCs w:val="28"/>
        </w:rPr>
        <w:fldChar w:fldCharType="end"/>
      </w:r>
    </w:p>
    <w:p w14:paraId="5F1E88B5">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_Toc1774635276 </w:instrText>
      </w:r>
      <w:r>
        <w:rPr>
          <w:rFonts w:ascii="仿宋" w:hAnsi="仿宋" w:eastAsia="仿宋"/>
          <w:sz w:val="28"/>
          <w:szCs w:val="28"/>
        </w:rPr>
        <w:fldChar w:fldCharType="separate"/>
      </w:r>
      <w:r>
        <w:rPr>
          <w:rFonts w:hint="eastAsia" w:ascii="仿宋" w:hAnsi="仿宋" w:eastAsia="仿宋"/>
          <w:sz w:val="28"/>
          <w:szCs w:val="28"/>
        </w:rPr>
        <w:t>十一、国有资本经营预算财政拨款收入支出决算表</w:t>
      </w:r>
      <w:r>
        <w:rPr>
          <w:rFonts w:ascii="仿宋" w:hAnsi="仿宋" w:eastAsia="仿宋"/>
          <w:sz w:val="28"/>
          <w:szCs w:val="28"/>
        </w:rPr>
        <w:fldChar w:fldCharType="end"/>
      </w:r>
    </w:p>
    <w:p w14:paraId="20993B53">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_Toc2021636202 </w:instrText>
      </w:r>
      <w:r>
        <w:rPr>
          <w:rFonts w:ascii="仿宋" w:hAnsi="仿宋" w:eastAsia="仿宋"/>
          <w:sz w:val="28"/>
          <w:szCs w:val="28"/>
        </w:rPr>
        <w:fldChar w:fldCharType="separate"/>
      </w:r>
      <w:r>
        <w:rPr>
          <w:rFonts w:hint="eastAsia" w:ascii="仿宋" w:hAnsi="仿宋" w:eastAsia="仿宋"/>
          <w:sz w:val="28"/>
          <w:szCs w:val="28"/>
        </w:rPr>
        <w:t>十二、国有资本经营预算财政拨款支出决算表</w:t>
      </w:r>
      <w:r>
        <w:rPr>
          <w:rFonts w:ascii="仿宋" w:hAnsi="仿宋" w:eastAsia="仿宋"/>
          <w:sz w:val="28"/>
          <w:szCs w:val="28"/>
        </w:rPr>
        <w:fldChar w:fldCharType="end"/>
      </w:r>
    </w:p>
    <w:p w14:paraId="3CE0B0A7">
      <w:pPr>
        <w:pStyle w:val="11"/>
        <w:tabs>
          <w:tab w:val="right" w:leader="dot" w:pos="8306"/>
          <w:tab w:val="clear" w:pos="8296"/>
        </w:tabs>
        <w:rPr>
          <w:sz w:val="28"/>
          <w:szCs w:val="28"/>
        </w:rPr>
      </w:pPr>
      <w:r>
        <w:rPr>
          <w:rFonts w:ascii="仿宋" w:hAnsi="仿宋" w:eastAsia="仿宋"/>
          <w:sz w:val="28"/>
          <w:szCs w:val="28"/>
        </w:rPr>
        <w:fldChar w:fldCharType="begin"/>
      </w:r>
      <w:r>
        <w:rPr>
          <w:rFonts w:ascii="仿宋" w:hAnsi="仿宋" w:eastAsia="仿宋"/>
          <w:sz w:val="28"/>
          <w:szCs w:val="28"/>
        </w:rPr>
        <w:instrText xml:space="preserve"> HYPERLINK \l _Toc702986776 </w:instrText>
      </w:r>
      <w:r>
        <w:rPr>
          <w:rFonts w:ascii="仿宋" w:hAnsi="仿宋" w:eastAsia="仿宋"/>
          <w:sz w:val="28"/>
          <w:szCs w:val="28"/>
        </w:rPr>
        <w:fldChar w:fldCharType="separate"/>
      </w:r>
      <w:r>
        <w:rPr>
          <w:rFonts w:hint="eastAsia" w:ascii="仿宋" w:hAnsi="仿宋" w:eastAsia="仿宋"/>
          <w:sz w:val="28"/>
          <w:szCs w:val="28"/>
        </w:rPr>
        <w:t>十三、财政拨款“三公”经费支出决算表</w:t>
      </w:r>
      <w:r>
        <w:rPr>
          <w:rFonts w:ascii="仿宋" w:hAnsi="仿宋" w:eastAsia="仿宋"/>
          <w:sz w:val="28"/>
          <w:szCs w:val="28"/>
        </w:rPr>
        <w:fldChar w:fldCharType="end"/>
      </w:r>
    </w:p>
    <w:p w14:paraId="1731CBEB">
      <w:pPr>
        <w:widowControl/>
        <w:spacing w:line="440" w:lineRule="exact"/>
        <w:jc w:val="left"/>
        <w:rPr>
          <w:rFonts w:ascii="仿宋" w:hAnsi="仿宋" w:eastAsia="仿宋"/>
          <w:b/>
          <w:sz w:val="28"/>
          <w:szCs w:val="28"/>
        </w:rPr>
        <w:sectPr>
          <w:footerReference r:id="rId3" w:type="default"/>
          <w:pgSz w:w="11906" w:h="16838"/>
          <w:pgMar w:top="1440" w:right="1800" w:bottom="1440" w:left="1800" w:header="720" w:footer="720" w:gutter="0"/>
          <w:pgNumType w:fmt="numberInDash" w:start="1"/>
          <w:cols w:space="720" w:num="1"/>
          <w:docGrid w:type="lines" w:linePitch="312" w:charSpace="0"/>
        </w:sectPr>
      </w:pPr>
      <w:r>
        <w:rPr>
          <w:rFonts w:ascii="仿宋" w:hAnsi="仿宋" w:eastAsia="仿宋"/>
          <w:sz w:val="28"/>
          <w:szCs w:val="28"/>
        </w:rPr>
        <w:fldChar w:fldCharType="end"/>
      </w:r>
    </w:p>
    <w:p w14:paraId="66CEC129">
      <w:pPr>
        <w:pStyle w:val="3"/>
        <w:numPr>
          <w:ilvl w:val="0"/>
          <w:numId w:val="1"/>
        </w:numPr>
        <w:ind w:right="440"/>
        <w:jc w:val="center"/>
        <w:rPr>
          <w:rFonts w:hint="eastAsia"/>
          <w:lang w:eastAsia="zh-CN"/>
        </w:rPr>
      </w:pPr>
      <w:bookmarkStart w:id="8" w:name="_Toc238988088"/>
      <w:bookmarkStart w:id="9" w:name="_Toc184477437"/>
      <w:r>
        <w:rPr>
          <w:rFonts w:hint="eastAsia" w:ascii="黑体" w:hAnsi="黑体" w:eastAsia="黑体" w:cs="Times New Roman"/>
          <w:b/>
        </w:rPr>
        <w:t>部门概况</w:t>
      </w:r>
      <w:bookmarkEnd w:id="6"/>
      <w:bookmarkEnd w:id="7"/>
      <w:bookmarkEnd w:id="8"/>
      <w:bookmarkEnd w:id="9"/>
    </w:p>
    <w:p w14:paraId="4B319428">
      <w:pPr>
        <w:pStyle w:val="4"/>
        <w:pageBreakBefore w:val="0"/>
        <w:widowControl w:val="0"/>
        <w:kinsoku/>
        <w:wordWrap/>
        <w:overflowPunct/>
        <w:topLinePunct w:val="0"/>
        <w:autoSpaceDE/>
        <w:autoSpaceDN/>
        <w:bidi w:val="0"/>
        <w:spacing w:line="520" w:lineRule="exact"/>
        <w:textAlignment w:val="auto"/>
        <w:rPr>
          <w:rFonts w:ascii="仿宋_GB2312" w:eastAsia="仿宋_GB2312"/>
          <w:b w:val="0"/>
          <w:bCs w:val="0"/>
          <w:sz w:val="28"/>
          <w:szCs w:val="28"/>
        </w:rPr>
      </w:pPr>
      <w:bookmarkStart w:id="10" w:name="_Toc1502024499"/>
      <w:bookmarkStart w:id="11" w:name="_Toc816211098"/>
      <w:r>
        <w:rPr>
          <w:rFonts w:hint="eastAsia" w:ascii="黑体" w:hAnsi="黑体" w:eastAsia="黑体"/>
          <w:b w:val="0"/>
          <w:lang w:val="en-US" w:eastAsia="zh-CN"/>
        </w:rPr>
        <w:t>一、</w:t>
      </w:r>
      <w:r>
        <w:rPr>
          <w:rFonts w:hint="eastAsia" w:ascii="黑体" w:hAnsi="黑体" w:eastAsia="黑体"/>
          <w:b w:val="0"/>
        </w:rPr>
        <w:t>部门职责</w:t>
      </w:r>
      <w:bookmarkEnd w:id="10"/>
      <w:bookmarkEnd w:id="11"/>
    </w:p>
    <w:p w14:paraId="6B70BA79">
      <w:pPr>
        <w:pStyle w:val="5"/>
        <w:pageBreakBefore w:val="0"/>
        <w:widowControl w:val="0"/>
        <w:kinsoku/>
        <w:wordWrap/>
        <w:overflowPunct/>
        <w:topLinePunct w:val="0"/>
        <w:autoSpaceDE/>
        <w:autoSpaceDN/>
        <w:bidi w:val="0"/>
        <w:adjustRightInd w:val="0"/>
        <w:snapToGrid w:val="0"/>
        <w:spacing w:beforeLines="0" w:line="520" w:lineRule="exact"/>
        <w:ind w:firstLine="600" w:firstLineChars="200"/>
        <w:textAlignment w:val="auto"/>
        <w:outlineLvl w:val="0"/>
        <w:rPr>
          <w:rFonts w:hint="eastAsia" w:ascii="黑体" w:hAnsi="黑体" w:eastAsia="黑体" w:cs="Times New Roman"/>
          <w:b w:val="0"/>
          <w:bCs w:val="0"/>
          <w:lang w:val="en-US" w:eastAsia="zh-CN"/>
        </w:rPr>
      </w:pPr>
      <w:r>
        <w:rPr>
          <w:rFonts w:hint="eastAsia" w:ascii="仿宋" w:hAnsi="仿宋" w:eastAsia="仿宋" w:cs="仿宋"/>
          <w:kern w:val="2"/>
          <w:sz w:val="30"/>
          <w:szCs w:val="30"/>
          <w:shd w:val="clear" w:color="auto" w:fill="FFFFFF"/>
        </w:rPr>
        <w:t>阿坝州疾病预防控制中心的基本职能是承担各种传染病的预防与控制、疫情报告及地方病、职业病等分布和发生的规律进行流行病学调查和监测与控制，拟定和实施疾病预防控制对策、措施；对化学性、物理性、生物性、社会性、环境性、职业性等因素所致疾病进行流行病学调查和危险因素监测，负责对疫点、疫区进行消毒及卫生学评价；拟定免疫接种规划，负责疫苗的使用管理、技术指导及效果分析评价；指导开展健康教育、健康促进及行为干预；指导和承担救灾防病有关技术工作及负责消杀药品的发放；承担预防性体检工作及健康相关产品的卫生质量检验、出证和涉及公共场所的卫生学评价等工作；负责疾病预防和控制信息的收集、整理、统计分析、综合评价、反馈及疫情预测和报告；提供临床医疗、预防保健服务；指导和参与社区卫生服务、初级卫生保健以及同级卫</w:t>
      </w:r>
      <w:r>
        <w:rPr>
          <w:rFonts w:hint="eastAsia" w:ascii="仿宋" w:hAnsi="仿宋" w:eastAsia="仿宋" w:cs="仿宋"/>
          <w:kern w:val="2"/>
          <w:sz w:val="30"/>
          <w:szCs w:val="30"/>
          <w:shd w:val="clear" w:color="auto" w:fill="FFFFFF"/>
          <w:lang w:eastAsia="zh-CN"/>
        </w:rPr>
        <w:t>健</w:t>
      </w:r>
      <w:r>
        <w:rPr>
          <w:rFonts w:hint="eastAsia" w:ascii="仿宋" w:hAnsi="仿宋" w:eastAsia="仿宋" w:cs="仿宋"/>
          <w:kern w:val="2"/>
          <w:sz w:val="30"/>
          <w:szCs w:val="30"/>
          <w:shd w:val="clear" w:color="auto" w:fill="FFFFFF"/>
        </w:rPr>
        <w:t>行政部门交给的相关工作任务。</w:t>
      </w:r>
      <w:bookmarkStart w:id="12" w:name="_Toc1607938347"/>
    </w:p>
    <w:p w14:paraId="50EF1526">
      <w:pPr>
        <w:pStyle w:val="4"/>
        <w:pageBreakBefore w:val="0"/>
        <w:widowControl w:val="0"/>
        <w:numPr>
          <w:ilvl w:val="0"/>
          <w:numId w:val="0"/>
        </w:numPr>
        <w:kinsoku/>
        <w:wordWrap/>
        <w:overflowPunct/>
        <w:topLinePunct w:val="0"/>
        <w:autoSpaceDE/>
        <w:autoSpaceDN/>
        <w:bidi w:val="0"/>
        <w:spacing w:line="520" w:lineRule="exact"/>
        <w:textAlignment w:val="auto"/>
        <w:rPr>
          <w:rFonts w:hint="eastAsia" w:ascii="仿宋_GB2312" w:eastAsia="仿宋_GB2312"/>
          <w:color w:val="000000"/>
          <w:sz w:val="30"/>
          <w:szCs w:val="30"/>
        </w:rPr>
      </w:pPr>
      <w:r>
        <w:rPr>
          <w:rFonts w:hint="eastAsia" w:ascii="黑体" w:hAnsi="黑体" w:eastAsia="黑体" w:cs="Times New Roman"/>
          <w:b w:val="0"/>
          <w:bCs w:val="0"/>
          <w:lang w:val="en-US" w:eastAsia="zh-CN"/>
        </w:rPr>
        <w:t>二、</w:t>
      </w:r>
      <w:r>
        <w:rPr>
          <w:rFonts w:hint="eastAsia" w:ascii="黑体" w:hAnsi="黑体" w:eastAsia="黑体" w:cs="Times New Roman"/>
          <w:b w:val="0"/>
          <w:bCs w:val="0"/>
          <w:lang w:eastAsia="zh-CN"/>
        </w:rPr>
        <w:t>机构设置</w:t>
      </w:r>
      <w:bookmarkEnd w:id="12"/>
    </w:p>
    <w:p w14:paraId="02D8B298">
      <w:pPr>
        <w:pageBreakBefore w:val="0"/>
        <w:widowControl w:val="0"/>
        <w:pBdr>
          <w:bottom w:val="single" w:color="FFFFFF" w:sz="4" w:space="29"/>
        </w:pBdr>
        <w:tabs>
          <w:tab w:val="left" w:pos="1440"/>
        </w:tabs>
        <w:kinsoku/>
        <w:wordWrap/>
        <w:overflowPunct/>
        <w:topLinePunct w:val="0"/>
        <w:autoSpaceDE/>
        <w:autoSpaceDN/>
        <w:bidi w:val="0"/>
        <w:spacing w:line="520" w:lineRule="exact"/>
        <w:ind w:firstLine="600" w:firstLineChars="200"/>
        <w:textAlignment w:val="auto"/>
        <w:rPr>
          <w:rFonts w:hint="default" w:ascii="仿宋_GB2312" w:eastAsia="仿宋_GB2312"/>
          <w:b w:val="0"/>
          <w:bCs w:val="0"/>
          <w:color w:val="000000"/>
          <w:sz w:val="30"/>
          <w:szCs w:val="30"/>
          <w:lang w:val="en-US" w:eastAsia="zh-CN"/>
        </w:rPr>
      </w:pPr>
      <w:r>
        <w:rPr>
          <w:rFonts w:hint="eastAsia" w:ascii="仿宋_GB2312" w:eastAsia="仿宋_GB2312"/>
          <w:color w:val="000000"/>
          <w:sz w:val="30"/>
          <w:szCs w:val="30"/>
        </w:rPr>
        <w:t>阿坝州疾病预防控制中心下属二级单位0个，其中行政单位0个，参照公务员法管理的事业单位</w:t>
      </w:r>
      <w:r>
        <w:rPr>
          <w:rFonts w:hint="eastAsia" w:ascii="仿宋_GB2312" w:eastAsia="仿宋_GB2312"/>
          <w:bCs/>
          <w:color w:val="000000"/>
          <w:sz w:val="30"/>
          <w:szCs w:val="30"/>
        </w:rPr>
        <w:t>0</w:t>
      </w:r>
      <w:r>
        <w:rPr>
          <w:rFonts w:hint="eastAsia" w:ascii="仿宋_GB2312" w:eastAsia="仿宋_GB2312"/>
          <w:color w:val="000000"/>
          <w:sz w:val="30"/>
          <w:szCs w:val="30"/>
        </w:rPr>
        <w:t>个，其他事业单位0个。</w:t>
      </w:r>
      <w:r>
        <w:rPr>
          <w:rFonts w:hint="eastAsia" w:ascii="仿宋_GB2312" w:eastAsia="仿宋_GB2312"/>
          <w:b w:val="0"/>
          <w:bCs w:val="0"/>
          <w:color w:val="000000"/>
          <w:sz w:val="30"/>
          <w:szCs w:val="30"/>
        </w:rPr>
        <w:t>纳入阿坝州疾病预防控制中心202</w:t>
      </w:r>
      <w:r>
        <w:rPr>
          <w:rFonts w:hint="eastAsia" w:ascii="仿宋_GB2312" w:eastAsia="仿宋_GB2312"/>
          <w:b w:val="0"/>
          <w:bCs w:val="0"/>
          <w:color w:val="000000"/>
          <w:sz w:val="30"/>
          <w:szCs w:val="30"/>
          <w:lang w:val="en-US" w:eastAsia="zh-CN"/>
        </w:rPr>
        <w:t>5</w:t>
      </w:r>
      <w:r>
        <w:rPr>
          <w:rFonts w:hint="eastAsia" w:ascii="仿宋_GB2312" w:eastAsia="仿宋_GB2312"/>
          <w:b w:val="0"/>
          <w:bCs w:val="0"/>
          <w:color w:val="000000"/>
          <w:sz w:val="30"/>
          <w:szCs w:val="30"/>
        </w:rPr>
        <w:t>年度部门决算编制范围</w:t>
      </w:r>
      <w:r>
        <w:rPr>
          <w:rFonts w:hint="eastAsia" w:ascii="仿宋_GB2312" w:eastAsia="仿宋_GB2312"/>
          <w:b w:val="0"/>
          <w:bCs w:val="0"/>
          <w:color w:val="000000"/>
          <w:sz w:val="30"/>
          <w:szCs w:val="30"/>
          <w:lang w:eastAsia="zh-CN"/>
        </w:rPr>
        <w:t>的二级预算</w:t>
      </w:r>
      <w:bookmarkStart w:id="13" w:name="_Toc100197681"/>
      <w:bookmarkStart w:id="14" w:name="_Toc2139429336"/>
      <w:r>
        <w:rPr>
          <w:rFonts w:hint="eastAsia" w:ascii="仿宋_GB2312" w:eastAsia="仿宋_GB2312"/>
          <w:b w:val="0"/>
          <w:bCs w:val="0"/>
          <w:color w:val="000000"/>
          <w:sz w:val="30"/>
          <w:szCs w:val="30"/>
          <w:lang w:val="en-US" w:eastAsia="zh-CN"/>
        </w:rPr>
        <w:t>单位0个。</w:t>
      </w:r>
    </w:p>
    <w:p w14:paraId="76FE9DF3">
      <w:pPr>
        <w:pStyle w:val="3"/>
        <w:pageBreakBefore w:val="0"/>
        <w:widowControl w:val="0"/>
        <w:kinsoku/>
        <w:wordWrap/>
        <w:overflowPunct/>
        <w:topLinePunct w:val="0"/>
        <w:autoSpaceDE/>
        <w:autoSpaceDN/>
        <w:bidi w:val="0"/>
        <w:adjustRightInd/>
        <w:snapToGrid/>
        <w:spacing w:line="520" w:lineRule="exact"/>
        <w:ind w:right="440"/>
        <w:jc w:val="both"/>
        <w:textAlignment w:val="auto"/>
        <w:rPr>
          <w:rStyle w:val="19"/>
          <w:rFonts w:ascii="黑体" w:hAnsi="黑体" w:eastAsia="黑体"/>
          <w:b w:val="0"/>
          <w:bCs/>
        </w:rPr>
      </w:pPr>
      <w:r>
        <w:rPr>
          <w:rFonts w:hint="eastAsia" w:ascii="黑体" w:hAnsi="黑体" w:eastAsia="黑体"/>
          <w:b w:val="0"/>
        </w:rPr>
        <w:t>第二部分 202</w:t>
      </w:r>
      <w:r>
        <w:rPr>
          <w:rFonts w:hint="eastAsia" w:ascii="黑体" w:hAnsi="黑体" w:eastAsia="黑体"/>
          <w:b w:val="0"/>
          <w:lang w:val="en-US" w:eastAsia="zh-CN"/>
        </w:rPr>
        <w:t>5</w:t>
      </w:r>
      <w:r>
        <w:rPr>
          <w:rFonts w:hint="eastAsia" w:ascii="黑体" w:hAnsi="黑体" w:eastAsia="黑体"/>
          <w:b w:val="0"/>
        </w:rPr>
        <w:t>年度</w:t>
      </w:r>
      <w:r>
        <w:rPr>
          <w:rStyle w:val="19"/>
          <w:rFonts w:hint="eastAsia" w:ascii="黑体" w:hAnsi="黑体" w:eastAsia="黑体"/>
          <w:b w:val="0"/>
          <w:bCs/>
        </w:rPr>
        <w:t>部门决算情况说明</w:t>
      </w:r>
      <w:bookmarkEnd w:id="13"/>
      <w:bookmarkEnd w:id="14"/>
    </w:p>
    <w:p w14:paraId="53C24EF6">
      <w:pPr>
        <w:pageBreakBefore w:val="0"/>
        <w:widowControl w:val="0"/>
        <w:kinsoku/>
        <w:wordWrap/>
        <w:overflowPunct/>
        <w:topLinePunct w:val="0"/>
        <w:autoSpaceDE/>
        <w:autoSpaceDN/>
        <w:bidi w:val="0"/>
        <w:adjustRightInd/>
        <w:snapToGrid/>
        <w:spacing w:line="520" w:lineRule="exact"/>
        <w:textAlignment w:val="auto"/>
      </w:pPr>
    </w:p>
    <w:p w14:paraId="4170F054">
      <w:pPr>
        <w:pStyle w:val="20"/>
        <w:pageBreakBefore w:val="0"/>
        <w:widowControl w:val="0"/>
        <w:numPr>
          <w:ilvl w:val="0"/>
          <w:numId w:val="2"/>
        </w:numPr>
        <w:kinsoku/>
        <w:wordWrap/>
        <w:overflowPunct/>
        <w:topLinePunct w:val="0"/>
        <w:autoSpaceDE/>
        <w:autoSpaceDN/>
        <w:bidi w:val="0"/>
        <w:adjustRightInd/>
        <w:snapToGrid/>
        <w:spacing w:line="520" w:lineRule="exact"/>
        <w:ind w:firstLineChars="0"/>
        <w:textAlignment w:val="auto"/>
        <w:outlineLvl w:val="1"/>
        <w:rPr>
          <w:rStyle w:val="21"/>
          <w:rFonts w:ascii="黑体" w:hAnsi="黑体" w:eastAsia="黑体"/>
          <w:b w:val="0"/>
        </w:rPr>
      </w:pPr>
      <w:bookmarkStart w:id="15" w:name="_Toc1281227354"/>
      <w:bookmarkStart w:id="16" w:name="_Toc15396603"/>
      <w:bookmarkStart w:id="17" w:name="_Toc15377205"/>
      <w:bookmarkStart w:id="18" w:name="_Toc1576144292"/>
      <w:r>
        <w:rPr>
          <w:rFonts w:hint="eastAsia" w:ascii="黑体" w:hAnsi="黑体" w:eastAsia="黑体"/>
          <w:sz w:val="32"/>
          <w:szCs w:val="32"/>
        </w:rPr>
        <w:t>收</w:t>
      </w:r>
      <w:r>
        <w:rPr>
          <w:rStyle w:val="21"/>
          <w:rFonts w:hint="eastAsia" w:ascii="黑体" w:hAnsi="黑体" w:eastAsia="黑体"/>
          <w:b w:val="0"/>
        </w:rPr>
        <w:t>入支出决算总体情况说明</w:t>
      </w:r>
      <w:bookmarkEnd w:id="15"/>
      <w:bookmarkEnd w:id="16"/>
      <w:bookmarkEnd w:id="17"/>
      <w:bookmarkEnd w:id="18"/>
    </w:p>
    <w:p w14:paraId="72FE7162">
      <w:pPr>
        <w:pageBreakBefore w:val="0"/>
        <w:widowControl w:val="0"/>
        <w:kinsoku/>
        <w:wordWrap/>
        <w:overflowPunct/>
        <w:topLinePunct w:val="0"/>
        <w:autoSpaceDE/>
        <w:autoSpaceDN/>
        <w:bidi w:val="0"/>
        <w:adjustRightInd/>
        <w:snapToGrid/>
        <w:spacing w:line="520" w:lineRule="exact"/>
        <w:ind w:firstLine="750" w:firstLineChars="250"/>
        <w:textAlignment w:val="auto"/>
        <w:rPr>
          <w:rFonts w:hint="eastAsia" w:ascii="仿宋" w:hAnsi="仿宋" w:eastAsia="仿宋" w:cs="仿宋"/>
          <w:bCs/>
          <w:color w:val="000000"/>
          <w:kern w:val="0"/>
          <w:sz w:val="30"/>
          <w:szCs w:val="30"/>
          <w:lang w:eastAsia="zh-CN"/>
        </w:rPr>
      </w:pPr>
      <w:r>
        <w:rPr>
          <w:rFonts w:hint="eastAsia" w:ascii="仿宋" w:hAnsi="仿宋" w:eastAsia="仿宋" w:cs="仿宋"/>
          <w:bCs/>
          <w:color w:val="000000"/>
          <w:kern w:val="0"/>
          <w:sz w:val="30"/>
          <w:szCs w:val="30"/>
        </w:rPr>
        <w:t>阿坝州疾控中心</w:t>
      </w:r>
      <w:r>
        <w:rPr>
          <w:rFonts w:hint="eastAsia" w:ascii="仿宋" w:hAnsi="仿宋" w:eastAsia="仿宋" w:cs="仿宋"/>
          <w:color w:val="000000"/>
          <w:sz w:val="30"/>
          <w:szCs w:val="30"/>
        </w:rPr>
        <w:t>202</w:t>
      </w:r>
      <w:r>
        <w:rPr>
          <w:rFonts w:hint="eastAsia" w:ascii="仿宋" w:hAnsi="仿宋" w:eastAsia="仿宋" w:cs="仿宋"/>
          <w:color w:val="000000"/>
          <w:sz w:val="30"/>
          <w:szCs w:val="30"/>
          <w:lang w:val="en-US" w:eastAsia="zh-CN"/>
        </w:rPr>
        <w:t>5</w:t>
      </w:r>
      <w:r>
        <w:rPr>
          <w:rFonts w:hint="eastAsia" w:ascii="仿宋" w:hAnsi="仿宋" w:eastAsia="仿宋" w:cs="仿宋"/>
          <w:color w:val="000000"/>
          <w:sz w:val="30"/>
          <w:szCs w:val="30"/>
        </w:rPr>
        <w:t>年度收入总计</w:t>
      </w:r>
      <w:r>
        <w:rPr>
          <w:rFonts w:hint="eastAsia" w:ascii="仿宋" w:hAnsi="仿宋" w:eastAsia="仿宋" w:cs="仿宋"/>
          <w:color w:val="000000"/>
          <w:sz w:val="30"/>
          <w:szCs w:val="30"/>
          <w:lang w:val="en-US" w:eastAsia="zh-CN"/>
        </w:rPr>
        <w:t>4353.09</w:t>
      </w:r>
      <w:r>
        <w:rPr>
          <w:rFonts w:hint="eastAsia" w:ascii="仿宋" w:hAnsi="仿宋" w:eastAsia="仿宋" w:cs="仿宋"/>
          <w:color w:val="000000"/>
          <w:sz w:val="30"/>
          <w:szCs w:val="30"/>
        </w:rPr>
        <w:t>万元。与20</w:t>
      </w:r>
      <w:r>
        <w:rPr>
          <w:rFonts w:hint="eastAsia" w:ascii="仿宋" w:hAnsi="仿宋" w:eastAsia="仿宋" w:cs="仿宋"/>
          <w:color w:val="000000"/>
          <w:sz w:val="30"/>
          <w:szCs w:val="30"/>
          <w:lang w:val="en-US" w:eastAsia="zh-CN"/>
        </w:rPr>
        <w:t>24</w:t>
      </w:r>
      <w:r>
        <w:rPr>
          <w:rFonts w:hint="eastAsia" w:ascii="仿宋" w:hAnsi="仿宋" w:eastAsia="仿宋" w:cs="仿宋"/>
          <w:color w:val="000000"/>
          <w:sz w:val="30"/>
          <w:szCs w:val="30"/>
        </w:rPr>
        <w:t>年相比</w:t>
      </w:r>
      <w:r>
        <w:rPr>
          <w:rFonts w:hint="eastAsia" w:ascii="仿宋" w:hAnsi="仿宋" w:eastAsia="仿宋" w:cs="仿宋"/>
          <w:bCs/>
          <w:color w:val="000000"/>
          <w:kern w:val="0"/>
          <w:sz w:val="30"/>
          <w:szCs w:val="30"/>
        </w:rPr>
        <w:t>收入总计</w:t>
      </w:r>
      <w:r>
        <w:rPr>
          <w:rFonts w:hint="eastAsia" w:ascii="仿宋" w:hAnsi="仿宋" w:eastAsia="仿宋" w:cs="仿宋"/>
          <w:bCs/>
          <w:color w:val="000000"/>
          <w:kern w:val="0"/>
          <w:sz w:val="30"/>
          <w:szCs w:val="30"/>
          <w:lang w:eastAsia="zh-CN"/>
        </w:rPr>
        <w:t>增加</w:t>
      </w:r>
      <w:r>
        <w:rPr>
          <w:rFonts w:hint="eastAsia" w:ascii="仿宋" w:hAnsi="仿宋" w:eastAsia="仿宋" w:cs="仿宋"/>
          <w:bCs/>
          <w:color w:val="000000"/>
          <w:kern w:val="0"/>
          <w:sz w:val="30"/>
          <w:szCs w:val="30"/>
          <w:lang w:val="en-US" w:eastAsia="zh-CN"/>
        </w:rPr>
        <w:t>12.38</w:t>
      </w:r>
      <w:r>
        <w:rPr>
          <w:rFonts w:hint="eastAsia" w:ascii="仿宋" w:hAnsi="仿宋" w:eastAsia="仿宋" w:cs="仿宋"/>
          <w:bCs/>
          <w:color w:val="000000"/>
          <w:kern w:val="0"/>
          <w:sz w:val="30"/>
          <w:szCs w:val="30"/>
        </w:rPr>
        <w:t>万元，</w:t>
      </w:r>
      <w:r>
        <w:rPr>
          <w:rFonts w:hint="eastAsia" w:ascii="仿宋" w:hAnsi="仿宋" w:eastAsia="仿宋" w:cs="仿宋"/>
          <w:bCs/>
          <w:color w:val="000000"/>
          <w:kern w:val="0"/>
          <w:sz w:val="30"/>
          <w:szCs w:val="30"/>
          <w:lang w:eastAsia="zh-CN"/>
        </w:rPr>
        <w:t>增加</w:t>
      </w:r>
      <w:r>
        <w:rPr>
          <w:rFonts w:hint="eastAsia" w:ascii="仿宋" w:hAnsi="仿宋" w:eastAsia="仿宋" w:cs="仿宋"/>
          <w:bCs/>
          <w:color w:val="000000"/>
          <w:kern w:val="0"/>
          <w:sz w:val="30"/>
          <w:szCs w:val="30"/>
          <w:lang w:val="en-US" w:eastAsia="zh-CN"/>
        </w:rPr>
        <w:t>0.29</w:t>
      </w:r>
      <w:r>
        <w:rPr>
          <w:rFonts w:hint="eastAsia" w:ascii="仿宋" w:hAnsi="仿宋" w:eastAsia="仿宋" w:cs="仿宋"/>
          <w:bCs/>
          <w:color w:val="000000"/>
          <w:kern w:val="0"/>
          <w:sz w:val="30"/>
          <w:szCs w:val="30"/>
        </w:rPr>
        <w:t>%。主要变动原因为</w:t>
      </w:r>
      <w:r>
        <w:rPr>
          <w:rFonts w:hint="eastAsia" w:ascii="仿宋" w:hAnsi="仿宋" w:eastAsia="仿宋" w:cs="仿宋"/>
          <w:bCs/>
          <w:color w:val="000000"/>
          <w:kern w:val="0"/>
          <w:sz w:val="30"/>
          <w:szCs w:val="30"/>
          <w:lang w:eastAsia="zh-CN"/>
        </w:rPr>
        <w:t>一般公共预算财政拨款收入增加</w:t>
      </w:r>
      <w:r>
        <w:rPr>
          <w:rFonts w:hint="eastAsia" w:ascii="仿宋" w:hAnsi="仿宋" w:eastAsia="仿宋" w:cs="仿宋"/>
          <w:bCs/>
          <w:color w:val="000000"/>
          <w:kern w:val="0"/>
          <w:sz w:val="30"/>
          <w:szCs w:val="30"/>
        </w:rPr>
        <w:t>，202</w:t>
      </w:r>
      <w:r>
        <w:rPr>
          <w:rFonts w:hint="eastAsia" w:ascii="仿宋" w:hAnsi="仿宋" w:eastAsia="仿宋" w:cs="仿宋"/>
          <w:bCs/>
          <w:color w:val="000000"/>
          <w:kern w:val="0"/>
          <w:sz w:val="30"/>
          <w:szCs w:val="30"/>
          <w:lang w:val="en-US" w:eastAsia="zh-CN"/>
        </w:rPr>
        <w:t>5</w:t>
      </w:r>
      <w:r>
        <w:rPr>
          <w:rFonts w:hint="eastAsia" w:ascii="仿宋" w:hAnsi="仿宋" w:eastAsia="仿宋" w:cs="仿宋"/>
          <w:bCs/>
          <w:color w:val="000000"/>
          <w:kern w:val="0"/>
          <w:sz w:val="30"/>
          <w:szCs w:val="30"/>
        </w:rPr>
        <w:t>年度支出合计</w:t>
      </w:r>
      <w:r>
        <w:rPr>
          <w:rFonts w:hint="eastAsia" w:ascii="仿宋" w:hAnsi="仿宋" w:eastAsia="仿宋" w:cs="仿宋"/>
          <w:bCs/>
          <w:color w:val="000000"/>
          <w:kern w:val="0"/>
          <w:sz w:val="30"/>
          <w:szCs w:val="30"/>
          <w:lang w:val="en-US" w:eastAsia="zh-CN"/>
        </w:rPr>
        <w:t>4355.69</w:t>
      </w:r>
      <w:r>
        <w:rPr>
          <w:rFonts w:hint="eastAsia" w:ascii="仿宋" w:hAnsi="仿宋" w:eastAsia="仿宋" w:cs="仿宋"/>
          <w:bCs/>
          <w:color w:val="000000"/>
          <w:kern w:val="0"/>
          <w:sz w:val="30"/>
          <w:szCs w:val="30"/>
        </w:rPr>
        <w:t>万元。与20</w:t>
      </w:r>
      <w:r>
        <w:rPr>
          <w:rFonts w:hint="eastAsia" w:ascii="仿宋" w:hAnsi="仿宋" w:eastAsia="仿宋" w:cs="仿宋"/>
          <w:bCs/>
          <w:color w:val="000000"/>
          <w:kern w:val="0"/>
          <w:sz w:val="30"/>
          <w:szCs w:val="30"/>
          <w:lang w:val="en-US" w:eastAsia="zh-CN"/>
        </w:rPr>
        <w:t>24</w:t>
      </w:r>
      <w:r>
        <w:rPr>
          <w:rFonts w:hint="eastAsia" w:ascii="仿宋" w:hAnsi="仿宋" w:eastAsia="仿宋" w:cs="仿宋"/>
          <w:bCs/>
          <w:color w:val="000000"/>
          <w:kern w:val="0"/>
          <w:sz w:val="30"/>
          <w:szCs w:val="30"/>
        </w:rPr>
        <w:t>年相比，支出总计</w:t>
      </w:r>
      <w:r>
        <w:rPr>
          <w:rFonts w:hint="eastAsia" w:ascii="仿宋" w:hAnsi="仿宋" w:eastAsia="仿宋" w:cs="仿宋"/>
          <w:bCs/>
          <w:color w:val="000000"/>
          <w:kern w:val="0"/>
          <w:sz w:val="30"/>
          <w:szCs w:val="30"/>
          <w:lang w:eastAsia="zh-CN"/>
        </w:rPr>
        <w:t>增加</w:t>
      </w:r>
      <w:r>
        <w:rPr>
          <w:rFonts w:hint="eastAsia" w:ascii="仿宋" w:hAnsi="仿宋" w:eastAsia="仿宋" w:cs="仿宋"/>
          <w:bCs/>
          <w:color w:val="000000"/>
          <w:kern w:val="0"/>
          <w:sz w:val="30"/>
          <w:szCs w:val="30"/>
          <w:lang w:val="en-US" w:eastAsia="zh-CN"/>
        </w:rPr>
        <w:t>10.39</w:t>
      </w:r>
      <w:r>
        <w:rPr>
          <w:rFonts w:hint="eastAsia" w:ascii="仿宋" w:hAnsi="仿宋" w:eastAsia="仿宋" w:cs="仿宋"/>
          <w:bCs/>
          <w:color w:val="000000"/>
          <w:kern w:val="0"/>
          <w:sz w:val="30"/>
          <w:szCs w:val="30"/>
        </w:rPr>
        <w:t>万元，</w:t>
      </w:r>
      <w:r>
        <w:rPr>
          <w:rFonts w:hint="eastAsia" w:ascii="仿宋" w:hAnsi="仿宋" w:eastAsia="仿宋" w:cs="仿宋"/>
          <w:bCs/>
          <w:color w:val="000000"/>
          <w:kern w:val="0"/>
          <w:sz w:val="30"/>
          <w:szCs w:val="30"/>
          <w:lang w:eastAsia="zh-CN"/>
        </w:rPr>
        <w:t>增加</w:t>
      </w:r>
      <w:r>
        <w:rPr>
          <w:rFonts w:hint="eastAsia" w:ascii="仿宋" w:hAnsi="仿宋" w:eastAsia="仿宋" w:cs="仿宋"/>
          <w:bCs/>
          <w:color w:val="000000"/>
          <w:kern w:val="0"/>
          <w:sz w:val="30"/>
          <w:szCs w:val="30"/>
          <w:lang w:val="en-US" w:eastAsia="zh-CN"/>
        </w:rPr>
        <w:t>0.24</w:t>
      </w:r>
      <w:r>
        <w:rPr>
          <w:rFonts w:hint="eastAsia" w:ascii="仿宋" w:hAnsi="仿宋" w:eastAsia="仿宋" w:cs="仿宋"/>
          <w:bCs/>
          <w:color w:val="000000"/>
          <w:kern w:val="0"/>
          <w:sz w:val="30"/>
          <w:szCs w:val="30"/>
        </w:rPr>
        <w:t>%。主要变动原因为</w:t>
      </w:r>
      <w:r>
        <w:rPr>
          <w:rFonts w:hint="eastAsia" w:ascii="仿宋" w:hAnsi="仿宋" w:eastAsia="仿宋" w:cs="仿宋"/>
          <w:bCs/>
          <w:color w:val="000000"/>
          <w:kern w:val="0"/>
          <w:sz w:val="30"/>
          <w:szCs w:val="30"/>
          <w:lang w:eastAsia="zh-CN"/>
        </w:rPr>
        <w:t>基本支出、项目支出增加。</w:t>
      </w:r>
    </w:p>
    <w:p w14:paraId="44428E4E">
      <w:pPr>
        <w:pageBreakBefore w:val="0"/>
        <w:widowControl w:val="0"/>
        <w:kinsoku/>
        <w:wordWrap/>
        <w:overflowPunct/>
        <w:topLinePunct w:val="0"/>
        <w:autoSpaceDE/>
        <w:autoSpaceDN/>
        <w:bidi w:val="0"/>
        <w:adjustRightInd/>
        <w:snapToGrid/>
        <w:spacing w:line="520" w:lineRule="exact"/>
        <w:ind w:firstLine="750" w:firstLineChars="250"/>
        <w:textAlignment w:val="auto"/>
        <w:rPr>
          <w:rFonts w:hint="eastAsia" w:ascii="仿宋" w:hAnsi="仿宋" w:eastAsia="仿宋" w:cs="仿宋"/>
          <w:bCs/>
          <w:color w:val="000000"/>
          <w:kern w:val="0"/>
          <w:sz w:val="30"/>
          <w:szCs w:val="30"/>
          <w:lang w:eastAsia="zh-CN"/>
        </w:rPr>
      </w:pPr>
    </w:p>
    <w:p w14:paraId="79F15FAC">
      <w:pPr>
        <w:spacing w:line="600" w:lineRule="exact"/>
        <w:ind w:firstLine="525" w:firstLineChars="250"/>
      </w:pPr>
      <w:r>
        <w:drawing>
          <wp:anchor distT="0" distB="0" distL="114300" distR="114300" simplePos="0" relativeHeight="251659264" behindDoc="0" locked="0" layoutInCell="1" allowOverlap="1">
            <wp:simplePos x="0" y="0"/>
            <wp:positionH relativeFrom="column">
              <wp:posOffset>736600</wp:posOffset>
            </wp:positionH>
            <wp:positionV relativeFrom="paragraph">
              <wp:posOffset>36195</wp:posOffset>
            </wp:positionV>
            <wp:extent cx="3968115" cy="1980565"/>
            <wp:effectExtent l="4445" t="4445" r="8890" b="15240"/>
            <wp:wrapSquare wrapText="bothSides"/>
            <wp:docPr id="115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553C7E31">
      <w:pPr>
        <w:spacing w:line="600" w:lineRule="exact"/>
        <w:ind w:firstLine="525" w:firstLineChars="250"/>
      </w:pPr>
    </w:p>
    <w:p w14:paraId="6A2A5186">
      <w:pPr>
        <w:spacing w:line="600" w:lineRule="exact"/>
      </w:pPr>
    </w:p>
    <w:p w14:paraId="2B8C9E45">
      <w:pPr>
        <w:spacing w:line="600" w:lineRule="exact"/>
        <w:ind w:firstLine="525" w:firstLineChars="250"/>
      </w:pPr>
    </w:p>
    <w:p w14:paraId="2543392B">
      <w:pPr>
        <w:pStyle w:val="18"/>
      </w:pPr>
    </w:p>
    <w:p w14:paraId="4F81E957">
      <w:pPr>
        <w:spacing w:line="600" w:lineRule="exact"/>
        <w:ind w:firstLine="640" w:firstLineChars="200"/>
        <w:rPr>
          <w:rFonts w:ascii="仿宋" w:hAnsi="仿宋" w:eastAsia="仿宋"/>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02068CCC">
      <w:pPr>
        <w:spacing w:line="600" w:lineRule="exact"/>
        <w:ind w:firstLine="525" w:firstLineChars="250"/>
      </w:pPr>
    </w:p>
    <w:p w14:paraId="472009C8">
      <w:pPr>
        <w:pStyle w:val="20"/>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Chars="0"/>
        <w:textAlignment w:val="auto"/>
        <w:outlineLvl w:val="1"/>
        <w:rPr>
          <w:rStyle w:val="21"/>
          <w:rFonts w:ascii="黑体" w:hAnsi="黑体" w:eastAsia="黑体"/>
          <w:b w:val="0"/>
        </w:rPr>
      </w:pPr>
      <w:bookmarkStart w:id="19" w:name="_Toc459022842"/>
      <w:bookmarkStart w:id="20" w:name="_Toc15396604"/>
      <w:bookmarkStart w:id="21" w:name="_Toc15377206"/>
      <w:bookmarkStart w:id="22" w:name="_Toc1477755223"/>
      <w:r>
        <w:rPr>
          <w:rFonts w:hint="eastAsia" w:ascii="黑体" w:hAnsi="黑体" w:eastAsia="黑体"/>
          <w:sz w:val="32"/>
          <w:szCs w:val="32"/>
        </w:rPr>
        <w:t>收</w:t>
      </w:r>
      <w:r>
        <w:rPr>
          <w:rStyle w:val="21"/>
          <w:rFonts w:hint="eastAsia" w:ascii="黑体" w:hAnsi="黑体" w:eastAsia="黑体"/>
          <w:b w:val="0"/>
        </w:rPr>
        <w:t>入决算情况说明</w:t>
      </w:r>
      <w:bookmarkEnd w:id="19"/>
      <w:bookmarkEnd w:id="20"/>
      <w:bookmarkEnd w:id="21"/>
      <w:bookmarkEnd w:id="22"/>
    </w:p>
    <w:p w14:paraId="1BD4A98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outlineLvl w:val="1"/>
      </w:pPr>
      <w:bookmarkStart w:id="23" w:name="_Toc1556922489"/>
      <w:bookmarkStart w:id="24" w:name="_Toc344819550"/>
      <w:r>
        <w:rPr>
          <w:rFonts w:hint="eastAsia" w:ascii="仿宋" w:hAnsi="仿宋" w:eastAsia="仿宋"/>
          <w:sz w:val="30"/>
          <w:szCs w:val="30"/>
        </w:rPr>
        <w:t>202</w:t>
      </w:r>
      <w:r>
        <w:rPr>
          <w:rFonts w:hint="eastAsia" w:ascii="仿宋" w:hAnsi="仿宋" w:eastAsia="仿宋"/>
          <w:sz w:val="30"/>
          <w:szCs w:val="30"/>
          <w:lang w:val="en-US" w:eastAsia="zh-CN"/>
        </w:rPr>
        <w:t>5</w:t>
      </w:r>
      <w:r>
        <w:rPr>
          <w:rFonts w:hint="eastAsia" w:ascii="仿宋" w:hAnsi="仿宋" w:eastAsia="仿宋"/>
          <w:sz w:val="30"/>
          <w:szCs w:val="30"/>
        </w:rPr>
        <w:t>年度本年收入合计</w:t>
      </w:r>
      <w:r>
        <w:rPr>
          <w:rFonts w:hint="eastAsia" w:ascii="仿宋" w:hAnsi="仿宋" w:eastAsia="仿宋"/>
          <w:sz w:val="30"/>
          <w:szCs w:val="30"/>
          <w:lang w:val="en-US" w:eastAsia="zh-CN"/>
        </w:rPr>
        <w:t>4353.09</w:t>
      </w:r>
      <w:r>
        <w:rPr>
          <w:rFonts w:hint="eastAsia" w:ascii="仿宋" w:hAnsi="仿宋" w:eastAsia="仿宋"/>
          <w:sz w:val="30"/>
          <w:szCs w:val="30"/>
        </w:rPr>
        <w:t>万元，其中：一般公共预算财政拨款收入</w:t>
      </w:r>
      <w:r>
        <w:rPr>
          <w:rFonts w:hint="eastAsia" w:ascii="仿宋" w:hAnsi="仿宋" w:eastAsia="仿宋"/>
          <w:sz w:val="30"/>
          <w:szCs w:val="30"/>
          <w:lang w:val="en-US" w:eastAsia="zh-CN"/>
        </w:rPr>
        <w:t>4351.09</w:t>
      </w:r>
      <w:r>
        <w:rPr>
          <w:rFonts w:hint="eastAsia" w:ascii="仿宋" w:hAnsi="仿宋" w:eastAsia="仿宋"/>
          <w:sz w:val="30"/>
          <w:szCs w:val="30"/>
        </w:rPr>
        <w:t>万元，占</w:t>
      </w:r>
      <w:r>
        <w:rPr>
          <w:rFonts w:hint="eastAsia" w:ascii="仿宋" w:hAnsi="仿宋" w:eastAsia="仿宋"/>
          <w:sz w:val="30"/>
          <w:szCs w:val="30"/>
          <w:lang w:val="en-US" w:eastAsia="zh-CN"/>
        </w:rPr>
        <w:t>99.95</w:t>
      </w:r>
      <w:r>
        <w:rPr>
          <w:rFonts w:ascii="仿宋" w:hAnsi="仿宋" w:eastAsia="仿宋"/>
          <w:sz w:val="30"/>
          <w:szCs w:val="30"/>
        </w:rPr>
        <w:t>%</w:t>
      </w:r>
      <w:r>
        <w:rPr>
          <w:rFonts w:hint="eastAsia" w:ascii="仿宋" w:hAnsi="仿宋" w:eastAsia="仿宋"/>
          <w:sz w:val="30"/>
          <w:szCs w:val="30"/>
        </w:rPr>
        <w:t>；政府性基金预算财政拨款收入</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0.00</w:t>
      </w:r>
      <w:r>
        <w:rPr>
          <w:rFonts w:ascii="仿宋" w:hAnsi="仿宋" w:eastAsia="仿宋"/>
          <w:sz w:val="30"/>
          <w:szCs w:val="30"/>
        </w:rPr>
        <w:t>%</w:t>
      </w:r>
      <w:r>
        <w:rPr>
          <w:rFonts w:hint="eastAsia" w:ascii="仿宋" w:hAnsi="仿宋" w:eastAsia="仿宋"/>
          <w:sz w:val="30"/>
          <w:szCs w:val="30"/>
        </w:rPr>
        <w:t>；国有资本经营预算财政拨款收入</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0.00</w:t>
      </w:r>
      <w:r>
        <w:rPr>
          <w:rFonts w:ascii="仿宋" w:hAnsi="仿宋" w:eastAsia="仿宋"/>
          <w:sz w:val="30"/>
          <w:szCs w:val="30"/>
        </w:rPr>
        <w:t>%</w:t>
      </w:r>
      <w:r>
        <w:rPr>
          <w:rFonts w:hint="eastAsia" w:ascii="仿宋" w:hAnsi="仿宋" w:eastAsia="仿宋"/>
          <w:sz w:val="30"/>
          <w:szCs w:val="30"/>
        </w:rPr>
        <w:t>；上级补助收入</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0.00</w:t>
      </w:r>
      <w:r>
        <w:rPr>
          <w:rFonts w:ascii="仿宋" w:hAnsi="仿宋" w:eastAsia="仿宋"/>
          <w:sz w:val="30"/>
          <w:szCs w:val="30"/>
        </w:rPr>
        <w:t>%</w:t>
      </w:r>
      <w:r>
        <w:rPr>
          <w:rFonts w:hint="eastAsia" w:ascii="仿宋" w:hAnsi="仿宋" w:eastAsia="仿宋"/>
          <w:sz w:val="30"/>
          <w:szCs w:val="30"/>
        </w:rPr>
        <w:t>；事业收入</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0.00</w:t>
      </w:r>
      <w:r>
        <w:rPr>
          <w:rFonts w:ascii="仿宋" w:hAnsi="仿宋" w:eastAsia="仿宋"/>
          <w:sz w:val="30"/>
          <w:szCs w:val="30"/>
        </w:rPr>
        <w:t>%</w:t>
      </w:r>
      <w:r>
        <w:rPr>
          <w:rFonts w:hint="eastAsia" w:ascii="仿宋" w:hAnsi="仿宋" w:eastAsia="仿宋"/>
          <w:sz w:val="30"/>
          <w:szCs w:val="30"/>
        </w:rPr>
        <w:t>；经营收入</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0.00</w:t>
      </w:r>
      <w:r>
        <w:rPr>
          <w:rFonts w:ascii="仿宋" w:hAnsi="仿宋" w:eastAsia="仿宋"/>
          <w:sz w:val="30"/>
          <w:szCs w:val="30"/>
        </w:rPr>
        <w:t>%</w:t>
      </w:r>
      <w:r>
        <w:rPr>
          <w:rFonts w:hint="eastAsia" w:ascii="仿宋" w:hAnsi="仿宋" w:eastAsia="仿宋"/>
          <w:sz w:val="30"/>
          <w:szCs w:val="30"/>
        </w:rPr>
        <w:t>；附属单位上缴收入</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0.00</w:t>
      </w:r>
      <w:r>
        <w:rPr>
          <w:rFonts w:ascii="仿宋" w:hAnsi="仿宋" w:eastAsia="仿宋"/>
          <w:sz w:val="30"/>
          <w:szCs w:val="30"/>
        </w:rPr>
        <w:t>%</w:t>
      </w:r>
      <w:r>
        <w:rPr>
          <w:rFonts w:hint="eastAsia" w:ascii="仿宋" w:hAnsi="仿宋" w:eastAsia="仿宋"/>
          <w:sz w:val="30"/>
          <w:szCs w:val="30"/>
        </w:rPr>
        <w:t>；其他收入</w:t>
      </w:r>
      <w:r>
        <w:rPr>
          <w:rFonts w:hint="eastAsia" w:ascii="仿宋" w:hAnsi="仿宋" w:eastAsia="仿宋"/>
          <w:sz w:val="30"/>
          <w:szCs w:val="30"/>
          <w:lang w:val="en-US" w:eastAsia="zh-CN"/>
        </w:rPr>
        <w:t>2</w:t>
      </w:r>
      <w:r>
        <w:rPr>
          <w:rFonts w:hint="eastAsia" w:ascii="仿宋" w:hAnsi="仿宋" w:eastAsia="仿宋"/>
          <w:sz w:val="30"/>
          <w:szCs w:val="30"/>
        </w:rPr>
        <w:t>万元，占</w:t>
      </w:r>
      <w:r>
        <w:rPr>
          <w:rFonts w:hint="eastAsia" w:ascii="仿宋" w:hAnsi="仿宋" w:eastAsia="仿宋"/>
          <w:sz w:val="30"/>
          <w:szCs w:val="30"/>
          <w:lang w:val="en-US" w:eastAsia="zh-CN"/>
        </w:rPr>
        <w:t>0.05</w:t>
      </w:r>
      <w:r>
        <w:rPr>
          <w:rFonts w:ascii="仿宋" w:hAnsi="仿宋" w:eastAsia="仿宋"/>
          <w:sz w:val="30"/>
          <w:szCs w:val="30"/>
        </w:rPr>
        <w:t>%</w:t>
      </w:r>
      <w:r>
        <w:rPr>
          <w:rFonts w:hint="eastAsia" w:ascii="仿宋" w:hAnsi="仿宋" w:eastAsia="仿宋"/>
          <w:sz w:val="30"/>
          <w:szCs w:val="30"/>
        </w:rPr>
        <w:t>。</w:t>
      </w:r>
      <w:bookmarkEnd w:id="23"/>
      <w:bookmarkEnd w:id="24"/>
    </w:p>
    <w:p w14:paraId="53BA02FF">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outlineLvl w:val="1"/>
        <w:rPr>
          <w:rFonts w:ascii="仿宋" w:hAnsi="仿宋" w:eastAsia="仿宋"/>
          <w:b/>
          <w:sz w:val="30"/>
          <w:szCs w:val="30"/>
        </w:rPr>
      </w:pPr>
      <w:bookmarkStart w:id="25" w:name="_Toc9291933"/>
      <w:bookmarkStart w:id="26" w:name="_Toc695600766"/>
      <w:r>
        <w:rPr>
          <w:rFonts w:hint="eastAsia" w:ascii="仿宋" w:hAnsi="仿宋" w:eastAsia="仿宋"/>
          <w:b/>
          <w:sz w:val="30"/>
          <w:szCs w:val="30"/>
        </w:rPr>
        <w:t>（注：数据来源于财决</w:t>
      </w:r>
      <w:r>
        <w:rPr>
          <w:rFonts w:ascii="仿宋" w:hAnsi="仿宋" w:eastAsia="仿宋"/>
          <w:b/>
          <w:sz w:val="30"/>
          <w:szCs w:val="30"/>
        </w:rPr>
        <w:t>01表</w:t>
      </w:r>
      <w:r>
        <w:rPr>
          <w:rFonts w:hint="eastAsia" w:ascii="仿宋" w:hAnsi="仿宋" w:eastAsia="仿宋"/>
          <w:b/>
          <w:sz w:val="30"/>
          <w:szCs w:val="30"/>
        </w:rPr>
        <w:t>，仅罗列本部门涉及的收入。</w:t>
      </w:r>
      <w:r>
        <w:rPr>
          <w:rFonts w:ascii="仿宋" w:hAnsi="仿宋" w:eastAsia="仿宋"/>
          <w:b/>
          <w:sz w:val="30"/>
          <w:szCs w:val="30"/>
        </w:rPr>
        <w:t>）</w:t>
      </w:r>
      <w:bookmarkEnd w:id="25"/>
      <w:bookmarkEnd w:id="26"/>
    </w:p>
    <w:p w14:paraId="4B8BD3D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pPr>
      <w:r>
        <w:rPr>
          <w:rFonts w:hint="eastAsia" w:ascii="仿宋" w:hAnsi="仿宋" w:eastAsia="仿宋"/>
          <w:sz w:val="32"/>
          <w:szCs w:val="32"/>
        </w:rPr>
        <w:t>（图2：收入决算结构图）（饼状图）</w:t>
      </w:r>
      <w:r>
        <w:drawing>
          <wp:anchor distT="0" distB="0" distL="114300" distR="114300" simplePos="0" relativeHeight="251660288" behindDoc="0" locked="0" layoutInCell="1" allowOverlap="1">
            <wp:simplePos x="0" y="0"/>
            <wp:positionH relativeFrom="column">
              <wp:posOffset>271145</wp:posOffset>
            </wp:positionH>
            <wp:positionV relativeFrom="page">
              <wp:posOffset>1144905</wp:posOffset>
            </wp:positionV>
            <wp:extent cx="4549775" cy="2544445"/>
            <wp:effectExtent l="4445" t="4445" r="17780" b="22860"/>
            <wp:wrapTopAndBottom/>
            <wp:docPr id="115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3EC5242">
      <w:pPr>
        <w:pStyle w:val="20"/>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Chars="0"/>
        <w:textAlignment w:val="auto"/>
        <w:outlineLvl w:val="1"/>
        <w:rPr>
          <w:rStyle w:val="21"/>
          <w:rFonts w:ascii="黑体" w:hAnsi="黑体" w:eastAsia="黑体"/>
          <w:b w:val="0"/>
        </w:rPr>
      </w:pPr>
      <w:bookmarkStart w:id="27" w:name="_Toc15377207"/>
      <w:bookmarkStart w:id="28" w:name="_Toc541662839"/>
      <w:bookmarkStart w:id="29" w:name="_Toc15396605"/>
      <w:bookmarkStart w:id="30" w:name="_Toc1655651371"/>
      <w:r>
        <w:rPr>
          <w:rFonts w:hint="eastAsia" w:ascii="黑体" w:hAnsi="黑体" w:eastAsia="黑体"/>
          <w:sz w:val="32"/>
          <w:szCs w:val="32"/>
        </w:rPr>
        <w:t>支</w:t>
      </w:r>
      <w:r>
        <w:rPr>
          <w:rStyle w:val="21"/>
          <w:rFonts w:hint="eastAsia" w:ascii="黑体" w:hAnsi="黑体" w:eastAsia="黑体"/>
          <w:b w:val="0"/>
        </w:rPr>
        <w:t>出决算情况说明</w:t>
      </w:r>
      <w:bookmarkEnd w:id="27"/>
      <w:bookmarkEnd w:id="28"/>
      <w:bookmarkEnd w:id="29"/>
      <w:bookmarkEnd w:id="30"/>
    </w:p>
    <w:p w14:paraId="5C8BE5B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outlineLvl w:val="1"/>
        <w:rPr>
          <w:rFonts w:ascii="仿宋" w:hAnsi="仿宋" w:eastAsia="仿宋"/>
          <w:sz w:val="30"/>
          <w:szCs w:val="30"/>
        </w:rPr>
      </w:pPr>
      <w:bookmarkStart w:id="31" w:name="_Toc1323170630"/>
      <w:bookmarkStart w:id="32" w:name="_Toc448401375"/>
      <w:r>
        <w:rPr>
          <w:rFonts w:hint="eastAsia" w:ascii="仿宋" w:hAnsi="仿宋" w:eastAsia="仿宋"/>
          <w:sz w:val="30"/>
          <w:szCs w:val="30"/>
        </w:rPr>
        <w:t>202</w:t>
      </w:r>
      <w:r>
        <w:rPr>
          <w:rFonts w:hint="eastAsia" w:ascii="仿宋" w:hAnsi="仿宋" w:eastAsia="仿宋"/>
          <w:sz w:val="30"/>
          <w:szCs w:val="30"/>
          <w:lang w:val="en-US" w:eastAsia="zh-CN"/>
        </w:rPr>
        <w:t>5</w:t>
      </w:r>
      <w:r>
        <w:rPr>
          <w:rFonts w:hint="eastAsia" w:ascii="仿宋" w:hAnsi="仿宋" w:eastAsia="仿宋"/>
          <w:sz w:val="30"/>
          <w:szCs w:val="30"/>
        </w:rPr>
        <w:t>年度本年支出合计</w:t>
      </w:r>
      <w:r>
        <w:rPr>
          <w:rFonts w:hint="eastAsia" w:ascii="仿宋" w:hAnsi="仿宋" w:eastAsia="仿宋"/>
          <w:sz w:val="30"/>
          <w:szCs w:val="30"/>
          <w:lang w:val="en-US" w:eastAsia="zh-CN"/>
        </w:rPr>
        <w:t>4353.69</w:t>
      </w:r>
      <w:r>
        <w:rPr>
          <w:rFonts w:hint="eastAsia" w:ascii="仿宋" w:hAnsi="仿宋" w:eastAsia="仿宋"/>
          <w:sz w:val="30"/>
          <w:szCs w:val="30"/>
        </w:rPr>
        <w:t>万元，其中：基本支出</w:t>
      </w:r>
      <w:r>
        <w:rPr>
          <w:rFonts w:hint="eastAsia" w:ascii="仿宋" w:hAnsi="仿宋" w:eastAsia="仿宋"/>
          <w:sz w:val="30"/>
          <w:szCs w:val="30"/>
          <w:lang w:val="en-US" w:eastAsia="zh-CN"/>
        </w:rPr>
        <w:t>3083.93</w:t>
      </w:r>
      <w:r>
        <w:rPr>
          <w:rFonts w:hint="eastAsia" w:ascii="仿宋" w:hAnsi="仿宋" w:eastAsia="仿宋"/>
          <w:sz w:val="30"/>
          <w:szCs w:val="30"/>
        </w:rPr>
        <w:t>万元，占</w:t>
      </w:r>
      <w:r>
        <w:rPr>
          <w:rFonts w:hint="eastAsia" w:ascii="仿宋" w:hAnsi="仿宋" w:eastAsia="仿宋"/>
          <w:sz w:val="30"/>
          <w:szCs w:val="30"/>
          <w:lang w:val="en-US" w:eastAsia="zh-CN"/>
        </w:rPr>
        <w:t>70.80</w:t>
      </w:r>
      <w:r>
        <w:rPr>
          <w:rFonts w:ascii="仿宋" w:hAnsi="仿宋" w:eastAsia="仿宋"/>
          <w:sz w:val="30"/>
          <w:szCs w:val="30"/>
        </w:rPr>
        <w:t>%</w:t>
      </w:r>
      <w:r>
        <w:rPr>
          <w:rFonts w:hint="eastAsia" w:ascii="仿宋" w:hAnsi="仿宋" w:eastAsia="仿宋"/>
          <w:sz w:val="30"/>
          <w:szCs w:val="30"/>
        </w:rPr>
        <w:t>；项目支出</w:t>
      </w:r>
      <w:r>
        <w:rPr>
          <w:rFonts w:hint="eastAsia" w:ascii="仿宋" w:hAnsi="仿宋" w:eastAsia="仿宋"/>
          <w:sz w:val="30"/>
          <w:szCs w:val="30"/>
          <w:lang w:val="en-US" w:eastAsia="zh-CN"/>
        </w:rPr>
        <w:t>1271.76</w:t>
      </w:r>
      <w:r>
        <w:rPr>
          <w:rFonts w:hint="eastAsia" w:ascii="仿宋" w:hAnsi="仿宋" w:eastAsia="仿宋"/>
          <w:sz w:val="30"/>
          <w:szCs w:val="30"/>
        </w:rPr>
        <w:t>万元，占</w:t>
      </w:r>
      <w:r>
        <w:rPr>
          <w:rFonts w:hint="eastAsia" w:ascii="仿宋" w:hAnsi="仿宋" w:eastAsia="仿宋"/>
          <w:sz w:val="30"/>
          <w:szCs w:val="30"/>
          <w:lang w:val="en-US" w:eastAsia="zh-CN"/>
        </w:rPr>
        <w:t>29.2</w:t>
      </w:r>
      <w:r>
        <w:rPr>
          <w:rFonts w:ascii="仿宋" w:hAnsi="仿宋" w:eastAsia="仿宋"/>
          <w:sz w:val="30"/>
          <w:szCs w:val="30"/>
        </w:rPr>
        <w:t>%</w:t>
      </w:r>
      <w:r>
        <w:rPr>
          <w:rFonts w:hint="eastAsia" w:ascii="仿宋" w:hAnsi="仿宋" w:eastAsia="仿宋"/>
          <w:sz w:val="30"/>
          <w:szCs w:val="30"/>
        </w:rPr>
        <w:t>；上缴上级支出</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0.00</w:t>
      </w:r>
      <w:r>
        <w:rPr>
          <w:rFonts w:ascii="仿宋" w:hAnsi="仿宋" w:eastAsia="仿宋"/>
          <w:sz w:val="30"/>
          <w:szCs w:val="30"/>
        </w:rPr>
        <w:t>%</w:t>
      </w:r>
      <w:r>
        <w:rPr>
          <w:rFonts w:hint="eastAsia" w:ascii="仿宋" w:hAnsi="仿宋" w:eastAsia="仿宋"/>
          <w:sz w:val="30"/>
          <w:szCs w:val="30"/>
        </w:rPr>
        <w:t>；经营支出</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0.00</w:t>
      </w:r>
      <w:r>
        <w:rPr>
          <w:rFonts w:ascii="仿宋" w:hAnsi="仿宋" w:eastAsia="仿宋"/>
          <w:sz w:val="30"/>
          <w:szCs w:val="30"/>
        </w:rPr>
        <w:t>%</w:t>
      </w:r>
      <w:r>
        <w:rPr>
          <w:rFonts w:hint="eastAsia" w:ascii="仿宋" w:hAnsi="仿宋" w:eastAsia="仿宋"/>
          <w:sz w:val="30"/>
          <w:szCs w:val="30"/>
        </w:rPr>
        <w:t>；对附属单位补助支出</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0.00</w:t>
      </w:r>
      <w:r>
        <w:rPr>
          <w:rFonts w:ascii="仿宋" w:hAnsi="仿宋" w:eastAsia="仿宋"/>
          <w:sz w:val="30"/>
          <w:szCs w:val="30"/>
        </w:rPr>
        <w:t>%</w:t>
      </w:r>
      <w:r>
        <w:rPr>
          <w:rFonts w:hint="eastAsia" w:ascii="仿宋" w:hAnsi="仿宋" w:eastAsia="仿宋"/>
          <w:sz w:val="30"/>
          <w:szCs w:val="30"/>
        </w:rPr>
        <w:t>。</w:t>
      </w:r>
      <w:bookmarkEnd w:id="31"/>
      <w:bookmarkEnd w:id="32"/>
    </w:p>
    <w:p w14:paraId="3048BA1C">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outlineLvl w:val="1"/>
      </w:pPr>
      <w:bookmarkStart w:id="33" w:name="_Toc262942649"/>
      <w:bookmarkStart w:id="34" w:name="_Toc1330866257"/>
      <w:r>
        <w:rPr>
          <w:rFonts w:hint="eastAsia" w:ascii="仿宋" w:hAnsi="仿宋" w:eastAsia="仿宋"/>
          <w:b/>
          <w:sz w:val="30"/>
          <w:szCs w:val="30"/>
        </w:rPr>
        <w:t>（注：数据来源于财决</w:t>
      </w:r>
      <w:r>
        <w:rPr>
          <w:rFonts w:ascii="仿宋" w:hAnsi="仿宋" w:eastAsia="仿宋"/>
          <w:b/>
          <w:sz w:val="30"/>
          <w:szCs w:val="30"/>
        </w:rPr>
        <w:t>04</w:t>
      </w:r>
      <w:r>
        <w:rPr>
          <w:rFonts w:hint="eastAsia" w:ascii="仿宋" w:hAnsi="仿宋" w:eastAsia="仿宋"/>
          <w:b/>
          <w:sz w:val="30"/>
          <w:szCs w:val="30"/>
        </w:rPr>
        <w:t>表，仅罗列本部门涉及的支出。）</w:t>
      </w:r>
      <w:bookmarkEnd w:id="33"/>
      <w:bookmarkEnd w:id="34"/>
    </w:p>
    <w:p w14:paraId="352D41EB">
      <w:pPr>
        <w:spacing w:line="600" w:lineRule="exact"/>
        <w:ind w:firstLine="640"/>
      </w:pPr>
    </w:p>
    <w:p w14:paraId="5BBE469F">
      <w:pPr>
        <w:spacing w:line="600" w:lineRule="exact"/>
        <w:ind w:firstLine="640"/>
      </w:pPr>
    </w:p>
    <w:p w14:paraId="73ED6B82">
      <w:pPr>
        <w:spacing w:line="600" w:lineRule="exact"/>
        <w:ind w:firstLine="640"/>
      </w:pPr>
    </w:p>
    <w:p w14:paraId="0DC1A1F4">
      <w:pPr>
        <w:spacing w:line="600" w:lineRule="exact"/>
        <w:ind w:firstLine="640"/>
      </w:pPr>
    </w:p>
    <w:p w14:paraId="6E8E358B">
      <w:pPr>
        <w:spacing w:line="600" w:lineRule="exact"/>
        <w:ind w:firstLine="640"/>
      </w:pPr>
    </w:p>
    <w:p w14:paraId="29DA1CE3">
      <w:pPr>
        <w:spacing w:line="600" w:lineRule="exact"/>
        <w:ind w:firstLine="640"/>
      </w:pPr>
    </w:p>
    <w:p w14:paraId="1943C668">
      <w:pPr>
        <w:spacing w:line="600" w:lineRule="exact"/>
        <w:ind w:firstLine="640"/>
        <w:rPr>
          <w:rFonts w:ascii="仿宋" w:hAnsi="仿宋" w:eastAsia="仿宋"/>
          <w:sz w:val="32"/>
          <w:szCs w:val="32"/>
          <w:shd w:val="pct10" w:color="auto" w:fill="FFFFFF"/>
        </w:rPr>
      </w:pPr>
      <w:r>
        <w:drawing>
          <wp:anchor distT="0" distB="0" distL="114300" distR="114300" simplePos="0" relativeHeight="251661312" behindDoc="0" locked="0" layoutInCell="1" allowOverlap="1">
            <wp:simplePos x="0" y="0"/>
            <wp:positionH relativeFrom="column">
              <wp:posOffset>410845</wp:posOffset>
            </wp:positionH>
            <wp:positionV relativeFrom="paragraph">
              <wp:posOffset>-2262505</wp:posOffset>
            </wp:positionV>
            <wp:extent cx="4740275" cy="2559050"/>
            <wp:effectExtent l="4445" t="4445" r="17780" b="8255"/>
            <wp:wrapSquare wrapText="bothSides"/>
            <wp:docPr id="115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487B4B4">
      <w:pPr>
        <w:spacing w:line="600" w:lineRule="exact"/>
        <w:ind w:firstLine="640" w:firstLineChars="200"/>
        <w:rPr>
          <w:rFonts w:ascii="仿宋" w:hAnsi="仿宋" w:eastAsia="仿宋"/>
          <w:sz w:val="32"/>
          <w:szCs w:val="32"/>
        </w:rPr>
      </w:pPr>
      <w:r>
        <w:rPr>
          <w:rFonts w:hint="eastAsia" w:ascii="仿宋" w:hAnsi="仿宋" w:eastAsia="仿宋"/>
          <w:sz w:val="32"/>
          <w:szCs w:val="32"/>
        </w:rPr>
        <w:t>（图3：支出决算结构图）（饼状图）</w:t>
      </w:r>
    </w:p>
    <w:p w14:paraId="306BD77C">
      <w:pPr>
        <w:spacing w:line="600" w:lineRule="exact"/>
        <w:ind w:firstLine="640" w:firstLineChars="200"/>
        <w:rPr>
          <w:rFonts w:ascii="仿宋_GB2312" w:eastAsia="仿宋_GB2312"/>
          <w:sz w:val="32"/>
          <w:szCs w:val="32"/>
        </w:rPr>
      </w:pPr>
    </w:p>
    <w:p w14:paraId="58C64F3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1"/>
        <w:rPr>
          <w:rStyle w:val="21"/>
          <w:rFonts w:ascii="黑体" w:hAnsi="黑体" w:eastAsia="黑体"/>
          <w:b w:val="0"/>
          <w:color w:val="auto"/>
        </w:rPr>
      </w:pPr>
      <w:bookmarkStart w:id="35" w:name="_Toc216289579"/>
      <w:bookmarkStart w:id="36" w:name="_Toc1974806835"/>
      <w:bookmarkStart w:id="37" w:name="_Toc15396606"/>
      <w:bookmarkStart w:id="38" w:name="_Toc15377208"/>
      <w:r>
        <w:rPr>
          <w:rFonts w:hint="eastAsia" w:ascii="黑体" w:hAnsi="黑体" w:eastAsia="黑体"/>
          <w:color w:val="auto"/>
          <w:sz w:val="32"/>
          <w:szCs w:val="32"/>
        </w:rPr>
        <w:t>四、财</w:t>
      </w:r>
      <w:r>
        <w:rPr>
          <w:rStyle w:val="21"/>
          <w:rFonts w:hint="eastAsia" w:ascii="黑体" w:hAnsi="黑体" w:eastAsia="黑体"/>
          <w:b w:val="0"/>
          <w:color w:val="auto"/>
        </w:rPr>
        <w:t>政拨款收入支出决算总体情况说明</w:t>
      </w:r>
      <w:bookmarkEnd w:id="35"/>
      <w:bookmarkEnd w:id="36"/>
      <w:bookmarkEnd w:id="37"/>
      <w:bookmarkEnd w:id="38"/>
    </w:p>
    <w:p w14:paraId="4F540402">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b/>
          <w:color w:val="000000" w:themeColor="text1"/>
          <w:sz w:val="32"/>
          <w:szCs w:val="32"/>
          <w14:textFill>
            <w14:solidFill>
              <w14:schemeClr w14:val="tx1"/>
            </w14:solidFill>
          </w14:textFill>
        </w:rPr>
      </w:pPr>
      <w:r>
        <w:rPr>
          <w:rFonts w:hint="eastAsia" w:ascii="仿宋" w:hAnsi="仿宋" w:eastAsia="仿宋" w:cs="仿宋"/>
          <w:bCs/>
          <w:color w:val="000000" w:themeColor="text1"/>
          <w:kern w:val="0"/>
          <w:sz w:val="30"/>
          <w:szCs w:val="30"/>
          <w14:textFill>
            <w14:solidFill>
              <w14:schemeClr w14:val="tx1"/>
            </w14:solidFill>
          </w14:textFill>
        </w:rPr>
        <w:t>阿坝州疾控中心202</w:t>
      </w:r>
      <w:r>
        <w:rPr>
          <w:rFonts w:hint="eastAsia" w:ascii="仿宋" w:hAnsi="仿宋" w:eastAsia="仿宋" w:cs="仿宋"/>
          <w:bCs/>
          <w:color w:val="000000" w:themeColor="text1"/>
          <w:kern w:val="0"/>
          <w:sz w:val="30"/>
          <w:szCs w:val="30"/>
          <w:lang w:val="en-US" w:eastAsia="zh-CN"/>
          <w14:textFill>
            <w14:solidFill>
              <w14:schemeClr w14:val="tx1"/>
            </w14:solidFill>
          </w14:textFill>
        </w:rPr>
        <w:t>5</w:t>
      </w:r>
      <w:r>
        <w:rPr>
          <w:rFonts w:hint="eastAsia" w:ascii="仿宋" w:hAnsi="仿宋" w:eastAsia="仿宋" w:cs="仿宋"/>
          <w:bCs/>
          <w:color w:val="000000" w:themeColor="text1"/>
          <w:kern w:val="0"/>
          <w:sz w:val="30"/>
          <w:szCs w:val="30"/>
          <w14:textFill>
            <w14:solidFill>
              <w14:schemeClr w14:val="tx1"/>
            </w14:solidFill>
          </w14:textFill>
        </w:rPr>
        <w:t>年度财政拨款收入</w:t>
      </w:r>
      <w:r>
        <w:rPr>
          <w:rFonts w:hint="eastAsia" w:ascii="仿宋" w:hAnsi="仿宋" w:eastAsia="仿宋" w:cs="仿宋"/>
          <w:bCs/>
          <w:color w:val="000000" w:themeColor="text1"/>
          <w:kern w:val="0"/>
          <w:sz w:val="30"/>
          <w:szCs w:val="30"/>
          <w:lang w:val="en-US" w:eastAsia="zh-CN"/>
          <w14:textFill>
            <w14:solidFill>
              <w14:schemeClr w14:val="tx1"/>
            </w14:solidFill>
          </w14:textFill>
        </w:rPr>
        <w:t>4351.09</w:t>
      </w:r>
      <w:r>
        <w:rPr>
          <w:rFonts w:hint="eastAsia" w:ascii="仿宋" w:hAnsi="仿宋" w:eastAsia="仿宋" w:cs="仿宋"/>
          <w:bCs/>
          <w:color w:val="000000" w:themeColor="text1"/>
          <w:kern w:val="0"/>
          <w:sz w:val="30"/>
          <w:szCs w:val="30"/>
          <w14:textFill>
            <w14:solidFill>
              <w14:schemeClr w14:val="tx1"/>
            </w14:solidFill>
          </w14:textFill>
        </w:rPr>
        <w:t>万元。与202</w:t>
      </w:r>
      <w:r>
        <w:rPr>
          <w:rFonts w:hint="eastAsia" w:ascii="仿宋" w:hAnsi="仿宋" w:eastAsia="仿宋" w:cs="仿宋"/>
          <w:bCs/>
          <w:color w:val="000000" w:themeColor="text1"/>
          <w:kern w:val="0"/>
          <w:sz w:val="30"/>
          <w:szCs w:val="30"/>
          <w:lang w:val="en-US" w:eastAsia="zh-CN"/>
          <w14:textFill>
            <w14:solidFill>
              <w14:schemeClr w14:val="tx1"/>
            </w14:solidFill>
          </w14:textFill>
        </w:rPr>
        <w:t>4</w:t>
      </w:r>
      <w:r>
        <w:rPr>
          <w:rFonts w:hint="eastAsia" w:ascii="仿宋" w:hAnsi="仿宋" w:eastAsia="仿宋" w:cs="仿宋"/>
          <w:bCs/>
          <w:color w:val="000000" w:themeColor="text1"/>
          <w:kern w:val="0"/>
          <w:sz w:val="30"/>
          <w:szCs w:val="30"/>
          <w14:textFill>
            <w14:solidFill>
              <w14:schemeClr w14:val="tx1"/>
            </w14:solidFill>
          </w14:textFill>
        </w:rPr>
        <w:t>年相比，财政拨款收入总计</w:t>
      </w:r>
      <w:r>
        <w:rPr>
          <w:rFonts w:hint="eastAsia" w:ascii="仿宋" w:hAnsi="仿宋" w:eastAsia="仿宋" w:cs="仿宋"/>
          <w:bCs/>
          <w:color w:val="000000" w:themeColor="text1"/>
          <w:kern w:val="0"/>
          <w:sz w:val="30"/>
          <w:szCs w:val="30"/>
          <w:lang w:eastAsia="zh-CN"/>
          <w14:textFill>
            <w14:solidFill>
              <w14:schemeClr w14:val="tx1"/>
            </w14:solidFill>
          </w14:textFill>
        </w:rPr>
        <w:t>增加</w:t>
      </w:r>
      <w:r>
        <w:rPr>
          <w:rFonts w:hint="eastAsia" w:ascii="仿宋" w:hAnsi="仿宋" w:eastAsia="仿宋" w:cs="仿宋"/>
          <w:bCs/>
          <w:color w:val="000000" w:themeColor="text1"/>
          <w:kern w:val="0"/>
          <w:sz w:val="30"/>
          <w:szCs w:val="30"/>
          <w:lang w:val="en-US" w:eastAsia="zh-CN"/>
          <w14:textFill>
            <w14:solidFill>
              <w14:schemeClr w14:val="tx1"/>
            </w14:solidFill>
          </w14:textFill>
        </w:rPr>
        <w:t>13.38</w:t>
      </w:r>
      <w:r>
        <w:rPr>
          <w:rFonts w:hint="eastAsia" w:ascii="仿宋" w:hAnsi="仿宋" w:eastAsia="仿宋" w:cs="仿宋"/>
          <w:bCs/>
          <w:color w:val="000000" w:themeColor="text1"/>
          <w:kern w:val="0"/>
          <w:sz w:val="30"/>
          <w:szCs w:val="30"/>
          <w14:textFill>
            <w14:solidFill>
              <w14:schemeClr w14:val="tx1"/>
            </w14:solidFill>
          </w14:textFill>
        </w:rPr>
        <w:t>万元，</w:t>
      </w:r>
      <w:r>
        <w:rPr>
          <w:rFonts w:hint="eastAsia" w:ascii="仿宋" w:hAnsi="仿宋" w:eastAsia="仿宋" w:cs="仿宋"/>
          <w:bCs/>
          <w:color w:val="000000" w:themeColor="text1"/>
          <w:kern w:val="0"/>
          <w:sz w:val="30"/>
          <w:szCs w:val="30"/>
          <w:lang w:eastAsia="zh-CN"/>
          <w14:textFill>
            <w14:solidFill>
              <w14:schemeClr w14:val="tx1"/>
            </w14:solidFill>
          </w14:textFill>
        </w:rPr>
        <w:t>增加</w:t>
      </w:r>
      <w:r>
        <w:rPr>
          <w:rFonts w:hint="eastAsia" w:ascii="仿宋" w:hAnsi="仿宋" w:eastAsia="仿宋" w:cs="仿宋"/>
          <w:bCs/>
          <w:color w:val="000000" w:themeColor="text1"/>
          <w:kern w:val="0"/>
          <w:sz w:val="30"/>
          <w:szCs w:val="30"/>
          <w:lang w:val="en-US" w:eastAsia="zh-CN"/>
          <w14:textFill>
            <w14:solidFill>
              <w14:schemeClr w14:val="tx1"/>
            </w14:solidFill>
          </w14:textFill>
        </w:rPr>
        <w:t>0.31</w:t>
      </w:r>
      <w:r>
        <w:rPr>
          <w:rFonts w:hint="eastAsia" w:ascii="仿宋" w:hAnsi="仿宋" w:eastAsia="仿宋" w:cs="仿宋"/>
          <w:bCs/>
          <w:color w:val="000000" w:themeColor="text1"/>
          <w:kern w:val="0"/>
          <w:sz w:val="30"/>
          <w:szCs w:val="30"/>
          <w14:textFill>
            <w14:solidFill>
              <w14:schemeClr w14:val="tx1"/>
            </w14:solidFill>
          </w14:textFill>
        </w:rPr>
        <w:t>%。主要变动原因为</w:t>
      </w:r>
      <w:r>
        <w:rPr>
          <w:rFonts w:hint="eastAsia" w:ascii="仿宋" w:hAnsi="仿宋" w:eastAsia="仿宋" w:cs="仿宋"/>
          <w:bCs/>
          <w:color w:val="000000" w:themeColor="text1"/>
          <w:kern w:val="0"/>
          <w:sz w:val="30"/>
          <w:szCs w:val="30"/>
          <w:highlight w:val="none"/>
          <w:lang w:eastAsia="zh-CN"/>
          <w14:textFill>
            <w14:solidFill>
              <w14:schemeClr w14:val="tx1"/>
            </w14:solidFill>
          </w14:textFill>
        </w:rPr>
        <w:t>一般公共预算财政拨款收入增加</w:t>
      </w:r>
      <w:r>
        <w:rPr>
          <w:rFonts w:hint="eastAsia" w:ascii="仿宋" w:hAnsi="仿宋" w:eastAsia="仿宋" w:cs="仿宋"/>
          <w:bCs/>
          <w:color w:val="000000" w:themeColor="text1"/>
          <w:kern w:val="0"/>
          <w:sz w:val="30"/>
          <w:szCs w:val="30"/>
          <w14:textFill>
            <w14:solidFill>
              <w14:schemeClr w14:val="tx1"/>
            </w14:solidFill>
          </w14:textFill>
        </w:rPr>
        <w:t>，202</w:t>
      </w:r>
      <w:r>
        <w:rPr>
          <w:rFonts w:hint="eastAsia" w:ascii="仿宋" w:hAnsi="仿宋" w:eastAsia="仿宋" w:cs="仿宋"/>
          <w:bCs/>
          <w:color w:val="000000" w:themeColor="text1"/>
          <w:kern w:val="0"/>
          <w:sz w:val="30"/>
          <w:szCs w:val="30"/>
          <w:lang w:val="en-US" w:eastAsia="zh-CN"/>
          <w14:textFill>
            <w14:solidFill>
              <w14:schemeClr w14:val="tx1"/>
            </w14:solidFill>
          </w14:textFill>
        </w:rPr>
        <w:t>5</w:t>
      </w:r>
      <w:r>
        <w:rPr>
          <w:rFonts w:hint="eastAsia" w:ascii="仿宋" w:hAnsi="仿宋" w:eastAsia="仿宋" w:cs="仿宋"/>
          <w:bCs/>
          <w:color w:val="000000" w:themeColor="text1"/>
          <w:kern w:val="0"/>
          <w:sz w:val="30"/>
          <w:szCs w:val="30"/>
          <w14:textFill>
            <w14:solidFill>
              <w14:schemeClr w14:val="tx1"/>
            </w14:solidFill>
          </w14:textFill>
        </w:rPr>
        <w:t>年度财政拨款支出总计</w:t>
      </w:r>
      <w:r>
        <w:rPr>
          <w:rFonts w:hint="eastAsia" w:ascii="仿宋" w:hAnsi="仿宋" w:eastAsia="仿宋" w:cs="仿宋"/>
          <w:bCs/>
          <w:color w:val="000000" w:themeColor="text1"/>
          <w:kern w:val="0"/>
          <w:sz w:val="30"/>
          <w:szCs w:val="30"/>
          <w:lang w:val="en-US" w:eastAsia="zh-CN"/>
          <w14:textFill>
            <w14:solidFill>
              <w14:schemeClr w14:val="tx1"/>
            </w14:solidFill>
          </w14:textFill>
        </w:rPr>
        <w:t>4351.09</w:t>
      </w:r>
      <w:r>
        <w:rPr>
          <w:rFonts w:hint="eastAsia" w:ascii="仿宋" w:hAnsi="仿宋" w:eastAsia="仿宋" w:cs="仿宋"/>
          <w:bCs/>
          <w:color w:val="000000" w:themeColor="text1"/>
          <w:kern w:val="0"/>
          <w:sz w:val="30"/>
          <w:szCs w:val="30"/>
          <w14:textFill>
            <w14:solidFill>
              <w14:schemeClr w14:val="tx1"/>
            </w14:solidFill>
          </w14:textFill>
        </w:rPr>
        <w:t>万元。与202</w:t>
      </w:r>
      <w:r>
        <w:rPr>
          <w:rFonts w:hint="eastAsia" w:ascii="仿宋" w:hAnsi="仿宋" w:eastAsia="仿宋" w:cs="仿宋"/>
          <w:bCs/>
          <w:color w:val="000000" w:themeColor="text1"/>
          <w:kern w:val="0"/>
          <w:sz w:val="30"/>
          <w:szCs w:val="30"/>
          <w:lang w:val="en-US" w:eastAsia="zh-CN"/>
          <w14:textFill>
            <w14:solidFill>
              <w14:schemeClr w14:val="tx1"/>
            </w14:solidFill>
          </w14:textFill>
        </w:rPr>
        <w:t>4</w:t>
      </w:r>
      <w:r>
        <w:rPr>
          <w:rFonts w:hint="eastAsia" w:ascii="仿宋" w:hAnsi="仿宋" w:eastAsia="仿宋" w:cs="仿宋"/>
          <w:bCs/>
          <w:color w:val="000000" w:themeColor="text1"/>
          <w:kern w:val="0"/>
          <w:sz w:val="30"/>
          <w:szCs w:val="30"/>
          <w14:textFill>
            <w14:solidFill>
              <w14:schemeClr w14:val="tx1"/>
            </w14:solidFill>
          </w14:textFill>
        </w:rPr>
        <w:t>年相比，财政拨款支出总计</w:t>
      </w:r>
      <w:r>
        <w:rPr>
          <w:rFonts w:hint="eastAsia" w:ascii="仿宋" w:hAnsi="仿宋" w:eastAsia="仿宋" w:cs="仿宋"/>
          <w:bCs/>
          <w:color w:val="000000" w:themeColor="text1"/>
          <w:kern w:val="0"/>
          <w:sz w:val="30"/>
          <w:szCs w:val="30"/>
          <w:lang w:eastAsia="zh-CN"/>
          <w14:textFill>
            <w14:solidFill>
              <w14:schemeClr w14:val="tx1"/>
            </w14:solidFill>
          </w14:textFill>
        </w:rPr>
        <w:t>增加</w:t>
      </w:r>
      <w:r>
        <w:rPr>
          <w:rFonts w:hint="eastAsia" w:ascii="仿宋" w:hAnsi="仿宋" w:eastAsia="仿宋" w:cs="仿宋"/>
          <w:bCs/>
          <w:color w:val="000000" w:themeColor="text1"/>
          <w:kern w:val="0"/>
          <w:sz w:val="30"/>
          <w:szCs w:val="30"/>
          <w:lang w:val="en-US" w:eastAsia="zh-CN"/>
          <w14:textFill>
            <w14:solidFill>
              <w14:schemeClr w14:val="tx1"/>
            </w14:solidFill>
          </w14:textFill>
        </w:rPr>
        <w:t>13.38</w:t>
      </w:r>
      <w:r>
        <w:rPr>
          <w:rFonts w:hint="eastAsia" w:ascii="仿宋" w:hAnsi="仿宋" w:eastAsia="仿宋" w:cs="仿宋"/>
          <w:bCs/>
          <w:color w:val="000000" w:themeColor="text1"/>
          <w:kern w:val="0"/>
          <w:sz w:val="30"/>
          <w:szCs w:val="30"/>
          <w14:textFill>
            <w14:solidFill>
              <w14:schemeClr w14:val="tx1"/>
            </w14:solidFill>
          </w14:textFill>
        </w:rPr>
        <w:t>万元，</w:t>
      </w:r>
      <w:r>
        <w:rPr>
          <w:rFonts w:hint="eastAsia" w:ascii="仿宋" w:hAnsi="仿宋" w:eastAsia="仿宋" w:cs="仿宋"/>
          <w:bCs/>
          <w:color w:val="000000" w:themeColor="text1"/>
          <w:kern w:val="0"/>
          <w:sz w:val="30"/>
          <w:szCs w:val="30"/>
          <w:lang w:eastAsia="zh-CN"/>
          <w14:textFill>
            <w14:solidFill>
              <w14:schemeClr w14:val="tx1"/>
            </w14:solidFill>
          </w14:textFill>
        </w:rPr>
        <w:t>增加</w:t>
      </w:r>
      <w:r>
        <w:rPr>
          <w:rFonts w:hint="eastAsia" w:ascii="仿宋" w:hAnsi="仿宋" w:eastAsia="仿宋" w:cs="仿宋"/>
          <w:bCs/>
          <w:color w:val="000000" w:themeColor="text1"/>
          <w:kern w:val="0"/>
          <w:sz w:val="30"/>
          <w:szCs w:val="30"/>
          <w:lang w:val="en-US" w:eastAsia="zh-CN"/>
          <w14:textFill>
            <w14:solidFill>
              <w14:schemeClr w14:val="tx1"/>
            </w14:solidFill>
          </w14:textFill>
        </w:rPr>
        <w:t>0.31</w:t>
      </w:r>
      <w:r>
        <w:rPr>
          <w:rFonts w:hint="eastAsia" w:ascii="仿宋" w:hAnsi="仿宋" w:eastAsia="仿宋" w:cs="仿宋"/>
          <w:bCs/>
          <w:color w:val="000000" w:themeColor="text1"/>
          <w:kern w:val="0"/>
          <w:sz w:val="30"/>
          <w:szCs w:val="30"/>
          <w14:textFill>
            <w14:solidFill>
              <w14:schemeClr w14:val="tx1"/>
            </w14:solidFill>
          </w14:textFill>
        </w:rPr>
        <w:t>%。主要变动原因</w:t>
      </w:r>
      <w:r>
        <w:rPr>
          <w:rFonts w:hint="eastAsia" w:ascii="仿宋" w:hAnsi="仿宋" w:eastAsia="仿宋" w:cs="仿宋"/>
          <w:bCs/>
          <w:color w:val="000000" w:themeColor="text1"/>
          <w:kern w:val="0"/>
          <w:sz w:val="30"/>
          <w:szCs w:val="30"/>
          <w:highlight w:val="none"/>
          <w:lang w:eastAsia="zh-CN"/>
          <w14:textFill>
            <w14:solidFill>
              <w14:schemeClr w14:val="tx1"/>
            </w14:solidFill>
          </w14:textFill>
        </w:rPr>
        <w:t>一般公共预算财政拨款支出增加。</w:t>
      </w:r>
      <w:r>
        <w:rPr>
          <w:rFonts w:hint="eastAsia" w:ascii="仿宋" w:hAnsi="仿宋" w:eastAsia="仿宋"/>
          <w:b/>
          <w:color w:val="000000" w:themeColor="text1"/>
          <w:sz w:val="32"/>
          <w:szCs w:val="32"/>
          <w14:textFill>
            <w14:solidFill>
              <w14:schemeClr w14:val="tx1"/>
            </w14:solidFill>
          </w14:textFill>
        </w:rPr>
        <w:t>（注：数据来源于财决</w:t>
      </w:r>
      <w:r>
        <w:rPr>
          <w:rFonts w:ascii="仿宋" w:hAnsi="仿宋" w:eastAsia="仿宋"/>
          <w:b/>
          <w:color w:val="000000" w:themeColor="text1"/>
          <w:sz w:val="32"/>
          <w:szCs w:val="32"/>
          <w14:textFill>
            <w14:solidFill>
              <w14:schemeClr w14:val="tx1"/>
            </w14:solidFill>
          </w14:textFill>
        </w:rPr>
        <w:t>01-1</w:t>
      </w:r>
      <w:r>
        <w:rPr>
          <w:rFonts w:hint="eastAsia" w:ascii="仿宋" w:hAnsi="仿宋" w:eastAsia="仿宋"/>
          <w:b/>
          <w:color w:val="000000" w:themeColor="text1"/>
          <w:sz w:val="32"/>
          <w:szCs w:val="32"/>
          <w14:textFill>
            <w14:solidFill>
              <w14:schemeClr w14:val="tx1"/>
            </w14:solidFill>
          </w14:textFill>
        </w:rPr>
        <w:t>表</w:t>
      </w:r>
      <w:r>
        <w:rPr>
          <w:rFonts w:ascii="仿宋" w:hAnsi="仿宋" w:eastAsia="仿宋"/>
          <w:b/>
          <w:color w:val="000000" w:themeColor="text1"/>
          <w:sz w:val="32"/>
          <w:szCs w:val="32"/>
          <w14:textFill>
            <w14:solidFill>
              <w14:schemeClr w14:val="tx1"/>
            </w14:solidFill>
          </w14:textFill>
        </w:rPr>
        <w:t>）</w:t>
      </w:r>
    </w:p>
    <w:p w14:paraId="7453B17E">
      <w:pPr>
        <w:spacing w:line="600" w:lineRule="exact"/>
        <w:rPr>
          <w:color w:val="000000" w:themeColor="text1"/>
          <w14:textFill>
            <w14:solidFill>
              <w14:schemeClr w14:val="tx1"/>
            </w14:solidFill>
          </w14:textFill>
        </w:rPr>
      </w:pPr>
    </w:p>
    <w:p w14:paraId="49696625">
      <w:pPr>
        <w:spacing w:line="600" w:lineRule="exact"/>
        <w:rPr>
          <w:color w:val="000000" w:themeColor="text1"/>
          <w14:textFill>
            <w14:solidFill>
              <w14:schemeClr w14:val="tx1"/>
            </w14:solidFill>
          </w14:textFill>
        </w:rPr>
      </w:pPr>
    </w:p>
    <w:p w14:paraId="599AC671">
      <w:pPr>
        <w:spacing w:line="600" w:lineRule="exact"/>
        <w:rPr>
          <w:color w:val="000000" w:themeColor="text1"/>
          <w14:textFill>
            <w14:solidFill>
              <w14:schemeClr w14:val="tx1"/>
            </w14:solidFill>
          </w14:textFill>
        </w:rPr>
      </w:pPr>
    </w:p>
    <w:p w14:paraId="5574210E">
      <w:pPr>
        <w:spacing w:line="600" w:lineRule="exact"/>
        <w:rPr>
          <w:color w:val="000000" w:themeColor="text1"/>
          <w14:textFill>
            <w14:solidFill>
              <w14:schemeClr w14:val="tx1"/>
            </w14:solidFill>
          </w14:textFill>
        </w:rPr>
      </w:pPr>
    </w:p>
    <w:p w14:paraId="29611EA7">
      <w:pPr>
        <w:spacing w:line="600" w:lineRule="exact"/>
        <w:rPr>
          <w:color w:val="000000" w:themeColor="text1"/>
          <w14:textFill>
            <w14:solidFill>
              <w14:schemeClr w14:val="tx1"/>
            </w14:solidFill>
          </w14:textFill>
        </w:rPr>
      </w:pPr>
    </w:p>
    <w:p w14:paraId="46E3C077">
      <w:pPr>
        <w:spacing w:line="600" w:lineRule="exact"/>
        <w:rPr>
          <w:color w:val="000000" w:themeColor="text1"/>
          <w14:textFill>
            <w14:solidFill>
              <w14:schemeClr w14:val="tx1"/>
            </w14:solidFill>
          </w14:textFill>
        </w:rPr>
      </w:pPr>
    </w:p>
    <w:p w14:paraId="5E3C3AD7">
      <w:pPr>
        <w:spacing w:line="600" w:lineRule="exact"/>
        <w:rPr>
          <w:color w:val="000000" w:themeColor="text1"/>
          <w14:textFill>
            <w14:solidFill>
              <w14:schemeClr w14:val="tx1"/>
            </w14:solidFill>
          </w14:textFill>
        </w:rPr>
      </w:pPr>
      <w:r>
        <w:drawing>
          <wp:anchor distT="0" distB="0" distL="114300" distR="114300" simplePos="0" relativeHeight="251662336" behindDoc="0" locked="0" layoutInCell="1" allowOverlap="1">
            <wp:simplePos x="0" y="0"/>
            <wp:positionH relativeFrom="column">
              <wp:posOffset>4445</wp:posOffset>
            </wp:positionH>
            <wp:positionV relativeFrom="paragraph">
              <wp:posOffset>-2167255</wp:posOffset>
            </wp:positionV>
            <wp:extent cx="4683125" cy="2458085"/>
            <wp:effectExtent l="4445" t="4445" r="17780" b="13970"/>
            <wp:wrapSquare wrapText="bothSides"/>
            <wp:docPr id="115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2A2CB20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（图4：财政拨款收、支决算总计变动情况）（柱状图）</w:t>
      </w:r>
    </w:p>
    <w:p w14:paraId="168A5311">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b/>
          <w:color w:val="000000" w:themeColor="text1"/>
          <w:sz w:val="32"/>
          <w:szCs w:val="32"/>
          <w14:textFill>
            <w14:solidFill>
              <w14:schemeClr w14:val="tx1"/>
            </w14:solidFill>
          </w14:textFill>
        </w:rPr>
      </w:pPr>
    </w:p>
    <w:p w14:paraId="48A18E4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1"/>
        <w:rPr>
          <w:rStyle w:val="21"/>
          <w:rFonts w:ascii="黑体" w:hAnsi="黑体" w:eastAsia="黑体"/>
          <w:b w:val="0"/>
          <w:color w:val="000000" w:themeColor="text1"/>
          <w14:textFill>
            <w14:solidFill>
              <w14:schemeClr w14:val="tx1"/>
            </w14:solidFill>
          </w14:textFill>
        </w:rPr>
      </w:pPr>
      <w:bookmarkStart w:id="39" w:name="_Toc550046877"/>
      <w:bookmarkStart w:id="40" w:name="_Toc15377209"/>
      <w:bookmarkStart w:id="41" w:name="_Toc15396607"/>
      <w:bookmarkStart w:id="42" w:name="_Toc372456571"/>
      <w:r>
        <w:rPr>
          <w:rFonts w:hint="eastAsia" w:ascii="黑体" w:hAnsi="黑体" w:eastAsia="黑体"/>
          <w:color w:val="000000" w:themeColor="text1"/>
          <w:sz w:val="32"/>
          <w:szCs w:val="32"/>
          <w14:textFill>
            <w14:solidFill>
              <w14:schemeClr w14:val="tx1"/>
            </w14:solidFill>
          </w14:textFill>
        </w:rPr>
        <w:t>五、</w:t>
      </w:r>
      <w:r>
        <w:rPr>
          <w:rFonts w:hint="eastAsia" w:ascii="黑体" w:hAnsi="黑体" w:eastAsia="黑体"/>
          <w:b/>
          <w:color w:val="000000" w:themeColor="text1"/>
          <w:sz w:val="32"/>
          <w:szCs w:val="32"/>
          <w14:textFill>
            <w14:solidFill>
              <w14:schemeClr w14:val="tx1"/>
            </w14:solidFill>
          </w14:textFill>
        </w:rPr>
        <w:t>一</w:t>
      </w:r>
      <w:r>
        <w:rPr>
          <w:rStyle w:val="21"/>
          <w:rFonts w:hint="eastAsia" w:ascii="黑体" w:hAnsi="黑体" w:eastAsia="黑体"/>
          <w:b w:val="0"/>
          <w:color w:val="000000" w:themeColor="text1"/>
          <w14:textFill>
            <w14:solidFill>
              <w14:schemeClr w14:val="tx1"/>
            </w14:solidFill>
          </w14:textFill>
        </w:rPr>
        <w:t>般公共预算财政拨款支出决算情况说明</w:t>
      </w:r>
      <w:bookmarkEnd w:id="39"/>
      <w:bookmarkEnd w:id="40"/>
      <w:bookmarkEnd w:id="41"/>
      <w:bookmarkEnd w:id="42"/>
    </w:p>
    <w:p w14:paraId="5B6B6374">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outlineLvl w:val="2"/>
        <w:rPr>
          <w:rFonts w:ascii="仿宋" w:hAnsi="仿宋" w:eastAsia="仿宋"/>
          <w:b/>
          <w:color w:val="000000" w:themeColor="text1"/>
          <w:sz w:val="32"/>
          <w:szCs w:val="32"/>
          <w14:textFill>
            <w14:solidFill>
              <w14:schemeClr w14:val="tx1"/>
            </w14:solidFill>
          </w14:textFill>
        </w:rPr>
      </w:pPr>
      <w:bookmarkStart w:id="43" w:name="_Toc15377210"/>
      <w:bookmarkStart w:id="44" w:name="_Toc54937324"/>
      <w:r>
        <w:rPr>
          <w:rFonts w:hint="eastAsia" w:ascii="仿宋" w:hAnsi="仿宋" w:eastAsia="仿宋"/>
          <w:b/>
          <w:color w:val="000000" w:themeColor="text1"/>
          <w:sz w:val="32"/>
          <w:szCs w:val="32"/>
          <w14:textFill>
            <w14:solidFill>
              <w14:schemeClr w14:val="tx1"/>
            </w14:solidFill>
          </w14:textFill>
        </w:rPr>
        <w:t>（一）一般公共预算财政拨款支出决算总体情况</w:t>
      </w:r>
      <w:bookmarkEnd w:id="43"/>
      <w:bookmarkEnd w:id="44"/>
    </w:p>
    <w:p w14:paraId="2327613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 w:hAnsi="仿宋" w:eastAsia="仿宋" w:cs="Times New Roman"/>
          <w:color w:val="000000" w:themeColor="text1"/>
          <w:sz w:val="30"/>
          <w:szCs w:val="30"/>
          <w:lang w:eastAsia="zh-CN"/>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202</w:t>
      </w:r>
      <w:r>
        <w:rPr>
          <w:rFonts w:hint="eastAsia" w:ascii="仿宋" w:hAnsi="仿宋" w:eastAsia="仿宋"/>
          <w:color w:val="000000" w:themeColor="text1"/>
          <w:sz w:val="30"/>
          <w:szCs w:val="30"/>
          <w:lang w:val="en-US" w:eastAsia="zh-CN"/>
          <w14:textFill>
            <w14:solidFill>
              <w14:schemeClr w14:val="tx1"/>
            </w14:solidFill>
          </w14:textFill>
        </w:rPr>
        <w:t>5</w:t>
      </w:r>
      <w:r>
        <w:rPr>
          <w:rFonts w:hint="eastAsia" w:ascii="仿宋" w:hAnsi="仿宋" w:eastAsia="仿宋"/>
          <w:color w:val="000000" w:themeColor="text1"/>
          <w:sz w:val="30"/>
          <w:szCs w:val="30"/>
          <w14:textFill>
            <w14:solidFill>
              <w14:schemeClr w14:val="tx1"/>
            </w14:solidFill>
          </w14:textFill>
        </w:rPr>
        <w:t>年度一般公共预算财政拨款支出</w:t>
      </w:r>
      <w:r>
        <w:rPr>
          <w:rFonts w:hint="eastAsia" w:ascii="仿宋" w:hAnsi="仿宋" w:eastAsia="仿宋"/>
          <w:color w:val="000000" w:themeColor="text1"/>
          <w:sz w:val="30"/>
          <w:szCs w:val="30"/>
          <w:lang w:val="en-US" w:eastAsia="zh-CN"/>
          <w14:textFill>
            <w14:solidFill>
              <w14:schemeClr w14:val="tx1"/>
            </w14:solidFill>
          </w14:textFill>
        </w:rPr>
        <w:t>4351.09</w:t>
      </w:r>
      <w:r>
        <w:rPr>
          <w:rFonts w:hint="eastAsia" w:ascii="仿宋" w:hAnsi="仿宋" w:eastAsia="仿宋"/>
          <w:color w:val="000000" w:themeColor="text1"/>
          <w:sz w:val="30"/>
          <w:szCs w:val="30"/>
          <w14:textFill>
            <w14:solidFill>
              <w14:schemeClr w14:val="tx1"/>
            </w14:solidFill>
          </w14:textFill>
        </w:rPr>
        <w:t>万元，占本年支出合计的</w:t>
      </w:r>
      <w:r>
        <w:rPr>
          <w:rFonts w:hint="eastAsia" w:ascii="仿宋" w:hAnsi="仿宋" w:eastAsia="仿宋"/>
          <w:color w:val="000000" w:themeColor="text1"/>
          <w:sz w:val="30"/>
          <w:szCs w:val="30"/>
          <w:lang w:val="en-US" w:eastAsia="zh-CN"/>
          <w14:textFill>
            <w14:solidFill>
              <w14:schemeClr w14:val="tx1"/>
            </w14:solidFill>
          </w14:textFill>
        </w:rPr>
        <w:t>99.89</w:t>
      </w:r>
      <w:r>
        <w:rPr>
          <w:rFonts w:ascii="仿宋" w:hAnsi="仿宋" w:eastAsia="仿宋"/>
          <w:color w:val="000000" w:themeColor="text1"/>
          <w:sz w:val="30"/>
          <w:szCs w:val="30"/>
          <w14:textFill>
            <w14:solidFill>
              <w14:schemeClr w14:val="tx1"/>
            </w14:solidFill>
          </w14:textFill>
        </w:rPr>
        <w:t>%</w:t>
      </w:r>
      <w:r>
        <w:rPr>
          <w:rFonts w:hint="eastAsia" w:ascii="仿宋" w:hAnsi="仿宋" w:eastAsia="仿宋"/>
          <w:color w:val="000000" w:themeColor="text1"/>
          <w:sz w:val="30"/>
          <w:szCs w:val="30"/>
          <w14:textFill>
            <w14:solidFill>
              <w14:schemeClr w14:val="tx1"/>
            </w14:solidFill>
          </w14:textFill>
        </w:rPr>
        <w:t>。与202</w:t>
      </w:r>
      <w:r>
        <w:rPr>
          <w:rFonts w:hint="eastAsia" w:ascii="仿宋" w:hAnsi="仿宋" w:eastAsia="仿宋"/>
          <w:color w:val="000000" w:themeColor="text1"/>
          <w:sz w:val="30"/>
          <w:szCs w:val="30"/>
          <w:lang w:val="en-US" w:eastAsia="zh-CN"/>
          <w14:textFill>
            <w14:solidFill>
              <w14:schemeClr w14:val="tx1"/>
            </w14:solidFill>
          </w14:textFill>
        </w:rPr>
        <w:t>4</w:t>
      </w:r>
      <w:r>
        <w:rPr>
          <w:rFonts w:hint="eastAsia" w:ascii="仿宋" w:hAnsi="仿宋" w:eastAsia="仿宋"/>
          <w:color w:val="000000" w:themeColor="text1"/>
          <w:sz w:val="30"/>
          <w:szCs w:val="30"/>
          <w14:textFill>
            <w14:solidFill>
              <w14:schemeClr w14:val="tx1"/>
            </w14:solidFill>
          </w14:textFill>
        </w:rPr>
        <w:t>年度相比，一般公共预算财政拨款支出</w:t>
      </w:r>
      <w:r>
        <w:rPr>
          <w:rFonts w:hint="eastAsia" w:ascii="仿宋" w:hAnsi="仿宋" w:eastAsia="仿宋"/>
          <w:color w:val="000000" w:themeColor="text1"/>
          <w:sz w:val="30"/>
          <w:szCs w:val="30"/>
          <w:lang w:eastAsia="zh-CN"/>
          <w14:textFill>
            <w14:solidFill>
              <w14:schemeClr w14:val="tx1"/>
            </w14:solidFill>
          </w14:textFill>
        </w:rPr>
        <w:t>增加</w:t>
      </w:r>
      <w:r>
        <w:rPr>
          <w:rFonts w:hint="eastAsia" w:ascii="仿宋" w:hAnsi="仿宋" w:eastAsia="仿宋"/>
          <w:color w:val="000000" w:themeColor="text1"/>
          <w:sz w:val="30"/>
          <w:szCs w:val="30"/>
          <w:lang w:val="en-US" w:eastAsia="zh-CN"/>
          <w14:textFill>
            <w14:solidFill>
              <w14:schemeClr w14:val="tx1"/>
            </w14:solidFill>
          </w14:textFill>
        </w:rPr>
        <w:t>13.38</w:t>
      </w:r>
      <w:r>
        <w:rPr>
          <w:rFonts w:hint="eastAsia" w:ascii="仿宋" w:hAnsi="仿宋" w:eastAsia="仿宋"/>
          <w:color w:val="000000" w:themeColor="text1"/>
          <w:sz w:val="30"/>
          <w:szCs w:val="30"/>
          <w14:textFill>
            <w14:solidFill>
              <w14:schemeClr w14:val="tx1"/>
            </w14:solidFill>
          </w14:textFill>
        </w:rPr>
        <w:t>万元，</w:t>
      </w:r>
      <w:r>
        <w:rPr>
          <w:rFonts w:hint="eastAsia" w:ascii="仿宋" w:hAnsi="仿宋" w:eastAsia="仿宋"/>
          <w:color w:val="000000" w:themeColor="text1"/>
          <w:sz w:val="30"/>
          <w:szCs w:val="30"/>
          <w:lang w:eastAsia="zh-CN"/>
          <w14:textFill>
            <w14:solidFill>
              <w14:schemeClr w14:val="tx1"/>
            </w14:solidFill>
          </w14:textFill>
        </w:rPr>
        <w:t>增加</w:t>
      </w:r>
      <w:r>
        <w:rPr>
          <w:rFonts w:hint="eastAsia" w:ascii="仿宋" w:hAnsi="仿宋" w:eastAsia="仿宋"/>
          <w:color w:val="000000" w:themeColor="text1"/>
          <w:sz w:val="30"/>
          <w:szCs w:val="30"/>
          <w:lang w:val="en-US" w:eastAsia="zh-CN"/>
          <w14:textFill>
            <w14:solidFill>
              <w14:schemeClr w14:val="tx1"/>
            </w14:solidFill>
          </w14:textFill>
        </w:rPr>
        <w:t>0.31</w:t>
      </w:r>
      <w:r>
        <w:rPr>
          <w:rFonts w:ascii="仿宋" w:hAnsi="仿宋" w:eastAsia="仿宋"/>
          <w:color w:val="000000" w:themeColor="text1"/>
          <w:sz w:val="30"/>
          <w:szCs w:val="30"/>
          <w14:textFill>
            <w14:solidFill>
              <w14:schemeClr w14:val="tx1"/>
            </w14:solidFill>
          </w14:textFill>
        </w:rPr>
        <w:t>%</w:t>
      </w:r>
      <w:r>
        <w:rPr>
          <w:rFonts w:hint="eastAsia" w:ascii="仿宋" w:hAnsi="仿宋" w:eastAsia="仿宋"/>
          <w:color w:val="000000" w:themeColor="text1"/>
          <w:sz w:val="30"/>
          <w:szCs w:val="30"/>
          <w14:textFill>
            <w14:solidFill>
              <w14:schemeClr w14:val="tx1"/>
            </w14:solidFill>
          </w14:textFill>
        </w:rPr>
        <w:t>。主要变动原因是</w:t>
      </w:r>
      <w:r>
        <w:rPr>
          <w:rFonts w:hint="eastAsia" w:ascii="仿宋" w:hAnsi="仿宋" w:eastAsia="仿宋" w:cs="Times New Roman"/>
          <w:color w:val="000000" w:themeColor="text1"/>
          <w:sz w:val="30"/>
          <w:szCs w:val="30"/>
          <w:lang w:eastAsia="zh-CN"/>
          <w14:textFill>
            <w14:solidFill>
              <w14:schemeClr w14:val="tx1"/>
            </w14:solidFill>
          </w14:textFill>
        </w:rPr>
        <w:t>一般公共预算财政拨款收入增加。</w:t>
      </w:r>
    </w:p>
    <w:p w14:paraId="1CFF9E52">
      <w:pPr>
        <w:spacing w:line="600" w:lineRule="exact"/>
        <w:ind w:firstLine="640" w:firstLineChars="200"/>
        <w:rPr>
          <w:rFonts w:hint="eastAsia" w:ascii="仿宋" w:hAnsi="仿宋" w:eastAsia="仿宋" w:cs="Times New Roman"/>
          <w:color w:val="0070C0"/>
          <w:sz w:val="32"/>
          <w:szCs w:val="32"/>
          <w:lang w:eastAsia="zh-CN"/>
        </w:rPr>
      </w:pPr>
    </w:p>
    <w:p w14:paraId="792F5E96">
      <w:pPr>
        <w:spacing w:line="600" w:lineRule="exact"/>
        <w:ind w:firstLine="420" w:firstLineChars="200"/>
      </w:pPr>
    </w:p>
    <w:p w14:paraId="33DB6E7A">
      <w:pPr>
        <w:spacing w:line="600" w:lineRule="exact"/>
        <w:ind w:firstLine="420" w:firstLineChars="200"/>
      </w:pPr>
    </w:p>
    <w:p w14:paraId="2A5FD55F">
      <w:pPr>
        <w:spacing w:line="600" w:lineRule="exact"/>
        <w:ind w:firstLine="420" w:firstLineChars="200"/>
      </w:pPr>
      <w:r>
        <w:drawing>
          <wp:anchor distT="0" distB="0" distL="114300" distR="114300" simplePos="0" relativeHeight="251663360" behindDoc="0" locked="0" layoutInCell="1" allowOverlap="1">
            <wp:simplePos x="0" y="0"/>
            <wp:positionH relativeFrom="column">
              <wp:posOffset>297180</wp:posOffset>
            </wp:positionH>
            <wp:positionV relativeFrom="paragraph">
              <wp:posOffset>155575</wp:posOffset>
            </wp:positionV>
            <wp:extent cx="4549140" cy="2496185"/>
            <wp:effectExtent l="4445" t="4445" r="18415" b="13970"/>
            <wp:wrapSquare wrapText="bothSides"/>
            <wp:docPr id="115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19611D6">
      <w:pPr>
        <w:spacing w:line="600" w:lineRule="exact"/>
        <w:ind w:firstLine="420" w:firstLineChars="200"/>
      </w:pPr>
    </w:p>
    <w:p w14:paraId="22F64B5B">
      <w:pPr>
        <w:spacing w:line="600" w:lineRule="exact"/>
        <w:ind w:firstLine="420" w:firstLineChars="200"/>
      </w:pPr>
    </w:p>
    <w:p w14:paraId="6C11170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p>
    <w:p w14:paraId="6CF9BC8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p>
    <w:p w14:paraId="6CA535D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p>
    <w:p w14:paraId="26D7A6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p>
    <w:p w14:paraId="02D3D7E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p>
    <w:p w14:paraId="4DA3BF1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4B45EEBC">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sz w:val="32"/>
          <w:szCs w:val="32"/>
        </w:rPr>
      </w:pPr>
    </w:p>
    <w:p w14:paraId="5011D7A0">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outlineLvl w:val="2"/>
        <w:rPr>
          <w:rFonts w:ascii="仿宋" w:hAnsi="仿宋" w:eastAsia="仿宋"/>
          <w:b/>
          <w:sz w:val="32"/>
          <w:szCs w:val="32"/>
        </w:rPr>
      </w:pPr>
      <w:bookmarkStart w:id="45" w:name="_Toc15377211"/>
      <w:bookmarkStart w:id="46" w:name="_Toc281837879"/>
      <w:r>
        <w:rPr>
          <w:rFonts w:hint="eastAsia" w:ascii="仿宋" w:hAnsi="仿宋" w:eastAsia="仿宋"/>
          <w:b/>
          <w:sz w:val="32"/>
          <w:szCs w:val="32"/>
        </w:rPr>
        <w:t>（二）一般公共预算财政拨款支出决算结构情况</w:t>
      </w:r>
      <w:bookmarkEnd w:id="45"/>
      <w:bookmarkEnd w:id="46"/>
    </w:p>
    <w:p w14:paraId="6DD846CB">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sz w:val="30"/>
          <w:szCs w:val="30"/>
          <w:lang w:eastAsia="zh-CN"/>
        </w:rPr>
      </w:pPr>
      <w:r>
        <w:rPr>
          <w:rFonts w:hint="eastAsia" w:ascii="仿宋" w:hAnsi="仿宋" w:eastAsia="仿宋"/>
          <w:sz w:val="30"/>
          <w:szCs w:val="30"/>
        </w:rPr>
        <w:t>202</w:t>
      </w:r>
      <w:r>
        <w:rPr>
          <w:rFonts w:hint="eastAsia" w:ascii="仿宋" w:hAnsi="仿宋" w:eastAsia="仿宋"/>
          <w:sz w:val="30"/>
          <w:szCs w:val="30"/>
          <w:lang w:val="en-US" w:eastAsia="zh-CN"/>
        </w:rPr>
        <w:t>5</w:t>
      </w:r>
      <w:r>
        <w:rPr>
          <w:rFonts w:hint="eastAsia" w:ascii="仿宋" w:hAnsi="仿宋" w:eastAsia="仿宋"/>
          <w:sz w:val="30"/>
          <w:szCs w:val="30"/>
        </w:rPr>
        <w:t>年度一般公共预算财政拨款支出</w:t>
      </w:r>
      <w:r>
        <w:rPr>
          <w:rFonts w:hint="eastAsia" w:ascii="仿宋" w:hAnsi="仿宋" w:eastAsia="仿宋"/>
          <w:sz w:val="30"/>
          <w:szCs w:val="30"/>
          <w:lang w:val="en-US" w:eastAsia="zh-CN"/>
        </w:rPr>
        <w:t>4351.09</w:t>
      </w:r>
      <w:r>
        <w:rPr>
          <w:rFonts w:hint="eastAsia" w:ascii="仿宋" w:hAnsi="仿宋" w:eastAsia="仿宋"/>
          <w:sz w:val="30"/>
          <w:szCs w:val="30"/>
        </w:rPr>
        <w:t>万元，主要用于以下方面</w:t>
      </w:r>
      <w:r>
        <w:rPr>
          <w:rFonts w:ascii="仿宋" w:hAnsi="仿宋" w:eastAsia="仿宋"/>
          <w:sz w:val="30"/>
          <w:szCs w:val="30"/>
        </w:rPr>
        <w:t>:</w:t>
      </w:r>
      <w:r>
        <w:rPr>
          <w:rFonts w:hint="eastAsia" w:ascii="仿宋" w:hAnsi="仿宋" w:eastAsia="仿宋"/>
          <w:b/>
          <w:sz w:val="30"/>
          <w:szCs w:val="30"/>
        </w:rPr>
        <w:t>社会保障和就业</w:t>
      </w:r>
      <w:r>
        <w:rPr>
          <w:rFonts w:hint="eastAsia" w:ascii="仿宋" w:hAnsi="仿宋" w:eastAsia="仿宋"/>
          <w:b/>
          <w:bCs/>
          <w:sz w:val="30"/>
          <w:szCs w:val="30"/>
        </w:rPr>
        <w:t>支出</w:t>
      </w:r>
      <w:r>
        <w:rPr>
          <w:rFonts w:hint="eastAsia" w:ascii="仿宋" w:hAnsi="仿宋" w:eastAsia="仿宋"/>
          <w:sz w:val="30"/>
          <w:szCs w:val="30"/>
          <w:lang w:val="en-US" w:eastAsia="zh-CN"/>
        </w:rPr>
        <w:t>340.72</w:t>
      </w:r>
      <w:r>
        <w:rPr>
          <w:rFonts w:hint="eastAsia" w:ascii="仿宋" w:hAnsi="仿宋" w:eastAsia="仿宋"/>
          <w:sz w:val="30"/>
          <w:szCs w:val="30"/>
        </w:rPr>
        <w:t>万元，占</w:t>
      </w:r>
      <w:r>
        <w:rPr>
          <w:rFonts w:hint="eastAsia" w:ascii="仿宋" w:hAnsi="仿宋" w:eastAsia="仿宋"/>
          <w:sz w:val="30"/>
          <w:szCs w:val="30"/>
          <w:lang w:val="en-US" w:eastAsia="zh-CN"/>
        </w:rPr>
        <w:t>7.83</w:t>
      </w:r>
      <w:r>
        <w:rPr>
          <w:rFonts w:ascii="仿宋" w:hAnsi="仿宋" w:eastAsia="仿宋"/>
          <w:sz w:val="30"/>
          <w:szCs w:val="30"/>
        </w:rPr>
        <w:t>%</w:t>
      </w:r>
      <w:r>
        <w:rPr>
          <w:rFonts w:hint="eastAsia" w:ascii="仿宋" w:hAnsi="仿宋" w:eastAsia="仿宋"/>
          <w:sz w:val="30"/>
          <w:szCs w:val="30"/>
        </w:rPr>
        <w:t>；</w:t>
      </w:r>
      <w:r>
        <w:rPr>
          <w:rFonts w:hint="eastAsia" w:ascii="仿宋" w:hAnsi="仿宋" w:eastAsia="仿宋"/>
          <w:b/>
          <w:bCs/>
          <w:sz w:val="30"/>
          <w:szCs w:val="30"/>
        </w:rPr>
        <w:t>卫生健康支出</w:t>
      </w:r>
      <w:r>
        <w:rPr>
          <w:rFonts w:hint="eastAsia" w:ascii="仿宋" w:hAnsi="仿宋" w:eastAsia="仿宋"/>
          <w:sz w:val="30"/>
          <w:szCs w:val="30"/>
          <w:lang w:val="en-US" w:eastAsia="zh-CN"/>
        </w:rPr>
        <w:t>3822.81</w:t>
      </w:r>
      <w:r>
        <w:rPr>
          <w:rFonts w:hint="eastAsia" w:ascii="仿宋" w:hAnsi="仿宋" w:eastAsia="仿宋"/>
          <w:sz w:val="30"/>
          <w:szCs w:val="30"/>
        </w:rPr>
        <w:t>万元，占</w:t>
      </w:r>
      <w:r>
        <w:rPr>
          <w:rFonts w:hint="eastAsia" w:ascii="仿宋" w:hAnsi="仿宋" w:eastAsia="仿宋"/>
          <w:sz w:val="30"/>
          <w:szCs w:val="30"/>
          <w:lang w:val="en-US" w:eastAsia="zh-CN"/>
        </w:rPr>
        <w:t>87.86</w:t>
      </w:r>
      <w:r>
        <w:rPr>
          <w:rFonts w:ascii="仿宋" w:hAnsi="仿宋" w:eastAsia="仿宋"/>
          <w:sz w:val="30"/>
          <w:szCs w:val="30"/>
        </w:rPr>
        <w:t>%</w:t>
      </w:r>
      <w:r>
        <w:rPr>
          <w:rFonts w:hint="eastAsia" w:ascii="仿宋" w:hAnsi="仿宋" w:eastAsia="仿宋"/>
          <w:sz w:val="30"/>
          <w:szCs w:val="30"/>
        </w:rPr>
        <w:t>；</w:t>
      </w:r>
      <w:r>
        <w:rPr>
          <w:rFonts w:hint="eastAsia" w:ascii="仿宋" w:hAnsi="仿宋" w:eastAsia="仿宋"/>
          <w:b/>
          <w:bCs/>
          <w:sz w:val="30"/>
          <w:szCs w:val="30"/>
        </w:rPr>
        <w:t>住房保障支出</w:t>
      </w:r>
      <w:r>
        <w:rPr>
          <w:rFonts w:hint="eastAsia" w:ascii="仿宋" w:hAnsi="仿宋" w:eastAsia="仿宋"/>
          <w:sz w:val="30"/>
          <w:szCs w:val="30"/>
          <w:lang w:val="en-US" w:eastAsia="zh-CN"/>
        </w:rPr>
        <w:t>187.56</w:t>
      </w:r>
      <w:r>
        <w:rPr>
          <w:rFonts w:hint="eastAsia" w:ascii="仿宋" w:hAnsi="仿宋" w:eastAsia="仿宋"/>
          <w:sz w:val="30"/>
          <w:szCs w:val="30"/>
        </w:rPr>
        <w:t>万元，占</w:t>
      </w:r>
      <w:r>
        <w:rPr>
          <w:rFonts w:hint="eastAsia" w:ascii="仿宋" w:hAnsi="仿宋" w:eastAsia="仿宋"/>
          <w:sz w:val="30"/>
          <w:szCs w:val="30"/>
          <w:lang w:val="en-US" w:eastAsia="zh-CN"/>
        </w:rPr>
        <w:t>4.31</w:t>
      </w:r>
      <w:r>
        <w:rPr>
          <w:rFonts w:ascii="仿宋" w:hAnsi="仿宋" w:eastAsia="仿宋"/>
          <w:sz w:val="30"/>
          <w:szCs w:val="30"/>
        </w:rPr>
        <w:t>%</w:t>
      </w:r>
      <w:r>
        <w:rPr>
          <w:rFonts w:hint="eastAsia" w:ascii="仿宋" w:hAnsi="仿宋" w:eastAsia="仿宋"/>
          <w:sz w:val="30"/>
          <w:szCs w:val="30"/>
          <w:lang w:eastAsia="zh-CN"/>
        </w:rPr>
        <w:t>。</w:t>
      </w:r>
    </w:p>
    <w:p w14:paraId="3251272C">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b/>
          <w:sz w:val="30"/>
          <w:szCs w:val="30"/>
        </w:rPr>
      </w:pPr>
      <w:r>
        <w:rPr>
          <w:rFonts w:hint="eastAsia" w:ascii="仿宋" w:hAnsi="仿宋" w:eastAsia="仿宋"/>
          <w:b/>
          <w:sz w:val="30"/>
          <w:szCs w:val="30"/>
        </w:rPr>
        <w:t>（注：数据来源于财决01-1表，仅罗列本部门涉及的全部功能分类科目，至类级。）</w:t>
      </w:r>
    </w:p>
    <w:p w14:paraId="556B3260">
      <w:pPr>
        <w:spacing w:line="600" w:lineRule="exact"/>
        <w:rPr>
          <w:rFonts w:ascii="仿宋" w:hAnsi="仿宋" w:eastAsia="仿宋"/>
          <w:sz w:val="32"/>
          <w:szCs w:val="32"/>
        </w:rPr>
      </w:pPr>
      <w:r>
        <w:drawing>
          <wp:anchor distT="0" distB="0" distL="114300" distR="114300" simplePos="0" relativeHeight="251664384" behindDoc="0" locked="0" layoutInCell="1" allowOverlap="1">
            <wp:simplePos x="0" y="0"/>
            <wp:positionH relativeFrom="column">
              <wp:posOffset>627380</wp:posOffset>
            </wp:positionH>
            <wp:positionV relativeFrom="paragraph">
              <wp:posOffset>60960</wp:posOffset>
            </wp:positionV>
            <wp:extent cx="3872865" cy="2465070"/>
            <wp:effectExtent l="4445" t="4445" r="8890" b="6985"/>
            <wp:wrapTopAndBottom/>
            <wp:docPr id="115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 w:hAnsi="仿宋" w:eastAsia="仿宋"/>
          <w:sz w:val="32"/>
          <w:szCs w:val="32"/>
        </w:rPr>
        <w:t>（图6：一般公共预算财政拨款支出决算结构）（饼状图）</w:t>
      </w:r>
    </w:p>
    <w:p w14:paraId="35EC7FEB">
      <w:pPr>
        <w:keepNext w:val="0"/>
        <w:keepLines w:val="0"/>
        <w:pageBreakBefore w:val="0"/>
        <w:kinsoku/>
        <w:wordWrap/>
        <w:overflowPunct/>
        <w:topLinePunct w:val="0"/>
        <w:autoSpaceDE/>
        <w:autoSpaceDN/>
        <w:bidi w:val="0"/>
        <w:adjustRightInd/>
        <w:spacing w:line="520" w:lineRule="exact"/>
        <w:ind w:firstLine="321" w:firstLineChars="100"/>
        <w:textAlignment w:val="auto"/>
        <w:outlineLvl w:val="2"/>
        <w:rPr>
          <w:rFonts w:ascii="仿宋" w:hAnsi="仿宋" w:eastAsia="仿宋"/>
          <w:b/>
          <w:sz w:val="32"/>
          <w:szCs w:val="32"/>
        </w:rPr>
      </w:pPr>
      <w:bookmarkStart w:id="47" w:name="_Toc673760645"/>
      <w:bookmarkStart w:id="48" w:name="_Toc15377212"/>
      <w:r>
        <w:rPr>
          <w:rFonts w:hint="eastAsia" w:ascii="仿宋" w:hAnsi="仿宋" w:eastAsia="仿宋"/>
          <w:b/>
          <w:sz w:val="32"/>
          <w:szCs w:val="32"/>
        </w:rPr>
        <w:t>（三）一般公共预算财政拨款支出决算具体情况</w:t>
      </w:r>
      <w:bookmarkEnd w:id="47"/>
      <w:bookmarkEnd w:id="48"/>
    </w:p>
    <w:p w14:paraId="5ED61734">
      <w:pPr>
        <w:keepNext w:val="0"/>
        <w:keepLines w:val="0"/>
        <w:pageBreakBefore w:val="0"/>
        <w:kinsoku/>
        <w:wordWrap/>
        <w:overflowPunct/>
        <w:topLinePunct w:val="0"/>
        <w:autoSpaceDE/>
        <w:autoSpaceDN/>
        <w:bidi w:val="0"/>
        <w:adjustRightInd/>
        <w:spacing w:line="520" w:lineRule="exact"/>
        <w:ind w:firstLine="602" w:firstLineChars="200"/>
        <w:textAlignment w:val="auto"/>
        <w:outlineLvl w:val="2"/>
        <w:rPr>
          <w:rFonts w:ascii="仿宋" w:hAnsi="仿宋" w:eastAsia="仿宋"/>
          <w:sz w:val="30"/>
          <w:szCs w:val="30"/>
        </w:rPr>
      </w:pPr>
      <w:bookmarkStart w:id="49" w:name="_Toc1578142621"/>
      <w:bookmarkStart w:id="50" w:name="_Toc15377444"/>
      <w:bookmarkStart w:id="51" w:name="_Toc15377213"/>
      <w:bookmarkStart w:id="52" w:name="_Toc15378460"/>
      <w:r>
        <w:rPr>
          <w:rFonts w:hint="eastAsia" w:ascii="仿宋" w:hAnsi="仿宋" w:eastAsia="仿宋"/>
          <w:b/>
          <w:sz w:val="30"/>
          <w:szCs w:val="30"/>
        </w:rPr>
        <w:t>202</w:t>
      </w:r>
      <w:r>
        <w:rPr>
          <w:rFonts w:hint="eastAsia" w:ascii="仿宋" w:hAnsi="仿宋" w:eastAsia="仿宋"/>
          <w:b/>
          <w:sz w:val="30"/>
          <w:szCs w:val="30"/>
          <w:lang w:val="en-US" w:eastAsia="zh-CN"/>
        </w:rPr>
        <w:t>5</w:t>
      </w:r>
      <w:r>
        <w:rPr>
          <w:rFonts w:hint="eastAsia" w:ascii="仿宋" w:hAnsi="仿宋" w:eastAsia="仿宋"/>
          <w:b/>
          <w:sz w:val="30"/>
          <w:szCs w:val="30"/>
        </w:rPr>
        <w:t>年度一般公共预算支出决算数为</w:t>
      </w:r>
      <w:r>
        <w:rPr>
          <w:rFonts w:hint="eastAsia" w:ascii="仿宋" w:hAnsi="仿宋" w:eastAsia="仿宋"/>
          <w:b/>
          <w:sz w:val="30"/>
          <w:szCs w:val="30"/>
          <w:lang w:val="en-US" w:eastAsia="zh-CN"/>
        </w:rPr>
        <w:t>4351.09万元</w:t>
      </w:r>
      <w:r>
        <w:rPr>
          <w:rFonts w:hint="eastAsia" w:ascii="仿宋" w:hAnsi="仿宋" w:eastAsia="仿宋"/>
          <w:sz w:val="30"/>
          <w:szCs w:val="30"/>
        </w:rPr>
        <w:t>，</w:t>
      </w:r>
      <w:r>
        <w:rPr>
          <w:rStyle w:val="17"/>
          <w:rFonts w:hint="eastAsia" w:ascii="仿宋" w:hAnsi="仿宋" w:eastAsia="仿宋"/>
          <w:bCs/>
          <w:sz w:val="30"/>
          <w:szCs w:val="30"/>
        </w:rPr>
        <w:t>完成预算</w:t>
      </w:r>
      <w:r>
        <w:rPr>
          <w:rStyle w:val="17"/>
          <w:rFonts w:hint="eastAsia" w:ascii="仿宋" w:hAnsi="仿宋" w:eastAsia="仿宋"/>
          <w:bCs/>
          <w:sz w:val="30"/>
          <w:szCs w:val="30"/>
          <w:lang w:val="en-US" w:eastAsia="zh-CN"/>
        </w:rPr>
        <w:t>100</w:t>
      </w:r>
      <w:r>
        <w:rPr>
          <w:rStyle w:val="17"/>
          <w:rFonts w:ascii="仿宋" w:hAnsi="仿宋" w:eastAsia="仿宋"/>
          <w:bCs/>
          <w:sz w:val="30"/>
          <w:szCs w:val="30"/>
        </w:rPr>
        <w:t>%</w:t>
      </w:r>
      <w:r>
        <w:rPr>
          <w:rStyle w:val="17"/>
          <w:rFonts w:hint="eastAsia" w:ascii="仿宋" w:hAnsi="仿宋" w:eastAsia="仿宋"/>
          <w:bCs/>
          <w:sz w:val="30"/>
          <w:szCs w:val="30"/>
        </w:rPr>
        <w:t>。其中：</w:t>
      </w:r>
      <w:bookmarkEnd w:id="49"/>
      <w:bookmarkEnd w:id="50"/>
      <w:bookmarkEnd w:id="51"/>
      <w:bookmarkEnd w:id="52"/>
    </w:p>
    <w:p w14:paraId="2A101AD8">
      <w:pPr>
        <w:keepNext w:val="0"/>
        <w:keepLines w:val="0"/>
        <w:pageBreakBefore w:val="0"/>
        <w:widowControl/>
        <w:shd w:val="clear" w:color="auto" w:fill="FFFFFF"/>
        <w:kinsoku/>
        <w:wordWrap/>
        <w:overflowPunct/>
        <w:topLinePunct w:val="0"/>
        <w:autoSpaceDE/>
        <w:autoSpaceDN/>
        <w:bidi w:val="0"/>
        <w:adjustRightInd/>
        <w:snapToGrid w:val="0"/>
        <w:spacing w:before="100" w:beforeAutospacing="1" w:after="100" w:afterAutospacing="1" w:line="520" w:lineRule="exact"/>
        <w:ind w:firstLine="602" w:firstLineChars="200"/>
        <w:jc w:val="left"/>
        <w:textAlignment w:val="auto"/>
        <w:rPr>
          <w:rFonts w:ascii="仿宋" w:hAnsi="仿宋" w:eastAsia="仿宋"/>
          <w:b/>
          <w:sz w:val="30"/>
          <w:szCs w:val="30"/>
        </w:rPr>
      </w:pPr>
      <w:r>
        <w:rPr>
          <w:rStyle w:val="17"/>
          <w:rFonts w:hint="eastAsia" w:ascii="仿宋" w:hAnsi="仿宋" w:eastAsia="仿宋"/>
          <w:bCs/>
          <w:sz w:val="30"/>
          <w:szCs w:val="30"/>
          <w:lang w:val="en-US" w:eastAsia="zh-CN"/>
        </w:rPr>
        <w:t>1.</w:t>
      </w:r>
      <w:r>
        <w:rPr>
          <w:rStyle w:val="17"/>
          <w:rFonts w:hint="eastAsia" w:ascii="仿宋" w:hAnsi="仿宋" w:eastAsia="仿宋"/>
          <w:bCs/>
          <w:sz w:val="30"/>
          <w:szCs w:val="30"/>
        </w:rPr>
        <w:t>社会保障和就业</w:t>
      </w:r>
      <w:r>
        <w:rPr>
          <w:rStyle w:val="17"/>
          <w:rFonts w:hint="eastAsia" w:ascii="仿宋" w:hAnsi="仿宋" w:eastAsia="仿宋"/>
          <w:bCs/>
          <w:sz w:val="30"/>
          <w:szCs w:val="30"/>
          <w:lang w:eastAsia="zh-CN"/>
        </w:rPr>
        <w:t>支出</w:t>
      </w:r>
      <w:r>
        <w:rPr>
          <w:rStyle w:val="17"/>
          <w:rFonts w:ascii="仿宋" w:hAnsi="仿宋" w:eastAsia="仿宋"/>
          <w:bCs/>
          <w:sz w:val="30"/>
          <w:szCs w:val="30"/>
        </w:rPr>
        <w:t>:</w:t>
      </w:r>
      <w:r>
        <w:rPr>
          <w:rStyle w:val="17"/>
          <w:rFonts w:ascii="仿宋" w:hAnsi="仿宋" w:eastAsia="仿宋"/>
          <w:b w:val="0"/>
          <w:bCs/>
          <w:sz w:val="30"/>
          <w:szCs w:val="30"/>
        </w:rPr>
        <w:t xml:space="preserve"> </w:t>
      </w:r>
      <w:r>
        <w:rPr>
          <w:rStyle w:val="17"/>
          <w:rFonts w:hint="eastAsia" w:ascii="仿宋" w:hAnsi="仿宋" w:eastAsia="仿宋"/>
          <w:b w:val="0"/>
          <w:bCs/>
          <w:sz w:val="30"/>
          <w:szCs w:val="30"/>
        </w:rPr>
        <w:t>支出决算为</w:t>
      </w:r>
      <w:r>
        <w:rPr>
          <w:rStyle w:val="17"/>
          <w:rFonts w:hint="eastAsia" w:ascii="仿宋" w:hAnsi="仿宋" w:eastAsia="仿宋"/>
          <w:b w:val="0"/>
          <w:bCs/>
          <w:sz w:val="30"/>
          <w:szCs w:val="30"/>
          <w:lang w:val="en-US" w:eastAsia="zh-CN"/>
        </w:rPr>
        <w:t>340.72</w:t>
      </w:r>
      <w:r>
        <w:rPr>
          <w:rStyle w:val="17"/>
          <w:rFonts w:hint="eastAsia" w:ascii="仿宋" w:hAnsi="仿宋" w:eastAsia="仿宋"/>
          <w:b w:val="0"/>
          <w:bCs/>
          <w:sz w:val="30"/>
          <w:szCs w:val="30"/>
        </w:rPr>
        <w:t>万元，完成预算</w:t>
      </w:r>
      <w:r>
        <w:rPr>
          <w:rStyle w:val="17"/>
          <w:rFonts w:hint="eastAsia" w:ascii="仿宋" w:hAnsi="仿宋" w:eastAsia="仿宋"/>
          <w:b w:val="0"/>
          <w:bCs/>
          <w:sz w:val="30"/>
          <w:szCs w:val="30"/>
          <w:lang w:val="en-US" w:eastAsia="zh-CN"/>
        </w:rPr>
        <w:t>100</w:t>
      </w:r>
      <w:r>
        <w:rPr>
          <w:rStyle w:val="17"/>
          <w:rFonts w:ascii="仿宋" w:hAnsi="仿宋" w:eastAsia="仿宋"/>
          <w:b w:val="0"/>
          <w:bCs/>
          <w:sz w:val="30"/>
          <w:szCs w:val="30"/>
        </w:rPr>
        <w:t>%</w:t>
      </w:r>
      <w:r>
        <w:rPr>
          <w:rStyle w:val="17"/>
          <w:rFonts w:hint="eastAsia" w:ascii="仿宋" w:hAnsi="仿宋" w:eastAsia="仿宋"/>
          <w:b w:val="0"/>
          <w:bCs/>
          <w:sz w:val="30"/>
          <w:szCs w:val="30"/>
        </w:rPr>
        <w:t>，</w:t>
      </w:r>
      <w:r>
        <w:rPr>
          <w:rFonts w:hint="eastAsia" w:ascii="仿宋" w:hAnsi="仿宋" w:eastAsia="仿宋" w:cs="仿宋"/>
          <w:b w:val="0"/>
          <w:bCs w:val="0"/>
          <w:kern w:val="0"/>
          <w:sz w:val="30"/>
          <w:szCs w:val="30"/>
          <w:lang w:val="en-US" w:eastAsia="zh-CN"/>
        </w:rPr>
        <w:t>其中2080505-机关事业单位基本养老保险缴费支出229.98</w:t>
      </w:r>
      <w:r>
        <w:rPr>
          <w:rFonts w:hint="eastAsia" w:ascii="仿宋" w:hAnsi="仿宋" w:eastAsia="仿宋" w:cs="仿宋"/>
          <w:b w:val="0"/>
          <w:bCs w:val="0"/>
          <w:kern w:val="0"/>
          <w:sz w:val="30"/>
          <w:szCs w:val="30"/>
        </w:rPr>
        <w:t>万元，</w:t>
      </w:r>
      <w:r>
        <w:rPr>
          <w:rFonts w:hint="eastAsia" w:ascii="仿宋" w:hAnsi="仿宋" w:eastAsia="仿宋" w:cs="仿宋"/>
          <w:b w:val="0"/>
          <w:bCs w:val="0"/>
          <w:kern w:val="0"/>
          <w:sz w:val="30"/>
          <w:szCs w:val="30"/>
          <w:lang w:val="en-US" w:eastAsia="zh-CN"/>
        </w:rPr>
        <w:t>2080506-机关事业单位职业年金缴费支出110.74万元。</w:t>
      </w:r>
    </w:p>
    <w:p w14:paraId="04A56A9D">
      <w:pPr>
        <w:keepNext w:val="0"/>
        <w:keepLines w:val="0"/>
        <w:pageBreakBefore w:val="0"/>
        <w:widowControl/>
        <w:shd w:val="clear" w:color="auto" w:fill="FFFFFF"/>
        <w:kinsoku/>
        <w:wordWrap/>
        <w:overflowPunct/>
        <w:topLinePunct w:val="0"/>
        <w:autoSpaceDE/>
        <w:autoSpaceDN/>
        <w:bidi w:val="0"/>
        <w:adjustRightInd/>
        <w:snapToGrid w:val="0"/>
        <w:spacing w:before="100" w:beforeAutospacing="1" w:after="100" w:afterAutospacing="1" w:line="520" w:lineRule="exact"/>
        <w:ind w:firstLine="602" w:firstLineChars="200"/>
        <w:jc w:val="left"/>
        <w:textAlignment w:val="auto"/>
        <w:rPr>
          <w:rFonts w:hint="eastAsia" w:ascii="仿宋" w:hAnsi="仿宋" w:eastAsia="仿宋" w:cs="仿宋"/>
          <w:b w:val="0"/>
          <w:bCs w:val="0"/>
          <w:kern w:val="0"/>
          <w:sz w:val="30"/>
          <w:szCs w:val="30"/>
          <w:lang w:val="en-US" w:eastAsia="zh-CN"/>
        </w:rPr>
      </w:pPr>
      <w:r>
        <w:rPr>
          <w:rStyle w:val="17"/>
          <w:rFonts w:hint="eastAsia" w:ascii="仿宋" w:hAnsi="仿宋" w:eastAsia="仿宋"/>
          <w:bCs/>
          <w:sz w:val="30"/>
          <w:szCs w:val="30"/>
          <w:lang w:val="en-US" w:eastAsia="zh-CN"/>
        </w:rPr>
        <w:t>2</w:t>
      </w:r>
      <w:r>
        <w:rPr>
          <w:rStyle w:val="17"/>
          <w:rFonts w:ascii="仿宋" w:hAnsi="仿宋" w:eastAsia="仿宋"/>
          <w:bCs/>
          <w:sz w:val="30"/>
          <w:szCs w:val="30"/>
        </w:rPr>
        <w:t>.</w:t>
      </w:r>
      <w:r>
        <w:rPr>
          <w:rFonts w:hint="eastAsia" w:ascii="仿宋" w:hAnsi="仿宋" w:eastAsia="仿宋"/>
          <w:b/>
          <w:bCs/>
          <w:sz w:val="30"/>
          <w:szCs w:val="30"/>
        </w:rPr>
        <w:t>卫生健康</w:t>
      </w:r>
      <w:r>
        <w:rPr>
          <w:rStyle w:val="17"/>
          <w:rFonts w:hint="eastAsia" w:ascii="仿宋" w:hAnsi="仿宋" w:eastAsia="仿宋"/>
          <w:bCs/>
          <w:sz w:val="30"/>
          <w:szCs w:val="30"/>
          <w:lang w:eastAsia="zh-CN"/>
        </w:rPr>
        <w:t>类支出</w:t>
      </w:r>
      <w:r>
        <w:rPr>
          <w:rStyle w:val="17"/>
          <w:rFonts w:ascii="仿宋" w:hAnsi="仿宋" w:eastAsia="仿宋"/>
          <w:bCs/>
          <w:sz w:val="30"/>
          <w:szCs w:val="30"/>
        </w:rPr>
        <w:t>:</w:t>
      </w:r>
      <w:r>
        <w:rPr>
          <w:rStyle w:val="17"/>
          <w:rFonts w:hint="eastAsia" w:ascii="仿宋" w:hAnsi="仿宋" w:eastAsia="仿宋"/>
          <w:b w:val="0"/>
          <w:bCs/>
          <w:sz w:val="30"/>
          <w:szCs w:val="30"/>
        </w:rPr>
        <w:t>支出决算为</w:t>
      </w:r>
      <w:r>
        <w:rPr>
          <w:rStyle w:val="17"/>
          <w:rFonts w:hint="eastAsia" w:ascii="仿宋" w:hAnsi="仿宋" w:eastAsia="仿宋"/>
          <w:b w:val="0"/>
          <w:bCs/>
          <w:sz w:val="30"/>
          <w:szCs w:val="30"/>
          <w:lang w:val="en-US" w:eastAsia="zh-CN"/>
        </w:rPr>
        <w:t>3822.81</w:t>
      </w:r>
      <w:r>
        <w:rPr>
          <w:rStyle w:val="17"/>
          <w:rFonts w:hint="eastAsia" w:ascii="仿宋" w:hAnsi="仿宋" w:eastAsia="仿宋"/>
          <w:b w:val="0"/>
          <w:bCs/>
          <w:sz w:val="30"/>
          <w:szCs w:val="30"/>
        </w:rPr>
        <w:t>万元，完成预算</w:t>
      </w:r>
      <w:r>
        <w:rPr>
          <w:rStyle w:val="17"/>
          <w:rFonts w:hint="eastAsia" w:ascii="仿宋" w:hAnsi="仿宋" w:eastAsia="仿宋"/>
          <w:b w:val="0"/>
          <w:bCs/>
          <w:sz w:val="30"/>
          <w:szCs w:val="30"/>
          <w:lang w:val="en-US" w:eastAsia="zh-CN"/>
        </w:rPr>
        <w:t>100</w:t>
      </w:r>
      <w:r>
        <w:rPr>
          <w:rStyle w:val="17"/>
          <w:rFonts w:ascii="仿宋" w:hAnsi="仿宋" w:eastAsia="仿宋"/>
          <w:b w:val="0"/>
          <w:bCs/>
          <w:sz w:val="30"/>
          <w:szCs w:val="30"/>
        </w:rPr>
        <w:t>%</w:t>
      </w:r>
      <w:r>
        <w:rPr>
          <w:rStyle w:val="17"/>
          <w:rFonts w:hint="eastAsia" w:ascii="仿宋" w:hAnsi="仿宋" w:eastAsia="仿宋"/>
          <w:b w:val="0"/>
          <w:bCs/>
          <w:sz w:val="30"/>
          <w:szCs w:val="30"/>
        </w:rPr>
        <w:t>，</w:t>
      </w:r>
      <w:r>
        <w:rPr>
          <w:rFonts w:hint="eastAsia" w:ascii="仿宋" w:hAnsi="仿宋" w:eastAsia="仿宋" w:cs="仿宋"/>
          <w:b w:val="0"/>
          <w:bCs w:val="0"/>
          <w:kern w:val="0"/>
          <w:sz w:val="30"/>
          <w:szCs w:val="30"/>
          <w:lang w:val="en-US" w:eastAsia="zh-CN"/>
        </w:rPr>
        <w:t>其中2100401-疾病预防控制机构2740.97</w:t>
      </w:r>
      <w:r>
        <w:rPr>
          <w:rFonts w:hint="eastAsia" w:ascii="仿宋" w:hAnsi="仿宋" w:eastAsia="仿宋" w:cs="仿宋"/>
          <w:b w:val="0"/>
          <w:bCs w:val="0"/>
          <w:kern w:val="0"/>
          <w:sz w:val="30"/>
          <w:szCs w:val="30"/>
        </w:rPr>
        <w:t>万元</w:t>
      </w:r>
      <w:r>
        <w:rPr>
          <w:rFonts w:hint="eastAsia" w:ascii="仿宋" w:hAnsi="仿宋" w:eastAsia="仿宋" w:cs="仿宋"/>
          <w:b w:val="0"/>
          <w:bCs w:val="0"/>
          <w:kern w:val="0"/>
          <w:sz w:val="30"/>
          <w:szCs w:val="30"/>
          <w:lang w:eastAsia="zh-CN"/>
        </w:rPr>
        <w:t>，</w:t>
      </w:r>
      <w:r>
        <w:rPr>
          <w:rFonts w:hint="eastAsia" w:ascii="仿宋" w:hAnsi="仿宋" w:eastAsia="仿宋" w:cs="仿宋"/>
          <w:b w:val="0"/>
          <w:bCs w:val="0"/>
          <w:kern w:val="0"/>
          <w:sz w:val="30"/>
          <w:szCs w:val="30"/>
          <w:lang w:val="en-US" w:eastAsia="zh-CN"/>
        </w:rPr>
        <w:t>2100408-基本公共卫生服务76.95万元，2100409-重大公共卫生服务541.60万元，2100499-其他公共卫生支出248.16万元，2101102-事业单位医疗105.51万元，2101199-其他行政事业单位医疗支出35.15万元，2109999-其他卫生健康支出74.47万元。</w:t>
      </w:r>
    </w:p>
    <w:p w14:paraId="5D453AEC">
      <w:pPr>
        <w:keepNext w:val="0"/>
        <w:keepLines w:val="0"/>
        <w:pageBreakBefore w:val="0"/>
        <w:widowControl/>
        <w:shd w:val="clear" w:color="auto" w:fill="FFFFFF"/>
        <w:kinsoku/>
        <w:wordWrap/>
        <w:overflowPunct/>
        <w:topLinePunct w:val="0"/>
        <w:autoSpaceDE/>
        <w:autoSpaceDN/>
        <w:bidi w:val="0"/>
        <w:adjustRightInd/>
        <w:snapToGrid w:val="0"/>
        <w:spacing w:before="100" w:beforeAutospacing="1" w:after="100" w:afterAutospacing="1" w:line="520" w:lineRule="exact"/>
        <w:ind w:firstLine="602" w:firstLineChars="200"/>
        <w:jc w:val="left"/>
        <w:textAlignment w:val="auto"/>
        <w:rPr>
          <w:rFonts w:hint="eastAsia" w:ascii="仿宋" w:hAnsi="仿宋" w:eastAsia="仿宋" w:cs="仿宋"/>
          <w:b w:val="0"/>
          <w:bCs w:val="0"/>
          <w:kern w:val="0"/>
          <w:sz w:val="30"/>
          <w:szCs w:val="30"/>
          <w:lang w:val="en-US" w:eastAsia="zh-CN"/>
        </w:rPr>
      </w:pPr>
      <w:r>
        <w:rPr>
          <w:rStyle w:val="17"/>
          <w:rFonts w:hint="eastAsia" w:ascii="仿宋" w:hAnsi="仿宋" w:eastAsia="仿宋" w:cs="Times New Roman"/>
          <w:bCs/>
          <w:sz w:val="30"/>
          <w:szCs w:val="30"/>
          <w:lang w:val="en-US" w:eastAsia="zh-CN"/>
        </w:rPr>
        <w:t>3.住房保障支出：</w:t>
      </w:r>
      <w:r>
        <w:rPr>
          <w:rFonts w:hint="eastAsia" w:ascii="仿宋" w:hAnsi="仿宋" w:eastAsia="仿宋"/>
          <w:sz w:val="30"/>
          <w:szCs w:val="30"/>
          <w:lang w:val="en-US" w:eastAsia="zh-CN"/>
        </w:rPr>
        <w:t>支出决算数为187.55万元，完成预算数100%，其中2210201-住房公积金183.85万元，2210203-购房补贴支出3.7万元。</w:t>
      </w:r>
    </w:p>
    <w:p w14:paraId="3EB25A91">
      <w:pPr>
        <w:keepNext w:val="0"/>
        <w:keepLines w:val="0"/>
        <w:pageBreakBefore w:val="0"/>
        <w:kinsoku/>
        <w:wordWrap/>
        <w:overflowPunct/>
        <w:topLinePunct w:val="0"/>
        <w:autoSpaceDE/>
        <w:autoSpaceDN/>
        <w:bidi w:val="0"/>
        <w:adjustRightInd/>
        <w:spacing w:line="520" w:lineRule="exact"/>
        <w:ind w:firstLine="602" w:firstLineChars="200"/>
        <w:textAlignment w:val="auto"/>
        <w:rPr>
          <w:rFonts w:ascii="仿宋" w:hAnsi="仿宋" w:eastAsia="仿宋"/>
          <w:b/>
          <w:sz w:val="30"/>
          <w:szCs w:val="30"/>
        </w:rPr>
      </w:pPr>
      <w:r>
        <w:rPr>
          <w:rFonts w:hint="eastAsia" w:ascii="仿宋" w:hAnsi="仿宋" w:eastAsia="仿宋"/>
          <w:b/>
          <w:sz w:val="30"/>
          <w:szCs w:val="30"/>
        </w:rPr>
        <w:t>（注：数据来源于财决</w:t>
      </w:r>
      <w:r>
        <w:rPr>
          <w:rFonts w:ascii="仿宋" w:hAnsi="仿宋" w:eastAsia="仿宋"/>
          <w:b/>
          <w:sz w:val="30"/>
          <w:szCs w:val="30"/>
        </w:rPr>
        <w:t>0</w:t>
      </w:r>
      <w:r>
        <w:rPr>
          <w:rFonts w:hint="eastAsia" w:ascii="仿宋" w:hAnsi="仿宋" w:eastAsia="仿宋"/>
          <w:b/>
          <w:sz w:val="30"/>
          <w:szCs w:val="30"/>
        </w:rPr>
        <w:t>1-1表和财决08表，仅罗列本部门涉及的全部功能分类科目，至项级。上述“预算”口径为全年预算数。增减变动原因为决算数</w:t>
      </w:r>
      <w:r>
        <w:rPr>
          <w:rFonts w:ascii="仿宋" w:hAnsi="仿宋" w:eastAsia="仿宋"/>
          <w:b/>
          <w:sz w:val="30"/>
          <w:szCs w:val="30"/>
        </w:rPr>
        <w:t>&lt;</w:t>
      </w:r>
      <w:r>
        <w:rPr>
          <w:rFonts w:hint="eastAsia" w:ascii="仿宋" w:hAnsi="仿宋" w:eastAsia="仿宋"/>
          <w:b/>
          <w:sz w:val="30"/>
          <w:szCs w:val="30"/>
        </w:rPr>
        <w:t>项级</w:t>
      </w:r>
      <w:r>
        <w:rPr>
          <w:rFonts w:ascii="仿宋" w:hAnsi="仿宋" w:eastAsia="仿宋"/>
          <w:b/>
          <w:sz w:val="30"/>
          <w:szCs w:val="30"/>
        </w:rPr>
        <w:t>&gt;</w:t>
      </w:r>
      <w:r>
        <w:rPr>
          <w:rFonts w:hint="eastAsia" w:ascii="仿宋" w:hAnsi="仿宋" w:eastAsia="仿宋"/>
          <w:b/>
          <w:sz w:val="30"/>
          <w:szCs w:val="30"/>
        </w:rPr>
        <w:t>和全年预算数</w:t>
      </w:r>
      <w:r>
        <w:rPr>
          <w:rFonts w:ascii="仿宋" w:hAnsi="仿宋" w:eastAsia="仿宋"/>
          <w:b/>
          <w:sz w:val="30"/>
          <w:szCs w:val="30"/>
        </w:rPr>
        <w:t>&lt;</w:t>
      </w:r>
      <w:r>
        <w:rPr>
          <w:rFonts w:hint="eastAsia" w:ascii="仿宋" w:hAnsi="仿宋" w:eastAsia="仿宋"/>
          <w:b/>
          <w:sz w:val="30"/>
          <w:szCs w:val="30"/>
        </w:rPr>
        <w:t>项级</w:t>
      </w:r>
      <w:r>
        <w:rPr>
          <w:rFonts w:ascii="仿宋" w:hAnsi="仿宋" w:eastAsia="仿宋"/>
          <w:b/>
          <w:sz w:val="30"/>
          <w:szCs w:val="30"/>
        </w:rPr>
        <w:t>&gt;</w:t>
      </w:r>
      <w:r>
        <w:rPr>
          <w:rFonts w:hint="eastAsia" w:ascii="仿宋" w:hAnsi="仿宋" w:eastAsia="仿宋"/>
          <w:b/>
          <w:sz w:val="30"/>
          <w:szCs w:val="30"/>
        </w:rPr>
        <w:t>比较，与预算数持平可以不写原因。）</w:t>
      </w:r>
    </w:p>
    <w:p w14:paraId="27C4C6F7">
      <w:pPr>
        <w:keepNext w:val="0"/>
        <w:keepLines w:val="0"/>
        <w:pageBreakBefore w:val="0"/>
        <w:kinsoku/>
        <w:wordWrap/>
        <w:overflowPunct/>
        <w:topLinePunct w:val="0"/>
        <w:autoSpaceDE/>
        <w:autoSpaceDN/>
        <w:bidi w:val="0"/>
        <w:adjustRightInd/>
        <w:spacing w:line="520" w:lineRule="exact"/>
        <w:ind w:firstLine="640"/>
        <w:textAlignment w:val="auto"/>
        <w:rPr>
          <w:rFonts w:ascii="仿宋" w:hAnsi="仿宋" w:eastAsia="仿宋"/>
          <w:b/>
          <w:sz w:val="32"/>
          <w:szCs w:val="32"/>
        </w:rPr>
      </w:pPr>
    </w:p>
    <w:p w14:paraId="2E5E9952">
      <w:pPr>
        <w:keepNext w:val="0"/>
        <w:keepLines w:val="0"/>
        <w:pageBreakBefore w:val="0"/>
        <w:tabs>
          <w:tab w:val="right" w:pos="8306"/>
        </w:tabs>
        <w:kinsoku/>
        <w:wordWrap/>
        <w:overflowPunct/>
        <w:topLinePunct w:val="0"/>
        <w:autoSpaceDE/>
        <w:autoSpaceDN/>
        <w:bidi w:val="0"/>
        <w:adjustRightInd/>
        <w:spacing w:line="520" w:lineRule="exact"/>
        <w:ind w:firstLine="640"/>
        <w:textAlignment w:val="auto"/>
        <w:outlineLvl w:val="1"/>
        <w:rPr>
          <w:rStyle w:val="21"/>
        </w:rPr>
      </w:pPr>
      <w:bookmarkStart w:id="53" w:name="_Toc15377214"/>
      <w:bookmarkStart w:id="54" w:name="_Toc15396608"/>
      <w:bookmarkStart w:id="55" w:name="_Toc875384014"/>
      <w:bookmarkStart w:id="56" w:name="_Toc773903220"/>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1"/>
          <w:rFonts w:hint="eastAsia" w:ascii="黑体" w:hAnsi="黑体" w:eastAsia="黑体"/>
          <w:b w:val="0"/>
        </w:rPr>
        <w:t>般公共预算财政拨款基本支出决算情况说明</w:t>
      </w:r>
      <w:bookmarkEnd w:id="53"/>
      <w:bookmarkEnd w:id="54"/>
      <w:bookmarkEnd w:id="55"/>
      <w:bookmarkEnd w:id="56"/>
      <w:r>
        <w:rPr>
          <w:rStyle w:val="21"/>
          <w:rFonts w:ascii="黑体" w:hAnsi="黑体" w:eastAsia="黑体"/>
          <w:b w:val="0"/>
        </w:rPr>
        <w:tab/>
      </w:r>
    </w:p>
    <w:p w14:paraId="670F8365">
      <w:pPr>
        <w:keepNext w:val="0"/>
        <w:keepLines w:val="0"/>
        <w:pageBreakBefore w:val="0"/>
        <w:kinsoku/>
        <w:wordWrap/>
        <w:overflowPunct/>
        <w:topLinePunct w:val="0"/>
        <w:autoSpaceDE/>
        <w:autoSpaceDN/>
        <w:bidi w:val="0"/>
        <w:adjustRightInd/>
        <w:spacing w:line="520" w:lineRule="exact"/>
        <w:ind w:firstLine="645"/>
        <w:textAlignment w:val="auto"/>
        <w:rPr>
          <w:rFonts w:ascii="仿宋" w:hAnsi="仿宋" w:eastAsia="仿宋"/>
          <w:sz w:val="30"/>
          <w:szCs w:val="30"/>
        </w:rPr>
      </w:pPr>
      <w:r>
        <w:rPr>
          <w:rFonts w:hint="eastAsia" w:ascii="仿宋" w:hAnsi="仿宋" w:eastAsia="仿宋"/>
          <w:sz w:val="30"/>
          <w:szCs w:val="30"/>
        </w:rPr>
        <w:t>202</w:t>
      </w:r>
      <w:r>
        <w:rPr>
          <w:rFonts w:hint="eastAsia" w:ascii="仿宋" w:hAnsi="仿宋" w:eastAsia="仿宋"/>
          <w:sz w:val="30"/>
          <w:szCs w:val="30"/>
          <w:lang w:val="en-US" w:eastAsia="zh-CN"/>
        </w:rPr>
        <w:t>5</w:t>
      </w:r>
      <w:r>
        <w:rPr>
          <w:rFonts w:hint="eastAsia" w:ascii="仿宋" w:hAnsi="仿宋" w:eastAsia="仿宋"/>
          <w:sz w:val="30"/>
          <w:szCs w:val="30"/>
        </w:rPr>
        <w:t>年度一般公共预算财政拨款基本支出</w:t>
      </w:r>
      <w:r>
        <w:rPr>
          <w:rFonts w:hint="eastAsia" w:ascii="仿宋" w:hAnsi="仿宋" w:eastAsia="仿宋"/>
          <w:sz w:val="30"/>
          <w:szCs w:val="30"/>
          <w:lang w:val="en-US" w:eastAsia="zh-CN"/>
        </w:rPr>
        <w:t>3083.93</w:t>
      </w:r>
      <w:r>
        <w:rPr>
          <w:rFonts w:hint="eastAsia" w:ascii="仿宋" w:hAnsi="仿宋" w:eastAsia="仿宋"/>
          <w:sz w:val="30"/>
          <w:szCs w:val="30"/>
        </w:rPr>
        <w:t>万元，其中：</w:t>
      </w:r>
    </w:p>
    <w:p w14:paraId="45BDCA8E">
      <w:pPr>
        <w:keepNext w:val="0"/>
        <w:keepLines w:val="0"/>
        <w:pageBreakBefore w:val="0"/>
        <w:kinsoku/>
        <w:wordWrap/>
        <w:overflowPunct/>
        <w:topLinePunct w:val="0"/>
        <w:autoSpaceDE/>
        <w:autoSpaceDN/>
        <w:bidi w:val="0"/>
        <w:adjustRightInd/>
        <w:spacing w:line="520" w:lineRule="exact"/>
        <w:ind w:firstLine="645"/>
        <w:textAlignment w:val="auto"/>
        <w:rPr>
          <w:rFonts w:ascii="仿宋" w:hAnsi="仿宋" w:eastAsia="仿宋"/>
          <w:sz w:val="30"/>
          <w:szCs w:val="30"/>
        </w:rPr>
      </w:pPr>
      <w:r>
        <w:rPr>
          <w:rFonts w:hint="eastAsia" w:ascii="仿宋" w:hAnsi="仿宋" w:eastAsia="仿宋"/>
          <w:sz w:val="30"/>
          <w:szCs w:val="30"/>
        </w:rPr>
        <w:t>人员经费</w:t>
      </w:r>
      <w:r>
        <w:rPr>
          <w:rFonts w:hint="eastAsia" w:ascii="仿宋" w:hAnsi="仿宋" w:eastAsia="仿宋"/>
          <w:sz w:val="30"/>
          <w:szCs w:val="30"/>
          <w:lang w:val="en-US" w:eastAsia="zh-CN"/>
        </w:rPr>
        <w:t>2767.45</w:t>
      </w:r>
      <w:r>
        <w:rPr>
          <w:rFonts w:hint="eastAsia" w:ascii="仿宋" w:hAnsi="仿宋" w:eastAsia="仿宋"/>
          <w:sz w:val="30"/>
          <w:szCs w:val="30"/>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sz w:val="30"/>
          <w:szCs w:val="30"/>
        </w:rPr>
        <w:br w:type="textWrapping"/>
      </w:r>
      <w:r>
        <w:rPr>
          <w:rFonts w:hint="eastAsia" w:ascii="仿宋" w:hAnsi="仿宋" w:eastAsia="仿宋"/>
          <w:sz w:val="30"/>
          <w:szCs w:val="30"/>
        </w:rPr>
        <w:t>　　公用经费</w:t>
      </w:r>
      <w:r>
        <w:rPr>
          <w:rFonts w:hint="eastAsia" w:ascii="仿宋" w:hAnsi="仿宋" w:eastAsia="仿宋"/>
          <w:sz w:val="30"/>
          <w:szCs w:val="30"/>
          <w:lang w:val="en-US" w:eastAsia="zh-CN"/>
        </w:rPr>
        <w:t>316.48</w:t>
      </w:r>
      <w:r>
        <w:rPr>
          <w:rFonts w:hint="eastAsia" w:ascii="仿宋" w:hAnsi="仿宋" w:eastAsia="仿宋"/>
          <w:sz w:val="30"/>
          <w:szCs w:val="30"/>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B0DCB02">
      <w:pPr>
        <w:keepNext w:val="0"/>
        <w:keepLines w:val="0"/>
        <w:pageBreakBefore w:val="0"/>
        <w:kinsoku/>
        <w:wordWrap/>
        <w:overflowPunct/>
        <w:topLinePunct w:val="0"/>
        <w:autoSpaceDE/>
        <w:autoSpaceDN/>
        <w:bidi w:val="0"/>
        <w:adjustRightInd/>
        <w:spacing w:line="520" w:lineRule="exact"/>
        <w:ind w:firstLine="645"/>
        <w:textAlignment w:val="auto"/>
        <w:rPr>
          <w:rFonts w:ascii="仿宋" w:hAnsi="仿宋" w:eastAsia="仿宋"/>
          <w:b/>
          <w:sz w:val="32"/>
          <w:szCs w:val="32"/>
        </w:rPr>
      </w:pPr>
      <w:r>
        <w:rPr>
          <w:rFonts w:hint="eastAsia" w:ascii="仿宋" w:hAnsi="仿宋" w:eastAsia="仿宋"/>
          <w:b/>
          <w:sz w:val="30"/>
          <w:szCs w:val="30"/>
        </w:rPr>
        <w:t>（注：数据来源于财决</w:t>
      </w:r>
      <w:r>
        <w:rPr>
          <w:rFonts w:ascii="仿宋" w:hAnsi="仿宋" w:eastAsia="仿宋"/>
          <w:b/>
          <w:sz w:val="30"/>
          <w:szCs w:val="30"/>
        </w:rPr>
        <w:t>0</w:t>
      </w:r>
      <w:r>
        <w:rPr>
          <w:rFonts w:hint="eastAsia" w:ascii="仿宋" w:hAnsi="仿宋" w:eastAsia="仿宋"/>
          <w:b/>
          <w:sz w:val="30"/>
          <w:szCs w:val="30"/>
        </w:rPr>
        <w:t>7表和财决08-1表，仅罗列本部门实际支出涉及的经济分类科目。）</w:t>
      </w:r>
    </w:p>
    <w:p w14:paraId="010A3BBE">
      <w:pPr>
        <w:keepNext w:val="0"/>
        <w:keepLines w:val="0"/>
        <w:pageBreakBefore w:val="0"/>
        <w:kinsoku/>
        <w:wordWrap/>
        <w:overflowPunct/>
        <w:topLinePunct w:val="0"/>
        <w:autoSpaceDE/>
        <w:autoSpaceDN/>
        <w:bidi w:val="0"/>
        <w:adjustRightInd/>
        <w:spacing w:line="520" w:lineRule="exact"/>
        <w:ind w:firstLine="640"/>
        <w:textAlignment w:val="auto"/>
        <w:outlineLvl w:val="1"/>
        <w:rPr>
          <w:rStyle w:val="21"/>
          <w:rFonts w:ascii="黑体" w:hAnsi="黑体" w:eastAsia="黑体"/>
          <w:b w:val="0"/>
        </w:rPr>
      </w:pPr>
      <w:bookmarkStart w:id="57" w:name="_Toc15377215"/>
      <w:bookmarkStart w:id="58" w:name="_Toc15396609"/>
      <w:bookmarkStart w:id="59" w:name="_Toc843574248"/>
      <w:bookmarkStart w:id="60" w:name="_Toc1304637657"/>
      <w:r>
        <w:rPr>
          <w:rFonts w:hint="eastAsia" w:ascii="黑体" w:eastAsia="黑体"/>
          <w:sz w:val="32"/>
          <w:szCs w:val="32"/>
        </w:rPr>
        <w:t>七、</w:t>
      </w:r>
      <w:r>
        <w:rPr>
          <w:rStyle w:val="21"/>
          <w:rFonts w:hint="eastAsia" w:ascii="黑体" w:hAnsi="黑体" w:eastAsia="黑体"/>
          <w:b w:val="0"/>
        </w:rPr>
        <w:t>财政拨款</w:t>
      </w:r>
      <w:r>
        <w:rPr>
          <w:rStyle w:val="21"/>
          <w:rFonts w:hint="eastAsia" w:ascii="黑体" w:hAnsi="黑体" w:eastAsia="黑体"/>
        </w:rPr>
        <w:t>“</w:t>
      </w:r>
      <w:r>
        <w:rPr>
          <w:rStyle w:val="21"/>
          <w:rFonts w:hint="eastAsia" w:ascii="黑体" w:hAnsi="黑体" w:eastAsia="黑体"/>
          <w:b w:val="0"/>
        </w:rPr>
        <w:t>三公”经费支出决算情况说明</w:t>
      </w:r>
      <w:bookmarkEnd w:id="57"/>
      <w:bookmarkEnd w:id="58"/>
      <w:bookmarkEnd w:id="59"/>
      <w:bookmarkEnd w:id="60"/>
    </w:p>
    <w:p w14:paraId="5393AA33">
      <w:pPr>
        <w:keepNext w:val="0"/>
        <w:keepLines w:val="0"/>
        <w:pageBreakBefore w:val="0"/>
        <w:kinsoku/>
        <w:wordWrap/>
        <w:overflowPunct/>
        <w:topLinePunct w:val="0"/>
        <w:autoSpaceDE/>
        <w:autoSpaceDN/>
        <w:bidi w:val="0"/>
        <w:adjustRightInd/>
        <w:spacing w:line="520" w:lineRule="exact"/>
        <w:ind w:firstLine="640"/>
        <w:textAlignment w:val="auto"/>
        <w:outlineLvl w:val="2"/>
        <w:rPr>
          <w:rFonts w:ascii="仿宋" w:hAnsi="仿宋" w:eastAsia="仿宋"/>
          <w:b/>
          <w:sz w:val="32"/>
          <w:szCs w:val="32"/>
        </w:rPr>
      </w:pPr>
      <w:bookmarkStart w:id="61" w:name="_Toc15377216"/>
      <w:bookmarkStart w:id="62" w:name="_Toc748589519"/>
      <w:r>
        <w:rPr>
          <w:rFonts w:hint="eastAsia" w:ascii="仿宋" w:hAnsi="仿宋" w:eastAsia="仿宋"/>
          <w:b/>
          <w:sz w:val="32"/>
          <w:szCs w:val="32"/>
        </w:rPr>
        <w:t>（一）“三公”经费财政拨款支出决算总体情况说明</w:t>
      </w:r>
      <w:bookmarkEnd w:id="61"/>
      <w:bookmarkEnd w:id="62"/>
    </w:p>
    <w:p w14:paraId="4ED8DB9C">
      <w:pPr>
        <w:keepNext w:val="0"/>
        <w:keepLines w:val="0"/>
        <w:pageBreakBefore w:val="0"/>
        <w:kinsoku/>
        <w:wordWrap/>
        <w:overflowPunct/>
        <w:topLinePunct w:val="0"/>
        <w:autoSpaceDE/>
        <w:autoSpaceDN/>
        <w:bidi w:val="0"/>
        <w:adjustRightInd/>
        <w:spacing w:line="520" w:lineRule="exact"/>
        <w:ind w:firstLine="640"/>
        <w:textAlignment w:val="auto"/>
        <w:rPr>
          <w:rFonts w:ascii="仿宋" w:hAnsi="仿宋" w:eastAsia="仿宋"/>
          <w:sz w:val="30"/>
          <w:szCs w:val="30"/>
        </w:rPr>
      </w:pPr>
      <w:r>
        <w:rPr>
          <w:rFonts w:hint="eastAsia" w:ascii="仿宋" w:hAnsi="仿宋" w:eastAsia="仿宋"/>
          <w:sz w:val="30"/>
          <w:szCs w:val="30"/>
        </w:rPr>
        <w:t>202</w:t>
      </w:r>
      <w:r>
        <w:rPr>
          <w:rFonts w:hint="eastAsia" w:ascii="仿宋" w:hAnsi="仿宋" w:eastAsia="仿宋"/>
          <w:sz w:val="30"/>
          <w:szCs w:val="30"/>
          <w:lang w:val="en-US" w:eastAsia="zh-CN"/>
        </w:rPr>
        <w:t>5</w:t>
      </w:r>
      <w:r>
        <w:rPr>
          <w:rFonts w:hint="eastAsia" w:ascii="仿宋" w:hAnsi="仿宋" w:eastAsia="仿宋"/>
          <w:sz w:val="30"/>
          <w:szCs w:val="30"/>
        </w:rPr>
        <w:t>年度“三公”经费财政拨款支出决算为</w:t>
      </w:r>
      <w:r>
        <w:rPr>
          <w:rFonts w:hint="eastAsia" w:ascii="仿宋" w:hAnsi="仿宋" w:eastAsia="仿宋"/>
          <w:sz w:val="30"/>
          <w:szCs w:val="30"/>
          <w:lang w:val="en-US" w:eastAsia="zh-CN"/>
        </w:rPr>
        <w:t>43.9</w:t>
      </w:r>
      <w:r>
        <w:rPr>
          <w:rFonts w:hint="eastAsia" w:ascii="仿宋" w:hAnsi="仿宋" w:eastAsia="仿宋"/>
          <w:sz w:val="30"/>
          <w:szCs w:val="30"/>
        </w:rPr>
        <w:t>万元，完成预算</w:t>
      </w:r>
      <w:r>
        <w:rPr>
          <w:rFonts w:hint="eastAsia" w:ascii="仿宋" w:hAnsi="仿宋" w:eastAsia="仿宋"/>
          <w:sz w:val="30"/>
          <w:szCs w:val="30"/>
          <w:lang w:val="en-US" w:eastAsia="zh-CN"/>
        </w:rPr>
        <w:t>100</w:t>
      </w:r>
      <w:r>
        <w:rPr>
          <w:rFonts w:ascii="仿宋" w:hAnsi="仿宋" w:eastAsia="仿宋"/>
          <w:sz w:val="30"/>
          <w:szCs w:val="30"/>
        </w:rPr>
        <w:t>%</w:t>
      </w:r>
      <w:r>
        <w:rPr>
          <w:rFonts w:hint="eastAsia" w:ascii="仿宋" w:hAnsi="仿宋" w:eastAsia="仿宋"/>
          <w:sz w:val="30"/>
          <w:szCs w:val="30"/>
        </w:rPr>
        <w:t>，较上年度</w:t>
      </w:r>
      <w:r>
        <w:rPr>
          <w:rFonts w:hint="eastAsia" w:ascii="仿宋" w:hAnsi="仿宋" w:eastAsia="仿宋"/>
          <w:sz w:val="30"/>
          <w:szCs w:val="30"/>
          <w:lang w:eastAsia="zh-CN"/>
        </w:rPr>
        <w:t>减少</w:t>
      </w:r>
      <w:r>
        <w:rPr>
          <w:rFonts w:hint="eastAsia" w:ascii="仿宋" w:hAnsi="仿宋" w:eastAsia="仿宋"/>
          <w:sz w:val="30"/>
          <w:szCs w:val="30"/>
          <w:lang w:val="en-US" w:eastAsia="zh-CN"/>
        </w:rPr>
        <w:t>4.32</w:t>
      </w:r>
      <w:r>
        <w:rPr>
          <w:rFonts w:hint="eastAsia" w:ascii="仿宋" w:hAnsi="仿宋" w:eastAsia="仿宋"/>
          <w:sz w:val="30"/>
          <w:szCs w:val="30"/>
        </w:rPr>
        <w:t>万元，</w:t>
      </w:r>
      <w:r>
        <w:rPr>
          <w:rFonts w:hint="eastAsia" w:ascii="仿宋" w:hAnsi="仿宋" w:eastAsia="仿宋"/>
          <w:sz w:val="30"/>
          <w:szCs w:val="30"/>
          <w:lang w:eastAsia="zh-CN"/>
        </w:rPr>
        <w:t>减少</w:t>
      </w:r>
      <w:r>
        <w:rPr>
          <w:rFonts w:hint="eastAsia" w:ascii="仿宋" w:hAnsi="仿宋" w:eastAsia="仿宋"/>
          <w:sz w:val="30"/>
          <w:szCs w:val="30"/>
          <w:lang w:val="en-US" w:eastAsia="zh-CN"/>
        </w:rPr>
        <w:t>8.96</w:t>
      </w:r>
      <w:r>
        <w:rPr>
          <w:rFonts w:hint="eastAsia" w:ascii="仿宋" w:hAnsi="仿宋" w:eastAsia="仿宋"/>
          <w:sz w:val="30"/>
          <w:szCs w:val="30"/>
        </w:rPr>
        <w:t>%。</w:t>
      </w:r>
    </w:p>
    <w:p w14:paraId="0C845760">
      <w:pPr>
        <w:keepNext w:val="0"/>
        <w:keepLines w:val="0"/>
        <w:pageBreakBefore w:val="0"/>
        <w:kinsoku/>
        <w:wordWrap/>
        <w:overflowPunct/>
        <w:topLinePunct w:val="0"/>
        <w:autoSpaceDE/>
        <w:autoSpaceDN/>
        <w:bidi w:val="0"/>
        <w:adjustRightInd/>
        <w:spacing w:line="520" w:lineRule="exact"/>
        <w:ind w:firstLine="640"/>
        <w:textAlignment w:val="auto"/>
        <w:rPr>
          <w:rFonts w:ascii="仿宋" w:hAnsi="仿宋" w:eastAsia="仿宋"/>
          <w:b/>
          <w:sz w:val="32"/>
          <w:szCs w:val="32"/>
        </w:rPr>
      </w:pPr>
      <w:r>
        <w:rPr>
          <w:rFonts w:hint="eastAsia" w:ascii="仿宋" w:hAnsi="仿宋" w:eastAsia="仿宋"/>
          <w:b/>
          <w:sz w:val="32"/>
          <w:szCs w:val="32"/>
        </w:rPr>
        <w:t>（注：上述“预算”口径为全年预算数，包括一般公共预算和政府性基金预算财政拨款支出决算情况。）</w:t>
      </w:r>
    </w:p>
    <w:p w14:paraId="58439058">
      <w:pPr>
        <w:keepNext w:val="0"/>
        <w:keepLines w:val="0"/>
        <w:pageBreakBefore w:val="0"/>
        <w:kinsoku/>
        <w:wordWrap/>
        <w:overflowPunct/>
        <w:topLinePunct w:val="0"/>
        <w:autoSpaceDE/>
        <w:autoSpaceDN/>
        <w:bidi w:val="0"/>
        <w:adjustRightInd/>
        <w:spacing w:line="520" w:lineRule="exact"/>
        <w:ind w:firstLine="640"/>
        <w:textAlignment w:val="auto"/>
        <w:outlineLvl w:val="2"/>
        <w:rPr>
          <w:rFonts w:ascii="仿宋" w:hAnsi="仿宋" w:eastAsia="仿宋"/>
          <w:b/>
          <w:sz w:val="32"/>
          <w:szCs w:val="32"/>
        </w:rPr>
      </w:pPr>
      <w:bookmarkStart w:id="63" w:name="_Toc15377217"/>
      <w:bookmarkStart w:id="64" w:name="_Toc1940087240"/>
      <w:r>
        <w:rPr>
          <w:rFonts w:hint="eastAsia" w:ascii="仿宋" w:hAnsi="仿宋" w:eastAsia="仿宋"/>
          <w:b/>
          <w:sz w:val="32"/>
          <w:szCs w:val="32"/>
        </w:rPr>
        <w:t>（二）“三公”经费财政拨款支出决算具体情况说明</w:t>
      </w:r>
      <w:bookmarkEnd w:id="63"/>
      <w:bookmarkEnd w:id="64"/>
    </w:p>
    <w:p w14:paraId="0B2D31B7">
      <w:pPr>
        <w:keepNext w:val="0"/>
        <w:keepLines w:val="0"/>
        <w:pageBreakBefore w:val="0"/>
        <w:kinsoku/>
        <w:wordWrap/>
        <w:overflowPunct/>
        <w:topLinePunct w:val="0"/>
        <w:autoSpaceDE/>
        <w:autoSpaceDN/>
        <w:bidi w:val="0"/>
        <w:adjustRightInd/>
        <w:spacing w:line="520" w:lineRule="exact"/>
        <w:ind w:firstLine="640"/>
        <w:textAlignment w:val="auto"/>
        <w:rPr>
          <w:rFonts w:hint="eastAsia" w:ascii="仿宋" w:hAnsi="仿宋" w:eastAsia="仿宋"/>
          <w:sz w:val="30"/>
          <w:szCs w:val="30"/>
        </w:rPr>
      </w:pPr>
      <w:r>
        <w:rPr>
          <w:rFonts w:hint="eastAsia" w:ascii="仿宋" w:hAnsi="仿宋" w:eastAsia="仿宋"/>
          <w:sz w:val="30"/>
          <w:szCs w:val="30"/>
        </w:rPr>
        <w:t>202</w:t>
      </w:r>
      <w:r>
        <w:rPr>
          <w:rFonts w:hint="eastAsia" w:ascii="仿宋" w:hAnsi="仿宋" w:eastAsia="仿宋"/>
          <w:sz w:val="30"/>
          <w:szCs w:val="30"/>
          <w:lang w:val="en-US" w:eastAsia="zh-CN"/>
        </w:rPr>
        <w:t>5</w:t>
      </w:r>
      <w:r>
        <w:rPr>
          <w:rFonts w:hint="eastAsia" w:ascii="仿宋" w:hAnsi="仿宋" w:eastAsia="仿宋"/>
          <w:sz w:val="30"/>
          <w:szCs w:val="30"/>
        </w:rPr>
        <w:t>年度“三公”经费财政拨款支出决算中，因公出国（境）费支出决算</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0.00</w:t>
      </w:r>
      <w:r>
        <w:rPr>
          <w:rFonts w:ascii="仿宋" w:hAnsi="仿宋" w:eastAsia="仿宋"/>
          <w:sz w:val="30"/>
          <w:szCs w:val="30"/>
        </w:rPr>
        <w:t>%</w:t>
      </w:r>
      <w:r>
        <w:rPr>
          <w:rFonts w:hint="eastAsia" w:ascii="仿宋" w:hAnsi="仿宋" w:eastAsia="仿宋"/>
          <w:sz w:val="30"/>
          <w:szCs w:val="30"/>
        </w:rPr>
        <w:t>；公务用车购置及运行维护费支出决算</w:t>
      </w:r>
      <w:r>
        <w:rPr>
          <w:rFonts w:hint="eastAsia" w:ascii="仿宋" w:hAnsi="仿宋" w:eastAsia="仿宋"/>
          <w:sz w:val="30"/>
          <w:szCs w:val="30"/>
          <w:lang w:val="en-US" w:eastAsia="zh-CN"/>
        </w:rPr>
        <w:t>43.57</w:t>
      </w:r>
      <w:r>
        <w:rPr>
          <w:rFonts w:hint="eastAsia" w:ascii="仿宋" w:hAnsi="仿宋" w:eastAsia="仿宋"/>
          <w:sz w:val="30"/>
          <w:szCs w:val="30"/>
        </w:rPr>
        <w:t>万元，占</w:t>
      </w:r>
      <w:r>
        <w:rPr>
          <w:rFonts w:hint="eastAsia" w:ascii="仿宋" w:hAnsi="仿宋" w:eastAsia="仿宋"/>
          <w:sz w:val="30"/>
          <w:szCs w:val="30"/>
          <w:lang w:val="en-US" w:eastAsia="zh-CN"/>
        </w:rPr>
        <w:t>99.25</w:t>
      </w:r>
      <w:r>
        <w:rPr>
          <w:rFonts w:ascii="仿宋" w:hAnsi="仿宋" w:eastAsia="仿宋"/>
          <w:sz w:val="30"/>
          <w:szCs w:val="30"/>
        </w:rPr>
        <w:t>%</w:t>
      </w:r>
      <w:r>
        <w:rPr>
          <w:rFonts w:hint="eastAsia" w:ascii="仿宋" w:hAnsi="仿宋" w:eastAsia="仿宋"/>
          <w:sz w:val="30"/>
          <w:szCs w:val="30"/>
        </w:rPr>
        <w:t>；公务接待费支出决算</w:t>
      </w:r>
      <w:r>
        <w:rPr>
          <w:rFonts w:hint="eastAsia" w:ascii="仿宋" w:hAnsi="仿宋" w:eastAsia="仿宋"/>
          <w:sz w:val="30"/>
          <w:szCs w:val="30"/>
          <w:lang w:val="en-US" w:eastAsia="zh-CN"/>
        </w:rPr>
        <w:t>0.33</w:t>
      </w:r>
      <w:r>
        <w:rPr>
          <w:rFonts w:hint="eastAsia" w:ascii="仿宋" w:hAnsi="仿宋" w:eastAsia="仿宋"/>
          <w:sz w:val="30"/>
          <w:szCs w:val="30"/>
        </w:rPr>
        <w:t>万元，占</w:t>
      </w:r>
      <w:r>
        <w:rPr>
          <w:rFonts w:hint="eastAsia" w:ascii="仿宋" w:hAnsi="仿宋" w:eastAsia="仿宋"/>
          <w:sz w:val="30"/>
          <w:szCs w:val="30"/>
          <w:lang w:val="en-US" w:eastAsia="zh-CN"/>
        </w:rPr>
        <w:t>0.75</w:t>
      </w:r>
      <w:r>
        <w:rPr>
          <w:rFonts w:ascii="仿宋" w:hAnsi="仿宋" w:eastAsia="仿宋"/>
          <w:sz w:val="30"/>
          <w:szCs w:val="30"/>
        </w:rPr>
        <w:t>%</w:t>
      </w:r>
      <w:r>
        <w:rPr>
          <w:rFonts w:hint="eastAsia" w:ascii="仿宋" w:hAnsi="仿宋" w:eastAsia="仿宋"/>
          <w:sz w:val="30"/>
          <w:szCs w:val="30"/>
        </w:rPr>
        <w:t>。具体情况如下：</w:t>
      </w:r>
    </w:p>
    <w:p w14:paraId="0D888046">
      <w:pPr>
        <w:pStyle w:val="5"/>
        <w:rPr>
          <w:rFonts w:hint="eastAsia" w:ascii="仿宋" w:hAnsi="仿宋" w:eastAsia="仿宋"/>
          <w:sz w:val="32"/>
          <w:szCs w:val="32"/>
        </w:rPr>
      </w:pPr>
      <w:r>
        <w:drawing>
          <wp:anchor distT="0" distB="0" distL="114300" distR="114300" simplePos="0" relativeHeight="251665408" behindDoc="0" locked="0" layoutInCell="1" allowOverlap="1">
            <wp:simplePos x="0" y="0"/>
            <wp:positionH relativeFrom="column">
              <wp:posOffset>506095</wp:posOffset>
            </wp:positionH>
            <wp:positionV relativeFrom="page">
              <wp:posOffset>931545</wp:posOffset>
            </wp:positionV>
            <wp:extent cx="4260850" cy="2403475"/>
            <wp:effectExtent l="4445" t="4445" r="20955" b="11430"/>
            <wp:wrapTopAndBottom/>
            <wp:docPr id="115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BA6850B">
      <w:pPr>
        <w:keepNext w:val="0"/>
        <w:keepLines w:val="0"/>
        <w:pageBreakBefore w:val="0"/>
        <w:widowControl w:val="0"/>
        <w:kinsoku/>
        <w:wordWrap/>
        <w:overflowPunct/>
        <w:topLinePunct w:val="0"/>
        <w:bidi w:val="0"/>
        <w:snapToGrid/>
        <w:spacing w:line="520" w:lineRule="exact"/>
        <w:ind w:firstLine="640"/>
        <w:textAlignment w:val="auto"/>
        <w:rPr>
          <w:rFonts w:ascii="仿宋" w:hAnsi="仿宋" w:eastAsia="仿宋"/>
          <w:sz w:val="32"/>
          <w:szCs w:val="32"/>
        </w:rPr>
      </w:pPr>
      <w:r>
        <w:rPr>
          <w:rFonts w:hint="eastAsia" w:ascii="仿宋" w:hAnsi="仿宋" w:eastAsia="仿宋"/>
          <w:sz w:val="32"/>
          <w:szCs w:val="32"/>
        </w:rPr>
        <w:t>（图7：“三公”经费财政拨款支出结构）（饼状图）</w:t>
      </w:r>
    </w:p>
    <w:p w14:paraId="6B3AD9A7">
      <w:pPr>
        <w:keepNext w:val="0"/>
        <w:keepLines w:val="0"/>
        <w:pageBreakBefore w:val="0"/>
        <w:widowControl w:val="0"/>
        <w:kinsoku/>
        <w:wordWrap/>
        <w:overflowPunct/>
        <w:topLinePunct w:val="0"/>
        <w:bidi w:val="0"/>
        <w:snapToGrid/>
        <w:spacing w:line="520" w:lineRule="exact"/>
        <w:ind w:firstLine="640"/>
        <w:textAlignment w:val="auto"/>
        <w:rPr>
          <w:rFonts w:hint="eastAsia" w:ascii="仿宋_GB2312" w:eastAsia="仿宋_GB2312"/>
          <w:sz w:val="30"/>
          <w:szCs w:val="30"/>
          <w:lang w:eastAsia="zh-CN"/>
        </w:rPr>
      </w:pPr>
      <w:r>
        <w:rPr>
          <w:rFonts w:ascii="仿宋_GB2312" w:eastAsia="仿宋_GB2312"/>
          <w:b/>
          <w:sz w:val="30"/>
          <w:szCs w:val="30"/>
        </w:rPr>
        <w:t>1.</w:t>
      </w:r>
      <w:r>
        <w:rPr>
          <w:rFonts w:hint="eastAsia" w:ascii="仿宋_GB2312" w:eastAsia="仿宋_GB2312"/>
          <w:b/>
          <w:sz w:val="30"/>
          <w:szCs w:val="30"/>
        </w:rPr>
        <w:t>因公出国（境）经费支出</w:t>
      </w:r>
      <w:r>
        <w:rPr>
          <w:rFonts w:hint="eastAsia" w:ascii="仿宋_GB2312" w:eastAsia="仿宋_GB2312"/>
          <w:sz w:val="30"/>
          <w:szCs w:val="30"/>
          <w:lang w:val="en-US" w:eastAsia="zh-CN"/>
        </w:rPr>
        <w:t>0</w:t>
      </w:r>
      <w:r>
        <w:rPr>
          <w:rFonts w:hint="eastAsia" w:ascii="仿宋_GB2312" w:eastAsia="仿宋_GB2312"/>
          <w:sz w:val="30"/>
          <w:szCs w:val="30"/>
        </w:rPr>
        <w:t>万元</w:t>
      </w:r>
      <w:r>
        <w:rPr>
          <w:rFonts w:hint="eastAsia" w:ascii="仿宋_GB2312" w:eastAsia="仿宋_GB2312"/>
          <w:sz w:val="30"/>
          <w:szCs w:val="30"/>
          <w:lang w:eastAsia="zh-CN"/>
        </w:rPr>
        <w:t>。</w:t>
      </w:r>
    </w:p>
    <w:p w14:paraId="3ED992C8">
      <w:pPr>
        <w:keepNext w:val="0"/>
        <w:keepLines w:val="0"/>
        <w:pageBreakBefore w:val="0"/>
        <w:widowControl w:val="0"/>
        <w:kinsoku/>
        <w:wordWrap/>
        <w:overflowPunct/>
        <w:topLinePunct w:val="0"/>
        <w:bidi w:val="0"/>
        <w:snapToGrid/>
        <w:spacing w:line="520" w:lineRule="exact"/>
        <w:ind w:firstLine="640"/>
        <w:textAlignment w:val="auto"/>
        <w:rPr>
          <w:rFonts w:ascii="仿宋_GB2312" w:eastAsia="仿宋_GB2312"/>
          <w:b/>
          <w:sz w:val="30"/>
          <w:szCs w:val="30"/>
        </w:rPr>
      </w:pPr>
      <w:r>
        <w:rPr>
          <w:rFonts w:ascii="仿宋_GB2312" w:eastAsia="仿宋_GB2312"/>
          <w:b/>
          <w:sz w:val="30"/>
          <w:szCs w:val="30"/>
        </w:rPr>
        <w:t>2.</w:t>
      </w:r>
      <w:r>
        <w:rPr>
          <w:rFonts w:hint="eastAsia" w:ascii="仿宋_GB2312" w:eastAsia="仿宋_GB2312"/>
          <w:b/>
          <w:sz w:val="30"/>
          <w:szCs w:val="30"/>
        </w:rPr>
        <w:t>公务用车购置及运行维护费支出</w:t>
      </w:r>
      <w:r>
        <w:rPr>
          <w:rFonts w:hint="eastAsia" w:ascii="仿宋_GB2312" w:eastAsia="仿宋_GB2312"/>
          <w:sz w:val="30"/>
          <w:szCs w:val="30"/>
          <w:lang w:val="en-US" w:eastAsia="zh-CN"/>
        </w:rPr>
        <w:t>43.57</w:t>
      </w:r>
      <w:r>
        <w:rPr>
          <w:rFonts w:hint="eastAsia" w:ascii="仿宋_GB2312" w:eastAsia="仿宋_GB2312"/>
          <w:sz w:val="30"/>
          <w:szCs w:val="30"/>
        </w:rPr>
        <w:t>万元,</w:t>
      </w:r>
      <w:r>
        <w:rPr>
          <w:rStyle w:val="17"/>
          <w:rFonts w:hint="eastAsia" w:ascii="仿宋" w:hAnsi="仿宋" w:eastAsia="仿宋"/>
          <w:b w:val="0"/>
          <w:bCs/>
          <w:sz w:val="30"/>
          <w:szCs w:val="30"/>
        </w:rPr>
        <w:t>完成预算</w:t>
      </w:r>
      <w:r>
        <w:rPr>
          <w:rStyle w:val="17"/>
          <w:rFonts w:hint="eastAsia" w:ascii="仿宋" w:hAnsi="仿宋" w:eastAsia="仿宋"/>
          <w:b w:val="0"/>
          <w:bCs/>
          <w:sz w:val="30"/>
          <w:szCs w:val="30"/>
          <w:lang w:val="en-US" w:eastAsia="zh-CN"/>
        </w:rPr>
        <w:t>100</w:t>
      </w:r>
      <w:r>
        <w:rPr>
          <w:rStyle w:val="17"/>
          <w:rFonts w:ascii="仿宋" w:hAnsi="仿宋" w:eastAsia="仿宋"/>
          <w:b w:val="0"/>
          <w:bCs/>
          <w:sz w:val="30"/>
          <w:szCs w:val="30"/>
        </w:rPr>
        <w:t>%</w:t>
      </w:r>
      <w:r>
        <w:rPr>
          <w:rStyle w:val="17"/>
          <w:rFonts w:hint="eastAsia" w:ascii="仿宋" w:hAnsi="仿宋" w:eastAsia="仿宋"/>
          <w:b w:val="0"/>
          <w:bCs/>
          <w:sz w:val="30"/>
          <w:szCs w:val="30"/>
        </w:rPr>
        <w:t>。</w:t>
      </w:r>
      <w:r>
        <w:rPr>
          <w:rFonts w:hint="eastAsia" w:ascii="仿宋_GB2312" w:eastAsia="仿宋_GB2312"/>
          <w:sz w:val="30"/>
          <w:szCs w:val="30"/>
        </w:rPr>
        <w:t>公务用车购置及运行维护费支出决算比</w:t>
      </w:r>
      <w:r>
        <w:rPr>
          <w:rFonts w:hint="eastAsia" w:ascii="仿宋_GB2312" w:eastAsia="仿宋_GB2312"/>
          <w:sz w:val="30"/>
          <w:szCs w:val="30"/>
          <w:lang w:val="en-US" w:eastAsia="zh-CN"/>
        </w:rPr>
        <w:t>2024</w:t>
      </w:r>
      <w:r>
        <w:rPr>
          <w:rFonts w:hint="eastAsia" w:ascii="仿宋_GB2312" w:eastAsia="仿宋_GB2312"/>
          <w:sz w:val="30"/>
          <w:szCs w:val="30"/>
        </w:rPr>
        <w:t>年度</w:t>
      </w:r>
      <w:r>
        <w:rPr>
          <w:rFonts w:hint="eastAsia" w:ascii="仿宋_GB2312" w:eastAsia="仿宋_GB2312"/>
          <w:sz w:val="30"/>
          <w:szCs w:val="30"/>
          <w:lang w:eastAsia="zh-CN"/>
        </w:rPr>
        <w:t>减少</w:t>
      </w:r>
      <w:r>
        <w:rPr>
          <w:rFonts w:hint="eastAsia" w:ascii="仿宋_GB2312" w:eastAsia="仿宋_GB2312"/>
          <w:sz w:val="30"/>
          <w:szCs w:val="30"/>
          <w:lang w:val="en-US" w:eastAsia="zh-CN"/>
        </w:rPr>
        <w:t>2.89</w:t>
      </w:r>
      <w:r>
        <w:rPr>
          <w:rFonts w:hint="eastAsia" w:ascii="仿宋_GB2312" w:eastAsia="仿宋_GB2312"/>
          <w:sz w:val="30"/>
          <w:szCs w:val="30"/>
        </w:rPr>
        <w:t>万元，</w:t>
      </w:r>
      <w:r>
        <w:rPr>
          <w:rFonts w:hint="eastAsia" w:ascii="仿宋_GB2312" w:eastAsia="仿宋_GB2312"/>
          <w:sz w:val="30"/>
          <w:szCs w:val="30"/>
          <w:lang w:eastAsia="zh-CN"/>
        </w:rPr>
        <w:t>减少</w:t>
      </w:r>
      <w:r>
        <w:rPr>
          <w:rFonts w:hint="eastAsia" w:ascii="仿宋_GB2312" w:eastAsia="仿宋_GB2312"/>
          <w:sz w:val="30"/>
          <w:szCs w:val="30"/>
          <w:lang w:val="en-US" w:eastAsia="zh-CN"/>
        </w:rPr>
        <w:t>6.22</w:t>
      </w:r>
      <w:r>
        <w:rPr>
          <w:rFonts w:ascii="仿宋_GB2312" w:eastAsia="仿宋_GB2312"/>
          <w:sz w:val="30"/>
          <w:szCs w:val="30"/>
        </w:rPr>
        <w:t>%</w:t>
      </w:r>
      <w:r>
        <w:rPr>
          <w:rFonts w:hint="eastAsia" w:ascii="仿宋_GB2312" w:eastAsia="仿宋_GB2312"/>
          <w:sz w:val="30"/>
          <w:szCs w:val="30"/>
        </w:rPr>
        <w:t>。主要原因是</w:t>
      </w:r>
      <w:r>
        <w:rPr>
          <w:rFonts w:hint="eastAsia" w:ascii="仿宋_GB2312" w:eastAsia="仿宋_GB2312"/>
          <w:sz w:val="30"/>
          <w:szCs w:val="30"/>
          <w:lang w:eastAsia="zh-CN"/>
        </w:rPr>
        <w:t>公务用车运行维护费用减少</w:t>
      </w:r>
      <w:r>
        <w:rPr>
          <w:rFonts w:hint="eastAsia" w:ascii="仿宋_GB2312" w:eastAsia="仿宋_GB2312"/>
          <w:sz w:val="30"/>
          <w:szCs w:val="30"/>
        </w:rPr>
        <w:t>。</w:t>
      </w:r>
    </w:p>
    <w:p w14:paraId="2A8B5088">
      <w:pPr>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其中：</w:t>
      </w:r>
      <w:r>
        <w:rPr>
          <w:rFonts w:hint="eastAsia" w:ascii="仿宋_GB2312" w:hAnsi="仿宋_GB2312" w:eastAsia="仿宋_GB2312" w:cs="仿宋_GB2312"/>
          <w:b/>
          <w:sz w:val="30"/>
          <w:szCs w:val="30"/>
        </w:rPr>
        <w:t>公务用车购置支出</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w:t>
      </w:r>
    </w:p>
    <w:p w14:paraId="768C8329">
      <w:pPr>
        <w:keepNext w:val="0"/>
        <w:keepLines w:val="0"/>
        <w:pageBreakBefore w:val="0"/>
        <w:widowControl w:val="0"/>
        <w:kinsoku/>
        <w:wordWrap/>
        <w:overflowPunct/>
        <w:topLinePunct w:val="0"/>
        <w:bidi w:val="0"/>
        <w:snapToGrid/>
        <w:spacing w:line="520" w:lineRule="exact"/>
        <w:ind w:firstLine="64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公务用车运行维护费支出</w:t>
      </w:r>
      <w:r>
        <w:rPr>
          <w:rFonts w:hint="eastAsia" w:ascii="仿宋_GB2312" w:hAnsi="仿宋_GB2312" w:eastAsia="仿宋_GB2312" w:cs="仿宋_GB2312"/>
          <w:sz w:val="30"/>
          <w:szCs w:val="30"/>
          <w:lang w:val="en-US" w:eastAsia="zh-CN"/>
        </w:rPr>
        <w:t>43.57</w:t>
      </w:r>
      <w:r>
        <w:rPr>
          <w:rFonts w:hint="eastAsia" w:ascii="仿宋_GB2312" w:hAnsi="仿宋_GB2312" w:eastAsia="仿宋_GB2312" w:cs="仿宋_GB2312"/>
          <w:sz w:val="30"/>
          <w:szCs w:val="30"/>
        </w:rPr>
        <w:t>万元。主要用于</w:t>
      </w:r>
      <w:r>
        <w:rPr>
          <w:rFonts w:hint="eastAsia" w:ascii="仿宋_GB2312" w:hAnsi="仿宋_GB2312" w:eastAsia="仿宋_GB2312" w:cs="仿宋_GB2312"/>
          <w:kern w:val="0"/>
          <w:sz w:val="30"/>
          <w:szCs w:val="30"/>
        </w:rPr>
        <w:t>疾病预防控制工作</w:t>
      </w:r>
      <w:r>
        <w:rPr>
          <w:rFonts w:hint="eastAsia" w:ascii="仿宋_GB2312" w:hAnsi="仿宋_GB2312" w:eastAsia="仿宋_GB2312" w:cs="仿宋_GB2312"/>
          <w:sz w:val="30"/>
          <w:szCs w:val="30"/>
        </w:rPr>
        <w:t>等所需的公务用车燃料费、维修费、过路过桥费、保险费等支出。</w:t>
      </w:r>
    </w:p>
    <w:p w14:paraId="1C97FFA6">
      <w:pPr>
        <w:keepNext w:val="0"/>
        <w:keepLines w:val="0"/>
        <w:pageBreakBefore w:val="0"/>
        <w:widowControl w:val="0"/>
        <w:kinsoku/>
        <w:wordWrap/>
        <w:overflowPunct/>
        <w:topLinePunct w:val="0"/>
        <w:bidi w:val="0"/>
        <w:snapToGrid/>
        <w:spacing w:line="520" w:lineRule="exact"/>
        <w:ind w:firstLine="64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3.公务接待费支出</w:t>
      </w:r>
      <w:r>
        <w:rPr>
          <w:rFonts w:hint="eastAsia" w:ascii="仿宋_GB2312" w:hAnsi="仿宋_GB2312" w:eastAsia="仿宋_GB2312" w:cs="仿宋_GB2312"/>
          <w:sz w:val="30"/>
          <w:szCs w:val="30"/>
          <w:lang w:val="en-US" w:eastAsia="zh-CN"/>
        </w:rPr>
        <w:t>0.33</w:t>
      </w:r>
      <w:r>
        <w:rPr>
          <w:rFonts w:hint="eastAsia" w:ascii="仿宋_GB2312" w:hAnsi="仿宋_GB2312" w:eastAsia="仿宋_GB2312" w:cs="仿宋_GB2312"/>
          <w:sz w:val="30"/>
          <w:szCs w:val="30"/>
        </w:rPr>
        <w:t>万元，</w:t>
      </w:r>
      <w:r>
        <w:rPr>
          <w:rStyle w:val="17"/>
          <w:rFonts w:hint="eastAsia" w:ascii="仿宋_GB2312" w:hAnsi="仿宋_GB2312" w:eastAsia="仿宋_GB2312" w:cs="仿宋_GB2312"/>
          <w:b w:val="0"/>
          <w:bCs/>
          <w:sz w:val="30"/>
          <w:szCs w:val="30"/>
        </w:rPr>
        <w:t>完成预算</w:t>
      </w:r>
      <w:r>
        <w:rPr>
          <w:rStyle w:val="17"/>
          <w:rFonts w:hint="eastAsia" w:ascii="仿宋_GB2312" w:hAnsi="仿宋_GB2312" w:eastAsia="仿宋_GB2312" w:cs="仿宋_GB2312"/>
          <w:b w:val="0"/>
          <w:bCs/>
          <w:sz w:val="30"/>
          <w:szCs w:val="30"/>
          <w:lang w:val="en-US" w:eastAsia="zh-CN"/>
        </w:rPr>
        <w:t>100</w:t>
      </w:r>
      <w:r>
        <w:rPr>
          <w:rStyle w:val="17"/>
          <w:rFonts w:hint="eastAsia" w:ascii="仿宋_GB2312" w:hAnsi="仿宋_GB2312" w:eastAsia="仿宋_GB2312" w:cs="仿宋_GB2312"/>
          <w:b w:val="0"/>
          <w:bCs/>
          <w:sz w:val="30"/>
          <w:szCs w:val="30"/>
        </w:rPr>
        <w:t>%。</w:t>
      </w:r>
      <w:r>
        <w:rPr>
          <w:rFonts w:hint="eastAsia" w:ascii="仿宋_GB2312" w:hAnsi="仿宋_GB2312" w:eastAsia="仿宋_GB2312" w:cs="仿宋_GB2312"/>
          <w:sz w:val="30"/>
          <w:szCs w:val="30"/>
        </w:rPr>
        <w:t>公务接待费支出决算比202</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年度</w:t>
      </w:r>
      <w:r>
        <w:rPr>
          <w:rFonts w:hint="eastAsia" w:ascii="仿宋_GB2312" w:hAnsi="仿宋_GB2312" w:eastAsia="仿宋_GB2312" w:cs="仿宋_GB2312"/>
          <w:sz w:val="30"/>
          <w:szCs w:val="30"/>
          <w:lang w:eastAsia="zh-CN"/>
        </w:rPr>
        <w:t>减少</w:t>
      </w:r>
      <w:r>
        <w:rPr>
          <w:rFonts w:hint="eastAsia" w:ascii="仿宋_GB2312" w:hAnsi="仿宋_GB2312" w:eastAsia="仿宋_GB2312" w:cs="仿宋_GB2312"/>
          <w:sz w:val="30"/>
          <w:szCs w:val="30"/>
          <w:lang w:val="en-US" w:eastAsia="zh-CN"/>
        </w:rPr>
        <w:t>1.43</w:t>
      </w:r>
      <w:r>
        <w:rPr>
          <w:rFonts w:hint="eastAsia" w:ascii="仿宋_GB2312" w:hAnsi="仿宋_GB2312" w:eastAsia="仿宋_GB2312" w:cs="仿宋_GB2312"/>
          <w:sz w:val="30"/>
          <w:szCs w:val="30"/>
        </w:rPr>
        <w:t>万元，</w:t>
      </w:r>
      <w:r>
        <w:rPr>
          <w:rFonts w:hint="eastAsia" w:ascii="仿宋_GB2312" w:hAnsi="仿宋_GB2312" w:eastAsia="仿宋_GB2312" w:cs="仿宋_GB2312"/>
          <w:sz w:val="30"/>
          <w:szCs w:val="30"/>
          <w:lang w:eastAsia="zh-CN"/>
        </w:rPr>
        <w:t>减少</w:t>
      </w:r>
      <w:r>
        <w:rPr>
          <w:rFonts w:hint="eastAsia" w:ascii="仿宋_GB2312" w:hAnsi="仿宋_GB2312" w:eastAsia="仿宋_GB2312" w:cs="仿宋_GB2312"/>
          <w:sz w:val="30"/>
          <w:szCs w:val="30"/>
          <w:lang w:val="en-US" w:eastAsia="zh-CN"/>
        </w:rPr>
        <w:t>81.25</w:t>
      </w:r>
      <w:r>
        <w:rPr>
          <w:rFonts w:hint="eastAsia" w:ascii="仿宋_GB2312" w:hAnsi="仿宋_GB2312" w:eastAsia="仿宋_GB2312" w:cs="仿宋_GB2312"/>
          <w:sz w:val="30"/>
          <w:szCs w:val="30"/>
        </w:rPr>
        <w:t>%。主要原因是</w:t>
      </w:r>
      <w:r>
        <w:rPr>
          <w:rFonts w:hint="eastAsia" w:ascii="仿宋_GB2312" w:hAnsi="仿宋_GB2312" w:eastAsia="仿宋_GB2312" w:cs="仿宋_GB2312"/>
          <w:kern w:val="0"/>
          <w:sz w:val="30"/>
          <w:szCs w:val="30"/>
        </w:rPr>
        <w:t>公务接待批次</w:t>
      </w:r>
      <w:r>
        <w:rPr>
          <w:rFonts w:hint="eastAsia" w:ascii="仿宋_GB2312" w:hAnsi="仿宋_GB2312" w:eastAsia="仿宋_GB2312" w:cs="仿宋_GB2312"/>
          <w:kern w:val="0"/>
          <w:sz w:val="30"/>
          <w:szCs w:val="30"/>
          <w:lang w:eastAsia="zh-CN"/>
        </w:rPr>
        <w:t>减少</w:t>
      </w:r>
      <w:r>
        <w:rPr>
          <w:rFonts w:hint="eastAsia" w:ascii="仿宋_GB2312" w:hAnsi="仿宋_GB2312" w:eastAsia="仿宋_GB2312" w:cs="仿宋_GB2312"/>
          <w:kern w:val="0"/>
          <w:sz w:val="30"/>
          <w:szCs w:val="30"/>
        </w:rPr>
        <w:t>，金额</w:t>
      </w:r>
      <w:r>
        <w:rPr>
          <w:rFonts w:hint="eastAsia" w:ascii="仿宋_GB2312" w:hAnsi="仿宋_GB2312" w:eastAsia="仿宋_GB2312" w:cs="仿宋_GB2312"/>
          <w:kern w:val="0"/>
          <w:sz w:val="30"/>
          <w:szCs w:val="30"/>
          <w:lang w:eastAsia="zh-CN"/>
        </w:rPr>
        <w:t>减少</w:t>
      </w:r>
      <w:r>
        <w:rPr>
          <w:rFonts w:hint="eastAsia" w:ascii="仿宋_GB2312" w:hAnsi="仿宋_GB2312" w:eastAsia="仿宋_GB2312" w:cs="仿宋_GB2312"/>
          <w:sz w:val="30"/>
          <w:szCs w:val="30"/>
        </w:rPr>
        <w:t>。其中：</w:t>
      </w:r>
    </w:p>
    <w:p w14:paraId="0859F1F2">
      <w:pPr>
        <w:keepNext w:val="0"/>
        <w:keepLines w:val="0"/>
        <w:pageBreakBefore w:val="0"/>
        <w:widowControl w:val="0"/>
        <w:kinsoku/>
        <w:wordWrap/>
        <w:overflowPunct/>
        <w:topLinePunct w:val="0"/>
        <w:bidi w:val="0"/>
        <w:snapToGrid/>
        <w:spacing w:line="520" w:lineRule="exact"/>
        <w:ind w:firstLine="640"/>
        <w:textAlignment w:val="auto"/>
        <w:rPr>
          <w:rFonts w:ascii="仿宋_GB2312" w:eastAsia="仿宋_GB2312"/>
          <w:sz w:val="32"/>
          <w:szCs w:val="32"/>
        </w:rPr>
      </w:pPr>
      <w:r>
        <w:rPr>
          <w:rFonts w:hint="eastAsia" w:ascii="仿宋_GB2312" w:hAnsi="仿宋_GB2312" w:eastAsia="仿宋_GB2312" w:cs="仿宋_GB2312"/>
          <w:b/>
          <w:sz w:val="30"/>
          <w:szCs w:val="30"/>
        </w:rPr>
        <w:t>国内公务接待支出</w:t>
      </w:r>
      <w:r>
        <w:rPr>
          <w:rFonts w:hint="eastAsia" w:ascii="仿宋_GB2312" w:hAnsi="仿宋_GB2312" w:eastAsia="仿宋_GB2312" w:cs="仿宋_GB2312"/>
          <w:sz w:val="30"/>
          <w:szCs w:val="30"/>
          <w:lang w:val="en-US" w:eastAsia="zh-CN"/>
        </w:rPr>
        <w:t>0.33</w:t>
      </w:r>
      <w:r>
        <w:rPr>
          <w:rFonts w:hint="eastAsia" w:ascii="仿宋_GB2312" w:hAnsi="仿宋_GB2312" w:eastAsia="仿宋_GB2312" w:cs="仿宋_GB2312"/>
          <w:sz w:val="30"/>
          <w:szCs w:val="30"/>
        </w:rPr>
        <w:t>万元，主要用于</w:t>
      </w:r>
      <w:r>
        <w:rPr>
          <w:rFonts w:hint="eastAsia" w:ascii="仿宋_GB2312" w:hAnsi="仿宋_GB2312" w:eastAsia="仿宋_GB2312" w:cs="仿宋_GB2312"/>
          <w:kern w:val="0"/>
          <w:sz w:val="30"/>
          <w:szCs w:val="30"/>
        </w:rPr>
        <w:t>业务活动开支的用餐费</w:t>
      </w:r>
      <w:r>
        <w:rPr>
          <w:rFonts w:hint="eastAsia" w:ascii="仿宋_GB2312" w:hAnsi="仿宋_GB2312" w:eastAsia="仿宋_GB2312" w:cs="仿宋_GB2312"/>
          <w:sz w:val="30"/>
          <w:szCs w:val="30"/>
        </w:rPr>
        <w:t>(执行公务、开展业务活动开支的交通费、住宿费、用餐费等)。国内公务接待</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批次，</w:t>
      </w: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人次（不包括陪同人员），共计支出</w:t>
      </w:r>
      <w:r>
        <w:rPr>
          <w:rFonts w:hint="eastAsia" w:ascii="仿宋_GB2312" w:hAnsi="仿宋_GB2312" w:eastAsia="仿宋_GB2312" w:cs="仿宋_GB2312"/>
          <w:sz w:val="30"/>
          <w:szCs w:val="30"/>
          <w:lang w:val="en-US" w:eastAsia="zh-CN"/>
        </w:rPr>
        <w:t>0.33</w:t>
      </w:r>
      <w:r>
        <w:rPr>
          <w:rFonts w:hint="eastAsia" w:ascii="仿宋_GB2312" w:hAnsi="仿宋_GB2312" w:eastAsia="仿宋_GB2312" w:cs="仿宋_GB2312"/>
          <w:sz w:val="30"/>
          <w:szCs w:val="30"/>
        </w:rPr>
        <w:t>万元。</w:t>
      </w:r>
    </w:p>
    <w:p w14:paraId="3F6711F1">
      <w:pPr>
        <w:keepNext w:val="0"/>
        <w:keepLines w:val="0"/>
        <w:pageBreakBefore w:val="0"/>
        <w:widowControl w:val="0"/>
        <w:kinsoku/>
        <w:wordWrap/>
        <w:overflowPunct/>
        <w:topLinePunct w:val="0"/>
        <w:bidi w:val="0"/>
        <w:snapToGrid/>
        <w:spacing w:line="520" w:lineRule="exact"/>
        <w:ind w:firstLine="640"/>
        <w:textAlignment w:val="auto"/>
        <w:outlineLvl w:val="1"/>
        <w:rPr>
          <w:rStyle w:val="21"/>
          <w:rFonts w:ascii="黑体" w:hAnsi="黑体" w:eastAsia="黑体"/>
        </w:rPr>
      </w:pPr>
      <w:bookmarkStart w:id="65" w:name="_Toc219300112"/>
      <w:bookmarkStart w:id="66" w:name="_Toc2049739031"/>
      <w:bookmarkStart w:id="67" w:name="_Toc15377218"/>
      <w:bookmarkStart w:id="68" w:name="_Toc15396610"/>
      <w:r>
        <w:rPr>
          <w:rFonts w:hint="eastAsia" w:ascii="黑体" w:eastAsia="黑体"/>
          <w:sz w:val="32"/>
          <w:szCs w:val="32"/>
        </w:rPr>
        <w:t>八、</w:t>
      </w:r>
      <w:r>
        <w:rPr>
          <w:rStyle w:val="21"/>
          <w:rFonts w:hint="eastAsia" w:ascii="黑体" w:hAnsi="黑体" w:eastAsia="黑体"/>
          <w:b w:val="0"/>
        </w:rPr>
        <w:t>政府性基金预算支出决算情况说明</w:t>
      </w:r>
      <w:bookmarkEnd w:id="65"/>
      <w:bookmarkEnd w:id="66"/>
      <w:bookmarkEnd w:id="67"/>
      <w:bookmarkEnd w:id="68"/>
    </w:p>
    <w:p w14:paraId="7D7C0326">
      <w:pPr>
        <w:keepNext w:val="0"/>
        <w:keepLines w:val="0"/>
        <w:pageBreakBefore w:val="0"/>
        <w:widowControl w:val="0"/>
        <w:kinsoku/>
        <w:wordWrap/>
        <w:overflowPunct/>
        <w:topLinePunct w:val="0"/>
        <w:bidi w:val="0"/>
        <w:snapToGrid/>
        <w:spacing w:line="520" w:lineRule="exact"/>
        <w:ind w:firstLine="640"/>
        <w:textAlignment w:val="auto"/>
        <w:rPr>
          <w:rFonts w:ascii="仿宋_GB2312" w:eastAsia="仿宋_GB2312"/>
          <w:sz w:val="30"/>
          <w:szCs w:val="30"/>
        </w:rPr>
      </w:pPr>
      <w:r>
        <w:rPr>
          <w:rFonts w:hint="eastAsia" w:ascii="仿宋_GB2312" w:eastAsia="仿宋_GB2312"/>
          <w:sz w:val="30"/>
          <w:szCs w:val="30"/>
        </w:rPr>
        <w:t>202</w:t>
      </w:r>
      <w:r>
        <w:rPr>
          <w:rFonts w:hint="eastAsia" w:ascii="仿宋_GB2312" w:eastAsia="仿宋_GB2312"/>
          <w:sz w:val="30"/>
          <w:szCs w:val="30"/>
          <w:lang w:val="en-US" w:eastAsia="zh-CN"/>
        </w:rPr>
        <w:t>5</w:t>
      </w:r>
      <w:r>
        <w:rPr>
          <w:rFonts w:hint="eastAsia" w:ascii="仿宋_GB2312" w:eastAsia="仿宋_GB2312"/>
          <w:sz w:val="30"/>
          <w:szCs w:val="30"/>
        </w:rPr>
        <w:t>年度政府性基金预算财政拨款支出</w:t>
      </w:r>
      <w:r>
        <w:rPr>
          <w:rFonts w:hint="eastAsia" w:ascii="仿宋_GB2312" w:eastAsia="仿宋_GB2312"/>
          <w:sz w:val="30"/>
          <w:szCs w:val="30"/>
          <w:lang w:val="en-US" w:eastAsia="zh-CN"/>
        </w:rPr>
        <w:t>0.00</w:t>
      </w:r>
      <w:r>
        <w:rPr>
          <w:rFonts w:hint="eastAsia" w:ascii="仿宋_GB2312" w:eastAsia="仿宋_GB2312"/>
          <w:sz w:val="30"/>
          <w:szCs w:val="30"/>
        </w:rPr>
        <w:t>万元。</w:t>
      </w:r>
    </w:p>
    <w:p w14:paraId="77C8588E">
      <w:pPr>
        <w:keepNext w:val="0"/>
        <w:keepLines w:val="0"/>
        <w:pageBreakBefore w:val="0"/>
        <w:widowControl w:val="0"/>
        <w:kinsoku/>
        <w:wordWrap/>
        <w:overflowPunct/>
        <w:topLinePunct w:val="0"/>
        <w:bidi w:val="0"/>
        <w:snapToGrid/>
        <w:spacing w:line="520" w:lineRule="exact"/>
        <w:ind w:firstLine="640"/>
        <w:textAlignment w:val="auto"/>
        <w:rPr>
          <w:rFonts w:ascii="仿宋_GB2312" w:eastAsia="仿宋_GB2312"/>
          <w:sz w:val="32"/>
          <w:szCs w:val="32"/>
        </w:rPr>
      </w:pPr>
    </w:p>
    <w:p w14:paraId="1964D88D">
      <w:pPr>
        <w:keepNext w:val="0"/>
        <w:keepLines w:val="0"/>
        <w:pageBreakBefore w:val="0"/>
        <w:widowControl w:val="0"/>
        <w:numPr>
          <w:ilvl w:val="0"/>
          <w:numId w:val="3"/>
        </w:numPr>
        <w:kinsoku/>
        <w:wordWrap/>
        <w:overflowPunct/>
        <w:topLinePunct w:val="0"/>
        <w:bidi w:val="0"/>
        <w:snapToGrid/>
        <w:spacing w:line="520" w:lineRule="exact"/>
        <w:ind w:firstLine="640"/>
        <w:textAlignment w:val="auto"/>
        <w:outlineLvl w:val="1"/>
        <w:rPr>
          <w:rStyle w:val="21"/>
          <w:rFonts w:ascii="黑体" w:hAnsi="黑体" w:eastAsia="黑体"/>
          <w:b w:val="0"/>
        </w:rPr>
      </w:pPr>
      <w:bookmarkStart w:id="69" w:name="_Toc2086999257"/>
      <w:bookmarkStart w:id="70" w:name="_Toc2086191944"/>
      <w:bookmarkStart w:id="71" w:name="_Toc15377219"/>
      <w:bookmarkStart w:id="72" w:name="_Toc15396611"/>
      <w:r>
        <w:rPr>
          <w:rStyle w:val="21"/>
          <w:rFonts w:hint="eastAsia" w:ascii="黑体" w:hAnsi="黑体" w:eastAsia="黑体"/>
          <w:b w:val="0"/>
        </w:rPr>
        <w:t>国有资本经营预算支出决算情况说明</w:t>
      </w:r>
      <w:bookmarkEnd w:id="69"/>
      <w:bookmarkEnd w:id="70"/>
      <w:bookmarkEnd w:id="71"/>
      <w:bookmarkEnd w:id="72"/>
    </w:p>
    <w:p w14:paraId="41069417">
      <w:pPr>
        <w:keepNext w:val="0"/>
        <w:keepLines w:val="0"/>
        <w:pageBreakBefore w:val="0"/>
        <w:widowControl w:val="0"/>
        <w:kinsoku/>
        <w:wordWrap/>
        <w:overflowPunct/>
        <w:topLinePunct w:val="0"/>
        <w:bidi w:val="0"/>
        <w:snapToGrid/>
        <w:spacing w:line="520" w:lineRule="exact"/>
        <w:ind w:firstLine="640"/>
        <w:textAlignment w:val="auto"/>
        <w:rPr>
          <w:rFonts w:ascii="仿宋_GB2312" w:eastAsia="仿宋_GB2312"/>
          <w:sz w:val="30"/>
          <w:szCs w:val="30"/>
        </w:rPr>
      </w:pPr>
      <w:r>
        <w:rPr>
          <w:rFonts w:hint="eastAsia" w:ascii="仿宋_GB2312" w:eastAsia="仿宋_GB2312"/>
          <w:sz w:val="30"/>
          <w:szCs w:val="30"/>
        </w:rPr>
        <w:t>202</w:t>
      </w:r>
      <w:r>
        <w:rPr>
          <w:rFonts w:hint="eastAsia" w:ascii="仿宋_GB2312" w:eastAsia="仿宋_GB2312"/>
          <w:sz w:val="30"/>
          <w:szCs w:val="30"/>
          <w:lang w:val="en-US" w:eastAsia="zh-CN"/>
        </w:rPr>
        <w:t>5</w:t>
      </w:r>
      <w:r>
        <w:rPr>
          <w:rFonts w:hint="eastAsia" w:ascii="仿宋_GB2312" w:eastAsia="仿宋_GB2312"/>
          <w:sz w:val="30"/>
          <w:szCs w:val="30"/>
        </w:rPr>
        <w:t>年度国有资本经营预算财政拨款支出</w:t>
      </w:r>
      <w:r>
        <w:rPr>
          <w:rFonts w:hint="eastAsia" w:ascii="仿宋_GB2312" w:eastAsia="仿宋_GB2312"/>
          <w:sz w:val="30"/>
          <w:szCs w:val="30"/>
          <w:lang w:val="en-US" w:eastAsia="zh-CN"/>
        </w:rPr>
        <w:t>0.00</w:t>
      </w:r>
      <w:r>
        <w:rPr>
          <w:rFonts w:hint="eastAsia" w:ascii="仿宋_GB2312" w:eastAsia="仿宋_GB2312"/>
          <w:sz w:val="30"/>
          <w:szCs w:val="30"/>
        </w:rPr>
        <w:t>万元。</w:t>
      </w:r>
    </w:p>
    <w:p w14:paraId="4FEBDD2A">
      <w:pPr>
        <w:keepNext w:val="0"/>
        <w:keepLines w:val="0"/>
        <w:pageBreakBefore w:val="0"/>
        <w:widowControl w:val="0"/>
        <w:kinsoku/>
        <w:wordWrap/>
        <w:overflowPunct/>
        <w:topLinePunct w:val="0"/>
        <w:bidi w:val="0"/>
        <w:snapToGrid/>
        <w:spacing w:line="520" w:lineRule="exact"/>
        <w:jc w:val="center"/>
        <w:textAlignment w:val="auto"/>
        <w:rPr>
          <w:rFonts w:ascii="方正小标宋简体" w:hAnsi="方正小标宋简体" w:eastAsia="方正小标宋简体" w:cs="方正小标宋简体"/>
          <w:sz w:val="30"/>
          <w:szCs w:val="30"/>
        </w:rPr>
      </w:pPr>
    </w:p>
    <w:p w14:paraId="14CAEDA2">
      <w:pPr>
        <w:keepNext w:val="0"/>
        <w:keepLines w:val="0"/>
        <w:pageBreakBefore w:val="0"/>
        <w:widowControl w:val="0"/>
        <w:numPr>
          <w:ilvl w:val="0"/>
          <w:numId w:val="3"/>
        </w:numPr>
        <w:kinsoku/>
        <w:wordWrap/>
        <w:overflowPunct/>
        <w:topLinePunct w:val="0"/>
        <w:bidi w:val="0"/>
        <w:snapToGrid/>
        <w:spacing w:line="520" w:lineRule="exact"/>
        <w:ind w:firstLine="640"/>
        <w:textAlignment w:val="auto"/>
        <w:outlineLvl w:val="1"/>
        <w:rPr>
          <w:rStyle w:val="21"/>
          <w:rFonts w:hint="eastAsia" w:ascii="黑体" w:hAnsi="黑体" w:eastAsia="黑体"/>
          <w:b w:val="0"/>
        </w:rPr>
      </w:pPr>
      <w:bookmarkStart w:id="73" w:name="_Toc919423643"/>
      <w:bookmarkStart w:id="74" w:name="_Toc15396612"/>
      <w:bookmarkStart w:id="75" w:name="_Toc15377221"/>
      <w:bookmarkStart w:id="76" w:name="_Toc1107997407"/>
      <w:r>
        <w:rPr>
          <w:rStyle w:val="21"/>
          <w:rFonts w:hint="eastAsia" w:ascii="黑体" w:hAnsi="黑体" w:eastAsia="黑体"/>
          <w:b w:val="0"/>
        </w:rPr>
        <w:t>其他重要事项的情况说明</w:t>
      </w:r>
      <w:bookmarkEnd w:id="73"/>
      <w:bookmarkEnd w:id="74"/>
      <w:bookmarkEnd w:id="75"/>
      <w:bookmarkEnd w:id="76"/>
    </w:p>
    <w:p w14:paraId="471045B6">
      <w:pPr>
        <w:keepNext w:val="0"/>
        <w:keepLines w:val="0"/>
        <w:pageBreakBefore w:val="0"/>
        <w:widowControl w:val="0"/>
        <w:kinsoku/>
        <w:wordWrap/>
        <w:overflowPunct/>
        <w:topLinePunct w:val="0"/>
        <w:bidi w:val="0"/>
        <w:snapToGrid/>
        <w:spacing w:line="520" w:lineRule="exact"/>
        <w:ind w:firstLine="643" w:firstLineChars="200"/>
        <w:textAlignment w:val="auto"/>
        <w:outlineLvl w:val="2"/>
        <w:rPr>
          <w:rFonts w:ascii="仿宋" w:hAnsi="仿宋" w:eastAsia="仿宋"/>
          <w:sz w:val="32"/>
          <w:szCs w:val="32"/>
        </w:rPr>
      </w:pPr>
      <w:bookmarkStart w:id="77" w:name="_Toc15377222"/>
      <w:bookmarkStart w:id="78" w:name="_Toc1675225657"/>
      <w:r>
        <w:rPr>
          <w:rFonts w:hint="eastAsia" w:ascii="仿宋" w:hAnsi="仿宋" w:eastAsia="仿宋"/>
          <w:b/>
          <w:sz w:val="32"/>
          <w:szCs w:val="32"/>
        </w:rPr>
        <w:t>（一）机关运行经费支出情况</w:t>
      </w:r>
      <w:bookmarkEnd w:id="77"/>
      <w:bookmarkEnd w:id="78"/>
    </w:p>
    <w:p w14:paraId="6EBCA134">
      <w:pPr>
        <w:keepNext w:val="0"/>
        <w:keepLines w:val="0"/>
        <w:pageBreakBefore w:val="0"/>
        <w:widowControl w:val="0"/>
        <w:kinsoku/>
        <w:wordWrap/>
        <w:overflowPunct/>
        <w:topLinePunct w:val="0"/>
        <w:bidi w:val="0"/>
        <w:snapToGrid/>
        <w:spacing w:line="520" w:lineRule="exact"/>
        <w:ind w:firstLine="600" w:firstLineChars="200"/>
        <w:textAlignment w:val="auto"/>
        <w:rPr>
          <w:rFonts w:ascii="仿宋" w:hAnsi="仿宋" w:eastAsia="仿宋"/>
          <w:b/>
          <w:sz w:val="32"/>
          <w:szCs w:val="32"/>
        </w:rPr>
      </w:pPr>
      <w:r>
        <w:rPr>
          <w:rFonts w:hint="eastAsia" w:ascii="仿宋_GB2312" w:hAnsi="仿宋_GB2312" w:eastAsia="仿宋_GB2312" w:cs="仿宋_GB2312"/>
          <w:kern w:val="0"/>
          <w:sz w:val="30"/>
          <w:szCs w:val="30"/>
        </w:rPr>
        <w:t>本单位为事业单位，未使用机关运行经费相关科目，机关运行经费安排为零</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b/>
          <w:sz w:val="30"/>
          <w:szCs w:val="30"/>
        </w:rPr>
        <w:t>（注：数据来源于财决附03表）</w:t>
      </w:r>
    </w:p>
    <w:p w14:paraId="03BFB00E">
      <w:pPr>
        <w:keepNext w:val="0"/>
        <w:keepLines w:val="0"/>
        <w:pageBreakBefore w:val="0"/>
        <w:widowControl w:val="0"/>
        <w:kinsoku/>
        <w:wordWrap/>
        <w:overflowPunct/>
        <w:topLinePunct w:val="0"/>
        <w:autoSpaceDE w:val="0"/>
        <w:autoSpaceDN w:val="0"/>
        <w:bidi w:val="0"/>
        <w:adjustRightInd w:val="0"/>
        <w:snapToGrid/>
        <w:spacing w:line="520" w:lineRule="exact"/>
        <w:ind w:firstLine="643" w:firstLineChars="200"/>
        <w:jc w:val="left"/>
        <w:textAlignment w:val="auto"/>
        <w:outlineLvl w:val="2"/>
        <w:rPr>
          <w:rFonts w:ascii="仿宋" w:hAnsi="仿宋" w:eastAsia="仿宋"/>
          <w:b/>
          <w:sz w:val="32"/>
          <w:szCs w:val="32"/>
        </w:rPr>
      </w:pPr>
      <w:bookmarkStart w:id="79" w:name="_Toc984223279"/>
      <w:bookmarkStart w:id="80" w:name="_Toc15377223"/>
      <w:r>
        <w:rPr>
          <w:rFonts w:hint="eastAsia" w:ascii="仿宋" w:hAnsi="仿宋" w:eastAsia="仿宋"/>
          <w:b/>
          <w:sz w:val="32"/>
          <w:szCs w:val="32"/>
        </w:rPr>
        <w:t>（二）政府采购支出情况</w:t>
      </w:r>
      <w:bookmarkEnd w:id="79"/>
      <w:bookmarkEnd w:id="80"/>
    </w:p>
    <w:p w14:paraId="0221AD20">
      <w:pPr>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年度，</w:t>
      </w:r>
      <w:r>
        <w:rPr>
          <w:rFonts w:hint="eastAsia" w:ascii="仿宋_GB2312" w:hAnsi="仿宋_GB2312" w:eastAsia="仿宋_GB2312" w:cs="仿宋_GB2312"/>
          <w:kern w:val="0"/>
          <w:sz w:val="30"/>
          <w:szCs w:val="30"/>
        </w:rPr>
        <w:t>四川省阿坝州疾病预防控制中心</w:t>
      </w:r>
      <w:r>
        <w:rPr>
          <w:rFonts w:hint="eastAsia" w:ascii="仿宋_GB2312" w:hAnsi="仿宋_GB2312" w:eastAsia="仿宋_GB2312" w:cs="仿宋_GB2312"/>
          <w:sz w:val="30"/>
          <w:szCs w:val="30"/>
        </w:rPr>
        <w:t>政府采购支出总额</w:t>
      </w:r>
      <w:r>
        <w:rPr>
          <w:rFonts w:hint="eastAsia" w:ascii="仿宋_GB2312" w:hAnsi="仿宋_GB2312" w:eastAsia="仿宋_GB2312" w:cs="仿宋_GB2312"/>
          <w:sz w:val="30"/>
          <w:szCs w:val="30"/>
          <w:lang w:val="en-US" w:eastAsia="zh-CN"/>
        </w:rPr>
        <w:t>500.02</w:t>
      </w:r>
      <w:r>
        <w:rPr>
          <w:rFonts w:hint="eastAsia" w:ascii="仿宋_GB2312" w:hAnsi="仿宋_GB2312" w:eastAsia="仿宋_GB2312" w:cs="仿宋_GB2312"/>
          <w:sz w:val="30"/>
          <w:szCs w:val="30"/>
        </w:rPr>
        <w:t>万元，其中：政府采购货物支出</w:t>
      </w:r>
      <w:r>
        <w:rPr>
          <w:rFonts w:hint="eastAsia" w:ascii="仿宋_GB2312" w:hAnsi="仿宋_GB2312" w:eastAsia="仿宋_GB2312" w:cs="仿宋_GB2312"/>
          <w:sz w:val="30"/>
          <w:szCs w:val="30"/>
          <w:lang w:val="en-US" w:eastAsia="zh-CN"/>
        </w:rPr>
        <w:t>458.84</w:t>
      </w:r>
      <w:r>
        <w:rPr>
          <w:rFonts w:hint="eastAsia" w:ascii="仿宋_GB2312" w:hAnsi="仿宋_GB2312" w:eastAsia="仿宋_GB2312" w:cs="仿宋_GB2312"/>
          <w:sz w:val="30"/>
          <w:szCs w:val="30"/>
        </w:rPr>
        <w:t>万元、政府采购工程支出</w:t>
      </w:r>
      <w:r>
        <w:rPr>
          <w:rFonts w:hint="eastAsia" w:ascii="仿宋_GB2312" w:hAnsi="仿宋_GB2312" w:eastAsia="仿宋_GB2312" w:cs="仿宋_GB2312"/>
          <w:sz w:val="30"/>
          <w:szCs w:val="30"/>
          <w:lang w:val="en-US" w:eastAsia="zh-CN"/>
        </w:rPr>
        <w:t>0.00</w:t>
      </w:r>
      <w:r>
        <w:rPr>
          <w:rFonts w:hint="eastAsia" w:ascii="仿宋_GB2312" w:hAnsi="仿宋_GB2312" w:eastAsia="仿宋_GB2312" w:cs="仿宋_GB2312"/>
          <w:sz w:val="30"/>
          <w:szCs w:val="30"/>
        </w:rPr>
        <w:t>万元、政府采购服务支出</w:t>
      </w:r>
      <w:r>
        <w:rPr>
          <w:rFonts w:hint="eastAsia" w:ascii="仿宋_GB2312" w:hAnsi="仿宋_GB2312" w:eastAsia="仿宋_GB2312" w:cs="仿宋_GB2312"/>
          <w:sz w:val="30"/>
          <w:szCs w:val="30"/>
          <w:lang w:val="en-US" w:eastAsia="zh-CN"/>
        </w:rPr>
        <w:t>41.18</w:t>
      </w:r>
      <w:r>
        <w:rPr>
          <w:rFonts w:hint="eastAsia" w:ascii="仿宋_GB2312" w:hAnsi="仿宋_GB2312" w:eastAsia="仿宋_GB2312" w:cs="仿宋_GB2312"/>
          <w:sz w:val="30"/>
          <w:szCs w:val="30"/>
        </w:rPr>
        <w:t>万元。主要用于</w:t>
      </w:r>
      <w:r>
        <w:rPr>
          <w:rFonts w:hint="eastAsia" w:ascii="仿宋_GB2312" w:hAnsi="仿宋_GB2312" w:eastAsia="仿宋_GB2312" w:cs="仿宋_GB2312"/>
          <w:kern w:val="0"/>
          <w:sz w:val="30"/>
          <w:szCs w:val="30"/>
        </w:rPr>
        <w:t>疾病预防专用设备、办公设备购置</w:t>
      </w:r>
      <w:r>
        <w:rPr>
          <w:rFonts w:hint="eastAsia" w:ascii="仿宋_GB2312" w:hAnsi="仿宋_GB2312" w:eastAsia="仿宋_GB2312" w:cs="仿宋_GB2312"/>
          <w:sz w:val="30"/>
          <w:szCs w:val="30"/>
        </w:rPr>
        <w:t>。授予中小企业合同金额</w:t>
      </w:r>
      <w:r>
        <w:rPr>
          <w:rFonts w:hint="eastAsia" w:ascii="仿宋_GB2312" w:hAnsi="仿宋_GB2312" w:eastAsia="仿宋_GB2312" w:cs="仿宋_GB2312"/>
          <w:sz w:val="30"/>
          <w:szCs w:val="30"/>
          <w:lang w:val="en-US" w:eastAsia="zh-CN"/>
        </w:rPr>
        <w:t>500.02</w:t>
      </w:r>
      <w:r>
        <w:rPr>
          <w:rFonts w:hint="eastAsia" w:ascii="仿宋_GB2312" w:hAnsi="仿宋_GB2312" w:eastAsia="仿宋_GB2312" w:cs="仿宋_GB2312"/>
          <w:sz w:val="30"/>
          <w:szCs w:val="30"/>
        </w:rPr>
        <w:t>万元，占政府采购支出总额的</w:t>
      </w:r>
      <w:r>
        <w:rPr>
          <w:rFonts w:hint="eastAsia" w:ascii="仿宋_GB2312" w:hAnsi="仿宋_GB2312" w:eastAsia="仿宋_GB2312" w:cs="仿宋_GB2312"/>
          <w:sz w:val="30"/>
          <w:szCs w:val="30"/>
          <w:lang w:val="en-US" w:eastAsia="zh-CN"/>
        </w:rPr>
        <w:t>100</w:t>
      </w:r>
      <w:r>
        <w:rPr>
          <w:rFonts w:hint="eastAsia" w:ascii="仿宋_GB2312" w:hAnsi="仿宋_GB2312" w:eastAsia="仿宋_GB2312" w:cs="仿宋_GB2312"/>
          <w:sz w:val="30"/>
          <w:szCs w:val="30"/>
        </w:rPr>
        <w:t>%，其中：授予小微企业合同金额</w:t>
      </w:r>
      <w:r>
        <w:rPr>
          <w:rFonts w:hint="eastAsia" w:ascii="仿宋_GB2312" w:hAnsi="仿宋_GB2312" w:eastAsia="仿宋_GB2312" w:cs="仿宋_GB2312"/>
          <w:sz w:val="30"/>
          <w:szCs w:val="30"/>
          <w:lang w:val="en-US" w:eastAsia="zh-CN"/>
        </w:rPr>
        <w:t>500.02</w:t>
      </w:r>
      <w:r>
        <w:rPr>
          <w:rFonts w:hint="eastAsia" w:ascii="仿宋_GB2312" w:hAnsi="仿宋_GB2312" w:eastAsia="仿宋_GB2312" w:cs="仿宋_GB2312"/>
          <w:sz w:val="30"/>
          <w:szCs w:val="30"/>
        </w:rPr>
        <w:t>万元，占政府采购支出总额的</w:t>
      </w:r>
      <w:r>
        <w:rPr>
          <w:rFonts w:hint="eastAsia" w:ascii="仿宋_GB2312" w:hAnsi="仿宋_GB2312" w:eastAsia="仿宋_GB2312" w:cs="仿宋_GB2312"/>
          <w:sz w:val="30"/>
          <w:szCs w:val="30"/>
          <w:lang w:val="en-US" w:eastAsia="zh-CN"/>
        </w:rPr>
        <w:t>100</w:t>
      </w:r>
      <w:r>
        <w:rPr>
          <w:rFonts w:hint="eastAsia" w:ascii="仿宋_GB2312" w:hAnsi="仿宋_GB2312" w:eastAsia="仿宋_GB2312" w:cs="仿宋_GB2312"/>
          <w:sz w:val="30"/>
          <w:szCs w:val="30"/>
        </w:rPr>
        <w:t>%。</w:t>
      </w:r>
    </w:p>
    <w:p w14:paraId="0BFC5F29">
      <w:pPr>
        <w:keepNext w:val="0"/>
        <w:keepLines w:val="0"/>
        <w:pageBreakBefore w:val="0"/>
        <w:widowControl w:val="0"/>
        <w:kinsoku/>
        <w:wordWrap/>
        <w:overflowPunct/>
        <w:topLinePunct w:val="0"/>
        <w:bidi w:val="0"/>
        <w:snapToGrid/>
        <w:spacing w:line="5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（注：数据来源于财决附03表）</w:t>
      </w:r>
    </w:p>
    <w:p w14:paraId="66263B7E">
      <w:pPr>
        <w:keepNext w:val="0"/>
        <w:keepLines w:val="0"/>
        <w:pageBreakBefore w:val="0"/>
        <w:widowControl w:val="0"/>
        <w:kinsoku/>
        <w:wordWrap/>
        <w:overflowPunct/>
        <w:topLinePunct w:val="0"/>
        <w:autoSpaceDE w:val="0"/>
        <w:autoSpaceDN w:val="0"/>
        <w:bidi w:val="0"/>
        <w:adjustRightInd w:val="0"/>
        <w:snapToGrid/>
        <w:spacing w:line="520" w:lineRule="exact"/>
        <w:ind w:firstLine="643" w:firstLineChars="200"/>
        <w:jc w:val="left"/>
        <w:textAlignment w:val="auto"/>
        <w:outlineLvl w:val="2"/>
        <w:rPr>
          <w:rFonts w:ascii="仿宋" w:hAnsi="仿宋" w:eastAsia="仿宋"/>
          <w:b/>
          <w:sz w:val="32"/>
          <w:szCs w:val="32"/>
        </w:rPr>
      </w:pPr>
      <w:bookmarkStart w:id="81" w:name="_Toc15377224"/>
      <w:bookmarkStart w:id="82" w:name="_Toc1623867975"/>
      <w:r>
        <w:rPr>
          <w:rFonts w:hint="eastAsia" w:ascii="仿宋" w:hAnsi="仿宋" w:eastAsia="仿宋"/>
          <w:b/>
          <w:sz w:val="32"/>
          <w:szCs w:val="32"/>
        </w:rPr>
        <w:t>（三）国有资产占有使用情况</w:t>
      </w:r>
      <w:bookmarkEnd w:id="81"/>
      <w:bookmarkEnd w:id="82"/>
    </w:p>
    <w:p w14:paraId="6051C219">
      <w:pPr>
        <w:keepNext w:val="0"/>
        <w:keepLines w:val="0"/>
        <w:pageBreakBefore w:val="0"/>
        <w:widowControl w:val="0"/>
        <w:kinsoku/>
        <w:wordWrap/>
        <w:overflowPunct/>
        <w:topLinePunct w:val="0"/>
        <w:autoSpaceDE w:val="0"/>
        <w:autoSpaceDN w:val="0"/>
        <w:bidi w:val="0"/>
        <w:adjustRightInd w:val="0"/>
        <w:snapToGrid/>
        <w:spacing w:line="5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截至202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年12月31日，</w:t>
      </w:r>
      <w:r>
        <w:rPr>
          <w:rFonts w:hint="eastAsia" w:ascii="仿宋_GB2312" w:hAnsi="仿宋_GB2312" w:eastAsia="仿宋_GB2312" w:cs="仿宋_GB2312"/>
          <w:kern w:val="0"/>
          <w:sz w:val="30"/>
          <w:szCs w:val="30"/>
        </w:rPr>
        <w:t>四川省阿坝州疾病预防控制中心</w:t>
      </w:r>
      <w:r>
        <w:rPr>
          <w:rFonts w:hint="eastAsia" w:ascii="仿宋_GB2312" w:hAnsi="仿宋_GB2312" w:eastAsia="仿宋_GB2312" w:cs="仿宋_GB2312"/>
          <w:sz w:val="30"/>
          <w:szCs w:val="30"/>
        </w:rPr>
        <w:t>共有车辆</w:t>
      </w: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辆，其中：主要领导干部用车</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辆、机要通信用车</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辆、应急保障用车</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辆、</w:t>
      </w:r>
      <w:r>
        <w:rPr>
          <w:rFonts w:hint="eastAsia" w:ascii="仿宋_GB2312" w:hAnsi="仿宋_GB2312" w:eastAsia="仿宋_GB2312" w:cs="仿宋_GB2312"/>
          <w:color w:val="000000"/>
          <w:kern w:val="0"/>
          <w:sz w:val="30"/>
          <w:szCs w:val="30"/>
        </w:rPr>
        <w:t>特种专业技术用车1</w:t>
      </w:r>
      <w:r>
        <w:rPr>
          <w:rFonts w:hint="eastAsia" w:ascii="仿宋_GB2312" w:hAnsi="仿宋_GB2312" w:eastAsia="仿宋_GB2312" w:cs="仿宋_GB2312"/>
          <w:color w:val="000000"/>
          <w:kern w:val="0"/>
          <w:sz w:val="30"/>
          <w:szCs w:val="30"/>
          <w:lang w:val="en-US" w:eastAsia="zh-CN"/>
        </w:rPr>
        <w:t>3</w:t>
      </w:r>
      <w:r>
        <w:rPr>
          <w:rFonts w:hint="eastAsia" w:ascii="仿宋_GB2312" w:hAnsi="仿宋_GB2312" w:eastAsia="仿宋_GB2312" w:cs="仿宋_GB2312"/>
          <w:color w:val="000000"/>
          <w:kern w:val="0"/>
          <w:sz w:val="30"/>
          <w:szCs w:val="30"/>
        </w:rPr>
        <w:t>辆、</w:t>
      </w:r>
      <w:r>
        <w:rPr>
          <w:rFonts w:hint="eastAsia" w:ascii="仿宋_GB2312" w:hAnsi="仿宋_GB2312" w:eastAsia="仿宋_GB2312" w:cs="仿宋_GB2312"/>
          <w:sz w:val="30"/>
          <w:szCs w:val="30"/>
        </w:rPr>
        <w:t>其他用车</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辆，其他用车主要是用于</w:t>
      </w:r>
      <w:r>
        <w:rPr>
          <w:rFonts w:hint="eastAsia" w:ascii="仿宋_GB2312" w:hAnsi="仿宋_GB2312" w:eastAsia="仿宋_GB2312" w:cs="仿宋_GB2312"/>
          <w:kern w:val="0"/>
          <w:sz w:val="30"/>
          <w:szCs w:val="30"/>
        </w:rPr>
        <w:t>开展疾病预防控制工作</w:t>
      </w:r>
      <w:r>
        <w:rPr>
          <w:rFonts w:hint="eastAsia" w:ascii="仿宋_GB2312" w:hAnsi="仿宋_GB2312" w:eastAsia="仿宋_GB2312" w:cs="仿宋_GB2312"/>
          <w:sz w:val="30"/>
          <w:szCs w:val="30"/>
        </w:rPr>
        <w:t>。单价100万元以上设备（不含车辆）</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台（套）。</w:t>
      </w:r>
    </w:p>
    <w:p w14:paraId="4BBDFE10">
      <w:pPr>
        <w:keepNext w:val="0"/>
        <w:keepLines w:val="0"/>
        <w:pageBreakBefore w:val="0"/>
        <w:widowControl w:val="0"/>
        <w:kinsoku/>
        <w:wordWrap/>
        <w:overflowPunct/>
        <w:topLinePunct w:val="0"/>
        <w:autoSpaceDE w:val="0"/>
        <w:autoSpaceDN w:val="0"/>
        <w:bidi w:val="0"/>
        <w:adjustRightInd w:val="0"/>
        <w:snapToGrid/>
        <w:spacing w:line="520" w:lineRule="exact"/>
        <w:ind w:firstLine="602" w:firstLineChars="200"/>
        <w:jc w:val="left"/>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（注：数据来源于财决附03表，按部门决算报表填报数据罗列车辆情况。）</w:t>
      </w:r>
    </w:p>
    <w:p w14:paraId="399FB536">
      <w:pPr>
        <w:keepNext w:val="0"/>
        <w:keepLines w:val="0"/>
        <w:pageBreakBefore w:val="0"/>
        <w:widowControl w:val="0"/>
        <w:kinsoku/>
        <w:wordWrap/>
        <w:overflowPunct/>
        <w:topLinePunct w:val="0"/>
        <w:autoSpaceDE w:val="0"/>
        <w:autoSpaceDN w:val="0"/>
        <w:bidi w:val="0"/>
        <w:adjustRightInd w:val="0"/>
        <w:snapToGrid/>
        <w:spacing w:line="520" w:lineRule="exact"/>
        <w:ind w:firstLine="643" w:firstLineChars="200"/>
        <w:jc w:val="left"/>
        <w:textAlignment w:val="auto"/>
        <w:outlineLvl w:val="2"/>
        <w:rPr>
          <w:rFonts w:ascii="仿宋" w:hAnsi="仿宋" w:eastAsia="仿宋"/>
          <w:b/>
          <w:sz w:val="32"/>
          <w:szCs w:val="32"/>
        </w:rPr>
      </w:pPr>
      <w:bookmarkStart w:id="83" w:name="_Toc1438503962"/>
      <w:r>
        <w:rPr>
          <w:rFonts w:hint="eastAsia" w:ascii="仿宋" w:hAnsi="仿宋" w:eastAsia="仿宋"/>
          <w:b/>
          <w:sz w:val="32"/>
          <w:szCs w:val="32"/>
        </w:rPr>
        <w:t>（四）预算绩效管理情况</w:t>
      </w:r>
      <w:bookmarkEnd w:id="83"/>
    </w:p>
    <w:p w14:paraId="255BBBE5">
      <w:pPr>
        <w:keepNext w:val="0"/>
        <w:keepLines w:val="0"/>
        <w:pageBreakBefore w:val="0"/>
        <w:widowControl w:val="0"/>
        <w:kinsoku/>
        <w:wordWrap/>
        <w:overflowPunct/>
        <w:topLinePunct w:val="0"/>
        <w:bidi w:val="0"/>
        <w:snapToGrid/>
        <w:spacing w:line="520" w:lineRule="exact"/>
        <w:ind w:firstLine="600" w:firstLineChars="200"/>
        <w:textAlignment w:val="auto"/>
        <w:outlineLvl w:val="0"/>
        <w:rPr>
          <w:rFonts w:ascii="仿宋_GB2312" w:hAnsi="宋体" w:eastAsia="仿宋_GB2312" w:cs="宋体"/>
          <w:sz w:val="30"/>
          <w:szCs w:val="30"/>
        </w:rPr>
      </w:pPr>
      <w:bookmarkStart w:id="84" w:name="_Toc1933489581"/>
      <w:bookmarkStart w:id="85" w:name="_Toc1083428573"/>
      <w:r>
        <w:rPr>
          <w:rFonts w:hint="eastAsia" w:ascii="仿宋_GB2312" w:hAnsi="宋体" w:eastAsia="仿宋_GB2312" w:cs="宋体"/>
          <w:sz w:val="30"/>
          <w:szCs w:val="30"/>
        </w:rPr>
        <w:t>根据预算绩效管理要求，本部门（单位）在年初预算编制阶段，组织对</w:t>
      </w:r>
      <w:r>
        <w:rPr>
          <w:rFonts w:hint="eastAsia" w:ascii="仿宋_GB2312" w:hAnsi="宋体" w:eastAsia="仿宋_GB2312" w:cs="宋体"/>
          <w:sz w:val="30"/>
          <w:szCs w:val="30"/>
          <w:lang w:val="en-US" w:eastAsia="zh-CN"/>
        </w:rPr>
        <w:t>22</w:t>
      </w:r>
      <w:r>
        <w:rPr>
          <w:rFonts w:hint="eastAsia" w:ascii="仿宋_GB2312" w:hAnsi="宋体" w:eastAsia="仿宋_GB2312" w:cs="宋体"/>
          <w:sz w:val="30"/>
          <w:szCs w:val="30"/>
        </w:rPr>
        <w:t>个项目开展了预算事前绩效评估，对</w:t>
      </w:r>
      <w:r>
        <w:rPr>
          <w:rFonts w:hint="eastAsia" w:ascii="仿宋_GB2312" w:hAnsi="宋体" w:eastAsia="仿宋_GB2312" w:cs="宋体"/>
          <w:sz w:val="30"/>
          <w:szCs w:val="30"/>
          <w:lang w:val="en-US" w:eastAsia="zh-CN"/>
        </w:rPr>
        <w:t>22</w:t>
      </w:r>
      <w:r>
        <w:rPr>
          <w:rFonts w:hint="eastAsia" w:ascii="仿宋_GB2312" w:hAnsi="宋体" w:eastAsia="仿宋_GB2312" w:cs="宋体"/>
          <w:sz w:val="30"/>
          <w:szCs w:val="30"/>
        </w:rPr>
        <w:t>个项目编制了绩效目标，预算执行过程中，选取</w:t>
      </w:r>
      <w:r>
        <w:rPr>
          <w:rFonts w:hint="eastAsia" w:ascii="仿宋_GB2312" w:hAnsi="宋体" w:eastAsia="仿宋_GB2312" w:cs="宋体"/>
          <w:sz w:val="30"/>
          <w:szCs w:val="30"/>
          <w:lang w:val="en-US" w:eastAsia="zh-CN"/>
        </w:rPr>
        <w:t>22</w:t>
      </w:r>
      <w:r>
        <w:rPr>
          <w:rFonts w:hint="eastAsia" w:ascii="仿宋_GB2312" w:hAnsi="宋体" w:eastAsia="仿宋_GB2312" w:cs="宋体"/>
          <w:sz w:val="30"/>
          <w:szCs w:val="30"/>
        </w:rPr>
        <w:t>个项目开展绩效监控，年终执行完毕后，对</w:t>
      </w:r>
      <w:r>
        <w:rPr>
          <w:rFonts w:hint="eastAsia" w:ascii="仿宋_GB2312" w:hAnsi="宋体" w:eastAsia="仿宋_GB2312" w:cs="宋体"/>
          <w:sz w:val="30"/>
          <w:szCs w:val="30"/>
          <w:lang w:val="en-US" w:eastAsia="zh-CN"/>
        </w:rPr>
        <w:t>22</w:t>
      </w:r>
      <w:r>
        <w:rPr>
          <w:rFonts w:hint="eastAsia" w:ascii="仿宋_GB2312" w:hAnsi="宋体" w:eastAsia="仿宋_GB2312" w:cs="宋体"/>
          <w:sz w:val="30"/>
          <w:szCs w:val="30"/>
        </w:rPr>
        <w:t>个项目开展了绩效目标完成情况自评。</w:t>
      </w:r>
      <w:bookmarkEnd w:id="84"/>
      <w:bookmarkEnd w:id="85"/>
    </w:p>
    <w:p w14:paraId="5C2D55E0">
      <w:pPr>
        <w:keepNext w:val="0"/>
        <w:keepLines w:val="0"/>
        <w:pageBreakBefore w:val="0"/>
        <w:widowControl w:val="0"/>
        <w:kinsoku/>
        <w:wordWrap/>
        <w:overflowPunct/>
        <w:topLinePunct w:val="0"/>
        <w:bidi w:val="0"/>
        <w:snapToGrid/>
        <w:spacing w:line="520" w:lineRule="exact"/>
        <w:ind w:firstLine="600" w:firstLineChars="200"/>
        <w:textAlignment w:val="auto"/>
        <w:rPr>
          <w:rFonts w:ascii="仿宋_GB2312" w:eastAsia="仿宋_GB2312" w:cs="仿宋_GB2312"/>
          <w:sz w:val="30"/>
          <w:szCs w:val="30"/>
        </w:rPr>
      </w:pPr>
      <w:r>
        <w:rPr>
          <w:rFonts w:hint="eastAsia" w:ascii="仿宋_GB2312" w:eastAsia="仿宋_GB2312" w:cs="仿宋_GB2312"/>
          <w:sz w:val="30"/>
          <w:szCs w:val="30"/>
        </w:rPr>
        <w:t>同时，本部门对202</w:t>
      </w:r>
      <w:r>
        <w:rPr>
          <w:rFonts w:hint="eastAsia" w:ascii="仿宋_GB2312" w:eastAsia="仿宋_GB2312" w:cs="仿宋_GB2312"/>
          <w:sz w:val="30"/>
          <w:szCs w:val="30"/>
          <w:lang w:val="en-US" w:eastAsia="zh-CN"/>
        </w:rPr>
        <w:t>5</w:t>
      </w:r>
      <w:r>
        <w:rPr>
          <w:rFonts w:hint="eastAsia" w:ascii="仿宋_GB2312" w:eastAsia="仿宋_GB2312" w:cs="仿宋_GB2312"/>
          <w:sz w:val="30"/>
          <w:szCs w:val="30"/>
        </w:rPr>
        <w:t>年部门整体开展绩效自评，《202</w:t>
      </w:r>
      <w:r>
        <w:rPr>
          <w:rFonts w:hint="eastAsia" w:ascii="仿宋_GB2312" w:eastAsia="仿宋_GB2312" w:cs="仿宋_GB2312"/>
          <w:sz w:val="30"/>
          <w:szCs w:val="30"/>
          <w:lang w:val="en-US" w:eastAsia="zh-CN"/>
        </w:rPr>
        <w:t>5</w:t>
      </w:r>
      <w:r>
        <w:rPr>
          <w:rFonts w:hint="eastAsia" w:ascii="仿宋_GB2312" w:eastAsia="仿宋_GB2312" w:cs="仿宋_GB2312"/>
          <w:sz w:val="30"/>
          <w:szCs w:val="30"/>
        </w:rPr>
        <w:t>年阿坝州疾病预防控制中心部门整体绩效评价报告》见附件（第四部分）。</w:t>
      </w:r>
    </w:p>
    <w:p w14:paraId="52DC520A"/>
    <w:p w14:paraId="4DAA408D">
      <w:pPr>
        <w:keepNext w:val="0"/>
        <w:keepLines w:val="0"/>
        <w:pageBreakBefore w:val="0"/>
        <w:widowControl w:val="0"/>
        <w:numPr>
          <w:ilvl w:val="0"/>
          <w:numId w:val="4"/>
        </w:numPr>
        <w:kinsoku/>
        <w:wordWrap/>
        <w:overflowPunct/>
        <w:topLinePunct w:val="0"/>
        <w:bidi w:val="0"/>
        <w:snapToGrid/>
        <w:spacing w:line="520" w:lineRule="exact"/>
        <w:ind w:firstLine="660" w:firstLineChars="150"/>
        <w:jc w:val="center"/>
        <w:textAlignment w:val="auto"/>
        <w:outlineLvl w:val="0"/>
        <w:rPr>
          <w:rStyle w:val="19"/>
          <w:rFonts w:ascii="黑体" w:hAnsi="黑体" w:eastAsia="黑体"/>
          <w:b w:val="0"/>
        </w:rPr>
      </w:pPr>
      <w:bookmarkStart w:id="86" w:name="_Toc1774395101"/>
      <w:bookmarkStart w:id="87" w:name="_Toc1201873343"/>
      <w:bookmarkStart w:id="88" w:name="_Toc15377225"/>
      <w:bookmarkStart w:id="89" w:name="_Toc15396613"/>
      <w:r>
        <w:rPr>
          <w:rFonts w:hint="eastAsia" w:ascii="黑体" w:hAnsi="黑体" w:eastAsia="黑体"/>
          <w:sz w:val="44"/>
          <w:szCs w:val="44"/>
        </w:rPr>
        <w:t>名</w:t>
      </w:r>
      <w:r>
        <w:rPr>
          <w:rStyle w:val="19"/>
          <w:rFonts w:hint="eastAsia" w:ascii="黑体" w:hAnsi="黑体" w:eastAsia="黑体"/>
          <w:b w:val="0"/>
        </w:rPr>
        <w:t>词解释</w:t>
      </w:r>
      <w:bookmarkEnd w:id="86"/>
      <w:bookmarkEnd w:id="87"/>
      <w:bookmarkEnd w:id="88"/>
      <w:bookmarkEnd w:id="89"/>
    </w:p>
    <w:p w14:paraId="0A5AEE9F">
      <w:pPr>
        <w:keepNext w:val="0"/>
        <w:keepLines w:val="0"/>
        <w:pageBreakBefore w:val="0"/>
        <w:widowControl w:val="0"/>
        <w:kinsoku/>
        <w:wordWrap/>
        <w:overflowPunct/>
        <w:topLinePunct w:val="0"/>
        <w:bidi w:val="0"/>
        <w:snapToGrid/>
        <w:spacing w:line="520" w:lineRule="exact"/>
        <w:jc w:val="left"/>
        <w:textAlignment w:val="auto"/>
        <w:rPr>
          <w:rFonts w:ascii="宋体"/>
          <w:b/>
          <w:sz w:val="44"/>
          <w:szCs w:val="44"/>
        </w:rPr>
      </w:pPr>
    </w:p>
    <w:p w14:paraId="7F026C7B">
      <w:pPr>
        <w:pStyle w:val="22"/>
        <w:keepNext w:val="0"/>
        <w:keepLines w:val="0"/>
        <w:pageBreakBefore w:val="0"/>
        <w:widowControl w:val="0"/>
        <w:kinsoku/>
        <w:wordWrap/>
        <w:overflowPunct/>
        <w:topLinePunct w:val="0"/>
        <w:bidi w:val="0"/>
        <w:snapToGrid/>
        <w:spacing w:line="520" w:lineRule="exact"/>
        <w:ind w:firstLine="591" w:firstLineChars="197"/>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1.财政拨款收入：指单位从同级财政部门取得的财政预算资金。</w:t>
      </w:r>
    </w:p>
    <w:p w14:paraId="67523724">
      <w:pPr>
        <w:pStyle w:val="22"/>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2.其他收入：指单位取得的除上述收入以外的各项收入。 </w:t>
      </w:r>
    </w:p>
    <w:p w14:paraId="194A53DC">
      <w:pPr>
        <w:pStyle w:val="22"/>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3.年初结转和结余：指以前年度尚未完成、结转到本年按有关规定继续使用的资金。 </w:t>
      </w:r>
    </w:p>
    <w:p w14:paraId="65327030">
      <w:pPr>
        <w:pStyle w:val="22"/>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4.结余分配：指事业单位按照会计制度规定缴纳的所得税、提取的专用结余以及转入非财政拨款结余的金额等。</w:t>
      </w:r>
    </w:p>
    <w:p w14:paraId="1D2CFB7F">
      <w:pPr>
        <w:pStyle w:val="22"/>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5、年末结转和结余：指单位按有关规定结转到下年或以后年度继续使用的资金。</w:t>
      </w:r>
    </w:p>
    <w:p w14:paraId="6C9636DE">
      <w:pPr>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6.社会保障和就业：2080505指机关事业单位基本养老保险缴费支出，2080506机关事业单位职业年金缴费支出。</w:t>
      </w:r>
    </w:p>
    <w:p w14:paraId="7B4375A9">
      <w:pPr>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7.</w:t>
      </w:r>
      <w:r>
        <w:rPr>
          <w:rFonts w:hint="eastAsia" w:ascii="仿宋_GB2312" w:hAnsi="仿宋_GB2312" w:eastAsia="仿宋_GB2312" w:cs="仿宋_GB2312"/>
          <w:color w:val="000000" w:themeColor="text1"/>
          <w:sz w:val="30"/>
          <w:szCs w:val="30"/>
          <w14:textFill>
            <w14:solidFill>
              <w14:schemeClr w14:val="tx1"/>
            </w14:solidFill>
          </w14:textFill>
        </w:rPr>
        <w:t>卫生健康</w:t>
      </w:r>
      <w:r>
        <w:rPr>
          <w:rStyle w:val="17"/>
          <w:rFonts w:hint="eastAsia" w:ascii="仿宋_GB2312" w:hAnsi="仿宋_GB2312" w:eastAsia="仿宋_GB2312" w:cs="仿宋_GB2312"/>
          <w:bCs/>
          <w:color w:val="000000"/>
          <w:sz w:val="30"/>
          <w:szCs w:val="30"/>
        </w:rPr>
        <w:t>支</w:t>
      </w:r>
      <w:r>
        <w:rPr>
          <w:rStyle w:val="17"/>
          <w:rFonts w:hint="eastAsia" w:ascii="仿宋_GB2312" w:hAnsi="仿宋_GB2312" w:eastAsia="仿宋_GB2312" w:cs="仿宋_GB2312"/>
          <w:b w:val="0"/>
          <w:bCs/>
          <w:color w:val="000000"/>
          <w:sz w:val="30"/>
          <w:szCs w:val="30"/>
        </w:rPr>
        <w:t>出</w:t>
      </w:r>
      <w:r>
        <w:rPr>
          <w:rStyle w:val="17"/>
          <w:rFonts w:hint="eastAsia" w:ascii="仿宋_GB2312" w:hAnsi="仿宋_GB2312" w:eastAsia="仿宋_GB2312" w:cs="仿宋_GB2312"/>
          <w:bCs/>
          <w:color w:val="000000"/>
          <w:sz w:val="30"/>
          <w:szCs w:val="30"/>
        </w:rPr>
        <w:t>：</w:t>
      </w:r>
      <w:r>
        <w:rPr>
          <w:rFonts w:hint="eastAsia" w:ascii="仿宋_GB2312" w:hAnsi="仿宋_GB2312" w:eastAsia="仿宋_GB2312" w:cs="仿宋_GB2312"/>
          <w:bCs/>
          <w:color w:val="000000"/>
          <w:kern w:val="0"/>
          <w:sz w:val="30"/>
          <w:szCs w:val="30"/>
        </w:rPr>
        <w:t>其中2100401疾病预防控制机构缴费支出2100408基本公共卫生服务缴费支出2100409重大公共卫生专项缴费支出2100410突发公共卫生事件应急处理缴费支出2101102事业单位医疗缴费支出2101199其他行政事业单位医疗支出2109999其他卫生健康支出。</w:t>
      </w:r>
    </w:p>
    <w:p w14:paraId="6B383962">
      <w:pPr>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8.住房保障：2210201指住房公积金缴费支出，2210203购房补贴。</w:t>
      </w:r>
    </w:p>
    <w:p w14:paraId="3A776020">
      <w:pPr>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9.基本支出：指为保障机构正常运转、完成日常工作任务而发生的人员支出和公用支出。</w:t>
      </w:r>
    </w:p>
    <w:p w14:paraId="1FDE5DF7">
      <w:pPr>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 xml:space="preserve">10.项目支出：指在基本支出之外为完成特定行政任务和事业发展目标所发生的支出。 </w:t>
      </w:r>
    </w:p>
    <w:p w14:paraId="6B67BC7D">
      <w:pPr>
        <w:pStyle w:val="22"/>
        <w:keepNext w:val="0"/>
        <w:keepLines w:val="0"/>
        <w:pageBreakBefore w:val="0"/>
        <w:widowControl w:val="0"/>
        <w:kinsoku/>
        <w:wordWrap/>
        <w:overflowPunct/>
        <w:topLinePunct w:val="0"/>
        <w:bidi w:val="0"/>
        <w:snapToGrid/>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DAE1838">
      <w:pPr>
        <w:pStyle w:val="22"/>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color w:val="auto"/>
          <w:sz w:val="32"/>
          <w:szCs w:val="32"/>
        </w:rPr>
      </w:pPr>
    </w:p>
    <w:p w14:paraId="1E324014">
      <w:pPr>
        <w:keepNext w:val="0"/>
        <w:keepLines w:val="0"/>
        <w:pageBreakBefore w:val="0"/>
        <w:widowControl w:val="0"/>
        <w:kinsoku/>
        <w:wordWrap/>
        <w:overflowPunct/>
        <w:topLinePunct w:val="0"/>
        <w:bidi w:val="0"/>
        <w:snapToGrid/>
        <w:spacing w:line="5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（名词解释部分请根据各部门实际列支情况罗列，并根据本部门职责职能增减名词解释内容。）</w:t>
      </w:r>
      <w:bookmarkStart w:id="90" w:name="_Toc15396614"/>
      <w:bookmarkStart w:id="91" w:name="_Toc15377226"/>
    </w:p>
    <w:bookmarkEnd w:id="90"/>
    <w:bookmarkEnd w:id="91"/>
    <w:p w14:paraId="180F2FC8">
      <w:pPr>
        <w:outlineLvl w:val="0"/>
        <w:rPr>
          <w:rFonts w:hint="eastAsia" w:ascii="黑体" w:hAnsi="黑体" w:eastAsia="黑体"/>
          <w:sz w:val="44"/>
          <w:szCs w:val="44"/>
        </w:rPr>
      </w:pPr>
    </w:p>
    <w:p w14:paraId="2BFC3653">
      <w:pPr>
        <w:outlineLvl w:val="0"/>
        <w:rPr>
          <w:rFonts w:hint="eastAsia" w:ascii="黑体" w:hAnsi="黑体" w:eastAsia="黑体"/>
          <w:sz w:val="44"/>
          <w:szCs w:val="44"/>
        </w:rPr>
      </w:pPr>
    </w:p>
    <w:p w14:paraId="6EEE84F8">
      <w:pPr>
        <w:outlineLvl w:val="0"/>
        <w:rPr>
          <w:rFonts w:hint="eastAsia" w:ascii="黑体" w:hAnsi="黑体" w:eastAsia="黑体"/>
          <w:sz w:val="44"/>
          <w:szCs w:val="44"/>
        </w:rPr>
      </w:pPr>
    </w:p>
    <w:p w14:paraId="29415B89">
      <w:pPr>
        <w:outlineLvl w:val="0"/>
        <w:rPr>
          <w:rFonts w:hint="eastAsia" w:ascii="黑体" w:hAnsi="黑体" w:eastAsia="黑体"/>
          <w:sz w:val="44"/>
          <w:szCs w:val="44"/>
        </w:rPr>
      </w:pPr>
    </w:p>
    <w:p w14:paraId="03AFD119">
      <w:pPr>
        <w:outlineLvl w:val="0"/>
        <w:rPr>
          <w:rFonts w:hint="eastAsia" w:ascii="黑体" w:hAnsi="黑体" w:eastAsia="黑体"/>
          <w:sz w:val="44"/>
          <w:szCs w:val="44"/>
        </w:rPr>
      </w:pPr>
    </w:p>
    <w:p w14:paraId="13A8585D">
      <w:pPr>
        <w:outlineLvl w:val="0"/>
        <w:rPr>
          <w:rFonts w:hint="eastAsia" w:ascii="黑体" w:hAnsi="黑体" w:eastAsia="黑体"/>
          <w:sz w:val="44"/>
          <w:szCs w:val="44"/>
        </w:rPr>
      </w:pPr>
    </w:p>
    <w:p w14:paraId="766B86BD">
      <w:pPr>
        <w:outlineLvl w:val="0"/>
        <w:rPr>
          <w:rFonts w:hint="eastAsia" w:ascii="黑体" w:hAnsi="黑体" w:eastAsia="黑体"/>
          <w:sz w:val="44"/>
          <w:szCs w:val="44"/>
        </w:rPr>
      </w:pPr>
    </w:p>
    <w:p w14:paraId="41BD540C">
      <w:pPr>
        <w:outlineLvl w:val="0"/>
        <w:rPr>
          <w:rFonts w:hint="eastAsia" w:ascii="黑体" w:hAnsi="黑体" w:eastAsia="黑体"/>
          <w:sz w:val="44"/>
          <w:szCs w:val="44"/>
        </w:rPr>
      </w:pPr>
    </w:p>
    <w:p w14:paraId="381FECE9">
      <w:pPr>
        <w:outlineLvl w:val="0"/>
        <w:rPr>
          <w:rStyle w:val="19"/>
          <w:rFonts w:hint="eastAsia" w:ascii="黑体" w:hAnsi="黑体" w:eastAsia="黑体"/>
          <w:b w:val="0"/>
        </w:rPr>
      </w:pPr>
      <w:r>
        <w:rPr>
          <w:rFonts w:hint="eastAsia" w:ascii="黑体" w:hAnsi="黑体" w:eastAsia="黑体"/>
          <w:sz w:val="44"/>
          <w:szCs w:val="44"/>
        </w:rPr>
        <w:t>第</w:t>
      </w:r>
      <w:r>
        <w:rPr>
          <w:rStyle w:val="19"/>
          <w:rFonts w:hint="eastAsia" w:ascii="黑体" w:hAnsi="黑体" w:eastAsia="黑体"/>
          <w:b w:val="0"/>
        </w:rPr>
        <w:t>四部分 附件</w:t>
      </w:r>
    </w:p>
    <w:p w14:paraId="22A9280B">
      <w:pPr>
        <w:spacing w:line="572" w:lineRule="exact"/>
        <w:jc w:val="left"/>
        <w:outlineLvl w:val="0"/>
        <w:rPr>
          <w:rFonts w:hint="eastAsia" w:ascii="方正小标宋简体" w:hAnsi="方正小标宋简体" w:eastAsia="黑体" w:cs="方正小标宋简体"/>
          <w:b w:val="0"/>
          <w:bCs w:val="0"/>
          <w:sz w:val="44"/>
          <w:szCs w:val="44"/>
        </w:rPr>
      </w:pPr>
      <w:bookmarkStart w:id="92" w:name="_Toc1026358078"/>
      <w:bookmarkStart w:id="93" w:name="_Toc863641056"/>
      <w:r>
        <w:rPr>
          <w:rFonts w:hint="eastAsia" w:ascii="黑体" w:hAnsi="黑体" w:eastAsia="黑体" w:cs="黑体"/>
          <w:sz w:val="32"/>
          <w:szCs w:val="32"/>
        </w:rPr>
        <w:t>附件1</w:t>
      </w:r>
      <w:bookmarkEnd w:id="92"/>
      <w:bookmarkEnd w:id="93"/>
    </w:p>
    <w:p w14:paraId="3D6D069D">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eastAsia="zh-CN"/>
        </w:rPr>
        <w:t>阿坝州疾控中心</w:t>
      </w:r>
      <w:r>
        <w:rPr>
          <w:rFonts w:hint="eastAsia" w:eastAsia="方正小标宋简体" w:cs="Times New Roman"/>
          <w:b w:val="0"/>
          <w:bCs/>
          <w:sz w:val="44"/>
          <w:szCs w:val="44"/>
          <w:highlight w:val="none"/>
          <w:shd w:val="clear" w:color="auto" w:fill="FFFFFF"/>
          <w:lang w:val="en-US" w:eastAsia="zh-CN"/>
        </w:rPr>
        <w:t>2025年</w:t>
      </w:r>
    </w:p>
    <w:p w14:paraId="637606DD">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cs="Times New Roman"/>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eastAsia="方正小标宋简体" w:cs="Times New Roman"/>
          <w:b w:val="0"/>
          <w:bCs/>
          <w:sz w:val="44"/>
          <w:szCs w:val="44"/>
          <w:highlight w:val="none"/>
          <w:shd w:val="clear" w:color="auto" w:fill="FFFFFF"/>
          <w:lang w:eastAsia="zh-CN"/>
        </w:rPr>
        <w:t>自评</w:t>
      </w:r>
      <w:r>
        <w:rPr>
          <w:rFonts w:hint="default" w:ascii="Times New Roman" w:hAnsi="Times New Roman" w:eastAsia="方正小标宋简体" w:cs="Times New Roman"/>
          <w:b w:val="0"/>
          <w:bCs/>
          <w:sz w:val="44"/>
          <w:szCs w:val="44"/>
          <w:highlight w:val="none"/>
          <w:shd w:val="clear" w:color="auto" w:fill="FFFFFF"/>
        </w:rPr>
        <w:t>报告</w:t>
      </w:r>
    </w:p>
    <w:p w14:paraId="071B81DA">
      <w:pPr>
        <w:keepNext w:val="0"/>
        <w:keepLines w:val="0"/>
        <w:pageBreakBefore w:val="0"/>
        <w:widowControl/>
        <w:kinsoku/>
        <w:wordWrap/>
        <w:overflowPunct/>
        <w:topLinePunct w:val="0"/>
        <w:autoSpaceDE/>
        <w:autoSpaceDN/>
        <w:bidi w:val="0"/>
        <w:adjustRightInd w:val="0"/>
        <w:snapToGrid w:val="0"/>
        <w:spacing w:line="578" w:lineRule="exact"/>
        <w:ind w:firstLine="600" w:firstLineChars="200"/>
        <w:contextualSpacing/>
        <w:jc w:val="left"/>
        <w:textAlignment w:val="auto"/>
        <w:outlineLvl w:val="9"/>
        <w:rPr>
          <w:rFonts w:hint="eastAsia" w:ascii="仿宋_GB2312" w:hAnsi="仿宋_GB2312" w:eastAsia="仿宋_GB2312" w:cs="仿宋_GB2312"/>
          <w:color w:val="000000"/>
          <w:kern w:val="0"/>
          <w:sz w:val="30"/>
          <w:szCs w:val="30"/>
          <w:highlight w:val="none"/>
          <w:shd w:val="clear" w:color="auto" w:fill="FFFFFF"/>
        </w:rPr>
      </w:pPr>
    </w:p>
    <w:p w14:paraId="30018F87">
      <w:pPr>
        <w:keepNext w:val="0"/>
        <w:keepLines w:val="0"/>
        <w:pageBreakBefore w:val="0"/>
        <w:widowControl/>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shd w:val="clear" w:color="auto" w:fill="FFFFFF"/>
          <w:lang w:val="zh-CN"/>
        </w:rPr>
        <w:t>一、部门（单位）基本情况</w:t>
      </w:r>
    </w:p>
    <w:p w14:paraId="28DA4EB3">
      <w:pPr>
        <w:keepNext w:val="0"/>
        <w:keepLines w:val="0"/>
        <w:pageBreakBefore w:val="0"/>
        <w:kinsoku/>
        <w:wordWrap/>
        <w:overflowPunct/>
        <w:topLinePunct w:val="0"/>
        <w:autoSpaceDE/>
        <w:autoSpaceDN/>
        <w:bidi w:val="0"/>
        <w:spacing w:line="520" w:lineRule="exact"/>
        <w:ind w:left="420" w:leftChars="200" w:firstLine="602" w:firstLineChars="200"/>
        <w:textAlignment w:val="auto"/>
        <w:rPr>
          <w:rFonts w:hint="eastAsia" w:ascii="仿宋_GB2312" w:hAnsi="仿宋_GB2312" w:eastAsia="仿宋_GB2312" w:cs="仿宋_GB2312"/>
          <w:b/>
          <w:bCs/>
          <w:color w:val="000000"/>
          <w:kern w:val="0"/>
          <w:sz w:val="30"/>
          <w:szCs w:val="30"/>
          <w:shd w:val="clear" w:color="auto" w:fill="FFFFFF"/>
          <w:lang w:val="zh-CN"/>
        </w:rPr>
      </w:pPr>
      <w:r>
        <w:rPr>
          <w:rFonts w:hint="eastAsia" w:ascii="仿宋_GB2312" w:hAnsi="仿宋_GB2312" w:eastAsia="仿宋_GB2312" w:cs="仿宋_GB2312"/>
          <w:b/>
          <w:bCs/>
          <w:color w:val="000000"/>
          <w:kern w:val="0"/>
          <w:sz w:val="30"/>
          <w:szCs w:val="30"/>
          <w:shd w:val="clear" w:color="auto" w:fill="FFFFFF"/>
          <w:lang w:val="zh-CN"/>
        </w:rPr>
        <w:t>（一）机构组成</w:t>
      </w:r>
    </w:p>
    <w:p w14:paraId="5773BE53">
      <w:pPr>
        <w:keepNext w:val="0"/>
        <w:keepLines w:val="0"/>
        <w:pageBreakBefore w:val="0"/>
        <w:kinsoku/>
        <w:wordWrap/>
        <w:overflowPunct/>
        <w:topLinePunct w:val="0"/>
        <w:autoSpaceDE/>
        <w:autoSpaceDN/>
        <w:bidi w:val="0"/>
        <w:spacing w:line="520" w:lineRule="exact"/>
        <w:ind w:left="420" w:leftChars="200"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现内设</w:t>
      </w:r>
      <w:r>
        <w:rPr>
          <w:rFonts w:hint="eastAsia" w:ascii="仿宋_GB2312" w:hAnsi="仿宋_GB2312" w:eastAsia="仿宋_GB2312" w:cs="仿宋_GB2312"/>
          <w:sz w:val="30"/>
          <w:szCs w:val="30"/>
          <w:lang w:eastAsia="zh-CN"/>
        </w:rPr>
        <w:t>行政</w:t>
      </w:r>
      <w:r>
        <w:rPr>
          <w:rFonts w:hint="eastAsia" w:ascii="仿宋_GB2312" w:hAnsi="仿宋_GB2312" w:eastAsia="仿宋_GB2312" w:cs="仿宋_GB2312"/>
          <w:sz w:val="30"/>
          <w:szCs w:val="30"/>
        </w:rPr>
        <w:t>办公室、</w:t>
      </w:r>
      <w:r>
        <w:rPr>
          <w:rFonts w:hint="eastAsia" w:ascii="仿宋_GB2312" w:hAnsi="仿宋_GB2312" w:eastAsia="仿宋_GB2312" w:cs="仿宋_GB2312"/>
          <w:sz w:val="30"/>
          <w:szCs w:val="30"/>
          <w:lang w:eastAsia="zh-CN"/>
        </w:rPr>
        <w:t>党委办公室</w:t>
      </w:r>
      <w:r>
        <w:rPr>
          <w:rFonts w:hint="eastAsia" w:ascii="仿宋_GB2312" w:hAnsi="仿宋_GB2312" w:eastAsia="仿宋_GB2312" w:cs="仿宋_GB2312"/>
          <w:sz w:val="30"/>
          <w:szCs w:val="30"/>
          <w:lang w:val="en-US" w:eastAsia="zh-CN"/>
        </w:rPr>
        <w:t>/纪检监察室、</w:t>
      </w:r>
      <w:r>
        <w:rPr>
          <w:rFonts w:hint="eastAsia" w:ascii="仿宋_GB2312" w:hAnsi="仿宋_GB2312" w:eastAsia="仿宋_GB2312" w:cs="仿宋_GB2312"/>
          <w:sz w:val="30"/>
          <w:szCs w:val="30"/>
        </w:rPr>
        <w:t>人事科</w:t>
      </w:r>
      <w:r>
        <w:rPr>
          <w:rFonts w:hint="eastAsia" w:ascii="仿宋_GB2312" w:hAnsi="仿宋_GB2312" w:eastAsia="仿宋_GB2312" w:cs="仿宋_GB2312"/>
          <w:sz w:val="30"/>
          <w:szCs w:val="30"/>
          <w:lang w:eastAsia="zh-CN"/>
        </w:rPr>
        <w:t>教科</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规划财务科、质量管理与健康教育科、急性传染病预防控制科、免疫规划科、性病艾滋病预防控制科</w:t>
      </w:r>
      <w:r>
        <w:rPr>
          <w:rFonts w:hint="eastAsia" w:ascii="仿宋_GB2312" w:hAnsi="仿宋_GB2312" w:eastAsia="仿宋_GB2312" w:cs="仿宋_GB2312"/>
          <w:sz w:val="30"/>
          <w:szCs w:val="30"/>
          <w:lang w:val="en-US" w:eastAsia="zh-CN"/>
        </w:rPr>
        <w:t>/皮肤病性病防治所、地方病与寄生虫病预防控制科、结核病与麻风病预防控制科、慢性非传染性疾病预防控制科/促进基本公共卫生服务均等化指导中心办公室、公共卫生监测科、职业与辐射卫生科、微生物检验科、理化检验科、公共卫生监督科、医疗卫生监督科</w:t>
      </w:r>
      <w:r>
        <w:rPr>
          <w:rFonts w:hint="eastAsia" w:ascii="仿宋_GB2312" w:hAnsi="仿宋_GB2312" w:eastAsia="仿宋_GB2312" w:cs="仿宋_GB2312"/>
          <w:sz w:val="30"/>
          <w:szCs w:val="30"/>
        </w:rPr>
        <w:t>共</w:t>
      </w:r>
      <w:r>
        <w:rPr>
          <w:rFonts w:hint="eastAsia" w:ascii="仿宋_GB2312" w:hAnsi="仿宋_GB2312" w:eastAsia="仿宋_GB2312" w:cs="仿宋_GB2312"/>
          <w:sz w:val="30"/>
          <w:szCs w:val="30"/>
          <w:lang w:val="en-US" w:eastAsia="zh-CN"/>
        </w:rPr>
        <w:t>17</w:t>
      </w:r>
      <w:r>
        <w:rPr>
          <w:rFonts w:hint="eastAsia" w:ascii="仿宋_GB2312" w:hAnsi="仿宋_GB2312" w:eastAsia="仿宋_GB2312" w:cs="仿宋_GB2312"/>
          <w:sz w:val="30"/>
          <w:szCs w:val="30"/>
        </w:rPr>
        <w:t>个科室。</w:t>
      </w:r>
    </w:p>
    <w:p w14:paraId="55305A13">
      <w:pPr>
        <w:keepNext w:val="0"/>
        <w:keepLines w:val="0"/>
        <w:pageBreakBefore w:val="0"/>
        <w:kinsoku/>
        <w:wordWrap/>
        <w:overflowPunct/>
        <w:topLinePunct w:val="0"/>
        <w:autoSpaceDE/>
        <w:autoSpaceDN/>
        <w:bidi w:val="0"/>
        <w:spacing w:line="520" w:lineRule="exact"/>
        <w:ind w:left="420" w:leftChars="200" w:firstLine="602" w:firstLineChars="200"/>
        <w:textAlignment w:val="auto"/>
        <w:rPr>
          <w:rFonts w:hint="eastAsia" w:ascii="仿宋_GB2312" w:hAnsi="仿宋_GB2312" w:eastAsia="仿宋_GB2312" w:cs="仿宋_GB2312"/>
          <w:b/>
          <w:bCs/>
          <w:color w:val="000000"/>
          <w:kern w:val="0"/>
          <w:sz w:val="30"/>
          <w:szCs w:val="30"/>
          <w:shd w:val="clear" w:color="auto" w:fill="FFFFFF"/>
          <w:lang w:val="zh-CN"/>
        </w:rPr>
      </w:pPr>
      <w:r>
        <w:rPr>
          <w:rFonts w:hint="eastAsia" w:ascii="仿宋_GB2312" w:hAnsi="仿宋_GB2312" w:eastAsia="仿宋_GB2312" w:cs="仿宋_GB2312"/>
          <w:b/>
          <w:bCs/>
          <w:color w:val="000000"/>
          <w:kern w:val="0"/>
          <w:sz w:val="30"/>
          <w:szCs w:val="30"/>
          <w:shd w:val="clear" w:color="auto" w:fill="FFFFFF"/>
          <w:lang w:val="zh-CN"/>
        </w:rPr>
        <w:t>（二）机构职能</w:t>
      </w:r>
    </w:p>
    <w:p w14:paraId="6D5064AB">
      <w:pPr>
        <w:keepNext w:val="0"/>
        <w:keepLines w:val="0"/>
        <w:pageBreakBefore w:val="0"/>
        <w:kinsoku/>
        <w:wordWrap/>
        <w:overflowPunct/>
        <w:topLinePunct w:val="0"/>
        <w:autoSpaceDE/>
        <w:autoSpaceDN/>
        <w:bidi w:val="0"/>
        <w:spacing w:line="520" w:lineRule="exact"/>
        <w:ind w:left="420" w:leftChars="200"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职能简介：</w:t>
      </w:r>
      <w:r>
        <w:rPr>
          <w:rFonts w:hint="eastAsia" w:ascii="仿宋_GB2312" w:hAnsi="仿宋_GB2312" w:eastAsia="仿宋_GB2312" w:cs="仿宋_GB2312"/>
          <w:b w:val="0"/>
          <w:bCs w:val="0"/>
          <w:sz w:val="30"/>
          <w:szCs w:val="30"/>
        </w:rPr>
        <w:t>根据</w:t>
      </w:r>
      <w:r>
        <w:rPr>
          <w:rStyle w:val="17"/>
          <w:rFonts w:hint="eastAsia" w:ascii="仿宋_GB2312" w:hAnsi="仿宋_GB2312" w:eastAsia="仿宋_GB2312" w:cs="仿宋_GB2312"/>
          <w:b w:val="0"/>
          <w:bCs w:val="0"/>
          <w:color w:val="000000"/>
          <w:sz w:val="30"/>
          <w:szCs w:val="30"/>
        </w:rPr>
        <w:t>中华人民共和国卫生部令第40号</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sz w:val="30"/>
          <w:szCs w:val="30"/>
        </w:rPr>
        <w:t>关于疾病预防控制体系建设的若干规定》文件规定，主要职责是：</w:t>
      </w:r>
    </w:p>
    <w:p w14:paraId="697090D2">
      <w:pPr>
        <w:pStyle w:val="23"/>
        <w:keepNext w:val="0"/>
        <w:keepLines w:val="0"/>
        <w:pageBreakBefore w:val="0"/>
        <w:kinsoku/>
        <w:wordWrap/>
        <w:overflowPunct/>
        <w:topLinePunct w:val="0"/>
        <w:autoSpaceDE/>
        <w:autoSpaceDN/>
        <w:bidi w:val="0"/>
        <w:spacing w:before="0" w:line="520" w:lineRule="exact"/>
        <w:ind w:firstLine="900" w:firstLineChars="300"/>
        <w:jc w:val="left"/>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shd w:val="clear" w:color="auto" w:fill="FFFFFF"/>
        </w:rPr>
        <w:t>1、完成国家、省下达的重大疾病预防控制的指令性任务，实施疾病预防控制规划、方案，组织开展本地疾病暴发调查处理和报告；负责辖区内预防性生物制品管理，组织、实施预防接种工作；</w:t>
      </w:r>
    </w:p>
    <w:p w14:paraId="6CF275D8">
      <w:pPr>
        <w:pStyle w:val="23"/>
        <w:keepNext w:val="0"/>
        <w:keepLines w:val="0"/>
        <w:pageBreakBefore w:val="0"/>
        <w:kinsoku/>
        <w:wordWrap/>
        <w:overflowPunct/>
        <w:topLinePunct w:val="0"/>
        <w:autoSpaceDE/>
        <w:autoSpaceDN/>
        <w:bidi w:val="0"/>
        <w:spacing w:before="0" w:line="520" w:lineRule="exact"/>
        <w:ind w:firstLine="900" w:firstLineChars="300"/>
        <w:jc w:val="left"/>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shd w:val="clear" w:color="auto" w:fill="FFFFFF"/>
        </w:rPr>
        <w:t>2、调查突发公共卫生事件的危险因素，实施控制措施；</w:t>
      </w:r>
    </w:p>
    <w:p w14:paraId="35D05566">
      <w:pPr>
        <w:pStyle w:val="23"/>
        <w:keepNext w:val="0"/>
        <w:keepLines w:val="0"/>
        <w:pageBreakBefore w:val="0"/>
        <w:kinsoku/>
        <w:wordWrap/>
        <w:overflowPunct/>
        <w:topLinePunct w:val="0"/>
        <w:autoSpaceDE/>
        <w:autoSpaceDN/>
        <w:bidi w:val="0"/>
        <w:spacing w:before="0" w:line="520" w:lineRule="exact"/>
        <w:ind w:firstLine="900" w:firstLineChars="300"/>
        <w:jc w:val="left"/>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shd w:val="clear" w:color="auto" w:fill="FFFFFF"/>
        </w:rPr>
        <w:t>3、开展常见病原微生物检验检测和常见毒物、污染物的检验鉴定</w:t>
      </w:r>
      <w:r>
        <w:rPr>
          <w:rFonts w:hint="eastAsia" w:ascii="仿宋_GB2312" w:hAnsi="仿宋_GB2312" w:eastAsia="仿宋_GB2312" w:cs="仿宋_GB2312"/>
          <w:color w:val="000000"/>
          <w:sz w:val="30"/>
          <w:szCs w:val="30"/>
        </w:rPr>
        <w:t>；</w:t>
      </w:r>
    </w:p>
    <w:p w14:paraId="33907D81">
      <w:pPr>
        <w:keepNext w:val="0"/>
        <w:keepLines w:val="0"/>
        <w:pageBreakBefore w:val="0"/>
        <w:widowControl/>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shd w:val="clear" w:color="auto" w:fill="FFFFFF"/>
        </w:rPr>
        <w:t>4、开展疾病监测和食品卫生、职业卫生、放射卫生和环境卫生等领域健康</w:t>
      </w:r>
      <w:r>
        <w:rPr>
          <w:rFonts w:hint="eastAsia" w:ascii="仿宋_GB2312" w:hAnsi="仿宋_GB2312" w:eastAsia="仿宋_GB2312" w:cs="仿宋_GB2312"/>
          <w:sz w:val="30"/>
          <w:szCs w:val="30"/>
        </w:rPr>
        <w:t>危害</w:t>
      </w:r>
      <w:r>
        <w:rPr>
          <w:rFonts w:hint="eastAsia" w:ascii="仿宋_GB2312" w:hAnsi="仿宋_GB2312" w:eastAsia="仿宋_GB2312" w:cs="仿宋_GB2312"/>
          <w:color w:val="000000"/>
          <w:sz w:val="30"/>
          <w:szCs w:val="30"/>
          <w:shd w:val="clear" w:color="auto" w:fill="FFFFFF"/>
        </w:rPr>
        <w:t>因素监测，管理辖区疫情及相关公共卫生信息；</w:t>
      </w:r>
    </w:p>
    <w:p w14:paraId="355CCDB7">
      <w:pPr>
        <w:pStyle w:val="23"/>
        <w:keepNext w:val="0"/>
        <w:keepLines w:val="0"/>
        <w:pageBreakBefore w:val="0"/>
        <w:kinsoku/>
        <w:wordWrap/>
        <w:overflowPunct/>
        <w:topLinePunct w:val="0"/>
        <w:autoSpaceDE/>
        <w:autoSpaceDN/>
        <w:bidi w:val="0"/>
        <w:spacing w:before="0" w:line="520" w:lineRule="exact"/>
        <w:ind w:firstLine="900" w:firstLineChars="300"/>
        <w:jc w:val="left"/>
        <w:textAlignment w:val="auto"/>
        <w:rPr>
          <w:rFonts w:hint="eastAsia" w:ascii="仿宋_GB2312" w:hAnsi="仿宋_GB2312" w:eastAsia="仿宋_GB2312" w:cs="仿宋_GB2312"/>
          <w:color w:val="000000"/>
          <w:sz w:val="30"/>
          <w:szCs w:val="30"/>
          <w:shd w:val="clear" w:color="auto" w:fill="FFFFFF"/>
        </w:rPr>
      </w:pPr>
      <w:r>
        <w:rPr>
          <w:rFonts w:hint="eastAsia" w:ascii="仿宋_GB2312" w:hAnsi="仿宋_GB2312" w:eastAsia="仿宋_GB2312" w:cs="仿宋_GB2312"/>
          <w:color w:val="000000"/>
          <w:sz w:val="30"/>
          <w:szCs w:val="30"/>
          <w:shd w:val="clear" w:color="auto" w:fill="FFFFFF"/>
        </w:rPr>
        <w:t>5、承担卫生行政部门委托的与卫生监督执法相关的检验检测任务；</w:t>
      </w:r>
    </w:p>
    <w:p w14:paraId="2E940BC9">
      <w:pPr>
        <w:pStyle w:val="23"/>
        <w:keepNext w:val="0"/>
        <w:keepLines w:val="0"/>
        <w:pageBreakBefore w:val="0"/>
        <w:kinsoku/>
        <w:wordWrap/>
        <w:overflowPunct/>
        <w:topLinePunct w:val="0"/>
        <w:autoSpaceDE/>
        <w:autoSpaceDN/>
        <w:bidi w:val="0"/>
        <w:spacing w:before="0" w:line="520" w:lineRule="exact"/>
        <w:ind w:firstLine="900" w:firstLineChars="300"/>
        <w:jc w:val="left"/>
        <w:textAlignment w:val="auto"/>
        <w:rPr>
          <w:rFonts w:hint="eastAsia" w:ascii="仿宋_GB2312" w:hAnsi="仿宋_GB2312" w:eastAsia="仿宋_GB2312" w:cs="仿宋_GB2312"/>
          <w:color w:val="000000"/>
          <w:sz w:val="30"/>
          <w:szCs w:val="30"/>
          <w:shd w:val="clear" w:color="auto" w:fill="FFFFFF"/>
        </w:rPr>
      </w:pPr>
      <w:r>
        <w:rPr>
          <w:rFonts w:hint="eastAsia" w:ascii="仿宋_GB2312" w:hAnsi="仿宋_GB2312" w:eastAsia="仿宋_GB2312" w:cs="仿宋_GB2312"/>
          <w:color w:val="000000"/>
          <w:sz w:val="30"/>
          <w:szCs w:val="30"/>
          <w:shd w:val="clear" w:color="auto" w:fill="FFFFFF"/>
        </w:rPr>
        <w:t>6、组织开展健康教育与健康促进；</w:t>
      </w:r>
    </w:p>
    <w:p w14:paraId="341BA4BD">
      <w:pPr>
        <w:keepNext w:val="0"/>
        <w:keepLines w:val="0"/>
        <w:pageBreakBefore w:val="0"/>
        <w:widowControl/>
        <w:kinsoku/>
        <w:wordWrap/>
        <w:overflowPunct/>
        <w:topLinePunct w:val="0"/>
        <w:autoSpaceDE/>
        <w:autoSpaceDN/>
        <w:bidi w:val="0"/>
        <w:adjustRightInd w:val="0"/>
        <w:snapToGrid w:val="0"/>
        <w:spacing w:line="520" w:lineRule="exact"/>
        <w:ind w:firstLine="900" w:firstLineChars="300"/>
        <w:contextualSpacing/>
        <w:jc w:val="left"/>
        <w:textAlignment w:val="auto"/>
        <w:rPr>
          <w:rFonts w:hint="eastAsia" w:ascii="仿宋_GB2312" w:hAnsi="仿宋_GB2312" w:eastAsia="仿宋_GB2312" w:cs="仿宋_GB2312"/>
          <w:color w:val="000000"/>
          <w:kern w:val="0"/>
          <w:sz w:val="30"/>
          <w:szCs w:val="30"/>
          <w:shd w:val="clear" w:color="auto" w:fill="FFFFFF"/>
          <w:lang w:val="en-US" w:eastAsia="zh-CN" w:bidi="ar-SA"/>
        </w:rPr>
      </w:pPr>
      <w:r>
        <w:rPr>
          <w:rFonts w:hint="eastAsia" w:ascii="仿宋_GB2312" w:hAnsi="仿宋_GB2312" w:eastAsia="仿宋_GB2312" w:cs="仿宋_GB2312"/>
          <w:color w:val="000000"/>
          <w:kern w:val="0"/>
          <w:sz w:val="30"/>
          <w:szCs w:val="30"/>
          <w:shd w:val="clear" w:color="auto" w:fill="FFFFFF"/>
          <w:lang w:val="en-US" w:eastAsia="zh-CN" w:bidi="ar-SA"/>
        </w:rPr>
        <w:t>7</w:t>
      </w:r>
      <w:r>
        <w:rPr>
          <w:rFonts w:hint="eastAsia" w:ascii="仿宋_GB2312" w:hAnsi="仿宋_GB2312" w:eastAsia="仿宋_GB2312" w:cs="仿宋_GB2312"/>
          <w:sz w:val="30"/>
          <w:szCs w:val="30"/>
          <w:lang w:val="en-US" w:eastAsia="zh-CN"/>
        </w:rPr>
        <w:t>、负责对下级疾病预防控制机构的业务指导、人员培训和业务考核；指导辖区内医疗卫生机构传染病防治工作。</w:t>
      </w:r>
    </w:p>
    <w:p w14:paraId="20B50417">
      <w:pPr>
        <w:keepNext w:val="0"/>
        <w:keepLines w:val="0"/>
        <w:pageBreakBefore w:val="0"/>
        <w:widowControl/>
        <w:kinsoku/>
        <w:wordWrap/>
        <w:overflowPunct/>
        <w:topLinePunct w:val="0"/>
        <w:autoSpaceDE/>
        <w:autoSpaceDN/>
        <w:bidi w:val="0"/>
        <w:adjustRightInd w:val="0"/>
        <w:snapToGrid w:val="0"/>
        <w:spacing w:line="520" w:lineRule="exact"/>
        <w:ind w:firstLine="602" w:firstLineChars="200"/>
        <w:contextualSpacing/>
        <w:jc w:val="left"/>
        <w:textAlignment w:val="auto"/>
        <w:rPr>
          <w:rFonts w:hint="eastAsia" w:ascii="仿宋_GB2312" w:hAnsi="仿宋_GB2312" w:eastAsia="仿宋_GB2312" w:cs="仿宋_GB2312"/>
          <w:b/>
          <w:bCs/>
          <w:color w:val="000000"/>
          <w:kern w:val="0"/>
          <w:sz w:val="30"/>
          <w:szCs w:val="30"/>
          <w:shd w:val="clear" w:color="auto" w:fill="FFFFFF"/>
          <w:lang w:val="zh-CN"/>
        </w:rPr>
      </w:pPr>
      <w:r>
        <w:rPr>
          <w:rFonts w:hint="eastAsia" w:ascii="仿宋_GB2312" w:hAnsi="仿宋_GB2312" w:eastAsia="仿宋_GB2312" w:cs="仿宋_GB2312"/>
          <w:b/>
          <w:bCs/>
          <w:color w:val="000000"/>
          <w:kern w:val="0"/>
          <w:sz w:val="30"/>
          <w:szCs w:val="30"/>
          <w:shd w:val="clear" w:color="auto" w:fill="FFFFFF"/>
          <w:lang w:val="zh-CN"/>
        </w:rPr>
        <w:t>（三）人员概况</w:t>
      </w:r>
    </w:p>
    <w:p w14:paraId="694767AF">
      <w:pPr>
        <w:keepNext w:val="0"/>
        <w:keepLines w:val="0"/>
        <w:pageBreakBefore w:val="0"/>
        <w:widowControl/>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现核人员编制</w:t>
      </w:r>
      <w:r>
        <w:rPr>
          <w:rFonts w:hint="eastAsia" w:ascii="仿宋_GB2312" w:hAnsi="仿宋_GB2312" w:eastAsia="仿宋_GB2312" w:cs="仿宋_GB2312"/>
          <w:sz w:val="30"/>
          <w:szCs w:val="30"/>
          <w:lang w:val="en-US" w:eastAsia="zh-CN"/>
        </w:rPr>
        <w:t>114</w:t>
      </w:r>
      <w:r>
        <w:rPr>
          <w:rFonts w:hint="eastAsia" w:ascii="仿宋_GB2312" w:hAnsi="仿宋_GB2312" w:eastAsia="仿宋_GB2312" w:cs="仿宋_GB2312"/>
          <w:sz w:val="30"/>
          <w:szCs w:val="30"/>
        </w:rPr>
        <w:t>名，202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年年末在职职工</w:t>
      </w:r>
      <w:r>
        <w:rPr>
          <w:rFonts w:hint="eastAsia" w:ascii="仿宋_GB2312" w:hAnsi="仿宋_GB2312" w:eastAsia="仿宋_GB2312" w:cs="仿宋_GB2312"/>
          <w:sz w:val="30"/>
          <w:szCs w:val="30"/>
          <w:lang w:val="en-US" w:eastAsia="zh-CN"/>
        </w:rPr>
        <w:t>101</w:t>
      </w:r>
      <w:r>
        <w:rPr>
          <w:rFonts w:hint="eastAsia" w:ascii="仿宋_GB2312" w:hAnsi="仿宋_GB2312" w:eastAsia="仿宋_GB2312" w:cs="仿宋_GB2312"/>
          <w:sz w:val="30"/>
          <w:szCs w:val="30"/>
        </w:rPr>
        <w:t>人，其中管理人员</w:t>
      </w:r>
      <w:r>
        <w:rPr>
          <w:rFonts w:hint="eastAsia" w:ascii="仿宋_GB2312" w:hAnsi="仿宋_GB2312" w:eastAsia="仿宋_GB2312" w:cs="仿宋_GB2312"/>
          <w:sz w:val="30"/>
          <w:szCs w:val="30"/>
          <w:lang w:val="en-US" w:eastAsia="zh-CN"/>
        </w:rPr>
        <w:t>22</w:t>
      </w:r>
      <w:r>
        <w:rPr>
          <w:rFonts w:hint="eastAsia" w:ascii="仿宋_GB2312" w:hAnsi="仿宋_GB2312" w:eastAsia="仿宋_GB2312" w:cs="仿宋_GB2312"/>
          <w:sz w:val="30"/>
          <w:szCs w:val="30"/>
        </w:rPr>
        <w:t>人，专业技术人员</w:t>
      </w:r>
      <w:r>
        <w:rPr>
          <w:rFonts w:hint="eastAsia" w:ascii="仿宋_GB2312" w:hAnsi="仿宋_GB2312" w:eastAsia="仿宋_GB2312" w:cs="仿宋_GB2312"/>
          <w:sz w:val="30"/>
          <w:szCs w:val="30"/>
          <w:lang w:val="en-US" w:eastAsia="zh-CN"/>
        </w:rPr>
        <w:t>72</w:t>
      </w:r>
      <w:r>
        <w:rPr>
          <w:rFonts w:hint="eastAsia" w:ascii="仿宋_GB2312" w:hAnsi="仿宋_GB2312" w:eastAsia="仿宋_GB2312" w:cs="仿宋_GB2312"/>
          <w:sz w:val="30"/>
          <w:szCs w:val="30"/>
        </w:rPr>
        <w:t>人，工勤</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人。</w:t>
      </w:r>
    </w:p>
    <w:p w14:paraId="1CB7BFF3">
      <w:pPr>
        <w:keepNext w:val="0"/>
        <w:keepLines w:val="0"/>
        <w:pageBreakBefore w:val="0"/>
        <w:widowControl/>
        <w:kinsoku/>
        <w:wordWrap/>
        <w:overflowPunct/>
        <w:topLinePunct w:val="0"/>
        <w:autoSpaceDE/>
        <w:autoSpaceDN/>
        <w:bidi w:val="0"/>
        <w:adjustRightInd w:val="0"/>
        <w:snapToGrid w:val="0"/>
        <w:spacing w:line="520" w:lineRule="exact"/>
        <w:ind w:firstLine="643" w:firstLineChars="200"/>
        <w:contextualSpacing/>
        <w:jc w:val="left"/>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二、部门资金收支情况</w:t>
      </w:r>
    </w:p>
    <w:p w14:paraId="776F83D3">
      <w:pPr>
        <w:keepNext w:val="0"/>
        <w:keepLines w:val="0"/>
        <w:pageBreakBefore w:val="0"/>
        <w:widowControl/>
        <w:kinsoku/>
        <w:wordWrap/>
        <w:overflowPunct/>
        <w:topLinePunct w:val="0"/>
        <w:autoSpaceDE/>
        <w:autoSpaceDN/>
        <w:bidi w:val="0"/>
        <w:adjustRightInd w:val="0"/>
        <w:snapToGrid w:val="0"/>
        <w:spacing w:line="520" w:lineRule="exact"/>
        <w:ind w:firstLine="602" w:firstLineChars="200"/>
        <w:contextualSpacing/>
        <w:jc w:val="left"/>
        <w:textAlignment w:val="auto"/>
        <w:rPr>
          <w:rFonts w:hint="eastAsia" w:ascii="仿宋_GB2312" w:hAnsi="仿宋_GB2312" w:eastAsia="仿宋_GB2312" w:cs="仿宋_GB2312"/>
          <w:b/>
          <w:bCs/>
          <w:color w:val="000000"/>
          <w:kern w:val="0"/>
          <w:sz w:val="30"/>
          <w:szCs w:val="30"/>
          <w:shd w:val="clear" w:color="auto" w:fill="FFFFFF"/>
          <w:lang w:val="zh-CN"/>
        </w:rPr>
      </w:pPr>
      <w:r>
        <w:rPr>
          <w:rFonts w:hint="eastAsia" w:ascii="仿宋_GB2312" w:hAnsi="仿宋_GB2312" w:eastAsia="仿宋_GB2312" w:cs="仿宋_GB2312"/>
          <w:b/>
          <w:bCs/>
          <w:color w:val="000000"/>
          <w:kern w:val="0"/>
          <w:sz w:val="30"/>
          <w:szCs w:val="30"/>
          <w:shd w:val="clear" w:color="auto" w:fill="FFFFFF"/>
          <w:lang w:val="zh-CN"/>
        </w:rPr>
        <w:t>（一）收入情况。</w:t>
      </w:r>
    </w:p>
    <w:p w14:paraId="7EACFE77">
      <w:pPr>
        <w:keepNext w:val="0"/>
        <w:keepLines w:val="0"/>
        <w:pageBreakBefore w:val="0"/>
        <w:widowControl/>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b/>
          <w:bCs/>
          <w:color w:val="000000"/>
          <w:kern w:val="0"/>
          <w:sz w:val="30"/>
          <w:szCs w:val="30"/>
          <w:shd w:val="clear" w:color="auto" w:fill="FFFFFF"/>
        </w:rPr>
      </w:pPr>
      <w:r>
        <w:rPr>
          <w:rFonts w:hint="eastAsia" w:ascii="仿宋_GB2312" w:hAnsi="仿宋_GB2312" w:eastAsia="仿宋_GB2312" w:cs="仿宋_GB2312"/>
          <w:sz w:val="30"/>
          <w:szCs w:val="30"/>
        </w:rPr>
        <w:t>阿坝州疾控中心202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年年初预算收入</w:t>
      </w:r>
      <w:r>
        <w:rPr>
          <w:rFonts w:hint="eastAsia" w:ascii="仿宋_GB2312" w:hAnsi="仿宋_GB2312" w:eastAsia="仿宋_GB2312" w:cs="仿宋_GB2312"/>
          <w:sz w:val="30"/>
          <w:szCs w:val="30"/>
          <w:lang w:val="en-US" w:eastAsia="zh-CN"/>
        </w:rPr>
        <w:t>2861.36</w:t>
      </w:r>
      <w:r>
        <w:rPr>
          <w:rFonts w:hint="eastAsia" w:ascii="仿宋_GB2312" w:hAnsi="仿宋_GB2312" w:eastAsia="仿宋_GB2312" w:cs="仿宋_GB2312"/>
          <w:sz w:val="30"/>
          <w:szCs w:val="30"/>
        </w:rPr>
        <w:t>万元、决算报表收入</w:t>
      </w:r>
      <w:r>
        <w:rPr>
          <w:rFonts w:hint="eastAsia" w:ascii="仿宋_GB2312" w:hAnsi="仿宋_GB2312" w:eastAsia="仿宋_GB2312" w:cs="仿宋_GB2312"/>
          <w:sz w:val="30"/>
          <w:szCs w:val="30"/>
          <w:lang w:val="en-US" w:eastAsia="zh-CN"/>
        </w:rPr>
        <w:t>4353.09</w:t>
      </w:r>
      <w:r>
        <w:rPr>
          <w:rFonts w:hint="eastAsia" w:ascii="仿宋_GB2312" w:hAnsi="仿宋_GB2312" w:eastAsia="仿宋_GB2312" w:cs="仿宋_GB2312"/>
          <w:sz w:val="30"/>
          <w:szCs w:val="30"/>
        </w:rPr>
        <w:t>万元。</w:t>
      </w:r>
    </w:p>
    <w:p w14:paraId="54CDF5A2">
      <w:pPr>
        <w:keepNext w:val="0"/>
        <w:keepLines w:val="0"/>
        <w:pageBreakBefore w:val="0"/>
        <w:widowControl/>
        <w:numPr>
          <w:ilvl w:val="0"/>
          <w:numId w:val="5"/>
        </w:numPr>
        <w:kinsoku/>
        <w:wordWrap/>
        <w:overflowPunct/>
        <w:topLinePunct w:val="0"/>
        <w:autoSpaceDE/>
        <w:autoSpaceDN/>
        <w:bidi w:val="0"/>
        <w:adjustRightInd w:val="0"/>
        <w:snapToGrid w:val="0"/>
        <w:spacing w:line="520" w:lineRule="exact"/>
        <w:ind w:firstLine="602" w:firstLineChars="200"/>
        <w:contextualSpacing/>
        <w:jc w:val="left"/>
        <w:textAlignment w:val="auto"/>
        <w:rPr>
          <w:rFonts w:hint="eastAsia" w:ascii="仿宋_GB2312" w:hAnsi="仿宋_GB2312" w:eastAsia="仿宋_GB2312" w:cs="仿宋_GB2312"/>
          <w:b/>
          <w:bCs/>
          <w:color w:val="000000"/>
          <w:kern w:val="0"/>
          <w:sz w:val="30"/>
          <w:szCs w:val="30"/>
          <w:shd w:val="clear" w:color="auto" w:fill="FFFFFF"/>
          <w:lang w:val="zh-CN"/>
        </w:rPr>
      </w:pPr>
      <w:r>
        <w:rPr>
          <w:rFonts w:hint="eastAsia" w:ascii="仿宋_GB2312" w:hAnsi="仿宋_GB2312" w:eastAsia="仿宋_GB2312" w:cs="仿宋_GB2312"/>
          <w:b/>
          <w:bCs/>
          <w:color w:val="000000"/>
          <w:kern w:val="0"/>
          <w:sz w:val="30"/>
          <w:szCs w:val="30"/>
          <w:shd w:val="clear" w:color="auto" w:fill="FFFFFF"/>
          <w:lang w:val="zh-CN"/>
        </w:rPr>
        <w:t>支出情况。</w:t>
      </w:r>
    </w:p>
    <w:p w14:paraId="1086F41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rPr>
        <w:t>阿坝州疾控中心202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年年初预算支出</w:t>
      </w:r>
      <w:r>
        <w:rPr>
          <w:rFonts w:hint="eastAsia" w:ascii="仿宋_GB2312" w:hAnsi="仿宋_GB2312" w:eastAsia="仿宋_GB2312" w:cs="仿宋_GB2312"/>
          <w:sz w:val="30"/>
          <w:szCs w:val="30"/>
          <w:lang w:val="en-US" w:eastAsia="zh-CN"/>
        </w:rPr>
        <w:t>2861.36</w:t>
      </w:r>
      <w:r>
        <w:rPr>
          <w:rFonts w:hint="eastAsia" w:ascii="仿宋_GB2312" w:hAnsi="仿宋_GB2312" w:eastAsia="仿宋_GB2312" w:cs="仿宋_GB2312"/>
          <w:sz w:val="30"/>
          <w:szCs w:val="30"/>
        </w:rPr>
        <w:t>万元、决算报表支出</w:t>
      </w:r>
      <w:r>
        <w:rPr>
          <w:rFonts w:hint="eastAsia" w:ascii="仿宋_GB2312" w:hAnsi="仿宋_GB2312" w:eastAsia="仿宋_GB2312" w:cs="仿宋_GB2312"/>
          <w:sz w:val="30"/>
          <w:szCs w:val="30"/>
          <w:lang w:val="en-US" w:eastAsia="zh-CN"/>
        </w:rPr>
        <w:t>4355.69</w:t>
      </w:r>
      <w:r>
        <w:rPr>
          <w:rFonts w:hint="eastAsia" w:ascii="仿宋_GB2312" w:hAnsi="仿宋_GB2312" w:eastAsia="仿宋_GB2312" w:cs="仿宋_GB2312"/>
          <w:sz w:val="30"/>
          <w:szCs w:val="30"/>
        </w:rPr>
        <w:t>万元。</w:t>
      </w:r>
    </w:p>
    <w:p w14:paraId="3E5BDF68">
      <w:pPr>
        <w:keepNext w:val="0"/>
        <w:keepLines w:val="0"/>
        <w:pageBreakBefore w:val="0"/>
        <w:widowControl/>
        <w:numPr>
          <w:ilvl w:val="0"/>
          <w:numId w:val="5"/>
        </w:numPr>
        <w:kinsoku/>
        <w:wordWrap/>
        <w:overflowPunct/>
        <w:topLinePunct w:val="0"/>
        <w:autoSpaceDE/>
        <w:autoSpaceDN/>
        <w:bidi w:val="0"/>
        <w:adjustRightInd w:val="0"/>
        <w:snapToGrid w:val="0"/>
        <w:spacing w:line="520" w:lineRule="exact"/>
        <w:ind w:left="0" w:leftChars="0" w:firstLine="602" w:firstLineChars="200"/>
        <w:contextualSpacing/>
        <w:jc w:val="left"/>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结余分配和结转结余情况。</w:t>
      </w:r>
    </w:p>
    <w:p w14:paraId="091BEC7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color w:val="000000"/>
          <w:kern w:val="0"/>
          <w:sz w:val="30"/>
          <w:szCs w:val="30"/>
          <w:shd w:val="clear" w:color="auto" w:fill="FFFFFF"/>
          <w:lang w:val="zh-CN"/>
        </w:rPr>
      </w:pPr>
      <w:r>
        <w:rPr>
          <w:rFonts w:hint="eastAsia" w:ascii="仿宋_GB2312" w:hAnsi="仿宋_GB2312" w:eastAsia="仿宋_GB2312" w:cs="仿宋_GB2312"/>
          <w:sz w:val="30"/>
          <w:szCs w:val="30"/>
        </w:rPr>
        <w:t>阿坝州疾控中心202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年决算报表</w:t>
      </w:r>
      <w:r>
        <w:rPr>
          <w:rFonts w:hint="eastAsia" w:ascii="仿宋_GB2312" w:hAnsi="仿宋_GB2312" w:eastAsia="仿宋_GB2312" w:cs="仿宋_GB2312"/>
          <w:color w:val="000000"/>
          <w:kern w:val="0"/>
          <w:sz w:val="30"/>
          <w:szCs w:val="30"/>
          <w:shd w:val="clear" w:color="auto" w:fill="FFFFFF"/>
        </w:rPr>
        <w:t>结转结余</w:t>
      </w:r>
      <w:r>
        <w:rPr>
          <w:rFonts w:hint="eastAsia" w:ascii="仿宋_GB2312" w:hAnsi="仿宋_GB2312" w:eastAsia="仿宋_GB2312" w:cs="仿宋_GB2312"/>
          <w:color w:val="000000"/>
          <w:kern w:val="0"/>
          <w:sz w:val="30"/>
          <w:szCs w:val="30"/>
          <w:shd w:val="clear" w:color="auto" w:fill="FFFFFF"/>
          <w:lang w:val="en-US" w:eastAsia="zh-CN"/>
        </w:rPr>
        <w:t>23.91</w:t>
      </w:r>
      <w:r>
        <w:rPr>
          <w:rFonts w:hint="eastAsia" w:ascii="仿宋_GB2312" w:hAnsi="仿宋_GB2312" w:eastAsia="仿宋_GB2312" w:cs="仿宋_GB2312"/>
          <w:color w:val="000000"/>
          <w:kern w:val="0"/>
          <w:sz w:val="30"/>
          <w:szCs w:val="30"/>
          <w:shd w:val="clear" w:color="auto" w:fill="FFFFFF"/>
        </w:rPr>
        <w:t>万元。</w:t>
      </w:r>
    </w:p>
    <w:p w14:paraId="46EA3B26">
      <w:pPr>
        <w:keepNext w:val="0"/>
        <w:keepLines w:val="0"/>
        <w:pageBreakBefore w:val="0"/>
        <w:widowControl/>
        <w:kinsoku/>
        <w:wordWrap/>
        <w:overflowPunct/>
        <w:topLinePunct w:val="0"/>
        <w:autoSpaceDE/>
        <w:autoSpaceDN/>
        <w:bidi w:val="0"/>
        <w:adjustRightInd w:val="0"/>
        <w:snapToGrid w:val="0"/>
        <w:spacing w:line="520" w:lineRule="exact"/>
        <w:ind w:firstLine="643" w:firstLineChars="200"/>
        <w:contextualSpacing/>
        <w:jc w:val="left"/>
        <w:textAlignment w:val="auto"/>
        <w:rPr>
          <w:rFonts w:hint="eastAsia"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rPr>
        <w:t>三、部门预算绩效分析</w:t>
      </w:r>
    </w:p>
    <w:p w14:paraId="18AC0C2F">
      <w:pPr>
        <w:keepNext w:val="0"/>
        <w:keepLines w:val="0"/>
        <w:pageBreakBefore w:val="0"/>
        <w:kinsoku/>
        <w:wordWrap/>
        <w:overflowPunct/>
        <w:topLinePunct w:val="0"/>
        <w:autoSpaceDE/>
        <w:autoSpaceDN/>
        <w:bidi w:val="0"/>
        <w:adjustRightInd w:val="0"/>
        <w:snapToGrid w:val="0"/>
        <w:spacing w:line="520" w:lineRule="exact"/>
        <w:ind w:firstLine="602" w:firstLineChars="200"/>
        <w:contextualSpacing/>
        <w:jc w:val="left"/>
        <w:textAlignment w:val="auto"/>
        <w:rPr>
          <w:rFonts w:hint="eastAsia" w:ascii="仿宋_GB2312" w:hAnsi="仿宋_GB2312" w:eastAsia="仿宋_GB2312" w:cs="仿宋_GB2312"/>
          <w:b/>
          <w:bCs/>
          <w:color w:val="000000"/>
          <w:kern w:val="0"/>
          <w:sz w:val="30"/>
          <w:szCs w:val="30"/>
          <w:shd w:val="clear" w:color="auto" w:fill="FFFFFF"/>
          <w:lang w:val="zh-CN"/>
        </w:rPr>
      </w:pPr>
      <w:r>
        <w:rPr>
          <w:rFonts w:hint="eastAsia" w:ascii="仿宋_GB2312" w:hAnsi="仿宋_GB2312" w:eastAsia="仿宋_GB2312" w:cs="仿宋_GB2312"/>
          <w:b/>
          <w:bCs/>
          <w:color w:val="000000"/>
          <w:kern w:val="0"/>
          <w:sz w:val="30"/>
          <w:szCs w:val="30"/>
          <w:shd w:val="clear" w:color="auto" w:fill="FFFFFF"/>
          <w:lang w:val="zh-CN"/>
        </w:rPr>
        <w:t>（一）部门预算总体绩效分析。</w:t>
      </w:r>
    </w:p>
    <w:p w14:paraId="6E75D46B">
      <w:pPr>
        <w:keepNext w:val="0"/>
        <w:keepLines w:val="0"/>
        <w:pageBreakBefore w:val="0"/>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color w:val="000000"/>
          <w:kern w:val="0"/>
          <w:sz w:val="30"/>
          <w:szCs w:val="30"/>
          <w:shd w:val="clear" w:color="auto" w:fill="FFFFFF"/>
          <w:lang w:val="zh-CN"/>
        </w:rPr>
      </w:pPr>
      <w:r>
        <w:rPr>
          <w:rFonts w:hint="eastAsia" w:ascii="仿宋_GB2312" w:hAnsi="仿宋_GB2312" w:eastAsia="仿宋_GB2312" w:cs="仿宋_GB2312"/>
          <w:color w:val="000000"/>
          <w:kern w:val="0"/>
          <w:sz w:val="30"/>
          <w:szCs w:val="30"/>
          <w:shd w:val="clear" w:color="auto" w:fill="FFFFFF"/>
          <w:lang w:val="zh-CN"/>
        </w:rPr>
        <w:t>根据部门预算绩效评价指标体系“总体绩效”涉及二、三级指标进行逐项绩效分析并评分，依次包括履职效能、预算管理、财务管理、资产管理、采购管理等情况。</w:t>
      </w:r>
    </w:p>
    <w:p w14:paraId="4D106BF0">
      <w:pPr>
        <w:pStyle w:val="23"/>
        <w:keepNext w:val="0"/>
        <w:keepLines w:val="0"/>
        <w:pageBreakBefore w:val="0"/>
        <w:kinsoku/>
        <w:wordWrap/>
        <w:overflowPunct/>
        <w:topLinePunct w:val="0"/>
        <w:autoSpaceDE/>
        <w:autoSpaceDN/>
        <w:bidi w:val="0"/>
        <w:spacing w:before="0" w:line="520" w:lineRule="exact"/>
        <w:ind w:firstLine="600" w:firstLineChars="200"/>
        <w:jc w:val="left"/>
        <w:textAlignment w:val="auto"/>
        <w:rPr>
          <w:rFonts w:hint="eastAsia" w:ascii="仿宋_GB2312" w:hAnsi="仿宋_GB2312" w:eastAsia="仿宋_GB2312" w:cs="仿宋_GB2312"/>
          <w:color w:val="000000"/>
          <w:sz w:val="30"/>
          <w:szCs w:val="30"/>
          <w:shd w:val="clear" w:color="auto" w:fill="FFFFFF"/>
        </w:rPr>
      </w:pPr>
      <w:r>
        <w:rPr>
          <w:rFonts w:hint="eastAsia" w:ascii="仿宋_GB2312" w:hAnsi="仿宋_GB2312" w:eastAsia="仿宋_GB2312" w:cs="仿宋_GB2312"/>
          <w:color w:val="000000"/>
          <w:sz w:val="30"/>
          <w:szCs w:val="30"/>
          <w:shd w:val="clear" w:color="auto" w:fill="FFFFFF"/>
        </w:rPr>
        <w:t>1.</w:t>
      </w:r>
      <w:r>
        <w:rPr>
          <w:rFonts w:hint="eastAsia" w:ascii="仿宋_GB2312" w:hAnsi="仿宋_GB2312" w:eastAsia="仿宋_GB2312" w:cs="仿宋_GB2312"/>
          <w:color w:val="000000"/>
          <w:sz w:val="30"/>
          <w:szCs w:val="30"/>
          <w:shd w:val="clear" w:color="auto" w:fill="FFFFFF"/>
          <w:lang w:val="zh-CN"/>
        </w:rPr>
        <w:t>履职效能。</w:t>
      </w:r>
    </w:p>
    <w:p w14:paraId="4D9B6836">
      <w:pPr>
        <w:pStyle w:val="23"/>
        <w:keepNext w:val="0"/>
        <w:keepLines w:val="0"/>
        <w:pageBreakBefore w:val="0"/>
        <w:kinsoku/>
        <w:wordWrap/>
        <w:overflowPunct/>
        <w:topLinePunct w:val="0"/>
        <w:autoSpaceDE/>
        <w:autoSpaceDN/>
        <w:bidi w:val="0"/>
        <w:spacing w:before="0" w:line="520" w:lineRule="exact"/>
        <w:ind w:firstLine="450" w:firstLineChars="150"/>
        <w:jc w:val="left"/>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shd w:val="clear" w:color="auto" w:fill="FFFFFF"/>
        </w:rPr>
        <w:fldChar w:fldCharType="begin"/>
      </w:r>
      <w:r>
        <w:rPr>
          <w:rFonts w:hint="eastAsia" w:ascii="仿宋_GB2312" w:hAnsi="仿宋_GB2312" w:eastAsia="仿宋_GB2312" w:cs="仿宋_GB2312"/>
          <w:color w:val="000000"/>
          <w:sz w:val="30"/>
          <w:szCs w:val="30"/>
          <w:shd w:val="clear" w:color="auto" w:fill="FFFFFF"/>
        </w:rPr>
        <w:instrText xml:space="preserve"> = 1 \* GB3 </w:instrText>
      </w:r>
      <w:r>
        <w:rPr>
          <w:rFonts w:hint="eastAsia" w:ascii="仿宋_GB2312" w:hAnsi="仿宋_GB2312" w:eastAsia="仿宋_GB2312" w:cs="仿宋_GB2312"/>
          <w:color w:val="000000"/>
          <w:sz w:val="30"/>
          <w:szCs w:val="30"/>
          <w:shd w:val="clear" w:color="auto" w:fill="FFFFFF"/>
        </w:rPr>
        <w:fldChar w:fldCharType="separate"/>
      </w:r>
      <w:r>
        <w:rPr>
          <w:rFonts w:hint="eastAsia" w:ascii="仿宋_GB2312" w:hAnsi="仿宋_GB2312" w:eastAsia="仿宋_GB2312" w:cs="仿宋_GB2312"/>
          <w:color w:val="000000"/>
          <w:sz w:val="30"/>
          <w:szCs w:val="30"/>
          <w:shd w:val="clear" w:color="auto" w:fill="FFFFFF"/>
        </w:rPr>
        <w:t>①</w:t>
      </w:r>
      <w:r>
        <w:rPr>
          <w:rFonts w:hint="eastAsia" w:ascii="仿宋_GB2312" w:hAnsi="仿宋_GB2312" w:eastAsia="仿宋_GB2312" w:cs="仿宋_GB2312"/>
          <w:color w:val="000000"/>
          <w:sz w:val="30"/>
          <w:szCs w:val="30"/>
          <w:shd w:val="clear" w:color="auto" w:fill="FFFFFF"/>
        </w:rPr>
        <w:fldChar w:fldCharType="end"/>
      </w:r>
      <w:r>
        <w:rPr>
          <w:rFonts w:hint="eastAsia" w:ascii="仿宋_GB2312" w:hAnsi="仿宋_GB2312" w:eastAsia="仿宋_GB2312" w:cs="仿宋_GB2312"/>
          <w:color w:val="000000"/>
          <w:sz w:val="30"/>
          <w:szCs w:val="30"/>
          <w:shd w:val="clear" w:color="auto" w:fill="FFFFFF"/>
        </w:rPr>
        <w:t>完成了国家、省下达的重大疾病预防控制的指令性任务，实施疾病预防控制规划、方案，组织开展本地疾病暴发调查处理和报告；负责辖区内预防性生物制品管理，组织、实施预防接种工作；</w:t>
      </w:r>
    </w:p>
    <w:p w14:paraId="68CCF970">
      <w:pPr>
        <w:pStyle w:val="23"/>
        <w:keepNext w:val="0"/>
        <w:keepLines w:val="0"/>
        <w:pageBreakBefore w:val="0"/>
        <w:kinsoku/>
        <w:wordWrap/>
        <w:overflowPunct/>
        <w:topLinePunct w:val="0"/>
        <w:autoSpaceDE/>
        <w:autoSpaceDN/>
        <w:bidi w:val="0"/>
        <w:spacing w:before="0" w:line="520" w:lineRule="exact"/>
        <w:ind w:firstLine="450" w:firstLineChars="150"/>
        <w:jc w:val="left"/>
        <w:textAlignment w:val="auto"/>
        <w:rPr>
          <w:rFonts w:hint="eastAsia" w:ascii="仿宋_GB2312" w:hAnsi="仿宋_GB2312" w:eastAsia="仿宋_GB2312" w:cs="仿宋_GB2312"/>
          <w:color w:val="000000"/>
          <w:sz w:val="30"/>
          <w:szCs w:val="30"/>
          <w:shd w:val="clear" w:color="auto" w:fill="FFFFFF"/>
        </w:rPr>
      </w:pPr>
      <w:r>
        <w:rPr>
          <w:rFonts w:hint="eastAsia" w:ascii="仿宋_GB2312" w:hAnsi="仿宋_GB2312" w:eastAsia="仿宋_GB2312" w:cs="仿宋_GB2312"/>
          <w:color w:val="000000"/>
          <w:sz w:val="30"/>
          <w:szCs w:val="30"/>
          <w:shd w:val="clear" w:color="auto" w:fill="FFFFFF"/>
        </w:rPr>
        <w:fldChar w:fldCharType="begin"/>
      </w:r>
      <w:r>
        <w:rPr>
          <w:rFonts w:hint="eastAsia" w:ascii="仿宋_GB2312" w:hAnsi="仿宋_GB2312" w:eastAsia="仿宋_GB2312" w:cs="仿宋_GB2312"/>
          <w:color w:val="000000"/>
          <w:sz w:val="30"/>
          <w:szCs w:val="30"/>
          <w:shd w:val="clear" w:color="auto" w:fill="FFFFFF"/>
        </w:rPr>
        <w:instrText xml:space="preserve"> = 2 \* GB3 </w:instrText>
      </w:r>
      <w:r>
        <w:rPr>
          <w:rFonts w:hint="eastAsia" w:ascii="仿宋_GB2312" w:hAnsi="仿宋_GB2312" w:eastAsia="仿宋_GB2312" w:cs="仿宋_GB2312"/>
          <w:color w:val="000000"/>
          <w:sz w:val="30"/>
          <w:szCs w:val="30"/>
          <w:shd w:val="clear" w:color="auto" w:fill="FFFFFF"/>
        </w:rPr>
        <w:fldChar w:fldCharType="separate"/>
      </w:r>
      <w:r>
        <w:rPr>
          <w:rFonts w:hint="eastAsia" w:ascii="仿宋_GB2312" w:hAnsi="仿宋_GB2312" w:eastAsia="仿宋_GB2312" w:cs="仿宋_GB2312"/>
          <w:color w:val="000000"/>
          <w:sz w:val="30"/>
          <w:szCs w:val="30"/>
          <w:shd w:val="clear" w:color="auto" w:fill="FFFFFF"/>
        </w:rPr>
        <w:t>②</w:t>
      </w:r>
      <w:r>
        <w:rPr>
          <w:rFonts w:hint="eastAsia" w:ascii="仿宋_GB2312" w:hAnsi="仿宋_GB2312" w:eastAsia="仿宋_GB2312" w:cs="仿宋_GB2312"/>
          <w:color w:val="000000"/>
          <w:sz w:val="30"/>
          <w:szCs w:val="30"/>
          <w:shd w:val="clear" w:color="auto" w:fill="FFFFFF"/>
        </w:rPr>
        <w:fldChar w:fldCharType="end"/>
      </w:r>
      <w:r>
        <w:rPr>
          <w:rFonts w:hint="eastAsia" w:ascii="仿宋_GB2312" w:hAnsi="仿宋_GB2312" w:eastAsia="仿宋_GB2312" w:cs="仿宋_GB2312"/>
          <w:color w:val="000000"/>
          <w:sz w:val="30"/>
          <w:szCs w:val="30"/>
          <w:shd w:val="clear" w:color="auto" w:fill="FFFFFF"/>
        </w:rPr>
        <w:t>对突发公共卫生事件展开了危险因素调查，并实施控制措施；</w:t>
      </w:r>
    </w:p>
    <w:p w14:paraId="4B829A39">
      <w:pPr>
        <w:pStyle w:val="23"/>
        <w:keepNext w:val="0"/>
        <w:keepLines w:val="0"/>
        <w:pageBreakBefore w:val="0"/>
        <w:kinsoku/>
        <w:wordWrap/>
        <w:overflowPunct/>
        <w:topLinePunct w:val="0"/>
        <w:autoSpaceDE/>
        <w:autoSpaceDN/>
        <w:bidi w:val="0"/>
        <w:spacing w:before="0" w:line="520" w:lineRule="exact"/>
        <w:ind w:firstLine="450" w:firstLineChars="150"/>
        <w:jc w:val="left"/>
        <w:textAlignment w:val="auto"/>
        <w:rPr>
          <w:rFonts w:hint="eastAsia" w:ascii="仿宋_GB2312" w:hAnsi="仿宋_GB2312" w:eastAsia="仿宋_GB2312" w:cs="仿宋_GB2312"/>
          <w:color w:val="000000"/>
          <w:sz w:val="30"/>
          <w:szCs w:val="30"/>
          <w:shd w:val="clear" w:color="auto" w:fill="FFFFFF"/>
        </w:rPr>
      </w:pPr>
      <w:r>
        <w:rPr>
          <w:rFonts w:hint="eastAsia" w:ascii="仿宋_GB2312" w:hAnsi="仿宋_GB2312" w:eastAsia="仿宋_GB2312" w:cs="仿宋_GB2312"/>
          <w:color w:val="000000"/>
          <w:sz w:val="30"/>
          <w:szCs w:val="30"/>
          <w:shd w:val="clear" w:color="auto" w:fill="FFFFFF"/>
        </w:rPr>
        <w:fldChar w:fldCharType="begin"/>
      </w:r>
      <w:r>
        <w:rPr>
          <w:rFonts w:hint="eastAsia" w:ascii="仿宋_GB2312" w:hAnsi="仿宋_GB2312" w:eastAsia="仿宋_GB2312" w:cs="仿宋_GB2312"/>
          <w:color w:val="000000"/>
          <w:sz w:val="30"/>
          <w:szCs w:val="30"/>
          <w:shd w:val="clear" w:color="auto" w:fill="FFFFFF"/>
        </w:rPr>
        <w:instrText xml:space="preserve"> = 3 \* GB3 </w:instrText>
      </w:r>
      <w:r>
        <w:rPr>
          <w:rFonts w:hint="eastAsia" w:ascii="仿宋_GB2312" w:hAnsi="仿宋_GB2312" w:eastAsia="仿宋_GB2312" w:cs="仿宋_GB2312"/>
          <w:color w:val="000000"/>
          <w:sz w:val="30"/>
          <w:szCs w:val="30"/>
          <w:shd w:val="clear" w:color="auto" w:fill="FFFFFF"/>
        </w:rPr>
        <w:fldChar w:fldCharType="separate"/>
      </w:r>
      <w:r>
        <w:rPr>
          <w:rFonts w:hint="eastAsia" w:ascii="仿宋_GB2312" w:hAnsi="仿宋_GB2312" w:eastAsia="仿宋_GB2312" w:cs="仿宋_GB2312"/>
          <w:color w:val="000000"/>
          <w:sz w:val="30"/>
          <w:szCs w:val="30"/>
          <w:shd w:val="clear" w:color="auto" w:fill="FFFFFF"/>
        </w:rPr>
        <w:t>③</w:t>
      </w:r>
      <w:r>
        <w:rPr>
          <w:rFonts w:hint="eastAsia" w:ascii="仿宋_GB2312" w:hAnsi="仿宋_GB2312" w:eastAsia="仿宋_GB2312" w:cs="仿宋_GB2312"/>
          <w:color w:val="000000"/>
          <w:sz w:val="30"/>
          <w:szCs w:val="30"/>
          <w:shd w:val="clear" w:color="auto" w:fill="FFFFFF"/>
        </w:rPr>
        <w:fldChar w:fldCharType="end"/>
      </w:r>
      <w:r>
        <w:rPr>
          <w:rFonts w:hint="eastAsia" w:ascii="仿宋_GB2312" w:hAnsi="仿宋_GB2312" w:eastAsia="仿宋_GB2312" w:cs="仿宋_GB2312"/>
          <w:color w:val="000000"/>
          <w:sz w:val="30"/>
          <w:szCs w:val="30"/>
          <w:shd w:val="clear" w:color="auto" w:fill="FFFFFF"/>
        </w:rPr>
        <w:t>开展常见病原微生物检验检测和常见毒物、污染物的检验鉴定；</w:t>
      </w:r>
    </w:p>
    <w:p w14:paraId="72733FCE">
      <w:pPr>
        <w:pStyle w:val="23"/>
        <w:keepNext w:val="0"/>
        <w:keepLines w:val="0"/>
        <w:pageBreakBefore w:val="0"/>
        <w:kinsoku/>
        <w:wordWrap/>
        <w:overflowPunct/>
        <w:topLinePunct w:val="0"/>
        <w:autoSpaceDE/>
        <w:autoSpaceDN/>
        <w:bidi w:val="0"/>
        <w:spacing w:before="0" w:line="520" w:lineRule="exact"/>
        <w:ind w:firstLine="450" w:firstLineChars="150"/>
        <w:jc w:val="left"/>
        <w:textAlignment w:val="auto"/>
        <w:rPr>
          <w:rFonts w:hint="eastAsia" w:ascii="仿宋_GB2312" w:hAnsi="仿宋_GB2312" w:eastAsia="仿宋_GB2312" w:cs="仿宋_GB2312"/>
          <w:color w:val="000000"/>
          <w:sz w:val="30"/>
          <w:szCs w:val="30"/>
          <w:shd w:val="clear" w:color="auto" w:fill="FFFFFF"/>
        </w:rPr>
      </w:pPr>
      <w:r>
        <w:rPr>
          <w:rFonts w:hint="eastAsia" w:ascii="仿宋_GB2312" w:hAnsi="仿宋_GB2312" w:eastAsia="仿宋_GB2312" w:cs="仿宋_GB2312"/>
          <w:color w:val="000000"/>
          <w:sz w:val="30"/>
          <w:szCs w:val="30"/>
          <w:shd w:val="clear" w:color="auto" w:fill="FFFFFF"/>
        </w:rPr>
        <w:fldChar w:fldCharType="begin"/>
      </w:r>
      <w:r>
        <w:rPr>
          <w:rFonts w:hint="eastAsia" w:ascii="仿宋_GB2312" w:hAnsi="仿宋_GB2312" w:eastAsia="仿宋_GB2312" w:cs="仿宋_GB2312"/>
          <w:color w:val="000000"/>
          <w:sz w:val="30"/>
          <w:szCs w:val="30"/>
          <w:shd w:val="clear" w:color="auto" w:fill="FFFFFF"/>
        </w:rPr>
        <w:instrText xml:space="preserve"> = 4 \* GB3 </w:instrText>
      </w:r>
      <w:r>
        <w:rPr>
          <w:rFonts w:hint="eastAsia" w:ascii="仿宋_GB2312" w:hAnsi="仿宋_GB2312" w:eastAsia="仿宋_GB2312" w:cs="仿宋_GB2312"/>
          <w:color w:val="000000"/>
          <w:sz w:val="30"/>
          <w:szCs w:val="30"/>
          <w:shd w:val="clear" w:color="auto" w:fill="FFFFFF"/>
        </w:rPr>
        <w:fldChar w:fldCharType="separate"/>
      </w:r>
      <w:r>
        <w:rPr>
          <w:rFonts w:hint="eastAsia" w:ascii="仿宋_GB2312" w:hAnsi="仿宋_GB2312" w:eastAsia="仿宋_GB2312" w:cs="仿宋_GB2312"/>
          <w:color w:val="000000"/>
          <w:sz w:val="30"/>
          <w:szCs w:val="30"/>
          <w:shd w:val="clear" w:color="auto" w:fill="FFFFFF"/>
        </w:rPr>
        <w:t>④</w:t>
      </w:r>
      <w:r>
        <w:rPr>
          <w:rFonts w:hint="eastAsia" w:ascii="仿宋_GB2312" w:hAnsi="仿宋_GB2312" w:eastAsia="仿宋_GB2312" w:cs="仿宋_GB2312"/>
          <w:color w:val="000000"/>
          <w:sz w:val="30"/>
          <w:szCs w:val="30"/>
          <w:shd w:val="clear" w:color="auto" w:fill="FFFFFF"/>
        </w:rPr>
        <w:fldChar w:fldCharType="end"/>
      </w:r>
      <w:r>
        <w:rPr>
          <w:rFonts w:hint="eastAsia" w:ascii="仿宋_GB2312" w:hAnsi="仿宋_GB2312" w:eastAsia="仿宋_GB2312" w:cs="仿宋_GB2312"/>
          <w:color w:val="000000"/>
          <w:sz w:val="30"/>
          <w:szCs w:val="30"/>
          <w:shd w:val="clear" w:color="auto" w:fill="FFFFFF"/>
        </w:rPr>
        <w:t>开展疾病监测和食品卫生、职业卫生、放射卫生和环境卫生等领域健康危害因素监测，管理辖区疫情及相关公共卫生信息；</w:t>
      </w:r>
    </w:p>
    <w:p w14:paraId="1E04B8E9">
      <w:pPr>
        <w:pStyle w:val="23"/>
        <w:keepNext w:val="0"/>
        <w:keepLines w:val="0"/>
        <w:pageBreakBefore w:val="0"/>
        <w:kinsoku/>
        <w:wordWrap/>
        <w:overflowPunct/>
        <w:topLinePunct w:val="0"/>
        <w:autoSpaceDE/>
        <w:autoSpaceDN/>
        <w:bidi w:val="0"/>
        <w:spacing w:before="0" w:line="520" w:lineRule="exact"/>
        <w:ind w:firstLine="600" w:firstLineChars="200"/>
        <w:jc w:val="left"/>
        <w:textAlignment w:val="auto"/>
        <w:rPr>
          <w:rFonts w:hint="eastAsia" w:ascii="仿宋_GB2312" w:hAnsi="仿宋_GB2312" w:eastAsia="仿宋_GB2312" w:cs="仿宋_GB2312"/>
          <w:color w:val="000000"/>
          <w:sz w:val="30"/>
          <w:szCs w:val="30"/>
          <w:shd w:val="clear" w:color="auto" w:fill="FFFFFF"/>
          <w:lang w:val="zh-CN"/>
        </w:rPr>
      </w:pPr>
      <w:r>
        <w:rPr>
          <w:rFonts w:hint="eastAsia" w:ascii="仿宋_GB2312" w:hAnsi="仿宋_GB2312" w:eastAsia="仿宋_GB2312" w:cs="仿宋_GB2312"/>
          <w:color w:val="000000"/>
          <w:sz w:val="30"/>
          <w:szCs w:val="30"/>
          <w:shd w:val="clear" w:color="auto" w:fill="FFFFFF"/>
        </w:rPr>
        <w:t>2.</w:t>
      </w:r>
      <w:r>
        <w:rPr>
          <w:rFonts w:hint="eastAsia" w:ascii="仿宋_GB2312" w:hAnsi="仿宋_GB2312" w:eastAsia="仿宋_GB2312" w:cs="仿宋_GB2312"/>
          <w:color w:val="000000"/>
          <w:sz w:val="30"/>
          <w:szCs w:val="30"/>
          <w:shd w:val="clear" w:color="auto" w:fill="FFFFFF"/>
          <w:lang w:val="zh-CN"/>
        </w:rPr>
        <w:t>预算管理</w:t>
      </w:r>
    </w:p>
    <w:p w14:paraId="7541E016">
      <w:pPr>
        <w:pStyle w:val="23"/>
        <w:keepNext w:val="0"/>
        <w:keepLines w:val="0"/>
        <w:pageBreakBefore w:val="0"/>
        <w:kinsoku/>
        <w:wordWrap/>
        <w:overflowPunct/>
        <w:topLinePunct w:val="0"/>
        <w:autoSpaceDE/>
        <w:autoSpaceDN/>
        <w:bidi w:val="0"/>
        <w:spacing w:before="0" w:line="520" w:lineRule="exact"/>
        <w:ind w:firstLine="450" w:firstLineChars="150"/>
        <w:jc w:val="left"/>
        <w:textAlignment w:val="auto"/>
        <w:rPr>
          <w:rFonts w:hint="eastAsia" w:ascii="仿宋_GB2312" w:hAnsi="仿宋_GB2312" w:eastAsia="仿宋_GB2312" w:cs="仿宋_GB2312"/>
          <w:color w:val="000000"/>
          <w:sz w:val="30"/>
          <w:szCs w:val="30"/>
          <w:shd w:val="clear" w:color="auto" w:fill="FFFFFF"/>
          <w:lang w:val="zh-CN"/>
        </w:rPr>
      </w:pPr>
      <w:r>
        <w:rPr>
          <w:rFonts w:hint="eastAsia" w:ascii="仿宋_GB2312" w:hAnsi="仿宋_GB2312" w:eastAsia="仿宋_GB2312" w:cs="仿宋_GB2312"/>
          <w:color w:val="000000"/>
          <w:sz w:val="30"/>
          <w:szCs w:val="30"/>
          <w:shd w:val="clear" w:color="auto" w:fill="FFFFFF"/>
        </w:rPr>
        <w:fldChar w:fldCharType="begin"/>
      </w:r>
      <w:r>
        <w:rPr>
          <w:rFonts w:hint="eastAsia" w:ascii="仿宋_GB2312" w:hAnsi="仿宋_GB2312" w:eastAsia="仿宋_GB2312" w:cs="仿宋_GB2312"/>
          <w:color w:val="000000"/>
          <w:sz w:val="30"/>
          <w:szCs w:val="30"/>
          <w:shd w:val="clear" w:color="auto" w:fill="FFFFFF"/>
        </w:rPr>
        <w:instrText xml:space="preserve"> = 1 \* GB3 </w:instrText>
      </w:r>
      <w:r>
        <w:rPr>
          <w:rFonts w:hint="eastAsia" w:ascii="仿宋_GB2312" w:hAnsi="仿宋_GB2312" w:eastAsia="仿宋_GB2312" w:cs="仿宋_GB2312"/>
          <w:color w:val="000000"/>
          <w:sz w:val="30"/>
          <w:szCs w:val="30"/>
          <w:shd w:val="clear" w:color="auto" w:fill="FFFFFF"/>
        </w:rPr>
        <w:fldChar w:fldCharType="separate"/>
      </w:r>
      <w:r>
        <w:rPr>
          <w:rFonts w:hint="eastAsia" w:ascii="仿宋_GB2312" w:hAnsi="仿宋_GB2312" w:eastAsia="仿宋_GB2312" w:cs="仿宋_GB2312"/>
          <w:color w:val="000000"/>
          <w:sz w:val="30"/>
          <w:szCs w:val="30"/>
          <w:shd w:val="clear" w:color="auto" w:fill="FFFFFF"/>
        </w:rPr>
        <w:t>①</w:t>
      </w:r>
      <w:r>
        <w:rPr>
          <w:rFonts w:hint="eastAsia" w:ascii="仿宋_GB2312" w:hAnsi="仿宋_GB2312" w:eastAsia="仿宋_GB2312" w:cs="仿宋_GB2312"/>
          <w:color w:val="000000"/>
          <w:sz w:val="30"/>
          <w:szCs w:val="30"/>
          <w:shd w:val="clear" w:color="auto" w:fill="FFFFFF"/>
        </w:rPr>
        <w:fldChar w:fldCharType="end"/>
      </w:r>
      <w:r>
        <w:rPr>
          <w:rFonts w:hint="eastAsia" w:ascii="仿宋_GB2312" w:hAnsi="仿宋_GB2312" w:eastAsia="仿宋_GB2312" w:cs="仿宋_GB2312"/>
          <w:color w:val="000000"/>
          <w:sz w:val="30"/>
          <w:szCs w:val="30"/>
          <w:shd w:val="clear" w:color="auto" w:fill="FFFFFF"/>
          <w:lang w:val="zh-CN"/>
        </w:rPr>
        <w:t>预算编制工作，认真做好预算的编制。进一步加强单位内部机构各科室的预算管理意识，严格按照预算编制的相关制度和要求进行预算编制，确保单位每年预算编制保质保量的按期完成。</w:t>
      </w:r>
    </w:p>
    <w:p w14:paraId="7E4A4E7D">
      <w:pPr>
        <w:pStyle w:val="23"/>
        <w:keepNext w:val="0"/>
        <w:keepLines w:val="0"/>
        <w:pageBreakBefore w:val="0"/>
        <w:kinsoku/>
        <w:wordWrap/>
        <w:overflowPunct/>
        <w:topLinePunct w:val="0"/>
        <w:autoSpaceDE/>
        <w:autoSpaceDN/>
        <w:bidi w:val="0"/>
        <w:spacing w:before="0" w:line="520" w:lineRule="exact"/>
        <w:ind w:firstLine="450" w:firstLineChars="150"/>
        <w:jc w:val="left"/>
        <w:textAlignment w:val="auto"/>
        <w:rPr>
          <w:rFonts w:hint="eastAsia" w:ascii="仿宋_GB2312" w:hAnsi="仿宋_GB2312" w:eastAsia="仿宋_GB2312" w:cs="仿宋_GB2312"/>
          <w:color w:val="000000"/>
          <w:sz w:val="30"/>
          <w:szCs w:val="30"/>
          <w:shd w:val="clear" w:color="auto" w:fill="FFFFFF"/>
          <w:lang w:val="zh-CN"/>
        </w:rPr>
      </w:pPr>
      <w:r>
        <w:rPr>
          <w:rFonts w:hint="eastAsia" w:ascii="仿宋_GB2312" w:hAnsi="仿宋_GB2312" w:eastAsia="仿宋_GB2312" w:cs="仿宋_GB2312"/>
          <w:color w:val="000000"/>
          <w:sz w:val="30"/>
          <w:szCs w:val="30"/>
          <w:shd w:val="clear" w:color="auto" w:fill="FFFFFF"/>
        </w:rPr>
        <w:fldChar w:fldCharType="begin"/>
      </w:r>
      <w:r>
        <w:rPr>
          <w:rFonts w:hint="eastAsia" w:ascii="仿宋_GB2312" w:hAnsi="仿宋_GB2312" w:eastAsia="仿宋_GB2312" w:cs="仿宋_GB2312"/>
          <w:color w:val="000000"/>
          <w:sz w:val="30"/>
          <w:szCs w:val="30"/>
          <w:shd w:val="clear" w:color="auto" w:fill="FFFFFF"/>
        </w:rPr>
        <w:instrText xml:space="preserve"> = 2 \* GB3 </w:instrText>
      </w:r>
      <w:r>
        <w:rPr>
          <w:rFonts w:hint="eastAsia" w:ascii="仿宋_GB2312" w:hAnsi="仿宋_GB2312" w:eastAsia="仿宋_GB2312" w:cs="仿宋_GB2312"/>
          <w:color w:val="000000"/>
          <w:sz w:val="30"/>
          <w:szCs w:val="30"/>
          <w:shd w:val="clear" w:color="auto" w:fill="FFFFFF"/>
        </w:rPr>
        <w:fldChar w:fldCharType="separate"/>
      </w:r>
      <w:r>
        <w:rPr>
          <w:rFonts w:hint="eastAsia" w:ascii="仿宋_GB2312" w:hAnsi="仿宋_GB2312" w:eastAsia="仿宋_GB2312" w:cs="仿宋_GB2312"/>
          <w:color w:val="000000"/>
          <w:sz w:val="30"/>
          <w:szCs w:val="30"/>
          <w:shd w:val="clear" w:color="auto" w:fill="FFFFFF"/>
        </w:rPr>
        <w:t>②</w:t>
      </w:r>
      <w:r>
        <w:rPr>
          <w:rFonts w:hint="eastAsia" w:ascii="仿宋_GB2312" w:hAnsi="仿宋_GB2312" w:eastAsia="仿宋_GB2312" w:cs="仿宋_GB2312"/>
          <w:color w:val="000000"/>
          <w:sz w:val="30"/>
          <w:szCs w:val="30"/>
          <w:shd w:val="clear" w:color="auto" w:fill="FFFFFF"/>
        </w:rPr>
        <w:fldChar w:fldCharType="end"/>
      </w:r>
      <w:r>
        <w:rPr>
          <w:rFonts w:hint="eastAsia" w:ascii="仿宋_GB2312" w:hAnsi="仿宋_GB2312" w:eastAsia="仿宋_GB2312" w:cs="仿宋_GB2312"/>
          <w:color w:val="000000"/>
          <w:sz w:val="30"/>
          <w:szCs w:val="30"/>
          <w:shd w:val="clear" w:color="auto" w:fill="FFFFFF"/>
          <w:lang w:val="zh-CN"/>
        </w:rPr>
        <w:t>统筹单位收入、定期对支出执行进度进行通报、清楚规范的核算预算年终结余、严控单位每年的一般性支出。</w:t>
      </w:r>
    </w:p>
    <w:p w14:paraId="755CE563">
      <w:pPr>
        <w:keepNext w:val="0"/>
        <w:keepLines w:val="0"/>
        <w:pageBreakBefore w:val="0"/>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color w:val="000000"/>
          <w:kern w:val="0"/>
          <w:sz w:val="30"/>
          <w:szCs w:val="30"/>
          <w:shd w:val="clear" w:color="auto" w:fill="FFFFFF"/>
          <w:lang w:val="zh-CN"/>
        </w:rPr>
      </w:pPr>
      <w:r>
        <w:rPr>
          <w:rFonts w:hint="eastAsia" w:ascii="仿宋_GB2312" w:hAnsi="仿宋_GB2312" w:eastAsia="仿宋_GB2312" w:cs="仿宋_GB2312"/>
          <w:color w:val="000000"/>
          <w:kern w:val="0"/>
          <w:sz w:val="30"/>
          <w:szCs w:val="30"/>
          <w:shd w:val="clear" w:color="auto" w:fill="FFFFFF"/>
        </w:rPr>
        <w:t>3.</w:t>
      </w:r>
      <w:r>
        <w:rPr>
          <w:rFonts w:hint="eastAsia" w:ascii="仿宋_GB2312" w:hAnsi="仿宋_GB2312" w:eastAsia="仿宋_GB2312" w:cs="仿宋_GB2312"/>
          <w:color w:val="000000"/>
          <w:kern w:val="0"/>
          <w:sz w:val="30"/>
          <w:szCs w:val="30"/>
          <w:shd w:val="clear" w:color="auto" w:fill="FFFFFF"/>
          <w:lang w:val="zh-CN"/>
        </w:rPr>
        <w:t>财务管理</w:t>
      </w:r>
    </w:p>
    <w:p w14:paraId="5DF4B294">
      <w:pPr>
        <w:pStyle w:val="23"/>
        <w:keepNext w:val="0"/>
        <w:keepLines w:val="0"/>
        <w:pageBreakBefore w:val="0"/>
        <w:kinsoku/>
        <w:wordWrap/>
        <w:overflowPunct/>
        <w:topLinePunct w:val="0"/>
        <w:autoSpaceDE/>
        <w:autoSpaceDN/>
        <w:bidi w:val="0"/>
        <w:spacing w:before="0" w:line="520" w:lineRule="exact"/>
        <w:ind w:firstLine="450" w:firstLineChars="150"/>
        <w:jc w:val="left"/>
        <w:textAlignment w:val="auto"/>
        <w:rPr>
          <w:rFonts w:hint="eastAsia" w:ascii="仿宋_GB2312" w:hAnsi="仿宋_GB2312" w:eastAsia="仿宋_GB2312" w:cs="仿宋_GB2312"/>
          <w:color w:val="000000"/>
          <w:sz w:val="30"/>
          <w:szCs w:val="30"/>
          <w:shd w:val="clear" w:color="auto" w:fill="FFFFFF"/>
          <w:lang w:val="zh-CN" w:eastAsia="zh-CN"/>
        </w:rPr>
      </w:pPr>
      <w:r>
        <w:rPr>
          <w:rFonts w:hint="eastAsia" w:ascii="仿宋_GB2312" w:hAnsi="仿宋_GB2312" w:eastAsia="仿宋_GB2312" w:cs="仿宋_GB2312"/>
          <w:color w:val="000000"/>
          <w:sz w:val="30"/>
          <w:szCs w:val="30"/>
          <w:shd w:val="clear" w:color="auto" w:fill="FFFFFF"/>
          <w:lang w:val="en-US" w:eastAsia="zh-CN"/>
        </w:rPr>
        <w:fldChar w:fldCharType="begin"/>
      </w:r>
      <w:r>
        <w:rPr>
          <w:rFonts w:hint="eastAsia" w:ascii="仿宋_GB2312" w:hAnsi="仿宋_GB2312" w:eastAsia="仿宋_GB2312" w:cs="仿宋_GB2312"/>
          <w:color w:val="000000"/>
          <w:sz w:val="30"/>
          <w:szCs w:val="30"/>
          <w:shd w:val="clear" w:color="auto" w:fill="FFFFFF"/>
          <w:lang w:val="en-US" w:eastAsia="zh-CN"/>
        </w:rPr>
        <w:instrText xml:space="preserve"> = 1 \* GB3 </w:instrText>
      </w:r>
      <w:r>
        <w:rPr>
          <w:rFonts w:hint="eastAsia" w:ascii="仿宋_GB2312" w:hAnsi="仿宋_GB2312" w:eastAsia="仿宋_GB2312" w:cs="仿宋_GB2312"/>
          <w:color w:val="000000"/>
          <w:sz w:val="30"/>
          <w:szCs w:val="30"/>
          <w:shd w:val="clear" w:color="auto" w:fill="FFFFFF"/>
          <w:lang w:val="en-US" w:eastAsia="zh-CN"/>
        </w:rPr>
        <w:fldChar w:fldCharType="separate"/>
      </w:r>
      <w:r>
        <w:rPr>
          <w:rFonts w:hint="eastAsia" w:ascii="仿宋_GB2312" w:hAnsi="仿宋_GB2312" w:eastAsia="仿宋_GB2312" w:cs="仿宋_GB2312"/>
          <w:color w:val="000000"/>
          <w:sz w:val="30"/>
          <w:szCs w:val="30"/>
          <w:shd w:val="clear" w:color="auto" w:fill="FFFFFF"/>
          <w:lang w:val="en-US" w:eastAsia="zh-CN"/>
        </w:rPr>
        <w:t>①</w:t>
      </w:r>
      <w:r>
        <w:rPr>
          <w:rFonts w:hint="eastAsia" w:ascii="仿宋_GB2312" w:hAnsi="仿宋_GB2312" w:eastAsia="仿宋_GB2312" w:cs="仿宋_GB2312"/>
          <w:color w:val="000000"/>
          <w:sz w:val="30"/>
          <w:szCs w:val="30"/>
          <w:shd w:val="clear" w:color="auto" w:fill="FFFFFF"/>
          <w:lang w:val="en-US" w:eastAsia="zh-CN"/>
        </w:rPr>
        <w:fldChar w:fldCharType="end"/>
      </w:r>
      <w:r>
        <w:rPr>
          <w:rFonts w:hint="eastAsia" w:ascii="仿宋_GB2312" w:hAnsi="仿宋_GB2312" w:eastAsia="仿宋_GB2312" w:cs="仿宋_GB2312"/>
          <w:color w:val="000000"/>
          <w:sz w:val="30"/>
          <w:szCs w:val="30"/>
          <w:shd w:val="clear" w:color="auto" w:fill="FFFFFF"/>
          <w:lang w:val="zh-CN" w:eastAsia="zh-CN"/>
        </w:rPr>
        <w:t>加强财务管理，严格财务审核。加强单位财务管理，健全单位财务管理制度体系，规范单位财务行为。</w:t>
      </w:r>
    </w:p>
    <w:p w14:paraId="115B3529">
      <w:pPr>
        <w:pStyle w:val="23"/>
        <w:keepNext w:val="0"/>
        <w:keepLines w:val="0"/>
        <w:pageBreakBefore w:val="0"/>
        <w:kinsoku/>
        <w:wordWrap/>
        <w:overflowPunct/>
        <w:topLinePunct w:val="0"/>
        <w:autoSpaceDE/>
        <w:autoSpaceDN/>
        <w:bidi w:val="0"/>
        <w:spacing w:before="0" w:line="520" w:lineRule="exact"/>
        <w:ind w:firstLine="450" w:firstLineChars="150"/>
        <w:jc w:val="left"/>
        <w:textAlignment w:val="auto"/>
        <w:rPr>
          <w:rFonts w:hint="eastAsia" w:ascii="仿宋_GB2312" w:hAnsi="仿宋_GB2312" w:eastAsia="仿宋_GB2312" w:cs="仿宋_GB2312"/>
          <w:color w:val="000000"/>
          <w:kern w:val="0"/>
          <w:sz w:val="30"/>
          <w:szCs w:val="30"/>
          <w:shd w:val="clear" w:color="auto" w:fill="FFFFFF"/>
          <w:lang w:val="zh-CN" w:eastAsia="zh-CN" w:bidi="ar-SA"/>
        </w:rPr>
      </w:pPr>
      <w:r>
        <w:rPr>
          <w:rFonts w:hint="eastAsia" w:ascii="仿宋_GB2312" w:hAnsi="仿宋_GB2312" w:eastAsia="仿宋_GB2312" w:cs="仿宋_GB2312"/>
          <w:color w:val="000000"/>
          <w:sz w:val="30"/>
          <w:szCs w:val="30"/>
          <w:shd w:val="clear" w:color="auto" w:fill="FFFFFF"/>
          <w:lang w:val="en-US" w:eastAsia="zh-CN"/>
        </w:rPr>
        <w:fldChar w:fldCharType="begin"/>
      </w:r>
      <w:r>
        <w:rPr>
          <w:rFonts w:hint="eastAsia" w:ascii="仿宋_GB2312" w:hAnsi="仿宋_GB2312" w:eastAsia="仿宋_GB2312" w:cs="仿宋_GB2312"/>
          <w:color w:val="000000"/>
          <w:sz w:val="30"/>
          <w:szCs w:val="30"/>
          <w:shd w:val="clear" w:color="auto" w:fill="FFFFFF"/>
          <w:lang w:val="en-US" w:eastAsia="zh-CN"/>
        </w:rPr>
        <w:instrText xml:space="preserve"> = 2 \* GB3 </w:instrText>
      </w:r>
      <w:r>
        <w:rPr>
          <w:rFonts w:hint="eastAsia" w:ascii="仿宋_GB2312" w:hAnsi="仿宋_GB2312" w:eastAsia="仿宋_GB2312" w:cs="仿宋_GB2312"/>
          <w:color w:val="000000"/>
          <w:sz w:val="30"/>
          <w:szCs w:val="30"/>
          <w:shd w:val="clear" w:color="auto" w:fill="FFFFFF"/>
          <w:lang w:val="en-US" w:eastAsia="zh-CN"/>
        </w:rPr>
        <w:fldChar w:fldCharType="separate"/>
      </w:r>
      <w:r>
        <w:rPr>
          <w:rFonts w:hint="eastAsia" w:ascii="仿宋_GB2312" w:hAnsi="仿宋_GB2312" w:eastAsia="仿宋_GB2312" w:cs="仿宋_GB2312"/>
          <w:color w:val="000000"/>
          <w:sz w:val="30"/>
          <w:szCs w:val="30"/>
          <w:shd w:val="clear" w:color="auto" w:fill="FFFFFF"/>
          <w:lang w:val="en-US" w:eastAsia="zh-CN"/>
        </w:rPr>
        <w:t>②</w:t>
      </w:r>
      <w:r>
        <w:rPr>
          <w:rFonts w:hint="eastAsia" w:ascii="仿宋_GB2312" w:hAnsi="仿宋_GB2312" w:eastAsia="仿宋_GB2312" w:cs="仿宋_GB2312"/>
          <w:color w:val="000000"/>
          <w:sz w:val="30"/>
          <w:szCs w:val="30"/>
          <w:shd w:val="clear" w:color="auto" w:fill="FFFFFF"/>
          <w:lang w:val="en-US" w:eastAsia="zh-CN"/>
        </w:rPr>
        <w:fldChar w:fldCharType="end"/>
      </w:r>
      <w:r>
        <w:rPr>
          <w:rFonts w:hint="eastAsia" w:ascii="仿宋_GB2312" w:hAnsi="仿宋_GB2312" w:eastAsia="仿宋_GB2312" w:cs="仿宋_GB2312"/>
          <w:color w:val="000000"/>
          <w:sz w:val="30"/>
          <w:szCs w:val="30"/>
          <w:shd w:val="clear" w:color="auto" w:fill="FFFFFF"/>
          <w:lang w:val="zh-CN" w:eastAsia="zh-CN"/>
        </w:rPr>
        <w:t>合理化设置财务岗位、严控资金使用规范。</w:t>
      </w:r>
    </w:p>
    <w:p w14:paraId="5B41AE4D">
      <w:pPr>
        <w:keepNext w:val="0"/>
        <w:keepLines w:val="0"/>
        <w:pageBreakBefore w:val="0"/>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color w:val="000000"/>
          <w:kern w:val="0"/>
          <w:sz w:val="30"/>
          <w:szCs w:val="30"/>
          <w:shd w:val="clear" w:color="auto" w:fill="FFFFFF"/>
          <w:lang w:val="zh-CN"/>
        </w:rPr>
      </w:pPr>
      <w:r>
        <w:rPr>
          <w:rFonts w:hint="eastAsia" w:ascii="仿宋_GB2312" w:hAnsi="仿宋_GB2312" w:eastAsia="仿宋_GB2312" w:cs="仿宋_GB2312"/>
          <w:color w:val="000000"/>
          <w:kern w:val="0"/>
          <w:sz w:val="30"/>
          <w:szCs w:val="30"/>
          <w:shd w:val="clear" w:color="auto" w:fill="FFFFFF"/>
        </w:rPr>
        <w:t>4.</w:t>
      </w:r>
      <w:r>
        <w:rPr>
          <w:rFonts w:hint="eastAsia" w:ascii="仿宋_GB2312" w:hAnsi="仿宋_GB2312" w:eastAsia="仿宋_GB2312" w:cs="仿宋_GB2312"/>
          <w:color w:val="000000"/>
          <w:kern w:val="0"/>
          <w:sz w:val="30"/>
          <w:szCs w:val="30"/>
          <w:shd w:val="clear" w:color="auto" w:fill="FFFFFF"/>
          <w:lang w:val="zh-CN"/>
        </w:rPr>
        <w:t>资产管理。</w:t>
      </w:r>
    </w:p>
    <w:p w14:paraId="4BF48B37">
      <w:pPr>
        <w:keepNext w:val="0"/>
        <w:keepLines w:val="0"/>
        <w:pageBreakBefore w:val="0"/>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color w:val="000000"/>
          <w:kern w:val="0"/>
          <w:sz w:val="30"/>
          <w:szCs w:val="30"/>
          <w:shd w:val="clear" w:color="auto" w:fill="FFFFFF"/>
          <w:lang w:val="zh-CN"/>
        </w:rPr>
      </w:pPr>
      <w:r>
        <w:rPr>
          <w:rFonts w:hint="eastAsia" w:ascii="仿宋_GB2312" w:hAnsi="仿宋_GB2312" w:eastAsia="仿宋_GB2312" w:cs="仿宋_GB2312"/>
          <w:color w:val="000000"/>
          <w:kern w:val="0"/>
          <w:sz w:val="30"/>
          <w:szCs w:val="30"/>
          <w:shd w:val="clear" w:color="auto" w:fill="FFFFFF"/>
          <w:lang w:val="zh-CN"/>
        </w:rPr>
        <w:t>完善资产管理。严格编制各类资产采购年初预算和计划，规范各类资产的购置审批制度、资产采购制度、使用管理制度、资产处理和报废审批制度、资产管理岗职责制度等，加强单位内部的资产管理工作。降低资产的闲置率，提高资产的使用率。</w:t>
      </w:r>
    </w:p>
    <w:p w14:paraId="3C36025A">
      <w:pPr>
        <w:keepNext w:val="0"/>
        <w:keepLines w:val="0"/>
        <w:pageBreakBefore w:val="0"/>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color w:val="000000"/>
          <w:kern w:val="0"/>
          <w:sz w:val="30"/>
          <w:szCs w:val="30"/>
          <w:shd w:val="clear" w:color="auto" w:fill="FFFFFF"/>
          <w:lang w:val="zh-CN"/>
        </w:rPr>
      </w:pPr>
      <w:r>
        <w:rPr>
          <w:rFonts w:hint="eastAsia" w:ascii="仿宋_GB2312" w:hAnsi="仿宋_GB2312" w:eastAsia="仿宋_GB2312" w:cs="仿宋_GB2312"/>
          <w:color w:val="000000"/>
          <w:kern w:val="0"/>
          <w:sz w:val="30"/>
          <w:szCs w:val="30"/>
          <w:shd w:val="clear" w:color="auto" w:fill="FFFFFF"/>
        </w:rPr>
        <w:t>5.</w:t>
      </w:r>
      <w:r>
        <w:rPr>
          <w:rFonts w:hint="eastAsia" w:ascii="仿宋_GB2312" w:hAnsi="仿宋_GB2312" w:eastAsia="仿宋_GB2312" w:cs="仿宋_GB2312"/>
          <w:color w:val="000000"/>
          <w:kern w:val="0"/>
          <w:sz w:val="30"/>
          <w:szCs w:val="30"/>
          <w:shd w:val="clear" w:color="auto" w:fill="FFFFFF"/>
          <w:lang w:val="zh-CN"/>
        </w:rPr>
        <w:t>采购管理。</w:t>
      </w:r>
    </w:p>
    <w:p w14:paraId="120CEDE0">
      <w:pPr>
        <w:keepNext w:val="0"/>
        <w:keepLines w:val="0"/>
        <w:pageBreakBefore w:val="0"/>
        <w:kinsoku/>
        <w:wordWrap/>
        <w:overflowPunct/>
        <w:topLinePunct w:val="0"/>
        <w:autoSpaceDE/>
        <w:autoSpaceDN/>
        <w:bidi w:val="0"/>
        <w:adjustRightInd w:val="0"/>
        <w:snapToGrid w:val="0"/>
        <w:spacing w:line="520" w:lineRule="exact"/>
        <w:ind w:firstLine="600" w:firstLineChars="200"/>
        <w:contextualSpacing/>
        <w:jc w:val="left"/>
        <w:textAlignment w:val="auto"/>
        <w:rPr>
          <w:rFonts w:hint="eastAsia" w:ascii="仿宋_GB2312" w:hAnsi="仿宋_GB2312" w:eastAsia="仿宋_GB2312" w:cs="仿宋_GB2312"/>
          <w:color w:val="000000"/>
          <w:sz w:val="30"/>
          <w:szCs w:val="30"/>
          <w:shd w:val="clear" w:color="auto" w:fill="FFFFFF"/>
        </w:rPr>
      </w:pPr>
      <w:r>
        <w:rPr>
          <w:rFonts w:hint="eastAsia" w:ascii="仿宋_GB2312" w:hAnsi="仿宋_GB2312" w:eastAsia="仿宋_GB2312" w:cs="仿宋_GB2312"/>
          <w:color w:val="000000"/>
          <w:kern w:val="0"/>
          <w:sz w:val="30"/>
          <w:szCs w:val="30"/>
          <w:shd w:val="clear" w:color="auto" w:fill="FFFFFF"/>
          <w:lang w:val="zh-CN"/>
        </w:rPr>
        <w:t>大力度支持中小企业发展、严格编制政府采购年初预算和计划，规范采购审批制度。</w:t>
      </w:r>
    </w:p>
    <w:p w14:paraId="158A0D8E">
      <w:pPr>
        <w:keepNext w:val="0"/>
        <w:keepLines w:val="0"/>
        <w:pageBreakBefore w:val="0"/>
        <w:widowControl/>
        <w:numPr>
          <w:ilvl w:val="0"/>
          <w:numId w:val="6"/>
        </w:numPr>
        <w:kinsoku/>
        <w:wordWrap/>
        <w:overflowPunct/>
        <w:topLinePunct w:val="0"/>
        <w:autoSpaceDE/>
        <w:autoSpaceDN/>
        <w:bidi w:val="0"/>
        <w:adjustRightInd w:val="0"/>
        <w:snapToGrid w:val="0"/>
        <w:spacing w:line="520" w:lineRule="exact"/>
        <w:ind w:firstLine="602" w:firstLineChars="200"/>
        <w:contextualSpacing/>
        <w:jc w:val="left"/>
        <w:textAlignment w:val="auto"/>
        <w:rPr>
          <w:rFonts w:hint="eastAsia" w:ascii="仿宋_GB2312" w:hAnsi="仿宋_GB2312" w:eastAsia="仿宋_GB2312" w:cs="仿宋_GB2312"/>
          <w:b/>
          <w:bCs/>
          <w:color w:val="000000"/>
          <w:kern w:val="0"/>
          <w:sz w:val="30"/>
          <w:szCs w:val="30"/>
          <w:shd w:val="clear" w:color="auto" w:fill="FFFFFF"/>
          <w:lang w:val="zh-CN"/>
        </w:rPr>
      </w:pPr>
      <w:r>
        <w:rPr>
          <w:rFonts w:hint="eastAsia" w:ascii="仿宋_GB2312" w:hAnsi="仿宋_GB2312" w:eastAsia="仿宋_GB2312" w:cs="仿宋_GB2312"/>
          <w:b/>
          <w:bCs/>
          <w:color w:val="000000"/>
          <w:kern w:val="0"/>
          <w:sz w:val="30"/>
          <w:szCs w:val="30"/>
          <w:shd w:val="clear" w:color="auto" w:fill="FFFFFF"/>
          <w:lang w:val="zh-CN"/>
        </w:rPr>
        <w:t>部门预算项目绩效分析</w:t>
      </w:r>
    </w:p>
    <w:p w14:paraId="66BFEB2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contextualSpacing/>
        <w:jc w:val="left"/>
        <w:textAlignment w:val="auto"/>
        <w:outlineLvl w:val="9"/>
        <w:rPr>
          <w:rFonts w:hint="eastAsia" w:ascii="仿宋_GB2312" w:hAnsi="仿宋_GB2312" w:eastAsia="仿宋_GB2312" w:cs="仿宋_GB2312"/>
          <w:color w:val="000000"/>
          <w:kern w:val="0"/>
          <w:sz w:val="30"/>
          <w:szCs w:val="30"/>
          <w:highlight w:val="none"/>
          <w:shd w:val="clear" w:color="auto" w:fill="FFFFFF"/>
          <w:lang w:val="zh-CN" w:eastAsia="zh-CN"/>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color w:val="000000"/>
          <w:kern w:val="0"/>
          <w:sz w:val="30"/>
          <w:szCs w:val="30"/>
          <w:highlight w:val="none"/>
          <w:shd w:val="clear" w:color="auto" w:fill="FFFFFF"/>
          <w:lang w:val="en-US" w:eastAsia="zh-CN"/>
        </w:rPr>
        <w:t>常年项目绩效分析。</w:t>
      </w:r>
      <w:r>
        <w:rPr>
          <w:rFonts w:hint="eastAsia" w:ascii="仿宋_GB2312" w:hAnsi="仿宋_GB2312" w:eastAsia="仿宋_GB2312" w:cs="仿宋_GB2312"/>
          <w:color w:val="000000"/>
          <w:kern w:val="0"/>
          <w:sz w:val="30"/>
          <w:szCs w:val="30"/>
          <w:highlight w:val="none"/>
          <w:shd w:val="clear" w:color="auto" w:fill="FFFFFF"/>
          <w:lang w:val="zh-CN" w:eastAsia="zh-CN"/>
        </w:rPr>
        <w:t>该类项目总数</w:t>
      </w:r>
      <w:r>
        <w:rPr>
          <w:rFonts w:hint="eastAsia" w:ascii="仿宋_GB2312" w:hAnsi="仿宋_GB2312" w:cs="仿宋_GB2312"/>
          <w:color w:val="000000"/>
          <w:kern w:val="0"/>
          <w:sz w:val="30"/>
          <w:szCs w:val="30"/>
          <w:highlight w:val="none"/>
          <w:shd w:val="clear" w:color="auto" w:fill="FFFFFF"/>
          <w:lang w:val="en-US" w:eastAsia="zh-CN"/>
        </w:rPr>
        <w:t>21</w:t>
      </w:r>
      <w:r>
        <w:rPr>
          <w:rFonts w:hint="eastAsia" w:ascii="仿宋_GB2312" w:hAnsi="仿宋_GB2312" w:eastAsia="仿宋_GB2312" w:cs="仿宋_GB2312"/>
          <w:color w:val="000000"/>
          <w:kern w:val="0"/>
          <w:sz w:val="30"/>
          <w:szCs w:val="30"/>
          <w:highlight w:val="none"/>
          <w:shd w:val="clear" w:color="auto" w:fill="FFFFFF"/>
          <w:lang w:val="zh-CN" w:eastAsia="zh-CN"/>
        </w:rPr>
        <w:t>个，涉及预算总金额</w:t>
      </w:r>
      <w:r>
        <w:rPr>
          <w:rFonts w:hint="eastAsia" w:ascii="仿宋_GB2312" w:hAnsi="仿宋_GB2312" w:cs="仿宋_GB2312"/>
          <w:color w:val="000000"/>
          <w:kern w:val="0"/>
          <w:sz w:val="30"/>
          <w:szCs w:val="30"/>
          <w:highlight w:val="none"/>
          <w:shd w:val="clear" w:color="auto" w:fill="FFFFFF"/>
          <w:lang w:val="en-US" w:eastAsia="zh-CN"/>
        </w:rPr>
        <w:t>1564.09</w:t>
      </w:r>
      <w:r>
        <w:rPr>
          <w:rFonts w:hint="eastAsia" w:ascii="仿宋_GB2312" w:hAnsi="仿宋_GB2312" w:eastAsia="仿宋_GB2312" w:cs="仿宋_GB2312"/>
          <w:color w:val="000000"/>
          <w:kern w:val="0"/>
          <w:sz w:val="30"/>
          <w:szCs w:val="30"/>
          <w:highlight w:val="none"/>
          <w:shd w:val="clear" w:color="auto" w:fill="FFFFFF"/>
          <w:lang w:val="zh-CN" w:eastAsia="zh-CN"/>
        </w:rPr>
        <w:t>万元，</w:t>
      </w:r>
      <w:r>
        <w:rPr>
          <w:rFonts w:hint="eastAsia" w:ascii="仿宋_GB2312" w:hAnsi="仿宋_GB2312" w:eastAsia="仿宋_GB2312" w:cs="仿宋_GB2312"/>
          <w:color w:val="000000"/>
          <w:kern w:val="0"/>
          <w:sz w:val="30"/>
          <w:szCs w:val="30"/>
          <w:highlight w:val="none"/>
          <w:shd w:val="clear" w:color="auto" w:fill="FFFFFF"/>
          <w:lang w:val="zh-CN"/>
        </w:rPr>
        <w:t>1</w:t>
      </w:r>
      <w:r>
        <w:rPr>
          <w:rFonts w:hint="eastAsia" w:ascii="仿宋_GB2312" w:hAnsi="仿宋_GB2312" w:eastAsia="仿宋_GB2312" w:cs="仿宋_GB2312"/>
          <w:color w:val="000000"/>
          <w:kern w:val="0"/>
          <w:sz w:val="30"/>
          <w:szCs w:val="30"/>
          <w:highlight w:val="none"/>
          <w:shd w:val="clear" w:color="auto" w:fill="FFFFFF"/>
          <w:lang w:val="zh-CN" w:eastAsia="zh-CN"/>
        </w:rPr>
        <w:t>—</w:t>
      </w:r>
      <w:r>
        <w:rPr>
          <w:rFonts w:hint="eastAsia" w:ascii="仿宋_GB2312" w:hAnsi="仿宋_GB2312" w:eastAsia="仿宋_GB2312" w:cs="仿宋_GB2312"/>
          <w:color w:val="000000"/>
          <w:kern w:val="0"/>
          <w:sz w:val="30"/>
          <w:szCs w:val="30"/>
          <w:highlight w:val="none"/>
          <w:shd w:val="clear" w:color="auto" w:fill="FFFFFF"/>
          <w:lang w:val="zh-CN"/>
        </w:rPr>
        <w:t>1</w:t>
      </w:r>
      <w:r>
        <w:rPr>
          <w:rFonts w:hint="eastAsia" w:ascii="仿宋_GB2312" w:hAnsi="仿宋_GB2312" w:eastAsia="仿宋_GB2312" w:cs="仿宋_GB2312"/>
          <w:color w:val="000000"/>
          <w:kern w:val="0"/>
          <w:sz w:val="30"/>
          <w:szCs w:val="30"/>
          <w:highlight w:val="none"/>
          <w:shd w:val="clear" w:color="auto" w:fill="FFFFFF"/>
          <w:lang w:val="en-US" w:eastAsia="zh-CN"/>
        </w:rPr>
        <w:t>2</w:t>
      </w:r>
      <w:r>
        <w:rPr>
          <w:rFonts w:hint="eastAsia" w:ascii="仿宋_GB2312" w:hAnsi="仿宋_GB2312" w:eastAsia="仿宋_GB2312" w:cs="仿宋_GB2312"/>
          <w:color w:val="000000"/>
          <w:kern w:val="0"/>
          <w:sz w:val="30"/>
          <w:szCs w:val="30"/>
          <w:highlight w:val="none"/>
          <w:shd w:val="clear" w:color="auto" w:fill="FFFFFF"/>
          <w:lang w:val="zh-CN"/>
        </w:rPr>
        <w:t>月预算执行总体进度为</w:t>
      </w:r>
      <w:r>
        <w:rPr>
          <w:rFonts w:hint="eastAsia" w:ascii="仿宋_GB2312" w:hAnsi="仿宋_GB2312" w:cs="仿宋_GB2312"/>
          <w:color w:val="000000"/>
          <w:kern w:val="0"/>
          <w:sz w:val="30"/>
          <w:szCs w:val="30"/>
          <w:highlight w:val="none"/>
          <w:shd w:val="clear" w:color="auto" w:fill="FFFFFF"/>
          <w:lang w:val="en-US" w:eastAsia="zh-CN"/>
        </w:rPr>
        <w:t>80.50</w:t>
      </w:r>
      <w:r>
        <w:rPr>
          <w:rFonts w:hint="eastAsia" w:ascii="仿宋_GB2312" w:hAnsi="仿宋_GB2312" w:eastAsia="仿宋_GB2312" w:cs="仿宋_GB2312"/>
          <w:color w:val="000000"/>
          <w:kern w:val="0"/>
          <w:sz w:val="30"/>
          <w:szCs w:val="30"/>
          <w:highlight w:val="none"/>
          <w:shd w:val="clear" w:color="auto" w:fill="FFFFFF"/>
          <w:lang w:val="zh-CN"/>
        </w:rPr>
        <w:t>%，其中：</w:t>
      </w:r>
      <w:r>
        <w:rPr>
          <w:rFonts w:hint="eastAsia" w:ascii="仿宋_GB2312" w:hAnsi="仿宋_GB2312" w:eastAsia="仿宋_GB2312" w:cs="仿宋_GB2312"/>
          <w:color w:val="000000"/>
          <w:kern w:val="0"/>
          <w:sz w:val="30"/>
          <w:szCs w:val="30"/>
          <w:highlight w:val="none"/>
          <w:shd w:val="clear" w:color="auto" w:fill="FFFFFF"/>
          <w:lang w:val="zh-CN" w:eastAsia="zh-CN"/>
        </w:rPr>
        <w:t>预算结余率大于</w:t>
      </w:r>
      <w:r>
        <w:rPr>
          <w:rFonts w:hint="eastAsia" w:ascii="仿宋_GB2312" w:hAnsi="仿宋_GB2312" w:eastAsia="仿宋_GB2312" w:cs="仿宋_GB2312"/>
          <w:color w:val="000000"/>
          <w:kern w:val="0"/>
          <w:sz w:val="30"/>
          <w:szCs w:val="30"/>
          <w:highlight w:val="none"/>
          <w:shd w:val="clear" w:color="auto" w:fill="FFFFFF"/>
          <w:lang w:val="en-US" w:eastAsia="zh-CN"/>
        </w:rPr>
        <w:t>10%</w:t>
      </w:r>
      <w:r>
        <w:rPr>
          <w:rFonts w:hint="eastAsia" w:ascii="仿宋_GB2312" w:hAnsi="仿宋_GB2312" w:eastAsia="仿宋_GB2312" w:cs="仿宋_GB2312"/>
          <w:color w:val="000000"/>
          <w:kern w:val="0"/>
          <w:sz w:val="30"/>
          <w:szCs w:val="30"/>
          <w:highlight w:val="none"/>
          <w:shd w:val="clear" w:color="auto" w:fill="FFFFFF"/>
          <w:lang w:val="zh-CN" w:eastAsia="zh-CN"/>
        </w:rPr>
        <w:t>的项目共计</w:t>
      </w:r>
      <w:r>
        <w:rPr>
          <w:rFonts w:hint="eastAsia" w:ascii="仿宋_GB2312" w:hAnsi="仿宋_GB2312" w:cs="仿宋_GB2312"/>
          <w:color w:val="000000"/>
          <w:kern w:val="0"/>
          <w:sz w:val="30"/>
          <w:szCs w:val="30"/>
          <w:highlight w:val="none"/>
          <w:shd w:val="clear" w:color="auto" w:fill="FFFFFF"/>
          <w:lang w:val="en-US" w:eastAsia="zh-CN"/>
        </w:rPr>
        <w:t>7</w:t>
      </w:r>
      <w:r>
        <w:rPr>
          <w:rFonts w:hint="eastAsia" w:ascii="仿宋_GB2312" w:hAnsi="仿宋_GB2312" w:eastAsia="仿宋_GB2312" w:cs="仿宋_GB2312"/>
          <w:color w:val="000000"/>
          <w:kern w:val="0"/>
          <w:sz w:val="30"/>
          <w:szCs w:val="30"/>
          <w:highlight w:val="none"/>
          <w:shd w:val="clear" w:color="auto" w:fill="FFFFFF"/>
          <w:lang w:val="zh-CN" w:eastAsia="zh-CN"/>
        </w:rPr>
        <w:t>个。</w:t>
      </w:r>
    </w:p>
    <w:p w14:paraId="06F20F8E">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contextualSpacing/>
        <w:jc w:val="left"/>
        <w:textAlignment w:val="auto"/>
        <w:outlineLvl w:val="9"/>
        <w:rPr>
          <w:rFonts w:hint="eastAsia" w:ascii="仿宋_GB2312" w:hAnsi="仿宋_GB2312" w:eastAsia="仿宋_GB2312" w:cs="仿宋_GB2312"/>
          <w:color w:val="000000"/>
          <w:kern w:val="0"/>
          <w:sz w:val="30"/>
          <w:szCs w:val="30"/>
          <w:highlight w:val="none"/>
          <w:shd w:val="clear" w:color="auto" w:fill="FFFFFF"/>
          <w:lang w:val="zh-CN" w:eastAsia="zh-CN"/>
        </w:rPr>
      </w:pPr>
      <w:r>
        <w:rPr>
          <w:rFonts w:hint="eastAsia" w:ascii="仿宋_GB2312" w:hAnsi="仿宋_GB2312" w:eastAsia="仿宋_GB2312" w:cs="仿宋_GB2312"/>
          <w:color w:val="000000"/>
          <w:kern w:val="0"/>
          <w:sz w:val="30"/>
          <w:szCs w:val="30"/>
          <w:highlight w:val="none"/>
          <w:shd w:val="clear" w:color="auto" w:fill="FFFFFF"/>
          <w:lang w:val="en-US" w:eastAsia="zh-CN"/>
        </w:rPr>
        <w:t>阶段（含一次性）项目绩效分析。</w:t>
      </w:r>
      <w:r>
        <w:rPr>
          <w:rFonts w:hint="eastAsia" w:ascii="仿宋_GB2312" w:hAnsi="仿宋_GB2312" w:eastAsia="仿宋_GB2312" w:cs="仿宋_GB2312"/>
          <w:color w:val="000000"/>
          <w:kern w:val="0"/>
          <w:sz w:val="30"/>
          <w:szCs w:val="30"/>
          <w:highlight w:val="none"/>
          <w:shd w:val="clear" w:color="auto" w:fill="FFFFFF"/>
          <w:lang w:val="zh-CN" w:eastAsia="zh-CN"/>
        </w:rPr>
        <w:t>该类项目总数</w:t>
      </w:r>
      <w:r>
        <w:rPr>
          <w:rFonts w:hint="eastAsia" w:ascii="仿宋_GB2312" w:hAnsi="仿宋_GB2312" w:cs="仿宋_GB2312"/>
          <w:color w:val="000000"/>
          <w:kern w:val="0"/>
          <w:sz w:val="30"/>
          <w:szCs w:val="30"/>
          <w:highlight w:val="none"/>
          <w:shd w:val="clear" w:color="auto" w:fill="FFFFFF"/>
          <w:lang w:val="en-US" w:eastAsia="zh-CN"/>
        </w:rPr>
        <w:t>1</w:t>
      </w:r>
      <w:r>
        <w:rPr>
          <w:rFonts w:hint="eastAsia" w:ascii="仿宋_GB2312" w:hAnsi="仿宋_GB2312" w:eastAsia="仿宋_GB2312" w:cs="仿宋_GB2312"/>
          <w:color w:val="000000"/>
          <w:kern w:val="0"/>
          <w:sz w:val="30"/>
          <w:szCs w:val="30"/>
          <w:highlight w:val="none"/>
          <w:shd w:val="clear" w:color="auto" w:fill="FFFFFF"/>
          <w:lang w:val="zh-CN" w:eastAsia="zh-CN"/>
        </w:rPr>
        <w:t>个，涉及预算总金额</w:t>
      </w:r>
      <w:r>
        <w:rPr>
          <w:rFonts w:hint="eastAsia" w:ascii="仿宋_GB2312" w:hAnsi="仿宋_GB2312" w:cs="仿宋_GB2312"/>
          <w:color w:val="000000"/>
          <w:kern w:val="0"/>
          <w:sz w:val="30"/>
          <w:szCs w:val="30"/>
          <w:highlight w:val="none"/>
          <w:shd w:val="clear" w:color="auto" w:fill="FFFFFF"/>
          <w:lang w:val="en-US" w:eastAsia="zh-CN"/>
        </w:rPr>
        <w:t>55</w:t>
      </w:r>
      <w:r>
        <w:rPr>
          <w:rFonts w:hint="eastAsia" w:ascii="仿宋_GB2312" w:hAnsi="仿宋_GB2312" w:eastAsia="仿宋_GB2312" w:cs="仿宋_GB2312"/>
          <w:color w:val="000000"/>
          <w:kern w:val="0"/>
          <w:sz w:val="30"/>
          <w:szCs w:val="30"/>
          <w:highlight w:val="none"/>
          <w:shd w:val="clear" w:color="auto" w:fill="FFFFFF"/>
          <w:lang w:val="zh-CN" w:eastAsia="zh-CN"/>
        </w:rPr>
        <w:t>万元，</w:t>
      </w:r>
      <w:r>
        <w:rPr>
          <w:rFonts w:hint="eastAsia" w:ascii="仿宋_GB2312" w:hAnsi="仿宋_GB2312" w:eastAsia="仿宋_GB2312" w:cs="仿宋_GB2312"/>
          <w:color w:val="000000"/>
          <w:kern w:val="0"/>
          <w:sz w:val="30"/>
          <w:szCs w:val="30"/>
          <w:highlight w:val="none"/>
          <w:shd w:val="clear" w:color="auto" w:fill="FFFFFF"/>
          <w:lang w:val="zh-CN"/>
        </w:rPr>
        <w:t>1</w:t>
      </w:r>
      <w:r>
        <w:rPr>
          <w:rFonts w:hint="eastAsia" w:ascii="仿宋_GB2312" w:hAnsi="仿宋_GB2312" w:eastAsia="仿宋_GB2312" w:cs="仿宋_GB2312"/>
          <w:color w:val="000000"/>
          <w:kern w:val="0"/>
          <w:sz w:val="30"/>
          <w:szCs w:val="30"/>
          <w:highlight w:val="none"/>
          <w:shd w:val="clear" w:color="auto" w:fill="FFFFFF"/>
          <w:lang w:val="zh-CN" w:eastAsia="zh-CN"/>
        </w:rPr>
        <w:t>—</w:t>
      </w:r>
      <w:r>
        <w:rPr>
          <w:rFonts w:hint="eastAsia" w:ascii="仿宋_GB2312" w:hAnsi="仿宋_GB2312" w:eastAsia="仿宋_GB2312" w:cs="仿宋_GB2312"/>
          <w:color w:val="000000"/>
          <w:kern w:val="0"/>
          <w:sz w:val="30"/>
          <w:szCs w:val="30"/>
          <w:highlight w:val="none"/>
          <w:shd w:val="clear" w:color="auto" w:fill="FFFFFF"/>
          <w:lang w:val="zh-CN"/>
        </w:rPr>
        <w:t>1</w:t>
      </w:r>
      <w:r>
        <w:rPr>
          <w:rFonts w:hint="eastAsia" w:ascii="仿宋_GB2312" w:hAnsi="仿宋_GB2312" w:eastAsia="仿宋_GB2312" w:cs="仿宋_GB2312"/>
          <w:color w:val="000000"/>
          <w:kern w:val="0"/>
          <w:sz w:val="30"/>
          <w:szCs w:val="30"/>
          <w:highlight w:val="none"/>
          <w:shd w:val="clear" w:color="auto" w:fill="FFFFFF"/>
          <w:lang w:val="en-US" w:eastAsia="zh-CN"/>
        </w:rPr>
        <w:t>2</w:t>
      </w:r>
      <w:r>
        <w:rPr>
          <w:rFonts w:hint="eastAsia" w:ascii="仿宋_GB2312" w:hAnsi="仿宋_GB2312" w:eastAsia="仿宋_GB2312" w:cs="仿宋_GB2312"/>
          <w:color w:val="000000"/>
          <w:kern w:val="0"/>
          <w:sz w:val="30"/>
          <w:szCs w:val="30"/>
          <w:highlight w:val="none"/>
          <w:shd w:val="clear" w:color="auto" w:fill="FFFFFF"/>
          <w:lang w:val="zh-CN"/>
        </w:rPr>
        <w:t>月预算执行总体进度为</w:t>
      </w:r>
      <w:r>
        <w:rPr>
          <w:rFonts w:hint="eastAsia" w:ascii="仿宋_GB2312" w:hAnsi="仿宋_GB2312" w:cs="仿宋_GB2312"/>
          <w:color w:val="000000"/>
          <w:kern w:val="0"/>
          <w:sz w:val="30"/>
          <w:szCs w:val="30"/>
          <w:highlight w:val="none"/>
          <w:shd w:val="clear" w:color="auto" w:fill="FFFFFF"/>
          <w:lang w:val="en-US" w:eastAsia="zh-CN"/>
        </w:rPr>
        <w:t>99.64</w:t>
      </w:r>
      <w:r>
        <w:rPr>
          <w:rFonts w:hint="eastAsia" w:ascii="仿宋_GB2312" w:hAnsi="仿宋_GB2312" w:eastAsia="仿宋_GB2312" w:cs="仿宋_GB2312"/>
          <w:color w:val="000000"/>
          <w:kern w:val="0"/>
          <w:sz w:val="30"/>
          <w:szCs w:val="30"/>
          <w:highlight w:val="none"/>
          <w:shd w:val="clear" w:color="auto" w:fill="FFFFFF"/>
          <w:lang w:val="zh-CN"/>
        </w:rPr>
        <w:t>%，其中：</w:t>
      </w:r>
      <w:r>
        <w:rPr>
          <w:rFonts w:hint="eastAsia" w:ascii="仿宋_GB2312" w:hAnsi="仿宋_GB2312" w:eastAsia="仿宋_GB2312" w:cs="仿宋_GB2312"/>
          <w:color w:val="000000"/>
          <w:kern w:val="0"/>
          <w:sz w:val="30"/>
          <w:szCs w:val="30"/>
          <w:highlight w:val="none"/>
          <w:shd w:val="clear" w:color="auto" w:fill="FFFFFF"/>
          <w:lang w:val="zh-CN" w:eastAsia="zh-CN"/>
        </w:rPr>
        <w:t>预算结余率大于</w:t>
      </w:r>
      <w:r>
        <w:rPr>
          <w:rFonts w:hint="eastAsia" w:ascii="仿宋_GB2312" w:hAnsi="仿宋_GB2312" w:eastAsia="仿宋_GB2312" w:cs="仿宋_GB2312"/>
          <w:color w:val="000000"/>
          <w:kern w:val="0"/>
          <w:sz w:val="30"/>
          <w:szCs w:val="30"/>
          <w:highlight w:val="none"/>
          <w:shd w:val="clear" w:color="auto" w:fill="FFFFFF"/>
          <w:lang w:val="en-US" w:eastAsia="zh-CN"/>
        </w:rPr>
        <w:t>10%</w:t>
      </w:r>
      <w:r>
        <w:rPr>
          <w:rFonts w:hint="eastAsia" w:ascii="仿宋_GB2312" w:hAnsi="仿宋_GB2312" w:eastAsia="仿宋_GB2312" w:cs="仿宋_GB2312"/>
          <w:color w:val="000000"/>
          <w:kern w:val="0"/>
          <w:sz w:val="30"/>
          <w:szCs w:val="30"/>
          <w:highlight w:val="none"/>
          <w:shd w:val="clear" w:color="auto" w:fill="FFFFFF"/>
          <w:lang w:val="zh-CN" w:eastAsia="zh-CN"/>
        </w:rPr>
        <w:t>的项目共计</w:t>
      </w:r>
      <w:r>
        <w:rPr>
          <w:rFonts w:hint="eastAsia" w:ascii="仿宋_GB2312" w:hAnsi="仿宋_GB2312" w:cs="仿宋_GB2312"/>
          <w:color w:val="000000"/>
          <w:kern w:val="0"/>
          <w:sz w:val="30"/>
          <w:szCs w:val="30"/>
          <w:highlight w:val="none"/>
          <w:shd w:val="clear" w:color="auto" w:fill="FFFFFF"/>
          <w:lang w:val="en-US" w:eastAsia="zh-CN"/>
        </w:rPr>
        <w:t>0</w:t>
      </w:r>
      <w:r>
        <w:rPr>
          <w:rFonts w:hint="eastAsia" w:ascii="仿宋_GB2312" w:hAnsi="仿宋_GB2312" w:eastAsia="仿宋_GB2312" w:cs="仿宋_GB2312"/>
          <w:color w:val="000000"/>
          <w:kern w:val="0"/>
          <w:sz w:val="30"/>
          <w:szCs w:val="30"/>
          <w:highlight w:val="none"/>
          <w:shd w:val="clear" w:color="auto" w:fill="FFFFFF"/>
          <w:lang w:val="zh-CN" w:eastAsia="zh-CN"/>
        </w:rPr>
        <w:t>个。</w:t>
      </w:r>
    </w:p>
    <w:p w14:paraId="55F820FC">
      <w:pPr>
        <w:keepNext w:val="0"/>
        <w:keepLines w:val="0"/>
        <w:pageBreakBefore w:val="0"/>
        <w:widowControl w:val="0"/>
        <w:numPr>
          <w:ilvl w:val="0"/>
          <w:numId w:val="7"/>
        </w:numPr>
        <w:kinsoku/>
        <w:wordWrap/>
        <w:overflowPunct/>
        <w:topLinePunct w:val="0"/>
        <w:autoSpaceDE/>
        <w:autoSpaceDN/>
        <w:bidi w:val="0"/>
        <w:snapToGrid w:val="0"/>
        <w:spacing w:line="520" w:lineRule="exact"/>
        <w:ind w:firstLine="602" w:firstLineChars="200"/>
        <w:textAlignment w:val="auto"/>
        <w:rPr>
          <w:rFonts w:hint="eastAsia" w:ascii="仿宋_GB2312" w:hAnsi="仿宋_GB2312" w:eastAsia="仿宋_GB2312" w:cs="仿宋_GB2312"/>
          <w:b/>
          <w:bCs/>
          <w:sz w:val="30"/>
          <w:szCs w:val="30"/>
          <w:lang w:val="zh-CN"/>
        </w:rPr>
      </w:pPr>
      <w:r>
        <w:rPr>
          <w:rFonts w:hint="eastAsia" w:ascii="仿宋_GB2312" w:hAnsi="仿宋_GB2312" w:eastAsia="仿宋_GB2312" w:cs="仿宋_GB2312"/>
          <w:b/>
          <w:bCs/>
          <w:sz w:val="30"/>
          <w:szCs w:val="30"/>
          <w:lang w:val="zh-CN"/>
        </w:rPr>
        <w:t>绩效结果应用情况。</w:t>
      </w:r>
    </w:p>
    <w:p w14:paraId="20BE8930">
      <w:pPr>
        <w:keepNext w:val="0"/>
        <w:keepLines w:val="0"/>
        <w:pageBreakBefore w:val="0"/>
        <w:widowControl w:val="0"/>
        <w:numPr>
          <w:ilvl w:val="0"/>
          <w:numId w:val="0"/>
        </w:numPr>
        <w:kinsoku/>
        <w:wordWrap/>
        <w:overflowPunct/>
        <w:topLinePunct w:val="0"/>
        <w:autoSpaceDE/>
        <w:autoSpaceDN/>
        <w:bidi w:val="0"/>
        <w:snapToGrid w:val="0"/>
        <w:spacing w:line="520" w:lineRule="exact"/>
        <w:ind w:firstLine="600" w:firstLineChars="200"/>
        <w:textAlignment w:val="auto"/>
        <w:rPr>
          <w:rFonts w:hint="eastAsia" w:ascii="仿宋_GB2312" w:hAnsi="仿宋_GB2312" w:eastAsia="仿宋_GB2312" w:cs="仿宋_GB2312"/>
          <w:b/>
          <w:bCs w:val="0"/>
          <w:sz w:val="30"/>
          <w:szCs w:val="30"/>
        </w:rPr>
      </w:pPr>
      <w:r>
        <w:rPr>
          <w:rFonts w:hint="eastAsia" w:ascii="仿宋_GB2312" w:hAnsi="仿宋_GB2312" w:eastAsia="仿宋_GB2312" w:cs="仿宋_GB2312"/>
          <w:color w:val="000000"/>
          <w:kern w:val="0"/>
          <w:sz w:val="30"/>
          <w:szCs w:val="30"/>
          <w:shd w:val="clear" w:color="auto" w:fill="FFFFFF"/>
          <w:lang w:val="zh-CN"/>
        </w:rPr>
        <w:t>绩效结果应用，既是开展绩效评价工作的基本前提，又是加强财政支出管理、增强资金绩效理念、合理配置公共资源、优化财政支出结构、强化资金管理水平、提高资金使用效益的重要手段，每年绩效评价结果将作为第二年年度部门预算资金分配的重要依据。</w:t>
      </w:r>
    </w:p>
    <w:p w14:paraId="413308EA">
      <w:pPr>
        <w:keepNext w:val="0"/>
        <w:keepLines w:val="0"/>
        <w:pageBreakBefore w:val="0"/>
        <w:widowControl/>
        <w:kinsoku/>
        <w:wordWrap/>
        <w:overflowPunct/>
        <w:topLinePunct w:val="0"/>
        <w:autoSpaceDE/>
        <w:autoSpaceDN/>
        <w:bidi w:val="0"/>
        <w:adjustRightInd w:val="0"/>
        <w:snapToGrid w:val="0"/>
        <w:spacing w:line="500" w:lineRule="exact"/>
        <w:ind w:firstLine="600" w:firstLineChars="200"/>
        <w:contextualSpacing/>
        <w:jc w:val="left"/>
        <w:textAlignment w:val="auto"/>
        <w:outlineLvl w:val="9"/>
        <w:rPr>
          <w:rFonts w:hint="eastAsia" w:ascii="仿宋_GB2312" w:hAnsi="仿宋_GB2312" w:eastAsia="仿宋_GB2312" w:cs="仿宋_GB2312"/>
          <w:color w:val="000000"/>
          <w:kern w:val="0"/>
          <w:sz w:val="30"/>
          <w:szCs w:val="30"/>
          <w:highlight w:val="none"/>
          <w:shd w:val="clear" w:color="auto" w:fill="FFFFFF"/>
        </w:rPr>
      </w:pPr>
      <w:r>
        <w:rPr>
          <w:rFonts w:hint="eastAsia" w:ascii="仿宋_GB2312" w:hAnsi="仿宋_GB2312" w:eastAsia="仿宋_GB2312" w:cs="仿宋_GB2312"/>
          <w:color w:val="000000"/>
          <w:kern w:val="0"/>
          <w:sz w:val="30"/>
          <w:szCs w:val="30"/>
          <w:highlight w:val="none"/>
          <w:shd w:val="clear" w:color="auto" w:fill="FFFFFF"/>
          <w:lang w:eastAsia="zh-CN"/>
        </w:rPr>
        <w:t>四、</w:t>
      </w:r>
      <w:r>
        <w:rPr>
          <w:rFonts w:hint="eastAsia" w:ascii="仿宋_GB2312" w:hAnsi="仿宋_GB2312" w:eastAsia="仿宋_GB2312" w:cs="仿宋_GB2312"/>
          <w:color w:val="000000"/>
          <w:kern w:val="0"/>
          <w:sz w:val="30"/>
          <w:szCs w:val="30"/>
          <w:highlight w:val="none"/>
          <w:shd w:val="clear" w:color="auto" w:fill="FFFFFF"/>
        </w:rPr>
        <w:t>评价结论及建议</w:t>
      </w:r>
    </w:p>
    <w:p w14:paraId="662695D2">
      <w:pPr>
        <w:keepNext w:val="0"/>
        <w:keepLines w:val="0"/>
        <w:pageBreakBefore w:val="0"/>
        <w:widowControl/>
        <w:kinsoku/>
        <w:wordWrap/>
        <w:overflowPunct/>
        <w:topLinePunct w:val="0"/>
        <w:autoSpaceDE/>
        <w:autoSpaceDN/>
        <w:bidi w:val="0"/>
        <w:adjustRightInd w:val="0"/>
        <w:snapToGrid w:val="0"/>
        <w:spacing w:line="500" w:lineRule="exact"/>
        <w:ind w:firstLine="602" w:firstLineChars="200"/>
        <w:contextualSpacing/>
        <w:jc w:val="left"/>
        <w:textAlignment w:val="auto"/>
        <w:outlineLvl w:val="9"/>
        <w:rPr>
          <w:rFonts w:hint="eastAsia" w:ascii="仿宋_GB2312" w:hAnsi="仿宋_GB2312" w:eastAsia="仿宋_GB2312" w:cs="仿宋_GB2312"/>
          <w:b/>
          <w:bCs/>
          <w:color w:val="000000"/>
          <w:kern w:val="0"/>
          <w:sz w:val="30"/>
          <w:szCs w:val="30"/>
          <w:highlight w:val="none"/>
          <w:shd w:val="clear" w:color="auto" w:fill="FFFFFF"/>
          <w:lang w:val="zh-CN"/>
        </w:rPr>
      </w:pPr>
      <w:r>
        <w:rPr>
          <w:rFonts w:hint="eastAsia" w:ascii="仿宋_GB2312" w:hAnsi="仿宋_GB2312" w:eastAsia="仿宋_GB2312" w:cs="仿宋_GB2312"/>
          <w:b/>
          <w:bCs/>
          <w:color w:val="000000"/>
          <w:kern w:val="0"/>
          <w:sz w:val="30"/>
          <w:szCs w:val="30"/>
          <w:highlight w:val="none"/>
          <w:shd w:val="clear" w:color="auto" w:fill="FFFFFF"/>
          <w:lang w:val="zh-CN"/>
        </w:rPr>
        <w:t>（一）评价结论。</w:t>
      </w:r>
    </w:p>
    <w:p w14:paraId="1EB82259">
      <w:pPr>
        <w:keepNext w:val="0"/>
        <w:keepLines w:val="0"/>
        <w:pageBreakBefore w:val="0"/>
        <w:widowControl/>
        <w:kinsoku/>
        <w:wordWrap/>
        <w:overflowPunct/>
        <w:topLinePunct w:val="0"/>
        <w:autoSpaceDE/>
        <w:autoSpaceDN/>
        <w:bidi w:val="0"/>
        <w:adjustRightInd w:val="0"/>
        <w:snapToGrid w:val="0"/>
        <w:spacing w:line="500" w:lineRule="exact"/>
        <w:ind w:firstLine="600" w:firstLineChars="200"/>
        <w:contextualSpacing/>
        <w:jc w:val="left"/>
        <w:textAlignment w:val="auto"/>
        <w:outlineLvl w:val="9"/>
        <w:rPr>
          <w:rFonts w:hint="eastAsia" w:ascii="仿宋_GB2312" w:hAnsi="仿宋_GB2312" w:eastAsia="仿宋_GB2312" w:cs="仿宋_GB2312"/>
          <w:b/>
          <w:bCs/>
          <w:color w:val="000000"/>
          <w:kern w:val="0"/>
          <w:sz w:val="30"/>
          <w:szCs w:val="30"/>
          <w:highlight w:val="none"/>
          <w:shd w:val="clear" w:color="auto" w:fill="FFFFFF"/>
          <w:lang w:val="en-US"/>
        </w:rPr>
      </w:pPr>
      <w:r>
        <w:rPr>
          <w:rFonts w:hint="eastAsia" w:ascii="仿宋_GB2312" w:hAnsi="仿宋_GB2312" w:eastAsia="仿宋_GB2312" w:cs="仿宋_GB2312"/>
          <w:color w:val="000000"/>
          <w:sz w:val="30"/>
          <w:szCs w:val="30"/>
        </w:rPr>
        <w:t>202</w:t>
      </w:r>
      <w:r>
        <w:rPr>
          <w:rFonts w:hint="eastAsia" w:ascii="仿宋_GB2312" w:hAnsi="仿宋_GB2312" w:cs="仿宋_GB2312"/>
          <w:color w:val="000000"/>
          <w:sz w:val="30"/>
          <w:szCs w:val="30"/>
          <w:lang w:val="en-US" w:eastAsia="zh-CN"/>
        </w:rPr>
        <w:t>5</w:t>
      </w:r>
      <w:r>
        <w:rPr>
          <w:rFonts w:hint="eastAsia" w:ascii="仿宋_GB2312" w:hAnsi="仿宋_GB2312" w:eastAsia="仿宋_GB2312" w:cs="仿宋_GB2312"/>
          <w:color w:val="000000"/>
          <w:sz w:val="30"/>
          <w:szCs w:val="30"/>
        </w:rPr>
        <w:t>年绩效评价项目覆盖率达到了100%，</w:t>
      </w:r>
      <w:r>
        <w:rPr>
          <w:rFonts w:hint="eastAsia" w:ascii="仿宋_GB2312" w:hAnsi="仿宋_GB2312" w:eastAsia="仿宋_GB2312" w:cs="仿宋_GB2312"/>
          <w:bCs/>
          <w:color w:val="000000"/>
          <w:sz w:val="30"/>
          <w:szCs w:val="30"/>
        </w:rPr>
        <w:t>部门整体支出绩效评价自评得分为</w:t>
      </w:r>
      <w:r>
        <w:rPr>
          <w:rFonts w:hint="eastAsia" w:ascii="仿宋_GB2312" w:hAnsi="仿宋_GB2312" w:cs="仿宋_GB2312"/>
          <w:bCs/>
          <w:color w:val="000000"/>
          <w:sz w:val="30"/>
          <w:szCs w:val="30"/>
          <w:lang w:val="en-US" w:eastAsia="zh-CN"/>
        </w:rPr>
        <w:t>88</w:t>
      </w:r>
      <w:r>
        <w:rPr>
          <w:rFonts w:hint="eastAsia" w:ascii="仿宋_GB2312" w:hAnsi="仿宋_GB2312" w:eastAsia="仿宋_GB2312" w:cs="仿宋_GB2312"/>
          <w:bCs/>
          <w:color w:val="000000"/>
          <w:sz w:val="30"/>
          <w:szCs w:val="30"/>
        </w:rPr>
        <w:t>分。</w:t>
      </w:r>
    </w:p>
    <w:p w14:paraId="123A5EBB">
      <w:pPr>
        <w:pStyle w:val="12"/>
        <w:keepNext w:val="0"/>
        <w:keepLines w:val="0"/>
        <w:pageBreakBefore w:val="0"/>
        <w:numPr>
          <w:ilvl w:val="0"/>
          <w:numId w:val="8"/>
        </w:numPr>
        <w:tabs>
          <w:tab w:val="left" w:pos="312"/>
        </w:tabs>
        <w:kinsoku/>
        <w:wordWrap/>
        <w:overflowPunct/>
        <w:topLinePunct w:val="0"/>
        <w:autoSpaceDE/>
        <w:autoSpaceDN/>
        <w:bidi w:val="0"/>
        <w:spacing w:before="0" w:beforeAutospacing="0" w:after="0" w:afterAutospacing="0" w:line="500" w:lineRule="exact"/>
        <w:ind w:firstLine="738" w:firstLineChars="245"/>
        <w:textAlignment w:val="auto"/>
        <w:rPr>
          <w:rFonts w:hint="eastAsia" w:ascii="仿宋_GB2312" w:hAnsi="仿宋_GB2312" w:eastAsia="仿宋_GB2312" w:cs="仿宋_GB2312"/>
          <w:b/>
          <w:bCs/>
          <w:color w:val="000000"/>
          <w:kern w:val="0"/>
          <w:sz w:val="30"/>
          <w:szCs w:val="30"/>
          <w:highlight w:val="none"/>
          <w:shd w:val="clear" w:color="auto" w:fill="FFFFFF"/>
          <w:lang w:val="zh-CN"/>
        </w:rPr>
      </w:pPr>
      <w:r>
        <w:rPr>
          <w:rFonts w:hint="eastAsia" w:ascii="仿宋_GB2312" w:hAnsi="仿宋_GB2312" w:eastAsia="仿宋_GB2312" w:cs="仿宋_GB2312"/>
          <w:b/>
          <w:bCs/>
          <w:color w:val="000000"/>
          <w:kern w:val="0"/>
          <w:sz w:val="30"/>
          <w:szCs w:val="30"/>
          <w:highlight w:val="none"/>
          <w:shd w:val="clear" w:color="auto" w:fill="FFFFFF"/>
          <w:lang w:val="zh-CN"/>
        </w:rPr>
        <w:t>存在问题。</w:t>
      </w:r>
    </w:p>
    <w:p w14:paraId="6AB79610">
      <w:pPr>
        <w:pStyle w:val="12"/>
        <w:keepNext w:val="0"/>
        <w:keepLines w:val="0"/>
        <w:pageBreakBefore w:val="0"/>
        <w:numPr>
          <w:ilvl w:val="0"/>
          <w:numId w:val="0"/>
        </w:numPr>
        <w:tabs>
          <w:tab w:val="left" w:pos="312"/>
        </w:tabs>
        <w:kinsoku/>
        <w:wordWrap/>
        <w:overflowPunct/>
        <w:topLinePunct w:val="0"/>
        <w:autoSpaceDE/>
        <w:autoSpaceDN/>
        <w:bidi w:val="0"/>
        <w:spacing w:before="0" w:beforeAutospacing="0" w:after="0" w:afterAutospacing="0" w:line="500" w:lineRule="exact"/>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1.财务管理制度需进一步完善、内控制度需要及时更新完善，制度执行力度偏弱，需要更加全面的进行安排、落实与执行。</w:t>
      </w:r>
    </w:p>
    <w:p w14:paraId="460B9839">
      <w:pPr>
        <w:pStyle w:val="12"/>
        <w:keepNext w:val="0"/>
        <w:keepLines w:val="0"/>
        <w:pageBreakBefore w:val="0"/>
        <w:tabs>
          <w:tab w:val="left" w:pos="312"/>
        </w:tabs>
        <w:kinsoku/>
        <w:wordWrap/>
        <w:overflowPunct/>
        <w:topLinePunct w:val="0"/>
        <w:autoSpaceDE/>
        <w:autoSpaceDN/>
        <w:bidi w:val="0"/>
        <w:spacing w:before="0" w:beforeAutospacing="0" w:after="0" w:afterAutospacing="0" w:line="500" w:lineRule="exact"/>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2.本部门预算编制工作需进一步加强，预算编制的合理性、细节性方面需要提高，前期绩效指标设置应量化到位，预算执行力度还要进一步加强。</w:t>
      </w:r>
    </w:p>
    <w:p w14:paraId="06675FE6">
      <w:pPr>
        <w:pStyle w:val="12"/>
        <w:keepNext w:val="0"/>
        <w:keepLines w:val="0"/>
        <w:pageBreakBefore w:val="0"/>
        <w:tabs>
          <w:tab w:val="left" w:pos="312"/>
        </w:tabs>
        <w:kinsoku/>
        <w:wordWrap/>
        <w:overflowPunct/>
        <w:topLinePunct w:val="0"/>
        <w:autoSpaceDE/>
        <w:autoSpaceDN/>
        <w:bidi w:val="0"/>
        <w:spacing w:before="0" w:beforeAutospacing="0" w:after="0" w:afterAutospacing="0" w:line="500" w:lineRule="exact"/>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3.在预算执行过程中，部分专项项目资金预算执行进度不够。</w:t>
      </w:r>
    </w:p>
    <w:p w14:paraId="308F071D">
      <w:pPr>
        <w:keepNext w:val="0"/>
        <w:keepLines w:val="0"/>
        <w:pageBreakBefore w:val="0"/>
        <w:kinsoku/>
        <w:wordWrap/>
        <w:overflowPunct/>
        <w:topLinePunct w:val="0"/>
        <w:autoSpaceDE/>
        <w:autoSpaceDN/>
        <w:bidi w:val="0"/>
        <w:spacing w:line="500" w:lineRule="exact"/>
        <w:ind w:firstLine="600" w:firstLineChars="200"/>
        <w:textAlignment w:val="auto"/>
        <w:rPr>
          <w:rFonts w:hint="eastAsia" w:ascii="仿宋_GB2312" w:hAnsi="仿宋_GB2312" w:eastAsia="仿宋_GB2312" w:cs="仿宋_GB2312"/>
          <w:bCs/>
          <w:sz w:val="30"/>
          <w:szCs w:val="30"/>
        </w:rPr>
      </w:pPr>
      <w:r>
        <w:rPr>
          <w:rFonts w:hint="eastAsia" w:ascii="仿宋_GB2312" w:hAnsi="仿宋_GB2312" w:eastAsia="仿宋_GB2312" w:cs="仿宋_GB2312"/>
          <w:color w:val="333333"/>
          <w:sz w:val="30"/>
          <w:szCs w:val="30"/>
        </w:rPr>
        <w:t>4.</w:t>
      </w:r>
      <w:r>
        <w:rPr>
          <w:rFonts w:hint="eastAsia" w:ascii="仿宋_GB2312" w:hAnsi="仿宋_GB2312" w:eastAsia="仿宋_GB2312" w:cs="仿宋_GB2312"/>
          <w:bCs/>
          <w:color w:val="000000"/>
          <w:sz w:val="30"/>
          <w:szCs w:val="30"/>
        </w:rPr>
        <w:t>项目资金的建立和使用太复杂，需开展预算项目的事前项目绩效评价，事中项目绩效监控（月月填写监控系统），事后项目绩效评价工作，</w:t>
      </w:r>
      <w:r>
        <w:rPr>
          <w:rFonts w:hint="eastAsia" w:ascii="仿宋_GB2312" w:hAnsi="仿宋_GB2312" w:eastAsia="仿宋_GB2312" w:cs="仿宋_GB2312"/>
          <w:bCs/>
          <w:sz w:val="30"/>
          <w:szCs w:val="30"/>
        </w:rPr>
        <w:t>缺乏专业技术支持，项目绩效自评质量参差不齐。</w:t>
      </w:r>
    </w:p>
    <w:p w14:paraId="70024B2A">
      <w:pPr>
        <w:pStyle w:val="12"/>
        <w:keepNext w:val="0"/>
        <w:keepLines w:val="0"/>
        <w:pageBreakBefore w:val="0"/>
        <w:tabs>
          <w:tab w:val="left" w:pos="312"/>
        </w:tabs>
        <w:kinsoku/>
        <w:wordWrap/>
        <w:overflowPunct/>
        <w:topLinePunct w:val="0"/>
        <w:autoSpaceDE/>
        <w:autoSpaceDN/>
        <w:bidi w:val="0"/>
        <w:spacing w:before="0" w:beforeAutospacing="0" w:after="0" w:afterAutospacing="0" w:line="520" w:lineRule="exact"/>
        <w:ind w:firstLine="602" w:firstLineChars="200"/>
        <w:textAlignment w:val="auto"/>
        <w:rPr>
          <w:rFonts w:hint="eastAsia" w:ascii="仿宋_GB2312" w:hAnsi="仿宋_GB2312" w:eastAsia="仿宋_GB2312" w:cs="仿宋_GB2312"/>
          <w:b/>
          <w:bCs/>
          <w:color w:val="000000"/>
          <w:kern w:val="0"/>
          <w:sz w:val="30"/>
          <w:szCs w:val="30"/>
          <w:highlight w:val="none"/>
          <w:shd w:val="clear" w:color="auto" w:fill="FFFFFF"/>
          <w:lang w:val="zh-CN" w:eastAsia="zh-CN"/>
        </w:rPr>
      </w:pPr>
      <w:r>
        <w:rPr>
          <w:rFonts w:hint="eastAsia" w:ascii="仿宋_GB2312" w:hAnsi="仿宋_GB2312" w:eastAsia="仿宋_GB2312" w:cs="仿宋_GB2312"/>
          <w:b/>
          <w:bCs/>
          <w:color w:val="000000"/>
          <w:kern w:val="0"/>
          <w:sz w:val="30"/>
          <w:szCs w:val="30"/>
          <w:highlight w:val="none"/>
          <w:shd w:val="clear" w:color="auto" w:fill="FFFFFF"/>
          <w:lang w:val="zh-CN" w:eastAsia="zh-CN"/>
        </w:rPr>
        <w:t>（三）改进建议。</w:t>
      </w:r>
    </w:p>
    <w:p w14:paraId="68E0291D">
      <w:pPr>
        <w:pStyle w:val="12"/>
        <w:keepNext w:val="0"/>
        <w:keepLines w:val="0"/>
        <w:pageBreakBefore w:val="0"/>
        <w:tabs>
          <w:tab w:val="left" w:pos="312"/>
        </w:tabs>
        <w:kinsoku/>
        <w:wordWrap/>
        <w:overflowPunct/>
        <w:topLinePunct w:val="0"/>
        <w:autoSpaceDE/>
        <w:autoSpaceDN/>
        <w:bidi w:val="0"/>
        <w:spacing w:before="0" w:beforeAutospacing="0" w:after="0" w:afterAutospacing="0" w:line="520" w:lineRule="exact"/>
        <w:ind w:firstLine="600" w:firstLineChars="200"/>
        <w:textAlignment w:val="auto"/>
        <w:rPr>
          <w:rFonts w:hint="eastAsia" w:ascii="仿宋_GB2312" w:hAnsi="仿宋_GB2312" w:eastAsia="仿宋_GB2312" w:cs="仿宋_GB2312"/>
          <w:bCs/>
          <w:color w:val="000000"/>
          <w:sz w:val="30"/>
          <w:szCs w:val="30"/>
        </w:rPr>
      </w:pPr>
      <w:r>
        <w:rPr>
          <w:rFonts w:hint="eastAsia" w:ascii="仿宋_GB2312" w:hAnsi="仿宋_GB2312" w:eastAsia="仿宋_GB2312" w:cs="仿宋_GB2312"/>
          <w:color w:val="333333"/>
          <w:sz w:val="30"/>
          <w:szCs w:val="30"/>
        </w:rPr>
        <w:t>1.聘请专业机构提供预算绩效指标设定和</w:t>
      </w:r>
      <w:r>
        <w:rPr>
          <w:rFonts w:hint="eastAsia" w:ascii="仿宋_GB2312" w:hAnsi="仿宋_GB2312" w:eastAsia="仿宋_GB2312" w:cs="仿宋_GB2312"/>
          <w:bCs/>
          <w:color w:val="000000"/>
          <w:sz w:val="30"/>
          <w:szCs w:val="30"/>
        </w:rPr>
        <w:t>绩效评价技术支持，按照谁申请项目，谁设定绩效目标，谁完成绩效自评的原则开展单位项目绩效评价，确保</w:t>
      </w:r>
      <w:r>
        <w:rPr>
          <w:rFonts w:hint="eastAsia" w:ascii="仿宋_GB2312" w:hAnsi="仿宋_GB2312" w:eastAsia="仿宋_GB2312" w:cs="仿宋_GB2312"/>
          <w:bCs/>
          <w:sz w:val="30"/>
          <w:szCs w:val="30"/>
        </w:rPr>
        <w:t>绩效自评质量。</w:t>
      </w:r>
    </w:p>
    <w:p w14:paraId="0D985F96">
      <w:pPr>
        <w:pStyle w:val="12"/>
        <w:keepNext w:val="0"/>
        <w:keepLines w:val="0"/>
        <w:pageBreakBefore w:val="0"/>
        <w:tabs>
          <w:tab w:val="left" w:pos="312"/>
        </w:tabs>
        <w:kinsoku/>
        <w:wordWrap/>
        <w:overflowPunct/>
        <w:topLinePunct w:val="0"/>
        <w:autoSpaceDE/>
        <w:autoSpaceDN/>
        <w:bidi w:val="0"/>
        <w:spacing w:before="0" w:beforeAutospacing="0" w:after="0" w:afterAutospacing="0" w:line="520" w:lineRule="exact"/>
        <w:ind w:firstLine="600" w:firstLineChars="200"/>
        <w:textAlignment w:val="auto"/>
        <w:rPr>
          <w:rFonts w:hint="eastAsia" w:ascii="仿宋_GB2312" w:hAnsi="仿宋_GB2312" w:eastAsia="仿宋_GB2312" w:cs="仿宋_GB2312"/>
          <w:bCs/>
          <w:color w:val="000000"/>
          <w:sz w:val="30"/>
          <w:szCs w:val="30"/>
        </w:rPr>
      </w:pPr>
      <w:r>
        <w:rPr>
          <w:rFonts w:hint="eastAsia" w:ascii="仿宋_GB2312" w:hAnsi="仿宋_GB2312" w:eastAsia="仿宋_GB2312" w:cs="仿宋_GB2312"/>
          <w:bCs/>
          <w:color w:val="000000"/>
          <w:sz w:val="30"/>
          <w:szCs w:val="30"/>
        </w:rPr>
        <w:t>2.预算编制时绩效目标的设定尽可能的采用可量化指标。</w:t>
      </w:r>
    </w:p>
    <w:p w14:paraId="56D66544">
      <w:pPr>
        <w:pStyle w:val="12"/>
        <w:keepNext w:val="0"/>
        <w:keepLines w:val="0"/>
        <w:pageBreakBefore w:val="0"/>
        <w:tabs>
          <w:tab w:val="left" w:pos="312"/>
        </w:tabs>
        <w:kinsoku/>
        <w:wordWrap/>
        <w:overflowPunct/>
        <w:topLinePunct w:val="0"/>
        <w:autoSpaceDE/>
        <w:autoSpaceDN/>
        <w:bidi w:val="0"/>
        <w:spacing w:before="0" w:beforeAutospacing="0" w:after="0" w:afterAutospacing="0" w:line="520" w:lineRule="exact"/>
        <w:ind w:firstLine="600" w:firstLineChars="200"/>
        <w:textAlignment w:val="auto"/>
        <w:rPr>
          <w:rFonts w:hint="eastAsia" w:ascii="仿宋_GB2312" w:hAnsi="仿宋_GB2312" w:eastAsia="仿宋_GB2312" w:cs="仿宋_GB2312"/>
          <w:color w:val="333333"/>
          <w:sz w:val="30"/>
          <w:szCs w:val="30"/>
          <w:lang w:eastAsia="zh-CN"/>
        </w:rPr>
      </w:pPr>
      <w:r>
        <w:rPr>
          <w:rFonts w:hint="eastAsia" w:ascii="仿宋_GB2312" w:hAnsi="仿宋_GB2312" w:eastAsia="仿宋_GB2312" w:cs="仿宋_GB2312"/>
          <w:color w:val="333333"/>
          <w:sz w:val="30"/>
          <w:szCs w:val="30"/>
        </w:rPr>
        <w:t>3.加强绩效评价的应用,将绩效评价运用到改进业务管理、财务管理和资金管理方面,提高财政资源配置的有效性和科学性。加强与业务科室沟通，开展项目进度的跟踪，开展项目绩效评价，确保项目绩效目标的完成</w:t>
      </w:r>
      <w:r>
        <w:rPr>
          <w:rFonts w:hint="eastAsia" w:ascii="仿宋_GB2312" w:hAnsi="仿宋_GB2312" w:eastAsia="仿宋_GB2312" w:cs="仿宋_GB2312"/>
          <w:color w:val="333333"/>
          <w:sz w:val="30"/>
          <w:szCs w:val="30"/>
          <w:lang w:eastAsia="zh-CN"/>
        </w:rPr>
        <w:t>。</w:t>
      </w:r>
    </w:p>
    <w:p w14:paraId="43AFD5C2">
      <w:pPr>
        <w:pStyle w:val="12"/>
        <w:keepNext w:val="0"/>
        <w:keepLines w:val="0"/>
        <w:pageBreakBefore w:val="0"/>
        <w:tabs>
          <w:tab w:val="left" w:pos="312"/>
        </w:tabs>
        <w:kinsoku/>
        <w:wordWrap/>
        <w:overflowPunct/>
        <w:topLinePunct w:val="0"/>
        <w:autoSpaceDE/>
        <w:autoSpaceDN/>
        <w:bidi w:val="0"/>
        <w:spacing w:before="0" w:beforeAutospacing="0" w:after="0" w:afterAutospacing="0" w:line="520" w:lineRule="exact"/>
        <w:ind w:firstLine="600" w:firstLineChars="200"/>
        <w:textAlignment w:val="auto"/>
        <w:rPr>
          <w:rFonts w:hint="eastAsia" w:ascii="仿宋_GB2312" w:hAnsi="仿宋_GB2312" w:eastAsia="仿宋_GB2312" w:cs="仿宋_GB2312"/>
          <w:color w:val="333333"/>
          <w:sz w:val="30"/>
          <w:szCs w:val="30"/>
          <w:lang w:val="en-US" w:eastAsia="zh-CN"/>
        </w:rPr>
      </w:pPr>
      <w:r>
        <w:rPr>
          <w:rFonts w:hint="eastAsia" w:ascii="仿宋_GB2312" w:hAnsi="仿宋_GB2312" w:eastAsia="仿宋_GB2312" w:cs="仿宋_GB2312"/>
          <w:color w:val="333333"/>
          <w:sz w:val="30"/>
          <w:szCs w:val="30"/>
          <w:lang w:val="en-US" w:eastAsia="zh-CN"/>
        </w:rPr>
        <w:t xml:space="preserve">                                 </w:t>
      </w:r>
    </w:p>
    <w:p w14:paraId="46032E3D">
      <w:pPr>
        <w:keepNext w:val="0"/>
        <w:keepLines w:val="0"/>
        <w:pageBreakBefore w:val="0"/>
        <w:kinsoku/>
        <w:wordWrap/>
        <w:overflowPunct/>
        <w:topLinePunct w:val="0"/>
        <w:autoSpaceDE/>
        <w:autoSpaceDN/>
        <w:bidi w:val="0"/>
        <w:spacing w:line="520" w:lineRule="exact"/>
        <w:ind w:firstLine="600" w:firstLineChars="200"/>
        <w:textAlignment w:val="auto"/>
        <w:rPr>
          <w:rFonts w:hint="eastAsia" w:ascii="仿宋_GB2312" w:hAnsi="仿宋_GB2312" w:eastAsia="仿宋_GB2312" w:cs="仿宋_GB2312"/>
          <w:strike w:val="0"/>
          <w:sz w:val="30"/>
          <w:szCs w:val="30"/>
          <w:u w:val="none"/>
          <w:lang w:val="en-US" w:eastAsia="zh-CN" w:bidi="ar"/>
        </w:rPr>
      </w:pPr>
      <w:r>
        <w:rPr>
          <w:rFonts w:hint="eastAsia" w:ascii="仿宋_GB2312" w:hAnsi="仿宋_GB2312" w:eastAsia="仿宋_GB2312" w:cs="仿宋_GB2312"/>
          <w:color w:val="000000"/>
          <w:kern w:val="0"/>
          <w:sz w:val="30"/>
          <w:szCs w:val="30"/>
          <w:highlight w:val="none"/>
          <w:shd w:val="clear" w:color="auto" w:fill="FFFFFF"/>
          <w:lang w:val="en-US" w:eastAsia="zh-CN"/>
        </w:rPr>
        <w:t>附表：1.</w:t>
      </w:r>
      <w:r>
        <w:rPr>
          <w:rFonts w:hint="eastAsia" w:ascii="仿宋_GB2312" w:hAnsi="仿宋_GB2312" w:eastAsia="仿宋_GB2312" w:cs="仿宋_GB2312"/>
          <w:strike w:val="0"/>
          <w:sz w:val="30"/>
          <w:szCs w:val="30"/>
          <w:u w:val="none"/>
          <w:lang w:val="en-US" w:eastAsia="zh-CN" w:bidi="ar"/>
        </w:rPr>
        <w:t>部门预算绩效自评打分表</w:t>
      </w:r>
    </w:p>
    <w:p w14:paraId="6BF8AAF0">
      <w:pPr>
        <w:keepNext w:val="0"/>
        <w:keepLines w:val="0"/>
        <w:pageBreakBefore w:val="0"/>
        <w:kinsoku/>
        <w:wordWrap/>
        <w:overflowPunct/>
        <w:topLinePunct w:val="0"/>
        <w:autoSpaceDE/>
        <w:autoSpaceDN/>
        <w:bidi w:val="0"/>
        <w:spacing w:line="520" w:lineRule="exact"/>
        <w:ind w:firstLine="1500" w:firstLineChars="500"/>
        <w:textAlignment w:val="auto"/>
        <w:rPr>
          <w:rFonts w:hint="eastAsia" w:ascii="仿宋_GB2312" w:hAnsi="仿宋_GB2312" w:eastAsia="仿宋_GB2312" w:cs="仿宋_GB2312"/>
          <w:color w:val="000000"/>
          <w:kern w:val="0"/>
          <w:sz w:val="30"/>
          <w:szCs w:val="30"/>
          <w:highlight w:val="none"/>
          <w:shd w:val="clear" w:color="auto" w:fill="FFFFFF"/>
          <w:lang w:val="en-US" w:eastAsia="zh-CN"/>
        </w:rPr>
      </w:pPr>
      <w:r>
        <w:rPr>
          <w:rFonts w:hint="eastAsia" w:ascii="仿宋_GB2312" w:hAnsi="仿宋_GB2312" w:eastAsia="仿宋_GB2312" w:cs="仿宋_GB2312"/>
          <w:strike w:val="0"/>
          <w:sz w:val="30"/>
          <w:szCs w:val="30"/>
          <w:u w:val="none"/>
          <w:lang w:val="en-US" w:eastAsia="zh-CN" w:bidi="ar"/>
        </w:rPr>
        <w:t>2.</w:t>
      </w:r>
      <w:r>
        <w:rPr>
          <w:rFonts w:hint="eastAsia" w:ascii="仿宋_GB2312" w:hAnsi="仿宋_GB2312" w:eastAsia="仿宋_GB2312" w:cs="仿宋_GB2312"/>
          <w:color w:val="000000"/>
          <w:kern w:val="0"/>
          <w:sz w:val="30"/>
          <w:szCs w:val="30"/>
          <w:highlight w:val="none"/>
          <w:shd w:val="clear" w:color="auto" w:fill="FFFFFF"/>
          <w:lang w:val="en-US" w:eastAsia="zh-CN"/>
        </w:rPr>
        <w:t>部门整体绩效目标完成情况自评表</w:t>
      </w:r>
    </w:p>
    <w:p w14:paraId="65647A76">
      <w:pPr>
        <w:pStyle w:val="14"/>
        <w:keepNext w:val="0"/>
        <w:keepLines w:val="0"/>
        <w:pageBreakBefore w:val="0"/>
        <w:kinsoku/>
        <w:wordWrap/>
        <w:overflowPunct/>
        <w:topLinePunct w:val="0"/>
        <w:autoSpaceDE/>
        <w:autoSpaceDN/>
        <w:bidi w:val="0"/>
        <w:spacing w:line="520" w:lineRule="exact"/>
        <w:ind w:leftChars="0" w:firstLine="1500" w:firstLineChars="500"/>
        <w:textAlignment w:val="auto"/>
        <w:rPr>
          <w:rFonts w:hint="eastAsia" w:ascii="仿宋_GB2312" w:hAnsi="仿宋_GB2312" w:eastAsia="仿宋_GB2312" w:cs="仿宋_GB2312"/>
          <w:strike w:val="0"/>
          <w:sz w:val="30"/>
          <w:szCs w:val="30"/>
          <w:u w:val="none"/>
          <w:lang w:eastAsia="zh-CN" w:bidi="ar"/>
        </w:rPr>
      </w:pPr>
      <w:r>
        <w:rPr>
          <w:rFonts w:hint="eastAsia" w:ascii="仿宋_GB2312" w:hAnsi="仿宋_GB2312" w:eastAsia="仿宋_GB2312" w:cs="仿宋_GB2312"/>
          <w:color w:val="000000"/>
          <w:kern w:val="0"/>
          <w:sz w:val="30"/>
          <w:szCs w:val="30"/>
          <w:highlight w:val="none"/>
          <w:shd w:val="clear" w:color="auto" w:fill="FFFFFF"/>
          <w:lang w:val="en-US" w:eastAsia="zh-CN"/>
        </w:rPr>
        <w:t>3.</w:t>
      </w:r>
      <w:r>
        <w:rPr>
          <w:rFonts w:hint="eastAsia" w:ascii="仿宋_GB2312" w:hAnsi="仿宋_GB2312" w:eastAsia="仿宋_GB2312" w:cs="仿宋_GB2312"/>
          <w:strike w:val="0"/>
          <w:sz w:val="30"/>
          <w:szCs w:val="30"/>
          <w:u w:val="none"/>
          <w:lang w:bidi="ar"/>
        </w:rPr>
        <w:t>部门预算项目支出绩效</w:t>
      </w:r>
      <w:r>
        <w:rPr>
          <w:rFonts w:hint="eastAsia" w:ascii="仿宋_GB2312" w:hAnsi="仿宋_GB2312" w:eastAsia="仿宋_GB2312" w:cs="仿宋_GB2312"/>
          <w:strike w:val="0"/>
          <w:sz w:val="30"/>
          <w:szCs w:val="30"/>
          <w:u w:val="none"/>
          <w:lang w:eastAsia="zh-CN" w:bidi="ar"/>
        </w:rPr>
        <w:t>评价</w:t>
      </w:r>
      <w:r>
        <w:rPr>
          <w:rFonts w:hint="eastAsia" w:ascii="仿宋_GB2312" w:hAnsi="仿宋_GB2312" w:eastAsia="仿宋_GB2312" w:cs="仿宋_GB2312"/>
          <w:strike w:val="0"/>
          <w:sz w:val="30"/>
          <w:szCs w:val="30"/>
          <w:u w:val="none"/>
          <w:lang w:bidi="ar"/>
        </w:rPr>
        <w:t>表</w:t>
      </w:r>
      <w:r>
        <w:rPr>
          <w:rFonts w:hint="eastAsia" w:ascii="仿宋_GB2312" w:hAnsi="仿宋_GB2312" w:eastAsia="仿宋_GB2312" w:cs="仿宋_GB2312"/>
          <w:strike w:val="0"/>
          <w:sz w:val="30"/>
          <w:szCs w:val="30"/>
          <w:u w:val="none"/>
          <w:lang w:eastAsia="zh-CN" w:bidi="ar"/>
        </w:rPr>
        <w:t>（202</w:t>
      </w:r>
      <w:r>
        <w:rPr>
          <w:rFonts w:hint="eastAsia" w:ascii="仿宋_GB2312" w:hAnsi="仿宋_GB2312" w:eastAsia="仿宋_GB2312" w:cs="仿宋_GB2312"/>
          <w:strike w:val="0"/>
          <w:sz w:val="30"/>
          <w:szCs w:val="30"/>
          <w:u w:val="none"/>
          <w:lang w:val="en-US" w:eastAsia="zh-CN" w:bidi="ar"/>
        </w:rPr>
        <w:t>5</w:t>
      </w:r>
      <w:r>
        <w:rPr>
          <w:rFonts w:hint="eastAsia" w:ascii="仿宋_GB2312" w:hAnsi="仿宋_GB2312" w:eastAsia="仿宋_GB2312" w:cs="仿宋_GB2312"/>
          <w:strike w:val="0"/>
          <w:sz w:val="30"/>
          <w:szCs w:val="30"/>
          <w:u w:val="none"/>
          <w:lang w:eastAsia="zh-CN" w:bidi="ar"/>
        </w:rPr>
        <w:t>年度）</w:t>
      </w:r>
    </w:p>
    <w:p w14:paraId="458FBF97">
      <w:pPr>
        <w:pStyle w:val="14"/>
        <w:keepNext w:val="0"/>
        <w:keepLines w:val="0"/>
        <w:pageBreakBefore w:val="0"/>
        <w:kinsoku/>
        <w:wordWrap/>
        <w:overflowPunct/>
        <w:topLinePunct w:val="0"/>
        <w:autoSpaceDE/>
        <w:autoSpaceDN/>
        <w:bidi w:val="0"/>
        <w:spacing w:line="520" w:lineRule="exact"/>
        <w:ind w:leftChars="0" w:firstLine="64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（备注：按照绩效自评工作安排，各部门已在预算管理一体化系统绩效自评模块上传“部门预算项目支出绩效自评表（202</w:t>
      </w:r>
      <w:r>
        <w:rPr>
          <w:rFonts w:hint="eastAsia" w:hAnsi="仿宋_GB2312" w:eastAsia="仿宋_GB2312" w:cs="仿宋_GB2312"/>
          <w:kern w:val="0"/>
          <w:sz w:val="30"/>
          <w:szCs w:val="30"/>
          <w:lang w:val="en-US" w:eastAsia="zh-CN"/>
        </w:rPr>
        <w:t>5</w:t>
      </w:r>
      <w:r>
        <w:rPr>
          <w:rFonts w:hint="eastAsia" w:ascii="仿宋_GB2312" w:hAnsi="仿宋_GB2312" w:eastAsia="仿宋_GB2312" w:cs="仿宋_GB2312"/>
          <w:kern w:val="0"/>
          <w:sz w:val="30"/>
          <w:szCs w:val="30"/>
        </w:rPr>
        <w:t>年度）”，该表格应作为附表予以公开。）</w:t>
      </w:r>
    </w:p>
    <w:p w14:paraId="7AA6D546">
      <w:pPr>
        <w:pStyle w:val="14"/>
        <w:spacing w:line="560" w:lineRule="exact"/>
        <w:ind w:leftChars="0" w:firstLine="640"/>
        <w:rPr>
          <w:rFonts w:hint="eastAsia" w:ascii="仿宋_GB2312" w:hAnsi="仿宋_GB2312" w:eastAsia="仿宋_GB2312" w:cs="仿宋_GB2312"/>
          <w:kern w:val="0"/>
          <w:sz w:val="30"/>
          <w:szCs w:val="30"/>
        </w:rPr>
      </w:pPr>
    </w:p>
    <w:p w14:paraId="07FCFD3C">
      <w:pPr>
        <w:pStyle w:val="14"/>
        <w:spacing w:line="560" w:lineRule="exact"/>
        <w:ind w:leftChars="0" w:firstLine="640"/>
        <w:rPr>
          <w:rFonts w:hint="eastAsia" w:ascii="仿宋_GB2312" w:hAnsi="仿宋_GB2312" w:eastAsia="仿宋_GB2312" w:cs="仿宋_GB2312"/>
          <w:kern w:val="0"/>
          <w:sz w:val="30"/>
          <w:szCs w:val="30"/>
        </w:rPr>
      </w:pPr>
    </w:p>
    <w:p w14:paraId="7EBF1282">
      <w:pPr>
        <w:pStyle w:val="14"/>
        <w:spacing w:line="560" w:lineRule="exact"/>
        <w:ind w:leftChars="0" w:firstLine="640"/>
        <w:rPr>
          <w:rFonts w:hint="eastAsia" w:ascii="仿宋_GB2312" w:hAnsi="仿宋_GB2312" w:eastAsia="仿宋_GB2312" w:cs="仿宋_GB2312"/>
          <w:kern w:val="0"/>
          <w:sz w:val="30"/>
          <w:szCs w:val="30"/>
        </w:rPr>
      </w:pPr>
    </w:p>
    <w:p w14:paraId="3CB14049">
      <w:pPr>
        <w:pStyle w:val="14"/>
        <w:spacing w:line="560" w:lineRule="exact"/>
        <w:ind w:leftChars="0" w:firstLine="640"/>
        <w:rPr>
          <w:rFonts w:hint="eastAsia" w:ascii="仿宋_GB2312" w:hAnsi="仿宋_GB2312" w:eastAsia="仿宋_GB2312" w:cs="仿宋_GB2312"/>
          <w:kern w:val="0"/>
          <w:sz w:val="30"/>
          <w:szCs w:val="30"/>
        </w:rPr>
      </w:pPr>
    </w:p>
    <w:p w14:paraId="28309BA7">
      <w:pPr>
        <w:pStyle w:val="14"/>
        <w:spacing w:line="560" w:lineRule="exact"/>
        <w:ind w:leftChars="0" w:firstLine="640"/>
        <w:rPr>
          <w:rFonts w:hint="eastAsia" w:ascii="仿宋_GB2312" w:hAnsi="仿宋_GB2312" w:eastAsia="仿宋_GB2312" w:cs="仿宋_GB2312"/>
          <w:kern w:val="0"/>
          <w:sz w:val="30"/>
          <w:szCs w:val="30"/>
        </w:rPr>
      </w:pPr>
    </w:p>
    <w:p w14:paraId="64C4BE2F">
      <w:pPr>
        <w:pStyle w:val="14"/>
        <w:spacing w:line="560" w:lineRule="exact"/>
        <w:ind w:leftChars="0" w:firstLine="640"/>
        <w:rPr>
          <w:rFonts w:hint="eastAsia" w:ascii="仿宋_GB2312" w:hAnsi="仿宋_GB2312" w:eastAsia="仿宋_GB2312" w:cs="仿宋_GB2312"/>
          <w:kern w:val="0"/>
          <w:sz w:val="30"/>
          <w:szCs w:val="30"/>
        </w:rPr>
      </w:pPr>
    </w:p>
    <w:p w14:paraId="0E16B07F">
      <w:pPr>
        <w:pStyle w:val="14"/>
        <w:spacing w:line="560" w:lineRule="exact"/>
        <w:ind w:leftChars="0" w:firstLine="640"/>
        <w:rPr>
          <w:rFonts w:hint="eastAsia" w:ascii="仿宋_GB2312" w:hAnsi="仿宋_GB2312" w:eastAsia="仿宋_GB2312" w:cs="仿宋_GB2312"/>
          <w:kern w:val="0"/>
          <w:sz w:val="30"/>
          <w:szCs w:val="30"/>
        </w:rPr>
      </w:pPr>
    </w:p>
    <w:p w14:paraId="10F041F9">
      <w:pPr>
        <w:pStyle w:val="14"/>
        <w:spacing w:line="560" w:lineRule="exact"/>
        <w:ind w:leftChars="0" w:firstLine="640"/>
        <w:rPr>
          <w:rFonts w:hint="eastAsia" w:ascii="仿宋_GB2312" w:hAnsi="仿宋_GB2312" w:eastAsia="仿宋_GB2312" w:cs="仿宋_GB2312"/>
          <w:kern w:val="0"/>
          <w:sz w:val="30"/>
          <w:szCs w:val="30"/>
        </w:rPr>
      </w:pPr>
    </w:p>
    <w:p w14:paraId="1A8150AE">
      <w:pPr>
        <w:keepNext w:val="0"/>
        <w:keepLines w:val="0"/>
        <w:pageBreakBefore w:val="0"/>
        <w:kinsoku/>
        <w:wordWrap/>
        <w:overflowPunct/>
        <w:topLinePunct w:val="0"/>
        <w:autoSpaceDE/>
        <w:autoSpaceDN/>
        <w:bidi w:val="0"/>
        <w:spacing w:line="578" w:lineRule="exact"/>
        <w:jc w:val="left"/>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附表1</w:t>
      </w:r>
    </w:p>
    <w:p w14:paraId="498BFD1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p>
    <w:p w14:paraId="52CA50A3">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p w14:paraId="1C16E527">
      <w:pPr>
        <w:pStyle w:val="2"/>
        <w:rPr>
          <w:rFonts w:hint="eastAsia" w:ascii="Times New Roman" w:hAnsi="Times New Roman" w:eastAsia="方正小标宋简体" w:cs="Times New Roman"/>
          <w:i w:val="0"/>
          <w:color w:val="000000"/>
          <w:kern w:val="0"/>
          <w:sz w:val="44"/>
          <w:szCs w:val="44"/>
          <w:u w:val="none"/>
          <w:lang w:val="en-US" w:eastAsia="zh-CN" w:bidi="ar"/>
        </w:rPr>
      </w:pPr>
    </w:p>
    <w:p w14:paraId="519AB6BD">
      <w:pPr>
        <w:rPr>
          <w:rFonts w:hint="eastAsia"/>
          <w:lang w:val="en-US" w:eastAsia="zh-CN"/>
        </w:rPr>
      </w:pPr>
    </w:p>
    <w:tbl>
      <w:tblPr>
        <w:tblStyle w:val="15"/>
        <w:tblW w:w="99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77"/>
        <w:gridCol w:w="1215"/>
        <w:gridCol w:w="2035"/>
        <w:gridCol w:w="876"/>
        <w:gridCol w:w="3216"/>
        <w:gridCol w:w="650"/>
        <w:gridCol w:w="520"/>
      </w:tblGrid>
      <w:tr w14:paraId="46CF4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blHeader/>
          <w:jc w:val="center"/>
        </w:trPr>
        <w:tc>
          <w:tcPr>
            <w:tcW w:w="56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5D41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黑体" w:hAnsi="宋体" w:eastAsia="黑体" w:cs="黑体"/>
                <w:b/>
                <w:i w:val="0"/>
                <w:color w:val="000000"/>
                <w:sz w:val="24"/>
                <w:szCs w:val="24"/>
                <w:u w:val="none"/>
              </w:rPr>
            </w:pPr>
            <w:r>
              <w:rPr>
                <w:rFonts w:hint="eastAsia" w:ascii="黑体" w:hAnsi="宋体" w:eastAsia="黑体" w:cs="黑体"/>
                <w:b/>
                <w:i w:val="0"/>
                <w:color w:val="000000"/>
                <w:kern w:val="0"/>
                <w:sz w:val="30"/>
                <w:szCs w:val="30"/>
                <w:u w:val="none"/>
                <w:lang w:val="en-US" w:eastAsia="zh-CN" w:bidi="ar"/>
              </w:rPr>
              <w:t>绩效评价指标指标分值</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0F31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30"/>
                <w:szCs w:val="30"/>
                <w:u w:val="none"/>
                <w:lang w:val="en-US" w:eastAsia="zh-CN" w:bidi="ar"/>
              </w:rPr>
              <w:t>指标解释</w:t>
            </w:r>
          </w:p>
        </w:tc>
        <w:tc>
          <w:tcPr>
            <w:tcW w:w="650" w:type="dxa"/>
            <w:vMerge w:val="restart"/>
            <w:tcBorders>
              <w:top w:val="single" w:color="000000" w:sz="4" w:space="0"/>
              <w:left w:val="single" w:color="000000" w:sz="4" w:space="0"/>
              <w:right w:val="single" w:color="000000" w:sz="4" w:space="0"/>
            </w:tcBorders>
            <w:shd w:val="clear" w:color="auto" w:fill="auto"/>
            <w:vAlign w:val="center"/>
          </w:tcPr>
          <w:p w14:paraId="2821EC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kern w:val="0"/>
                <w:sz w:val="24"/>
                <w:szCs w:val="24"/>
                <w:u w:val="none"/>
                <w:lang w:val="en-US" w:eastAsia="zh-CN" w:bidi="ar"/>
              </w:rPr>
            </w:pPr>
            <w:r>
              <w:rPr>
                <w:rFonts w:hint="eastAsia" w:ascii="黑体" w:hAnsi="宋体" w:eastAsia="黑体" w:cs="黑体"/>
                <w:b/>
                <w:i w:val="0"/>
                <w:color w:val="000000"/>
                <w:kern w:val="0"/>
                <w:sz w:val="24"/>
                <w:szCs w:val="24"/>
                <w:u w:val="none"/>
                <w:lang w:val="en-US" w:eastAsia="zh-CN" w:bidi="ar"/>
              </w:rPr>
              <w:t>自评得分</w:t>
            </w:r>
          </w:p>
        </w:tc>
        <w:tc>
          <w:tcPr>
            <w:tcW w:w="520" w:type="dxa"/>
            <w:vMerge w:val="restart"/>
            <w:tcBorders>
              <w:top w:val="single" w:color="000000" w:sz="4" w:space="0"/>
              <w:left w:val="single" w:color="000000" w:sz="4" w:space="0"/>
              <w:right w:val="single" w:color="000000" w:sz="4" w:space="0"/>
            </w:tcBorders>
            <w:shd w:val="clear" w:color="auto" w:fill="auto"/>
            <w:vAlign w:val="center"/>
          </w:tcPr>
          <w:p w14:paraId="1677FAA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kern w:val="0"/>
                <w:sz w:val="24"/>
                <w:szCs w:val="24"/>
                <w:u w:val="none"/>
                <w:lang w:val="en-US" w:eastAsia="zh-CN" w:bidi="ar"/>
              </w:rPr>
            </w:pPr>
            <w:r>
              <w:rPr>
                <w:rFonts w:hint="eastAsia" w:ascii="黑体" w:hAnsi="宋体" w:eastAsia="黑体" w:cs="黑体"/>
                <w:b/>
                <w:i w:val="0"/>
                <w:color w:val="000000"/>
                <w:kern w:val="0"/>
                <w:sz w:val="24"/>
                <w:szCs w:val="24"/>
                <w:u w:val="none"/>
                <w:lang w:val="en-US" w:eastAsia="zh-CN" w:bidi="ar"/>
              </w:rPr>
              <w:t>备注</w:t>
            </w:r>
          </w:p>
        </w:tc>
      </w:tr>
      <w:tr w14:paraId="62E61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2" w:hRule="atLeast"/>
          <w:tblHeader/>
          <w:jc w:val="center"/>
        </w:trPr>
        <w:tc>
          <w:tcPr>
            <w:tcW w:w="1477" w:type="dxa"/>
            <w:tcBorders>
              <w:top w:val="single" w:color="000000" w:sz="4" w:space="0"/>
              <w:left w:val="single" w:color="000000" w:sz="4" w:space="0"/>
              <w:bottom w:val="single" w:color="000000" w:sz="4" w:space="0"/>
              <w:right w:val="nil"/>
            </w:tcBorders>
            <w:shd w:val="clear" w:color="auto" w:fill="auto"/>
            <w:vAlign w:val="center"/>
          </w:tcPr>
          <w:p w14:paraId="367BC03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一级指标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355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二级指标</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25E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三级指标</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B132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指标分值</w:t>
            </w: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E26B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黑体" w:hAnsi="宋体" w:eastAsia="黑体" w:cs="黑体"/>
                <w:b/>
                <w:i w:val="0"/>
                <w:color w:val="000000"/>
                <w:sz w:val="24"/>
                <w:szCs w:val="24"/>
                <w:u w:val="none"/>
              </w:rPr>
            </w:pPr>
          </w:p>
        </w:tc>
        <w:tc>
          <w:tcPr>
            <w:tcW w:w="650" w:type="dxa"/>
            <w:vMerge w:val="continue"/>
            <w:tcBorders>
              <w:left w:val="single" w:color="000000" w:sz="4" w:space="0"/>
              <w:bottom w:val="single" w:color="000000" w:sz="4" w:space="0"/>
              <w:right w:val="single" w:color="000000" w:sz="4" w:space="0"/>
            </w:tcBorders>
            <w:shd w:val="clear" w:color="auto" w:fill="auto"/>
            <w:vAlign w:val="center"/>
          </w:tcPr>
          <w:p w14:paraId="6FD581E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黑体" w:hAnsi="宋体" w:eastAsia="黑体" w:cs="黑体"/>
                <w:b/>
                <w:i w:val="0"/>
                <w:color w:val="000000"/>
                <w:sz w:val="24"/>
                <w:szCs w:val="24"/>
                <w:u w:val="none"/>
              </w:rPr>
            </w:pPr>
          </w:p>
        </w:tc>
        <w:tc>
          <w:tcPr>
            <w:tcW w:w="520" w:type="dxa"/>
            <w:vMerge w:val="continue"/>
            <w:tcBorders>
              <w:left w:val="single" w:color="000000" w:sz="4" w:space="0"/>
              <w:bottom w:val="single" w:color="000000" w:sz="4" w:space="0"/>
              <w:right w:val="single" w:color="000000" w:sz="4" w:space="0"/>
            </w:tcBorders>
            <w:shd w:val="clear" w:color="auto" w:fill="auto"/>
            <w:vAlign w:val="center"/>
          </w:tcPr>
          <w:p w14:paraId="6BC4436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黑体" w:hAnsi="宋体" w:eastAsia="黑体" w:cs="黑体"/>
                <w:b/>
                <w:i w:val="0"/>
                <w:color w:val="000000"/>
                <w:sz w:val="24"/>
                <w:szCs w:val="24"/>
                <w:u w:val="none"/>
              </w:rPr>
            </w:pPr>
          </w:p>
        </w:tc>
      </w:tr>
      <w:tr w14:paraId="048DD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1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EA1B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总体绩效</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（65分）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612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履职效能</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（15分）</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8CC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履职效果</w:t>
            </w:r>
          </w:p>
        </w:tc>
        <w:tc>
          <w:tcPr>
            <w:tcW w:w="876" w:type="dxa"/>
            <w:tcBorders>
              <w:top w:val="nil"/>
              <w:left w:val="single" w:color="000000" w:sz="4" w:space="0"/>
              <w:bottom w:val="single" w:color="000000" w:sz="4" w:space="0"/>
              <w:right w:val="single" w:color="000000" w:sz="4" w:space="0"/>
            </w:tcBorders>
            <w:shd w:val="clear" w:color="auto" w:fill="auto"/>
            <w:vAlign w:val="center"/>
          </w:tcPr>
          <w:p w14:paraId="3C1F7A1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FC1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部门整体绩效目标中选定3-5个核心职能目标，反映该项职能目标完成效果情况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7B4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15</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2E3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446BC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6CFA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FF86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预算管理</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（25分）</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CF7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预算编制质量</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9549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98B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部门是否严格按要求编制年初部门预算，年初预算编制的科学性和准确性</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C9F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8</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450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6109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CD0F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CA79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3CC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单位收入统筹</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87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124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部门统筹自有收入程度</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9BD6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8DE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3B438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9773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B75A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9F7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支出执行进度</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F91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385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部门1至6月、1至10月预算执行情况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E8B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AE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23EF6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26DD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0084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485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预算年终结余</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D97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94E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部门整体年终预算结余情况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C04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2</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D7B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7EBC6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1" w:hRule="atLeas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1614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292F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31A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严控一般性支出</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9D6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9B4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部门严控“三公”经费、会议、培训、差旅、办节办展、办公设备购置、信息网络及软件购置更新、课题经费等8项一般性支出情况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624D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eastAsia="宋体"/>
                <w:sz w:val="22"/>
                <w:szCs w:val="20"/>
                <w:lang w:val="en-US" w:eastAsia="zh-CN"/>
              </w:rPr>
            </w:pPr>
            <w:r>
              <w:rPr>
                <w:rFonts w:hint="eastAsia" w:ascii="宋体" w:hAnsi="宋体" w:eastAsia="宋体" w:cs="宋体"/>
                <w:i w:val="0"/>
                <w:color w:val="000000"/>
                <w:kern w:val="0"/>
                <w:sz w:val="22"/>
                <w:szCs w:val="20"/>
                <w:u w:val="none"/>
                <w:lang w:val="en-US" w:eastAsia="zh-CN" w:bidi="ar"/>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DC7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5E11C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0DE5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32F9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财务管理</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（10分）</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62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财务管理制度</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8EF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ECD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部门财务管理制度建立情况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6F5C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C53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0F5B9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F0E8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D013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0C8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财务岗位设置</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3FE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8D5D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部门财务岗位设置是否符合相关财务管理制度要求</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158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2</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EE7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3D9A0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C20B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F7BF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59B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资金使用规范</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144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E448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部门资金使用是否符合相关财务管理制度规定</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5CD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435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1CFFF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B4F8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DC55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资产管理</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（6分）</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252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人均资产变化率</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F71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BCF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部门人均资产变化情况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15C3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2</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DB3B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33B27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44F6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213C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D49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资产利用率</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D34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317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部门资产超最低使用年限情况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3A2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2</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17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3C0ED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exact"/>
          <w:jc w:val="center"/>
        </w:trPr>
        <w:tc>
          <w:tcPr>
            <w:tcW w:w="1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1E0E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总体绩效</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（65分）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962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资产管理</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（3分）</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04B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资产盘活率</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8F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265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部门闲置一年以上的资产盘活情况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01C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2</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7D2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76D08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B033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66D7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采购管理</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（6分）</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1533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支持中小企业发展</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684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EB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部门是否严格执行政府采购促进中小企业发展相关管理办法</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3BE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23C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451FF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C236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D9D9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DDF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采购执行率</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4EC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7B2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部门政府采购项目资金支付比例情况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91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5A96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0AFA8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exact"/>
          <w:jc w:val="center"/>
        </w:trPr>
        <w:tc>
          <w:tcPr>
            <w:tcW w:w="1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4A1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项目绩效</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（35分）</w:t>
            </w:r>
          </w:p>
        </w:tc>
        <w:tc>
          <w:tcPr>
            <w:tcW w:w="1215" w:type="dxa"/>
            <w:vMerge w:val="restart"/>
            <w:tcBorders>
              <w:top w:val="single" w:color="000000" w:sz="4" w:space="0"/>
              <w:left w:val="single" w:color="000000" w:sz="4" w:space="0"/>
              <w:bottom w:val="nil"/>
              <w:right w:val="single" w:color="000000" w:sz="4" w:space="0"/>
            </w:tcBorders>
            <w:shd w:val="clear" w:color="auto" w:fill="auto"/>
            <w:vAlign w:val="center"/>
          </w:tcPr>
          <w:p w14:paraId="4849077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项目决策</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（12分）</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AB4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决策程序</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11B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A56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部门预算项目设立是否按规定履行评估论证、申报程序</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2E9B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5F3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46A59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1" w:hRule="atLeas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CE76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nil"/>
              <w:right w:val="single" w:color="000000" w:sz="4" w:space="0"/>
            </w:tcBorders>
            <w:shd w:val="clear" w:color="auto" w:fill="auto"/>
            <w:vAlign w:val="center"/>
          </w:tcPr>
          <w:p w14:paraId="23D19FE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5E4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目标设置</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BB3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5AC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部门预算项目绩效目标与计划期内的任务量、预算安排的资金量匹配情况，绩效目标设置是否科学合理、规范完整、量化细化、预算匹配</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C6F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6C5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1E643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A934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52E9C0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auto" w:sz="4" w:space="0"/>
              <w:right w:val="single" w:color="000000" w:sz="4" w:space="0"/>
            </w:tcBorders>
            <w:shd w:val="clear" w:color="auto" w:fill="auto"/>
            <w:vAlign w:val="center"/>
          </w:tcPr>
          <w:p w14:paraId="54C22BA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项目入库</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05B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4BC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部门预算项目是否在规定时间完成项目入库</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B07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9A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36E17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exact"/>
          <w:jc w:val="center"/>
        </w:trPr>
        <w:tc>
          <w:tcPr>
            <w:tcW w:w="1477"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17A2D7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restart"/>
            <w:tcBorders>
              <w:top w:val="single" w:color="auto" w:sz="4" w:space="0"/>
              <w:left w:val="single" w:color="auto" w:sz="4" w:space="0"/>
              <w:bottom w:val="single" w:color="auto" w:sz="4" w:space="0"/>
              <w:right w:val="single" w:color="000000" w:sz="4" w:space="0"/>
            </w:tcBorders>
            <w:shd w:val="clear" w:color="auto" w:fill="auto"/>
            <w:vAlign w:val="center"/>
          </w:tcPr>
          <w:p w14:paraId="015C5B9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项目执行</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（12分）</w:t>
            </w:r>
          </w:p>
        </w:tc>
        <w:tc>
          <w:tcPr>
            <w:tcW w:w="2035" w:type="dxa"/>
            <w:tcBorders>
              <w:top w:val="single" w:color="auto" w:sz="4" w:space="0"/>
              <w:left w:val="single" w:color="000000" w:sz="4" w:space="0"/>
              <w:bottom w:val="single" w:color="auto" w:sz="4" w:space="0"/>
              <w:right w:val="single" w:color="auto" w:sz="4" w:space="0"/>
            </w:tcBorders>
            <w:shd w:val="clear" w:color="auto" w:fill="auto"/>
            <w:vAlign w:val="center"/>
          </w:tcPr>
          <w:p w14:paraId="7AE34C5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执行同向</w:t>
            </w:r>
          </w:p>
        </w:tc>
        <w:tc>
          <w:tcPr>
            <w:tcW w:w="876" w:type="dxa"/>
            <w:tcBorders>
              <w:top w:val="single" w:color="000000" w:sz="4" w:space="0"/>
              <w:left w:val="single" w:color="auto" w:sz="4" w:space="0"/>
              <w:bottom w:val="single" w:color="000000" w:sz="4" w:space="0"/>
              <w:right w:val="single" w:color="000000" w:sz="4" w:space="0"/>
            </w:tcBorders>
            <w:shd w:val="clear" w:color="auto" w:fill="auto"/>
            <w:vAlign w:val="center"/>
          </w:tcPr>
          <w:p w14:paraId="1BAAC30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5B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部门预算项目实际列支内容是否与绩效目标设置方向相符</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67A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7B0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4AFE2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exact"/>
          <w:jc w:val="center"/>
        </w:trPr>
        <w:tc>
          <w:tcPr>
            <w:tcW w:w="1477"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E0AC12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auto" w:sz="4" w:space="0"/>
              <w:left w:val="single" w:color="auto" w:sz="4" w:space="0"/>
              <w:bottom w:val="nil"/>
              <w:right w:val="single" w:color="000000" w:sz="4" w:space="0"/>
            </w:tcBorders>
            <w:shd w:val="clear" w:color="auto" w:fill="auto"/>
            <w:vAlign w:val="center"/>
          </w:tcPr>
          <w:p w14:paraId="45C9951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auto" w:sz="4" w:space="0"/>
              <w:left w:val="single" w:color="000000" w:sz="4" w:space="0"/>
              <w:bottom w:val="nil"/>
              <w:right w:val="single" w:color="000000" w:sz="4" w:space="0"/>
            </w:tcBorders>
            <w:shd w:val="clear" w:color="auto" w:fill="auto"/>
            <w:vAlign w:val="center"/>
          </w:tcPr>
          <w:p w14:paraId="5B6AE7A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项目调整</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958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813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部门预算项目是否采取对应调整措施</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CB75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2B7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5DA6D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jc w:val="center"/>
        </w:trPr>
        <w:tc>
          <w:tcPr>
            <w:tcW w:w="1477"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6B24788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auto" w:sz="4" w:space="0"/>
              <w:bottom w:val="nil"/>
              <w:right w:val="single" w:color="000000" w:sz="4" w:space="0"/>
            </w:tcBorders>
            <w:shd w:val="clear" w:color="auto" w:fill="auto"/>
            <w:vAlign w:val="center"/>
          </w:tcPr>
          <w:p w14:paraId="161B028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DBF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执行结果</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94F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42C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部门预算项目预算执行情况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5B6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CC0C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3898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08A9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2DCF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目标实现</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（11分）</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069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目标完成</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82A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5D3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部门预算项目绩效目标数量指标完成情况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A1F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AD14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58E3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50C8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CACE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107A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目标偏离</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7F7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7C1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部门预算项目绩效目标数量指标实现程度与预期目标的偏离情况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7AA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8B28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1A36D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exact"/>
          <w:jc w:val="center"/>
        </w:trPr>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E286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8C45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2"/>
                <w:szCs w:val="24"/>
                <w:u w:val="none"/>
              </w:rPr>
            </w:pP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30D7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实现效果</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2A1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B46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部门预算项目绩效目标效益指标实施效果</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F17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color w:val="000000"/>
                <w:kern w:val="0"/>
                <w:sz w:val="22"/>
                <w:szCs w:val="20"/>
                <w:u w:val="none"/>
                <w:lang w:val="en-US" w:eastAsia="zh-CN" w:bidi="ar"/>
              </w:rPr>
            </w:pPr>
            <w:r>
              <w:rPr>
                <w:rFonts w:hint="eastAsia" w:ascii="宋体" w:hAnsi="宋体" w:eastAsia="宋体" w:cs="宋体"/>
                <w:i w:val="0"/>
                <w:color w:val="000000"/>
                <w:kern w:val="0"/>
                <w:sz w:val="22"/>
                <w:szCs w:val="20"/>
                <w:u w:val="none"/>
                <w:lang w:val="en-US" w:eastAsia="zh-CN" w:bidi="ar"/>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475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0"/>
                <w:u w:val="none"/>
                <w:lang w:val="en-US" w:eastAsia="zh-CN" w:bidi="ar"/>
              </w:rPr>
            </w:pPr>
          </w:p>
        </w:tc>
      </w:tr>
      <w:tr w14:paraId="01FBC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3" w:hRule="atLeast"/>
          <w:jc w:val="center"/>
        </w:trPr>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735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2"/>
                <w:szCs w:val="24"/>
                <w:u w:val="none"/>
              </w:rPr>
            </w:pPr>
            <w:r>
              <w:rPr>
                <w:rFonts w:hint="eastAsia" w:ascii="宋体" w:hAnsi="宋体" w:eastAsia="宋体" w:cs="宋体"/>
                <w:b/>
                <w:i w:val="0"/>
                <w:color w:val="000000"/>
                <w:kern w:val="0"/>
                <w:sz w:val="22"/>
                <w:szCs w:val="24"/>
                <w:u w:val="none"/>
                <w:lang w:val="en-US" w:eastAsia="zh-CN" w:bidi="ar"/>
              </w:rPr>
              <w:t>扣分项</w:t>
            </w:r>
            <w:r>
              <w:rPr>
                <w:rFonts w:hint="eastAsia" w:ascii="宋体" w:hAnsi="宋体" w:eastAsia="宋体" w:cs="宋体"/>
                <w:b/>
                <w:i w:val="0"/>
                <w:color w:val="000000"/>
                <w:kern w:val="0"/>
                <w:sz w:val="22"/>
                <w:szCs w:val="24"/>
                <w:u w:val="none"/>
                <w:lang w:val="en-US" w:eastAsia="zh-CN" w:bidi="ar"/>
              </w:rPr>
              <w:br w:type="textWrapping"/>
            </w:r>
            <w:r>
              <w:rPr>
                <w:rFonts w:hint="eastAsia" w:ascii="宋体" w:hAnsi="宋体" w:eastAsia="宋体" w:cs="宋体"/>
                <w:b/>
                <w:i w:val="0"/>
                <w:color w:val="000000"/>
                <w:kern w:val="0"/>
                <w:sz w:val="22"/>
                <w:szCs w:val="24"/>
                <w:u w:val="none"/>
                <w:lang w:val="en-US" w:eastAsia="zh-CN" w:bidi="ar"/>
              </w:rPr>
              <w:t>（10分）</w:t>
            </w:r>
          </w:p>
        </w:tc>
        <w:tc>
          <w:tcPr>
            <w:tcW w:w="3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6E56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被评价部门配合度</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8C4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AC7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被评价对象工作配合情况</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D9A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kern w:val="0"/>
                <w:sz w:val="22"/>
                <w:szCs w:val="24"/>
                <w:u w:val="none"/>
                <w:lang w:val="en-US" w:eastAsia="zh-CN" w:bidi="ar"/>
              </w:rPr>
            </w:pP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653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2"/>
                <w:szCs w:val="24"/>
                <w:u w:val="none"/>
                <w:lang w:val="en-US" w:eastAsia="zh-CN" w:bidi="ar"/>
              </w:rPr>
            </w:pPr>
          </w:p>
        </w:tc>
      </w:tr>
    </w:tbl>
    <w:p w14:paraId="379B12FF">
      <w:pPr>
        <w:pStyle w:val="18"/>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14:paraId="39E9E203">
      <w:pPr>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br w:type="page"/>
      </w:r>
    </w:p>
    <w:p w14:paraId="11B93B19">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p w14:paraId="2D40B602">
      <w:pPr>
        <w:pStyle w:val="2"/>
        <w:rPr>
          <w:rFonts w:hint="default"/>
          <w:lang w:val="en-US" w:eastAsia="zh-CN"/>
        </w:rPr>
      </w:pPr>
    </w:p>
    <w:tbl>
      <w:tblPr>
        <w:tblStyle w:val="15"/>
        <w:tblW w:w="107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26"/>
        <w:gridCol w:w="1364"/>
        <w:gridCol w:w="1291"/>
        <w:gridCol w:w="1114"/>
        <w:gridCol w:w="1159"/>
        <w:gridCol w:w="1307"/>
        <w:gridCol w:w="1072"/>
        <w:gridCol w:w="938"/>
        <w:gridCol w:w="1129"/>
      </w:tblGrid>
      <w:tr w14:paraId="7387F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jc w:val="center"/>
        </w:trPr>
        <w:tc>
          <w:tcPr>
            <w:tcW w:w="10700" w:type="dxa"/>
            <w:gridSpan w:val="9"/>
            <w:shd w:val="clear" w:color="auto" w:fill="auto"/>
            <w:vAlign w:val="center"/>
          </w:tcPr>
          <w:p w14:paraId="512C97F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部门整体绩效目标完成情况自评表</w:t>
            </w:r>
          </w:p>
        </w:tc>
      </w:tr>
      <w:tr w14:paraId="4AC10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5" w:hRule="atLeast"/>
          <w:jc w:val="center"/>
        </w:trPr>
        <w:tc>
          <w:tcPr>
            <w:tcW w:w="10700" w:type="dxa"/>
            <w:gridSpan w:val="9"/>
            <w:shd w:val="clear" w:color="auto" w:fill="auto"/>
            <w:vAlign w:val="center"/>
          </w:tcPr>
          <w:p w14:paraId="083048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4E350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80" w:hRule="atLeast"/>
          <w:jc w:val="center"/>
        </w:trPr>
        <w:tc>
          <w:tcPr>
            <w:tcW w:w="10700" w:type="dxa"/>
            <w:gridSpan w:val="9"/>
            <w:tcBorders>
              <w:bottom w:val="single" w:color="000000" w:sz="4" w:space="0"/>
            </w:tcBorders>
            <w:shd w:val="clear" w:color="auto" w:fill="auto"/>
            <w:vAlign w:val="center"/>
          </w:tcPr>
          <w:p w14:paraId="70FA242D">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0B70C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5" w:hRule="atLeast"/>
          <w:jc w:val="center"/>
        </w:trPr>
        <w:tc>
          <w:tcPr>
            <w:tcW w:w="3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71D5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部门名称</w:t>
            </w:r>
          </w:p>
        </w:tc>
        <w:tc>
          <w:tcPr>
            <w:tcW w:w="6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88DC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kern w:val="0"/>
                <w:sz w:val="18"/>
                <w:szCs w:val="18"/>
              </w:rPr>
              <w:t>阿坝州疾病预防控制中心</w:t>
            </w:r>
          </w:p>
        </w:tc>
      </w:tr>
      <w:tr w14:paraId="4ADAF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D2B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年度部门整体支出预算</w:t>
            </w:r>
          </w:p>
        </w:tc>
        <w:tc>
          <w:tcPr>
            <w:tcW w:w="26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24B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资金总额</w:t>
            </w:r>
          </w:p>
        </w:tc>
        <w:tc>
          <w:tcPr>
            <w:tcW w:w="2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C18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财政拨款</w:t>
            </w:r>
          </w:p>
        </w:tc>
        <w:tc>
          <w:tcPr>
            <w:tcW w:w="44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F345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其他资金</w:t>
            </w:r>
          </w:p>
        </w:tc>
      </w:tr>
      <w:tr w14:paraId="78D72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2016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26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0C5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4355.69</w:t>
            </w:r>
          </w:p>
        </w:tc>
        <w:tc>
          <w:tcPr>
            <w:tcW w:w="2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53D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4351.09</w:t>
            </w:r>
          </w:p>
        </w:tc>
        <w:tc>
          <w:tcPr>
            <w:tcW w:w="44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480F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4.6</w:t>
            </w:r>
          </w:p>
        </w:tc>
      </w:tr>
      <w:tr w14:paraId="02144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67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年度总体</w:t>
            </w:r>
          </w:p>
          <w:p w14:paraId="298D93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w:t>
            </w:r>
          </w:p>
        </w:tc>
        <w:tc>
          <w:tcPr>
            <w:tcW w:w="937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AF632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kern w:val="0"/>
                <w:sz w:val="18"/>
                <w:szCs w:val="18"/>
              </w:rPr>
              <w:t>完成辖区内的疾病预防控制工作</w:t>
            </w:r>
          </w:p>
        </w:tc>
      </w:tr>
      <w:tr w14:paraId="67912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5" w:hRule="atLeast"/>
          <w:jc w:val="center"/>
        </w:trPr>
        <w:tc>
          <w:tcPr>
            <w:tcW w:w="1326" w:type="dxa"/>
            <w:vMerge w:val="restart"/>
            <w:tcBorders>
              <w:top w:val="single" w:color="000000" w:sz="4" w:space="0"/>
              <w:left w:val="single" w:color="000000" w:sz="4" w:space="0"/>
              <w:right w:val="single" w:color="000000" w:sz="4" w:space="0"/>
            </w:tcBorders>
            <w:shd w:val="clear" w:color="auto" w:fill="auto"/>
            <w:vAlign w:val="center"/>
          </w:tcPr>
          <w:p w14:paraId="2461A6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年度主要</w:t>
            </w:r>
          </w:p>
          <w:p w14:paraId="309ACF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任务</w:t>
            </w:r>
          </w:p>
        </w:tc>
        <w:tc>
          <w:tcPr>
            <w:tcW w:w="26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4B3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任务名称</w:t>
            </w:r>
          </w:p>
        </w:tc>
        <w:tc>
          <w:tcPr>
            <w:tcW w:w="6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EE5A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主要内容</w:t>
            </w:r>
          </w:p>
        </w:tc>
      </w:tr>
      <w:tr w14:paraId="2642D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1" w:hRule="atLeast"/>
          <w:jc w:val="center"/>
        </w:trPr>
        <w:tc>
          <w:tcPr>
            <w:tcW w:w="1326" w:type="dxa"/>
            <w:vMerge w:val="continue"/>
            <w:tcBorders>
              <w:left w:val="single" w:color="000000" w:sz="4" w:space="0"/>
              <w:right w:val="single" w:color="000000" w:sz="4" w:space="0"/>
            </w:tcBorders>
            <w:shd w:val="clear" w:color="auto" w:fill="auto"/>
            <w:vAlign w:val="center"/>
          </w:tcPr>
          <w:p w14:paraId="3B63C77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26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FD16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疾病预防控制，传染病防治监督</w:t>
            </w:r>
          </w:p>
        </w:tc>
        <w:tc>
          <w:tcPr>
            <w:tcW w:w="6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767F5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color w:val="auto"/>
                <w:sz w:val="18"/>
                <w:szCs w:val="18"/>
              </w:rPr>
              <w:t>开展流感、禽流感、登革热、疟疾、寄生虫病等各类重大疾病及健康因素和干预工作。</w:t>
            </w:r>
          </w:p>
        </w:tc>
      </w:tr>
      <w:tr w14:paraId="585BC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26" w:type="dxa"/>
            <w:vMerge w:val="continue"/>
            <w:tcBorders>
              <w:left w:val="single" w:color="000000" w:sz="4" w:space="0"/>
              <w:right w:val="single" w:color="000000" w:sz="4" w:space="0"/>
            </w:tcBorders>
            <w:shd w:val="clear" w:color="auto" w:fill="auto"/>
            <w:vAlign w:val="center"/>
          </w:tcPr>
          <w:p w14:paraId="29E38A6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26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D79FD">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做好辖区内的公共卫生的监督管理，健全卫生健康综合监督体系。</w:t>
            </w:r>
          </w:p>
        </w:tc>
        <w:tc>
          <w:tcPr>
            <w:tcW w:w="6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1864D3">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做好辖区内的食品安全风险监测、职业卫生、放射卫生、环境卫生、学校卫生、公共场所卫生、饮用水卫生等公共卫生的监督管理，传染病防治监督，健全卫生健康综合监督体系。</w:t>
            </w:r>
          </w:p>
        </w:tc>
      </w:tr>
      <w:tr w14:paraId="3B3DB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26" w:type="dxa"/>
            <w:vMerge w:val="continue"/>
            <w:tcBorders>
              <w:left w:val="single" w:color="000000" w:sz="4" w:space="0"/>
              <w:bottom w:val="single" w:color="000000" w:sz="4" w:space="0"/>
              <w:right w:val="single" w:color="000000" w:sz="4" w:space="0"/>
            </w:tcBorders>
            <w:shd w:val="clear" w:color="auto" w:fill="auto"/>
            <w:vAlign w:val="center"/>
          </w:tcPr>
          <w:p w14:paraId="56A73CB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26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10DEA">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推进卫生健康基本公共服务均等化、普惠化、便捷化、和公共资源向基层延伸。</w:t>
            </w:r>
          </w:p>
        </w:tc>
        <w:tc>
          <w:tcPr>
            <w:tcW w:w="6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DA07DC">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对辖区内的基本公共卫生服务项目进行指导，有效开展技能培训、工作督导和绩效评价等项目管理工作，提升基本公共卫生服务水平。</w:t>
            </w:r>
          </w:p>
        </w:tc>
      </w:tr>
      <w:tr w14:paraId="73A30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5" w:hRule="atLeast"/>
          <w:jc w:val="center"/>
        </w:trPr>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33B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年度绩效</w:t>
            </w:r>
          </w:p>
          <w:p w14:paraId="72C459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30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961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54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91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绩效指标</w:t>
            </w:r>
          </w:p>
          <w:p w14:paraId="1BA7E1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性质</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EE8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绩效指标值</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A0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绩效度量单位</w:t>
            </w:r>
          </w:p>
        </w:tc>
        <w:tc>
          <w:tcPr>
            <w:tcW w:w="938" w:type="dxa"/>
            <w:tcBorders>
              <w:top w:val="single" w:color="000000" w:sz="4" w:space="0"/>
              <w:left w:val="single" w:color="000000" w:sz="4" w:space="0"/>
              <w:bottom w:val="single" w:color="000000" w:sz="4" w:space="0"/>
            </w:tcBorders>
            <w:shd w:val="clear" w:color="auto" w:fill="auto"/>
            <w:vAlign w:val="center"/>
          </w:tcPr>
          <w:p w14:paraId="2AF598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权重</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C4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实际完成</w:t>
            </w:r>
          </w:p>
          <w:p w14:paraId="041753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r>
      <w:tr w14:paraId="5606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F2F87">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583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CD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83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举行业务培训班</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38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83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59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期</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97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20</w:t>
            </w:r>
          </w:p>
        </w:tc>
        <w:tc>
          <w:tcPr>
            <w:tcW w:w="1129" w:type="dxa"/>
            <w:tcBorders>
              <w:left w:val="single" w:color="000000" w:sz="4" w:space="0"/>
              <w:bottom w:val="single" w:color="000000" w:sz="4" w:space="0"/>
              <w:right w:val="single" w:color="000000" w:sz="4" w:space="0"/>
            </w:tcBorders>
            <w:shd w:val="clear" w:color="auto" w:fill="auto"/>
            <w:vAlign w:val="center"/>
          </w:tcPr>
          <w:p w14:paraId="230FF4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13期</w:t>
            </w:r>
          </w:p>
        </w:tc>
      </w:tr>
      <w:tr w14:paraId="05CC9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CD5D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ED9E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E8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8C9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项目完成时间</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17E1">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定性</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78AD">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202</w:t>
            </w:r>
            <w:r>
              <w:rPr>
                <w:rFonts w:hint="eastAsia" w:ascii="宋体" w:hAnsi="宋体" w:eastAsia="宋体" w:cs="宋体"/>
                <w:color w:val="000000"/>
                <w:sz w:val="18"/>
                <w:szCs w:val="18"/>
                <w:lang w:val="en-US" w:eastAsia="zh-CN"/>
              </w:rPr>
              <w:t>5</w:t>
            </w:r>
            <w:r>
              <w:rPr>
                <w:rFonts w:hint="eastAsia" w:ascii="宋体" w:hAnsi="宋体" w:eastAsia="宋体" w:cs="宋体"/>
                <w:color w:val="000000"/>
                <w:sz w:val="18"/>
                <w:szCs w:val="18"/>
              </w:rPr>
              <w:t>年12月底前完成</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3849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AC5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20</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D06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eastAsia="zh-CN"/>
              </w:rPr>
              <w:t>本年项目均在</w:t>
            </w:r>
            <w:r>
              <w:rPr>
                <w:rFonts w:hint="eastAsia" w:ascii="宋体" w:hAnsi="宋体" w:eastAsia="宋体" w:cs="宋体"/>
                <w:i w:val="0"/>
                <w:color w:val="000000"/>
                <w:sz w:val="18"/>
                <w:szCs w:val="18"/>
                <w:u w:val="none"/>
                <w:lang w:val="en-US" w:eastAsia="zh-CN"/>
              </w:rPr>
              <w:t>2025年12月前完成</w:t>
            </w:r>
          </w:p>
        </w:tc>
      </w:tr>
      <w:tr w14:paraId="38561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9E31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9484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1291" w:type="dxa"/>
            <w:vMerge w:val="restart"/>
            <w:tcBorders>
              <w:top w:val="single" w:color="000000" w:sz="4" w:space="0"/>
              <w:left w:val="single" w:color="000000" w:sz="4" w:space="0"/>
              <w:right w:val="single" w:color="000000" w:sz="4" w:space="0"/>
            </w:tcBorders>
            <w:shd w:val="clear" w:color="auto" w:fill="auto"/>
            <w:vAlign w:val="center"/>
          </w:tcPr>
          <w:p w14:paraId="41BF58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w:t>
            </w:r>
          </w:p>
          <w:p w14:paraId="2C7DF7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B49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疾病预防控制能力</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68A7">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定性</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4C5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eastAsia="zh-CN"/>
              </w:rPr>
              <w:t>提高</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D480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E37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20</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571A">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lang w:val="en-US" w:eastAsia="zh-CN"/>
              </w:rPr>
            </w:pPr>
            <w:r>
              <w:rPr>
                <w:rFonts w:hint="eastAsia" w:ascii="宋体" w:hAnsi="宋体" w:eastAsia="宋体" w:cs="宋体"/>
                <w:color w:val="000000"/>
                <w:sz w:val="18"/>
                <w:szCs w:val="18"/>
              </w:rPr>
              <w:t>疾病预防控制能力</w:t>
            </w:r>
            <w:r>
              <w:rPr>
                <w:rFonts w:hint="eastAsia" w:ascii="宋体" w:hAnsi="宋体" w:eastAsia="宋体" w:cs="宋体"/>
                <w:color w:val="000000"/>
                <w:sz w:val="18"/>
                <w:szCs w:val="18"/>
                <w:lang w:eastAsia="zh-CN"/>
              </w:rPr>
              <w:t>较</w:t>
            </w:r>
            <w:r>
              <w:rPr>
                <w:rFonts w:hint="eastAsia" w:ascii="宋体" w:hAnsi="宋体" w:eastAsia="宋体" w:cs="宋体"/>
                <w:color w:val="000000"/>
                <w:sz w:val="18"/>
                <w:szCs w:val="18"/>
                <w:lang w:val="en-US" w:eastAsia="zh-CN"/>
              </w:rPr>
              <w:t>2024有所提升</w:t>
            </w:r>
          </w:p>
        </w:tc>
      </w:tr>
      <w:tr w14:paraId="596CA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50" w:hRule="atLeast"/>
          <w:jc w:val="center"/>
        </w:trPr>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B39C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37E1">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1291" w:type="dxa"/>
            <w:vMerge w:val="continue"/>
            <w:tcBorders>
              <w:top w:val="single" w:color="000000" w:sz="4" w:space="0"/>
              <w:left w:val="single" w:color="000000" w:sz="4" w:space="0"/>
              <w:right w:val="single" w:color="000000" w:sz="4" w:space="0"/>
            </w:tcBorders>
            <w:shd w:val="clear" w:color="auto" w:fill="auto"/>
            <w:vAlign w:val="center"/>
          </w:tcPr>
          <w:p w14:paraId="6125091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405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color w:val="000000"/>
                <w:sz w:val="18"/>
                <w:szCs w:val="18"/>
              </w:rPr>
              <w:t>提升检验检测能力</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CDC8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color w:val="000000"/>
                <w:sz w:val="18"/>
                <w:szCs w:val="18"/>
              </w:rPr>
              <w:t>定性</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786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color w:val="000000"/>
                <w:sz w:val="18"/>
                <w:szCs w:val="18"/>
              </w:rPr>
              <w:t>较202</w:t>
            </w:r>
            <w:r>
              <w:rPr>
                <w:rFonts w:hint="eastAsia" w:ascii="宋体" w:hAnsi="宋体" w:eastAsia="宋体" w:cs="宋体"/>
                <w:color w:val="000000"/>
                <w:sz w:val="18"/>
                <w:szCs w:val="18"/>
                <w:lang w:val="en-US" w:eastAsia="zh-CN"/>
              </w:rPr>
              <w:t>4</w:t>
            </w:r>
            <w:r>
              <w:rPr>
                <w:rFonts w:hint="eastAsia" w:ascii="宋体" w:hAnsi="宋体" w:eastAsia="宋体" w:cs="宋体"/>
                <w:color w:val="000000"/>
                <w:sz w:val="18"/>
                <w:szCs w:val="18"/>
              </w:rPr>
              <w:t>年度有一定的提升</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862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kern w:val="2"/>
                <w:sz w:val="18"/>
                <w:szCs w:val="18"/>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182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sz w:val="18"/>
                <w:szCs w:val="18"/>
                <w:u w:val="none"/>
                <w:lang w:val="en-US" w:eastAsia="zh-CN"/>
              </w:rPr>
              <w:t>20</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2A4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r>
              <w:rPr>
                <w:rFonts w:hint="eastAsia" w:ascii="宋体" w:hAnsi="宋体" w:eastAsia="宋体" w:cs="宋体"/>
                <w:color w:val="000000"/>
                <w:sz w:val="18"/>
                <w:szCs w:val="18"/>
              </w:rPr>
              <w:t>检验检测能力较202</w:t>
            </w:r>
            <w:r>
              <w:rPr>
                <w:rFonts w:hint="eastAsia" w:ascii="宋体" w:hAnsi="宋体" w:eastAsia="宋体" w:cs="宋体"/>
                <w:color w:val="000000"/>
                <w:sz w:val="18"/>
                <w:szCs w:val="18"/>
                <w:lang w:val="en-US" w:eastAsia="zh-CN"/>
              </w:rPr>
              <w:t>4</w:t>
            </w:r>
            <w:r>
              <w:rPr>
                <w:rFonts w:hint="eastAsia" w:ascii="宋体" w:hAnsi="宋体" w:eastAsia="宋体" w:cs="宋体"/>
                <w:color w:val="000000"/>
                <w:sz w:val="18"/>
                <w:szCs w:val="18"/>
              </w:rPr>
              <w:t>年度有一定的提升</w:t>
            </w:r>
          </w:p>
        </w:tc>
      </w:tr>
      <w:tr w14:paraId="341D4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30" w:hRule="atLeast"/>
          <w:jc w:val="center"/>
        </w:trPr>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73917">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3E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满意度指标</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19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满意度指标</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3ADD">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color w:val="000000"/>
                <w:sz w:val="18"/>
                <w:szCs w:val="18"/>
              </w:rPr>
              <w:t>培训对象满意度</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AE9D">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color w:val="000000"/>
                <w:sz w:val="18"/>
                <w:szCs w:val="18"/>
              </w:rPr>
              <w:t>≥</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AA4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sz w:val="18"/>
                <w:szCs w:val="18"/>
                <w:u w:val="none"/>
                <w:lang w:val="en-US" w:eastAsia="zh-CN"/>
              </w:rPr>
              <w:t>90</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A06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color w:val="00000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BA8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sz w:val="18"/>
                <w:szCs w:val="18"/>
                <w:u w:val="none"/>
                <w:lang w:val="en-US" w:eastAsia="zh-CN"/>
              </w:rPr>
              <w:t>10</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D33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eastAsia="zh-CN"/>
              </w:rPr>
              <w:t>大于</w:t>
            </w:r>
            <w:r>
              <w:rPr>
                <w:rFonts w:hint="eastAsia" w:ascii="宋体" w:hAnsi="宋体" w:eastAsia="宋体" w:cs="宋体"/>
                <w:i w:val="0"/>
                <w:color w:val="000000"/>
                <w:sz w:val="18"/>
                <w:szCs w:val="18"/>
                <w:u w:val="none"/>
                <w:lang w:val="en-US" w:eastAsia="zh-CN"/>
              </w:rPr>
              <w:t>90%</w:t>
            </w:r>
          </w:p>
        </w:tc>
      </w:tr>
    </w:tbl>
    <w:tbl>
      <w:tblPr>
        <w:tblStyle w:val="15"/>
        <w:tblpPr w:leftFromText="180" w:rightFromText="180" w:vertAnchor="text" w:horzAnchor="page" w:tblpX="1216" w:tblpY="482"/>
        <w:tblOverlap w:val="never"/>
        <w:tblW w:w="100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7"/>
        <w:gridCol w:w="892"/>
        <w:gridCol w:w="889"/>
        <w:gridCol w:w="1118"/>
        <w:gridCol w:w="653"/>
        <w:gridCol w:w="894"/>
        <w:gridCol w:w="892"/>
        <w:gridCol w:w="947"/>
        <w:gridCol w:w="885"/>
        <w:gridCol w:w="739"/>
        <w:gridCol w:w="1083"/>
      </w:tblGrid>
      <w:tr w14:paraId="5355A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10069"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F52C88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BE5E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9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F75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AF60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51320025T000012814177-三乙机构能力维持专项</w:t>
            </w:r>
          </w:p>
        </w:tc>
      </w:tr>
      <w:tr w14:paraId="59B8C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trPr>
        <w:tc>
          <w:tcPr>
            <w:tcW w:w="19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62F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4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5FC8F8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州卫生健康委部门</w:t>
            </w:r>
          </w:p>
        </w:tc>
        <w:tc>
          <w:tcPr>
            <w:tcW w:w="947" w:type="dxa"/>
            <w:tcBorders>
              <w:top w:val="nil"/>
              <w:left w:val="nil"/>
              <w:bottom w:val="nil"/>
              <w:right w:val="nil"/>
            </w:tcBorders>
            <w:shd w:val="clear" w:color="auto" w:fill="FFFFFF"/>
            <w:vAlign w:val="center"/>
          </w:tcPr>
          <w:p w14:paraId="345A019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0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DDBD6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州疾控中心</w:t>
            </w:r>
          </w:p>
        </w:tc>
      </w:tr>
      <w:tr w14:paraId="6BF08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0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3EA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C35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8CCAFD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项目年度目标</w:t>
            </w:r>
          </w:p>
        </w:tc>
        <w:tc>
          <w:tcPr>
            <w:tcW w:w="365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A60762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3518F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5" w:hRule="atLeas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CECC2">
            <w:pPr>
              <w:jc w:val="center"/>
              <w:rPr>
                <w:rFonts w:hint="eastAsia" w:ascii="宋体" w:hAnsi="宋体" w:eastAsia="宋体" w:cs="宋体"/>
                <w:i w:val="0"/>
                <w:iCs w:val="0"/>
                <w:color w:val="000000"/>
                <w:sz w:val="18"/>
                <w:szCs w:val="18"/>
                <w:u w:val="none"/>
              </w:rPr>
            </w:pP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4ECE8">
            <w:pPr>
              <w:jc w:val="center"/>
              <w:rPr>
                <w:rFonts w:hint="eastAsia" w:ascii="宋体" w:hAnsi="宋体" w:eastAsia="宋体" w:cs="宋体"/>
                <w:i w:val="0"/>
                <w:iCs w:val="0"/>
                <w:color w:val="000000"/>
                <w:sz w:val="18"/>
                <w:szCs w:val="18"/>
                <w:u w:val="none"/>
              </w:rPr>
            </w:pPr>
          </w:p>
        </w:tc>
        <w:tc>
          <w:tcPr>
            <w:tcW w:w="44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A4525C5">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仪器设备需检定/校准、维修/维护费、查新标准、购买标准、送检；质量管理体系参加培训、送检。三级乙等疾控疾控机构能力维持专项经费；提升疾病预防控制能力，保障公共卫生安全。</w:t>
            </w:r>
          </w:p>
        </w:tc>
        <w:tc>
          <w:tcPr>
            <w:tcW w:w="365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04F89C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已完成</w:t>
            </w:r>
            <w:r>
              <w:rPr>
                <w:rFonts w:ascii="宋体" w:hAnsi="宋体" w:eastAsia="宋体" w:cs="宋体"/>
                <w:i w:val="0"/>
                <w:iCs w:val="0"/>
                <w:color w:val="000000"/>
                <w:kern w:val="0"/>
                <w:sz w:val="18"/>
                <w:szCs w:val="18"/>
                <w:u w:val="none"/>
                <w:lang w:val="en-US" w:eastAsia="zh-CN" w:bidi="ar"/>
              </w:rPr>
              <w:t>仪器设备需检定/校准、维修/维护费、查新标准、购买标准、送检；质量管理体系参加培训、送检。三级乙等疾控疾控机构能力维持专项经费；提升疾病预防控制能力，保障公共卫生安全。</w:t>
            </w:r>
          </w:p>
        </w:tc>
      </w:tr>
      <w:tr w14:paraId="6D9E8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5" w:hRule="atLeas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D6370A">
            <w:pPr>
              <w:jc w:val="left"/>
              <w:rPr>
                <w:rFonts w:hint="eastAsia" w:ascii="宋体" w:hAnsi="宋体" w:eastAsia="宋体" w:cs="宋体"/>
                <w:i w:val="0"/>
                <w:iCs w:val="0"/>
                <w:color w:val="000000"/>
                <w:sz w:val="18"/>
                <w:szCs w:val="18"/>
                <w:u w:val="none"/>
              </w:rPr>
            </w:pP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5EE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874B7F9">
            <w:pPr>
              <w:rPr>
                <w:rFonts w:hint="eastAsia" w:ascii="宋体" w:hAnsi="宋体" w:eastAsia="宋体" w:cs="宋体"/>
                <w:i w:val="0"/>
                <w:iCs w:val="0"/>
                <w:color w:val="000000"/>
                <w:sz w:val="18"/>
                <w:szCs w:val="18"/>
                <w:u w:val="none"/>
              </w:rPr>
            </w:pPr>
          </w:p>
        </w:tc>
      </w:tr>
      <w:tr w14:paraId="2F5D9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10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AC33B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预算执行情况（10分）</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4558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年度预算数（万元）</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4CC1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年初预算</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E1A1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调整后预算数</w:t>
            </w:r>
          </w:p>
        </w:tc>
        <w:tc>
          <w:tcPr>
            <w:tcW w:w="24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0D135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4111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DD63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C03B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5F7C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原因</w:t>
            </w:r>
          </w:p>
        </w:tc>
      </w:tr>
      <w:tr w14:paraId="2DEE7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F33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3B8D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总额</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EAD4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60.00</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0A43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57.81</w:t>
            </w:r>
          </w:p>
        </w:tc>
        <w:tc>
          <w:tcPr>
            <w:tcW w:w="24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976A4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57.81</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FB6E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1BC5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E03E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w:t>
            </w:r>
          </w:p>
        </w:tc>
        <w:tc>
          <w:tcPr>
            <w:tcW w:w="10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F5381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1E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8A65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2EEC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5CD0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60.00</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E068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57.81</w:t>
            </w:r>
          </w:p>
        </w:tc>
        <w:tc>
          <w:tcPr>
            <w:tcW w:w="24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28B3D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57.81</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657B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8B27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F5EF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6D1DF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64DBA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503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081B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CEB7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936B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24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877EA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A3D9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1343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24B2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39D0E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4936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46DF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6680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8942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17E2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24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7E166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C85F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8C68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074B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B4C12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611F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08AD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0E5A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8DF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78D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4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7765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008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F3A9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F624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6811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1472E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10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DAC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64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72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1A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1C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9F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DB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0C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BA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1A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70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214C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B9264">
            <w:pPr>
              <w:jc w:val="center"/>
              <w:rPr>
                <w:rFonts w:hint="eastAsia" w:ascii="宋体" w:hAnsi="宋体" w:eastAsia="宋体" w:cs="宋体"/>
                <w:i w:val="0"/>
                <w:iCs w:val="0"/>
                <w:color w:val="000000"/>
                <w:sz w:val="18"/>
                <w:szCs w:val="18"/>
                <w:u w:val="none"/>
              </w:rPr>
            </w:pP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73F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06A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C4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购买标准试剂耗材数量</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71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99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07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种</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46D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48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40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8E34E">
            <w:pPr>
              <w:jc w:val="center"/>
              <w:rPr>
                <w:rFonts w:hint="eastAsia" w:ascii="宋体" w:hAnsi="宋体" w:eastAsia="宋体" w:cs="宋体"/>
                <w:i w:val="0"/>
                <w:iCs w:val="0"/>
                <w:color w:val="000000"/>
                <w:sz w:val="18"/>
                <w:szCs w:val="18"/>
                <w:u w:val="none"/>
              </w:rPr>
            </w:pPr>
          </w:p>
        </w:tc>
      </w:tr>
      <w:tr w14:paraId="1F235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4CA70">
            <w:pPr>
              <w:jc w:val="center"/>
              <w:rPr>
                <w:rFonts w:hint="eastAsia" w:ascii="宋体" w:hAnsi="宋体" w:eastAsia="宋体" w:cs="宋体"/>
                <w:i w:val="0"/>
                <w:iCs w:val="0"/>
                <w:color w:val="000000"/>
                <w:sz w:val="18"/>
                <w:szCs w:val="18"/>
                <w:u w:val="none"/>
              </w:rPr>
            </w:pP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A29F3">
            <w:pPr>
              <w:jc w:val="center"/>
              <w:rPr>
                <w:rFonts w:hint="eastAsia" w:ascii="宋体" w:hAnsi="宋体" w:eastAsia="宋体" w:cs="宋体"/>
                <w:i w:val="0"/>
                <w:iCs w:val="0"/>
                <w:color w:val="000000"/>
                <w:sz w:val="18"/>
                <w:szCs w:val="18"/>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83FA6D">
            <w:pPr>
              <w:jc w:val="center"/>
              <w:rPr>
                <w:rFonts w:hint="eastAsia" w:ascii="宋体" w:hAnsi="宋体" w:eastAsia="宋体" w:cs="宋体"/>
                <w:i w:val="0"/>
                <w:iCs w:val="0"/>
                <w:color w:val="000000"/>
                <w:sz w:val="18"/>
                <w:szCs w:val="18"/>
                <w:u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B8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仪器设备维修维护及检定校准台数</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64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14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AC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8F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332</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4D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A9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8E496">
            <w:pPr>
              <w:jc w:val="center"/>
              <w:rPr>
                <w:rFonts w:hint="eastAsia" w:ascii="宋体" w:hAnsi="宋体" w:eastAsia="宋体" w:cs="宋体"/>
                <w:i w:val="0"/>
                <w:iCs w:val="0"/>
                <w:color w:val="000000"/>
                <w:sz w:val="18"/>
                <w:szCs w:val="18"/>
                <w:u w:val="none"/>
              </w:rPr>
            </w:pPr>
          </w:p>
        </w:tc>
      </w:tr>
      <w:tr w14:paraId="43859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BA7F58">
            <w:pPr>
              <w:jc w:val="center"/>
              <w:rPr>
                <w:rFonts w:hint="eastAsia" w:ascii="宋体" w:hAnsi="宋体" w:eastAsia="宋体" w:cs="宋体"/>
                <w:i w:val="0"/>
                <w:iCs w:val="0"/>
                <w:color w:val="000000"/>
                <w:sz w:val="18"/>
                <w:szCs w:val="18"/>
                <w:u w:val="none"/>
              </w:rPr>
            </w:pP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E2E6AA">
            <w:pPr>
              <w:jc w:val="center"/>
              <w:rPr>
                <w:rFonts w:hint="eastAsia" w:ascii="宋体" w:hAnsi="宋体" w:eastAsia="宋体" w:cs="宋体"/>
                <w:i w:val="0"/>
                <w:iCs w:val="0"/>
                <w:color w:val="000000"/>
                <w:sz w:val="18"/>
                <w:szCs w:val="18"/>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32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2F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开展检验检测机构资质认定工作完成率</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A7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83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3B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04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B6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A3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FE17D">
            <w:pPr>
              <w:jc w:val="center"/>
              <w:rPr>
                <w:rFonts w:hint="eastAsia" w:ascii="宋体" w:hAnsi="宋体" w:eastAsia="宋体" w:cs="宋体"/>
                <w:i w:val="0"/>
                <w:iCs w:val="0"/>
                <w:color w:val="000000"/>
                <w:sz w:val="18"/>
                <w:szCs w:val="18"/>
                <w:u w:val="none"/>
              </w:rPr>
            </w:pPr>
          </w:p>
        </w:tc>
      </w:tr>
      <w:tr w14:paraId="5B338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17AED">
            <w:pPr>
              <w:jc w:val="center"/>
              <w:rPr>
                <w:rFonts w:hint="eastAsia" w:ascii="宋体" w:hAnsi="宋体" w:eastAsia="宋体" w:cs="宋体"/>
                <w:i w:val="0"/>
                <w:iCs w:val="0"/>
                <w:color w:val="000000"/>
                <w:sz w:val="18"/>
                <w:szCs w:val="18"/>
                <w:u w:val="none"/>
              </w:rPr>
            </w:pP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7D315B">
            <w:pPr>
              <w:jc w:val="center"/>
              <w:rPr>
                <w:rFonts w:hint="eastAsia" w:ascii="宋体" w:hAnsi="宋体" w:eastAsia="宋体" w:cs="宋体"/>
                <w:i w:val="0"/>
                <w:iCs w:val="0"/>
                <w:color w:val="000000"/>
                <w:sz w:val="18"/>
                <w:szCs w:val="18"/>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B2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1A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66B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4F7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  完成</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359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1BA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D5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60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3F838">
            <w:pPr>
              <w:jc w:val="center"/>
              <w:rPr>
                <w:rFonts w:hint="eastAsia" w:ascii="宋体" w:hAnsi="宋体" w:eastAsia="宋体" w:cs="宋体"/>
                <w:i w:val="0"/>
                <w:iCs w:val="0"/>
                <w:color w:val="000000"/>
                <w:sz w:val="18"/>
                <w:szCs w:val="18"/>
                <w:u w:val="none"/>
              </w:rPr>
            </w:pPr>
          </w:p>
        </w:tc>
      </w:tr>
      <w:tr w14:paraId="5D583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24357">
            <w:pPr>
              <w:jc w:val="center"/>
              <w:rPr>
                <w:rFonts w:hint="eastAsia" w:ascii="宋体" w:hAnsi="宋体" w:eastAsia="宋体" w:cs="宋体"/>
                <w:i w:val="0"/>
                <w:iCs w:val="0"/>
                <w:color w:val="000000"/>
                <w:sz w:val="18"/>
                <w:szCs w:val="18"/>
                <w:u w:val="none"/>
              </w:rPr>
            </w:pP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EA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90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A1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提升三级乙等疾控能力机构能力</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95F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2F4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较2024年有所提升</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75A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8DF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基本检验提高2%。扩展检验提高8%</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F1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B5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F2DA9">
            <w:pPr>
              <w:jc w:val="center"/>
              <w:rPr>
                <w:rFonts w:hint="eastAsia" w:ascii="宋体" w:hAnsi="宋体" w:eastAsia="宋体" w:cs="宋体"/>
                <w:i w:val="0"/>
                <w:iCs w:val="0"/>
                <w:color w:val="000000"/>
                <w:sz w:val="18"/>
                <w:szCs w:val="18"/>
                <w:u w:val="none"/>
              </w:rPr>
            </w:pPr>
          </w:p>
        </w:tc>
      </w:tr>
      <w:tr w14:paraId="67415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EFA519">
            <w:pPr>
              <w:jc w:val="center"/>
              <w:rPr>
                <w:rFonts w:hint="eastAsia" w:ascii="宋体" w:hAnsi="宋体" w:eastAsia="宋体" w:cs="宋体"/>
                <w:i w:val="0"/>
                <w:iCs w:val="0"/>
                <w:color w:val="000000"/>
                <w:sz w:val="18"/>
                <w:szCs w:val="18"/>
                <w:u w:val="none"/>
              </w:rPr>
            </w:pP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9B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3D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12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42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79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C2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4A8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E2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31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63860">
            <w:pPr>
              <w:jc w:val="center"/>
              <w:rPr>
                <w:rFonts w:hint="eastAsia" w:ascii="宋体" w:hAnsi="宋体" w:eastAsia="宋体" w:cs="宋体"/>
                <w:i w:val="0"/>
                <w:iCs w:val="0"/>
                <w:color w:val="000000"/>
                <w:sz w:val="18"/>
                <w:szCs w:val="18"/>
                <w:u w:val="none"/>
              </w:rPr>
            </w:pPr>
          </w:p>
        </w:tc>
      </w:tr>
      <w:tr w14:paraId="584D5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37DA01">
            <w:pPr>
              <w:jc w:val="center"/>
              <w:rPr>
                <w:rFonts w:hint="eastAsia" w:ascii="宋体" w:hAnsi="宋体" w:eastAsia="宋体" w:cs="宋体"/>
                <w:i w:val="0"/>
                <w:iCs w:val="0"/>
                <w:color w:val="000000"/>
                <w:sz w:val="18"/>
                <w:szCs w:val="18"/>
                <w:u w:val="none"/>
              </w:rPr>
            </w:pP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E8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01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40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三级乙等疾控机构材料及维修费</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BA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4D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400000</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DA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CEA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A7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27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3CB38">
            <w:pPr>
              <w:jc w:val="center"/>
              <w:rPr>
                <w:rFonts w:hint="eastAsia" w:ascii="宋体" w:hAnsi="宋体" w:eastAsia="宋体" w:cs="宋体"/>
                <w:i w:val="0"/>
                <w:iCs w:val="0"/>
                <w:color w:val="000000"/>
                <w:sz w:val="18"/>
                <w:szCs w:val="18"/>
                <w:u w:val="none"/>
              </w:rPr>
            </w:pPr>
          </w:p>
        </w:tc>
      </w:tr>
      <w:tr w14:paraId="1A399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736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D6F2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AA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D3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4E7B7">
            <w:pPr>
              <w:rPr>
                <w:rFonts w:hint="eastAsia" w:ascii="宋体" w:hAnsi="宋体" w:eastAsia="宋体" w:cs="宋体"/>
                <w:i w:val="0"/>
                <w:iCs w:val="0"/>
                <w:color w:val="000000"/>
                <w:sz w:val="18"/>
                <w:szCs w:val="18"/>
                <w:u w:val="none"/>
              </w:rPr>
            </w:pPr>
          </w:p>
        </w:tc>
      </w:tr>
      <w:tr w14:paraId="68D96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trPr>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58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992"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E3E46BF">
            <w:pPr>
              <w:keepNext w:val="0"/>
              <w:keepLines w:val="0"/>
              <w:widowControl/>
              <w:suppressLineNumbers w:val="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该项目资金使用符合相关规定，通过检定、校准、维护仪器保障实验室仪器性能应急物资采购，提高阿坝州疾控中心检验能力</w:t>
            </w:r>
          </w:p>
        </w:tc>
      </w:tr>
      <w:tr w14:paraId="2218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trPr>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C3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992"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23982C2">
            <w:pPr>
              <w:keepNext w:val="0"/>
              <w:keepLines w:val="0"/>
              <w:widowControl/>
              <w:suppressLineNumbers w:val="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无</w:t>
            </w:r>
          </w:p>
        </w:tc>
      </w:tr>
      <w:tr w14:paraId="736D3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8" w:hRule="atLeast"/>
        </w:trPr>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F3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992"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F3E1872">
            <w:pPr>
              <w:keepNext w:val="0"/>
              <w:keepLines w:val="0"/>
              <w:widowControl/>
              <w:suppressLineNumbers w:val="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因对疾控高质量发展及监督机构合并，中心检测设备数量增加，当前三乙维持经费不足，希望财政加大资金投入。</w:t>
            </w:r>
          </w:p>
        </w:tc>
      </w:tr>
      <w:tr w14:paraId="14F7F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62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6238836">
            <w:pPr>
              <w:keepNext w:val="0"/>
              <w:keepLines w:val="0"/>
              <w:widowControl/>
              <w:suppressLineNumbers w:val="0"/>
              <w:jc w:val="left"/>
              <w:textAlignment w:val="center"/>
              <w:rPr>
                <w:rFonts w:hint="default" w:ascii="宋体" w:hAnsi="宋体" w:eastAsia="宋体" w:cs="宋体"/>
                <w:b w:val="0"/>
                <w:bCs w:val="0"/>
                <w:i w:val="0"/>
                <w:iCs w:val="0"/>
                <w:color w:val="000000"/>
                <w:kern w:val="0"/>
                <w:sz w:val="18"/>
                <w:szCs w:val="18"/>
                <w:u w:val="none"/>
                <w:lang w:val="en-US" w:eastAsia="zh-CN" w:bidi="ar"/>
              </w:rPr>
            </w:pPr>
            <w:r>
              <w:rPr>
                <w:rFonts w:hint="default" w:ascii="宋体" w:hAnsi="宋体" w:eastAsia="宋体" w:cs="宋体"/>
                <w:b w:val="0"/>
                <w:bCs w:val="0"/>
                <w:i w:val="0"/>
                <w:iCs w:val="0"/>
                <w:color w:val="000000"/>
                <w:kern w:val="0"/>
                <w:sz w:val="18"/>
                <w:szCs w:val="18"/>
                <w:u w:val="none"/>
                <w:lang w:val="en-US" w:eastAsia="zh-CN" w:bidi="ar"/>
              </w:rPr>
              <w:t>项目负责人：洪斌</w:t>
            </w:r>
          </w:p>
        </w:tc>
        <w:tc>
          <w:tcPr>
            <w:tcW w:w="544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323765B">
            <w:pPr>
              <w:keepNext w:val="0"/>
              <w:keepLines w:val="0"/>
              <w:widowControl/>
              <w:suppressLineNumbers w:val="0"/>
              <w:jc w:val="left"/>
              <w:textAlignment w:val="center"/>
              <w:rPr>
                <w:rFonts w:hint="default" w:ascii="宋体" w:hAnsi="宋体" w:eastAsia="宋体" w:cs="宋体"/>
                <w:b w:val="0"/>
                <w:bCs w:val="0"/>
                <w:i w:val="0"/>
                <w:iCs w:val="0"/>
                <w:color w:val="000000"/>
                <w:kern w:val="0"/>
                <w:sz w:val="18"/>
                <w:szCs w:val="18"/>
                <w:u w:val="none"/>
                <w:lang w:val="en-US" w:eastAsia="zh-CN" w:bidi="ar"/>
              </w:rPr>
            </w:pPr>
            <w:r>
              <w:rPr>
                <w:rFonts w:hint="default" w:ascii="宋体" w:hAnsi="宋体" w:eastAsia="宋体" w:cs="宋体"/>
                <w:b w:val="0"/>
                <w:bCs w:val="0"/>
                <w:i w:val="0"/>
                <w:iCs w:val="0"/>
                <w:color w:val="000000"/>
                <w:kern w:val="0"/>
                <w:sz w:val="18"/>
                <w:szCs w:val="18"/>
                <w:u w:val="none"/>
                <w:lang w:val="en-US" w:eastAsia="zh-CN" w:bidi="ar"/>
              </w:rPr>
              <w:t>财务负责人：秦胜超</w:t>
            </w:r>
          </w:p>
        </w:tc>
      </w:tr>
    </w:tbl>
    <w:p w14:paraId="72B8DC43">
      <w:pPr>
        <w:rPr>
          <w:rFonts w:hint="eastAsia" w:eastAsia="黑体" w:cs="Times New Roman"/>
          <w:kern w:val="2"/>
          <w:sz w:val="32"/>
          <w:szCs w:val="24"/>
          <w:highlight w:val="none"/>
          <w:lang w:val="en-US" w:eastAsia="zh-CN" w:bidi="ar-SA"/>
        </w:rPr>
      </w:pPr>
    </w:p>
    <w:p w14:paraId="0F6DCC24">
      <w:pPr>
        <w:pStyle w:val="2"/>
        <w:rPr>
          <w:rFonts w:hint="default"/>
          <w:lang w:val="en-US" w:eastAsia="zh-CN"/>
        </w:rPr>
      </w:pPr>
    </w:p>
    <w:tbl>
      <w:tblPr>
        <w:tblStyle w:val="15"/>
        <w:tblW w:w="9735" w:type="dxa"/>
        <w:tblInd w:w="-4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95"/>
        <w:gridCol w:w="948"/>
        <w:gridCol w:w="947"/>
        <w:gridCol w:w="1046"/>
        <w:gridCol w:w="849"/>
        <w:gridCol w:w="947"/>
        <w:gridCol w:w="773"/>
        <w:gridCol w:w="761"/>
        <w:gridCol w:w="600"/>
        <w:gridCol w:w="533"/>
        <w:gridCol w:w="1136"/>
      </w:tblGrid>
      <w:tr w14:paraId="348EC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97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14E44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94CA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14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9AB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59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46CD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51320022T000004706260-传染病报告管理项目</w:t>
            </w:r>
          </w:p>
        </w:tc>
      </w:tr>
      <w:tr w14:paraId="4DC90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trPr>
        <w:tc>
          <w:tcPr>
            <w:tcW w:w="21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57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C04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761" w:type="dxa"/>
            <w:tcBorders>
              <w:top w:val="nil"/>
              <w:left w:val="nil"/>
              <w:bottom w:val="nil"/>
              <w:right w:val="nil"/>
            </w:tcBorders>
            <w:shd w:val="clear" w:color="auto" w:fill="auto"/>
            <w:vAlign w:val="center"/>
          </w:tcPr>
          <w:p w14:paraId="3118BBF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2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68419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州疾控中心</w:t>
            </w:r>
          </w:p>
        </w:tc>
      </w:tr>
      <w:tr w14:paraId="5EC35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1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A9D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9DE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93C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0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A5937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39AAF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0" w:hRule="atLeas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538C5">
            <w:pPr>
              <w:jc w:val="left"/>
              <w:rPr>
                <w:rFonts w:hint="eastAsia" w:ascii="宋体" w:hAnsi="宋体" w:eastAsia="宋体" w:cs="宋体"/>
                <w:i w:val="0"/>
                <w:iCs w:val="0"/>
                <w:color w:val="000000"/>
                <w:sz w:val="18"/>
                <w:szCs w:val="18"/>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81FB2">
            <w:pPr>
              <w:jc w:val="left"/>
              <w:rPr>
                <w:rFonts w:hint="eastAsia" w:ascii="宋体" w:hAnsi="宋体" w:eastAsia="宋体" w:cs="宋体"/>
                <w:i w:val="0"/>
                <w:iCs w:val="0"/>
                <w:color w:val="000000"/>
                <w:sz w:val="18"/>
                <w:szCs w:val="18"/>
                <w:u w:val="none"/>
              </w:rPr>
            </w:pPr>
          </w:p>
        </w:tc>
        <w:tc>
          <w:tcPr>
            <w:tcW w:w="45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1749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提高各级各类医疗卫生机构传染病诊断报告准确性。</w:t>
            </w:r>
          </w:p>
        </w:tc>
        <w:tc>
          <w:tcPr>
            <w:tcW w:w="30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52F1AD">
            <w:pPr>
              <w:keepNext w:val="0"/>
              <w:keepLines w:val="0"/>
              <w:widowControl/>
              <w:suppressLineNumbers w:val="0"/>
              <w:jc w:val="left"/>
              <w:textAlignment w:val="center"/>
              <w:rPr>
                <w:rFonts w:hint="eastAsia" w:ascii="黑体" w:hAnsi="黑体" w:eastAsia="黑体" w:cs="黑体"/>
                <w:i w:val="0"/>
                <w:iCs w:val="0"/>
                <w:color w:val="000000"/>
                <w:sz w:val="18"/>
                <w:szCs w:val="18"/>
                <w:u w:val="none"/>
                <w:lang w:eastAsia="zh-CN"/>
              </w:rPr>
            </w:pPr>
            <w:r>
              <w:rPr>
                <w:rFonts w:hint="eastAsia" w:ascii="宋体" w:hAnsi="宋体" w:cs="宋体"/>
                <w:color w:val="auto"/>
                <w:kern w:val="0"/>
                <w:sz w:val="18"/>
                <w:szCs w:val="18"/>
                <w:lang w:bidi="ar"/>
              </w:rPr>
              <w:t>通过培训、现场指导全州各级各类医疗卫生机构传染病报告质量有所提升。全州40家二级及以上医疗机构前置软件如期转正应用。</w:t>
            </w:r>
          </w:p>
        </w:tc>
      </w:tr>
      <w:tr w14:paraId="4E2F3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7" w:hRule="atLeas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207C2">
            <w:pPr>
              <w:jc w:val="left"/>
              <w:rPr>
                <w:rFonts w:hint="eastAsia" w:ascii="宋体" w:hAnsi="宋体" w:eastAsia="宋体" w:cs="宋体"/>
                <w:i w:val="0"/>
                <w:iCs w:val="0"/>
                <w:color w:val="000000"/>
                <w:sz w:val="18"/>
                <w:szCs w:val="18"/>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44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5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D97575">
            <w:pPr>
              <w:keepNext w:val="0"/>
              <w:keepLines w:val="0"/>
              <w:widowControl/>
              <w:suppressLineNumbers w:val="0"/>
              <w:ind w:firstLine="360" w:firstLineChars="20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2025年4月，在马尔康市举办了全州急性传染病防控与疾控信息工作培训班1次，全州150余人参加；9-10月，分3个组对十三县（市）进行传染病网络直报工作评估和复核，检查53家医疗机构，共抽查传染病2896例，报告 2857例，报告率 98.65%，共抽查507张传染病报告卡，及时报告率为97.04%，纸质卡片填写完整率98.22%，准确率为52.86%，纸质卡片与网络卡片录入一致率92.90%。</w:t>
            </w:r>
          </w:p>
        </w:tc>
      </w:tr>
      <w:tr w14:paraId="73243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exact"/>
        </w:trPr>
        <w:tc>
          <w:tcPr>
            <w:tcW w:w="11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3B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23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7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F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36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46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C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D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3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2CF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D9DAE">
            <w:pPr>
              <w:jc w:val="center"/>
              <w:rPr>
                <w:rFonts w:hint="eastAsia" w:ascii="宋体" w:hAnsi="宋体" w:eastAsia="宋体" w:cs="宋体"/>
                <w:i w:val="0"/>
                <w:iCs w:val="0"/>
                <w:color w:val="000000"/>
                <w:sz w:val="18"/>
                <w:szCs w:val="18"/>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6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D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B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8.97</w:t>
            </w:r>
          </w:p>
        </w:tc>
        <w:tc>
          <w:tcPr>
            <w:tcW w:w="2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CF326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8.97</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E37A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ED2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66E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w:t>
            </w:r>
          </w:p>
        </w:tc>
        <w:tc>
          <w:tcPr>
            <w:tcW w:w="11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0466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988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1"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53DA4">
            <w:pPr>
              <w:jc w:val="center"/>
              <w:rPr>
                <w:rFonts w:hint="eastAsia" w:ascii="宋体" w:hAnsi="宋体" w:eastAsia="宋体" w:cs="宋体"/>
                <w:i w:val="0"/>
                <w:iCs w:val="0"/>
                <w:color w:val="000000"/>
                <w:sz w:val="18"/>
                <w:szCs w:val="18"/>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2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1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4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8.97</w:t>
            </w:r>
          </w:p>
        </w:tc>
        <w:tc>
          <w:tcPr>
            <w:tcW w:w="2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18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8.97</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FB6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178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779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117FA">
            <w:pPr>
              <w:jc w:val="left"/>
              <w:rPr>
                <w:rFonts w:hint="default" w:ascii="黑体" w:hAnsi="黑体" w:eastAsia="黑体" w:cs="黑体"/>
                <w:i/>
                <w:iCs/>
                <w:color w:val="000000"/>
                <w:sz w:val="18"/>
                <w:szCs w:val="18"/>
                <w:u w:val="none"/>
              </w:rPr>
            </w:pPr>
          </w:p>
        </w:tc>
      </w:tr>
      <w:tr w14:paraId="14E52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8BCB5">
            <w:pPr>
              <w:jc w:val="center"/>
              <w:rPr>
                <w:rFonts w:hint="eastAsia" w:ascii="宋体" w:hAnsi="宋体" w:eastAsia="宋体" w:cs="宋体"/>
                <w:i w:val="0"/>
                <w:iCs w:val="0"/>
                <w:color w:val="000000"/>
                <w:sz w:val="18"/>
                <w:szCs w:val="18"/>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4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C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F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0E1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C7B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BFF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C18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3C899">
            <w:pPr>
              <w:jc w:val="left"/>
              <w:rPr>
                <w:rFonts w:hint="default" w:ascii="黑体" w:hAnsi="黑体" w:eastAsia="黑体" w:cs="黑体"/>
                <w:i/>
                <w:iCs/>
                <w:color w:val="000000"/>
                <w:sz w:val="18"/>
                <w:szCs w:val="18"/>
                <w:u w:val="none"/>
              </w:rPr>
            </w:pPr>
          </w:p>
        </w:tc>
      </w:tr>
      <w:tr w14:paraId="73FCF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E9182">
            <w:pPr>
              <w:jc w:val="center"/>
              <w:rPr>
                <w:rFonts w:hint="eastAsia" w:ascii="宋体" w:hAnsi="宋体" w:eastAsia="宋体" w:cs="宋体"/>
                <w:i w:val="0"/>
                <w:iCs w:val="0"/>
                <w:color w:val="000000"/>
                <w:sz w:val="18"/>
                <w:szCs w:val="18"/>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5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7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7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E7F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A46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752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039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A9C3A">
            <w:pPr>
              <w:jc w:val="left"/>
              <w:rPr>
                <w:rFonts w:hint="default" w:ascii="黑体" w:hAnsi="黑体" w:eastAsia="黑体" w:cs="黑体"/>
                <w:i/>
                <w:iCs/>
                <w:color w:val="000000"/>
                <w:sz w:val="18"/>
                <w:szCs w:val="18"/>
                <w:u w:val="none"/>
              </w:rPr>
            </w:pPr>
          </w:p>
        </w:tc>
      </w:tr>
      <w:tr w14:paraId="14F2F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31748">
            <w:pPr>
              <w:jc w:val="center"/>
              <w:rPr>
                <w:rFonts w:hint="eastAsia" w:ascii="宋体" w:hAnsi="宋体" w:eastAsia="宋体" w:cs="宋体"/>
                <w:i w:val="0"/>
                <w:iCs w:val="0"/>
                <w:color w:val="000000"/>
                <w:sz w:val="18"/>
                <w:szCs w:val="18"/>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57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106A">
            <w:pPr>
              <w:jc w:val="center"/>
              <w:rPr>
                <w:rFonts w:hint="eastAsia" w:ascii="宋体" w:hAnsi="宋体" w:eastAsia="宋体" w:cs="宋体"/>
                <w:i/>
                <w:iCs/>
                <w:color w:val="000000"/>
                <w:sz w:val="18"/>
                <w:szCs w:val="18"/>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CB24">
            <w:pPr>
              <w:jc w:val="center"/>
              <w:rPr>
                <w:rFonts w:hint="eastAsia" w:ascii="宋体" w:hAnsi="宋体" w:eastAsia="宋体" w:cs="宋体"/>
                <w:i/>
                <w:iCs/>
                <w:color w:val="000000"/>
                <w:sz w:val="18"/>
                <w:szCs w:val="18"/>
                <w:u w:val="none"/>
              </w:rPr>
            </w:pPr>
          </w:p>
        </w:tc>
        <w:tc>
          <w:tcPr>
            <w:tcW w:w="25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DC5E4B">
            <w:pPr>
              <w:jc w:val="center"/>
              <w:rPr>
                <w:rFonts w:hint="eastAsia" w:ascii="宋体" w:hAnsi="宋体" w:eastAsia="宋体" w:cs="宋体"/>
                <w:i/>
                <w:iCs/>
                <w:color w:val="000000"/>
                <w:sz w:val="18"/>
                <w:szCs w:val="18"/>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D9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DDF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703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3BBEB">
            <w:pPr>
              <w:jc w:val="left"/>
              <w:rPr>
                <w:rFonts w:hint="default" w:ascii="黑体" w:hAnsi="黑体" w:eastAsia="黑体" w:cs="黑体"/>
                <w:i/>
                <w:iCs/>
                <w:color w:val="000000"/>
                <w:sz w:val="18"/>
                <w:szCs w:val="18"/>
                <w:u w:val="none"/>
              </w:rPr>
            </w:pPr>
          </w:p>
        </w:tc>
      </w:tr>
      <w:tr w14:paraId="29BE7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exact"/>
        </w:trPr>
        <w:tc>
          <w:tcPr>
            <w:tcW w:w="11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75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E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E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E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6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3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7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1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6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8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E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D488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30102">
            <w:pPr>
              <w:jc w:val="center"/>
              <w:rPr>
                <w:rFonts w:hint="eastAsia" w:ascii="宋体" w:hAnsi="宋体" w:eastAsia="宋体" w:cs="宋体"/>
                <w:i w:val="0"/>
                <w:iCs w:val="0"/>
                <w:color w:val="000000"/>
                <w:sz w:val="18"/>
                <w:szCs w:val="18"/>
                <w:u w:val="none"/>
              </w:rPr>
            </w:pPr>
          </w:p>
        </w:tc>
        <w:tc>
          <w:tcPr>
            <w:tcW w:w="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6C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34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E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被督导单位数量</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310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05E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CB9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8D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督导了79个单位</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16C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E6B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6E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6E09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2C7D8">
            <w:pPr>
              <w:jc w:val="center"/>
              <w:rPr>
                <w:rFonts w:hint="eastAsia" w:ascii="宋体" w:hAnsi="宋体" w:eastAsia="宋体" w:cs="宋体"/>
                <w:i w:val="0"/>
                <w:iCs w:val="0"/>
                <w:color w:val="000000"/>
                <w:sz w:val="18"/>
                <w:szCs w:val="18"/>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E45FB">
            <w:pPr>
              <w:jc w:val="center"/>
              <w:rPr>
                <w:rFonts w:hint="eastAsia" w:ascii="宋体" w:hAnsi="宋体" w:eastAsia="宋体" w:cs="宋体"/>
                <w:i w:val="0"/>
                <w:iCs w:val="0"/>
                <w:color w:val="000000"/>
                <w:sz w:val="18"/>
                <w:szCs w:val="18"/>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897EC">
            <w:pPr>
              <w:jc w:val="center"/>
              <w:rPr>
                <w:rFonts w:hint="eastAsia" w:ascii="宋体" w:hAnsi="宋体" w:eastAsia="宋体" w:cs="宋体"/>
                <w:i w:val="0"/>
                <w:iCs w:val="0"/>
                <w:color w:val="000000"/>
                <w:sz w:val="18"/>
                <w:szCs w:val="18"/>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9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举办培训班次数</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19B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CE9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412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期</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38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举办了1期</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836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CAC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93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EC59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C6846">
            <w:pPr>
              <w:jc w:val="center"/>
              <w:rPr>
                <w:rFonts w:hint="eastAsia" w:ascii="宋体" w:hAnsi="宋体" w:eastAsia="宋体" w:cs="宋体"/>
                <w:i w:val="0"/>
                <w:iCs w:val="0"/>
                <w:color w:val="000000"/>
                <w:sz w:val="18"/>
                <w:szCs w:val="18"/>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CA9F3">
            <w:pPr>
              <w:jc w:val="center"/>
              <w:rPr>
                <w:rFonts w:hint="eastAsia" w:ascii="宋体" w:hAnsi="宋体" w:eastAsia="宋体" w:cs="宋体"/>
                <w:i w:val="0"/>
                <w:iCs w:val="0"/>
                <w:color w:val="000000"/>
                <w:sz w:val="18"/>
                <w:szCs w:val="18"/>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37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3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传染病报告率</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204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867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62F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79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报告率98.65%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FEC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56C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E0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BD8B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AED90">
            <w:pPr>
              <w:jc w:val="center"/>
              <w:rPr>
                <w:rFonts w:hint="eastAsia" w:ascii="宋体" w:hAnsi="宋体" w:eastAsia="宋体" w:cs="宋体"/>
                <w:i w:val="0"/>
                <w:iCs w:val="0"/>
                <w:color w:val="000000"/>
                <w:sz w:val="18"/>
                <w:szCs w:val="18"/>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5C051">
            <w:pPr>
              <w:jc w:val="center"/>
              <w:rPr>
                <w:rFonts w:hint="eastAsia" w:ascii="宋体" w:hAnsi="宋体" w:eastAsia="宋体" w:cs="宋体"/>
                <w:i w:val="0"/>
                <w:iCs w:val="0"/>
                <w:color w:val="000000"/>
                <w:sz w:val="18"/>
                <w:szCs w:val="18"/>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6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B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培训工作完成时限</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923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9E0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按时完成</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B1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652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475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28F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54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19C0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71E98">
            <w:pPr>
              <w:jc w:val="center"/>
              <w:rPr>
                <w:rFonts w:hint="eastAsia" w:ascii="宋体" w:hAnsi="宋体" w:eastAsia="宋体" w:cs="宋体"/>
                <w:i w:val="0"/>
                <w:iCs w:val="0"/>
                <w:color w:val="000000"/>
                <w:sz w:val="18"/>
                <w:szCs w:val="18"/>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6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F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19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传染病报告管理能力水平</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85F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B5A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达到预期标准</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87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819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达到预期标准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BD0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1F8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18</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28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EB13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DC8DC">
            <w:pPr>
              <w:jc w:val="center"/>
              <w:rPr>
                <w:rFonts w:hint="eastAsia" w:ascii="宋体" w:hAnsi="宋体" w:eastAsia="宋体" w:cs="宋体"/>
                <w:i w:val="0"/>
                <w:iCs w:val="0"/>
                <w:color w:val="000000"/>
                <w:sz w:val="18"/>
                <w:szCs w:val="18"/>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B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C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6C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专业人员满意度</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7AA4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CFF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79E8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B9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14E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24B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A8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26F7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 w:hRule="exact"/>
        </w:trPr>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B3074">
            <w:pPr>
              <w:jc w:val="center"/>
              <w:rPr>
                <w:rFonts w:hint="eastAsia" w:ascii="宋体" w:hAnsi="宋体" w:eastAsia="宋体" w:cs="宋体"/>
                <w:i w:val="0"/>
                <w:iCs w:val="0"/>
                <w:color w:val="000000"/>
                <w:sz w:val="18"/>
                <w:szCs w:val="18"/>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C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96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C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传染病督导差旅费</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4D2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5C2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60000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4A8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元</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D6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等于6万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D574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8BC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E14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FBBE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trPr>
        <w:tc>
          <w:tcPr>
            <w:tcW w:w="74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A72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9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E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2292A">
            <w:pPr>
              <w:rPr>
                <w:rFonts w:hint="eastAsia" w:ascii="宋体" w:hAnsi="宋体" w:eastAsia="宋体" w:cs="宋体"/>
                <w:i w:val="0"/>
                <w:iCs w:val="0"/>
                <w:color w:val="000000"/>
                <w:sz w:val="18"/>
                <w:szCs w:val="18"/>
                <w:u w:val="none"/>
              </w:rPr>
            </w:pPr>
          </w:p>
        </w:tc>
      </w:tr>
      <w:tr w14:paraId="05B06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9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92C1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项目绩效评价总分为100分，项目实施取得了一定成效，通过培训，全州国家传染病智能监测预警前置软件安装完成率、部署到位率、正式应用率分别为100%、100%、100%。在培训质量、督导效果、目标达成程度等方面还有待进一步改进和提高。</w:t>
            </w:r>
          </w:p>
        </w:tc>
      </w:tr>
      <w:tr w14:paraId="065CB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0" w:hRule="atLeast"/>
        </w:trPr>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6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7EE4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报告率比往年有所提升，部分医疗机构传染病报告质量不高，共抽查传染病2896例，报告 2857例，报告率 98.65%，共抽查507张传染病报告卡，及时报告率为97.04%，纸质卡片填写完整率98.22%，准确率为52.86%，纸质卡片与网络卡片录入一致率92.90%。 准确率比较低，且部分工作人员业务能力有待提高。</w:t>
            </w:r>
          </w:p>
        </w:tc>
      </w:tr>
      <w:tr w14:paraId="133C7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0" w:hRule="atLeast"/>
        </w:trPr>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5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0E54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定期组织开展对各级各类医疗机构传染病信息报告的指导;疾控中心要提升自身业务能力，加强对传染病信息报告工作的业务管理、技术培训和现场指导;各级各类医疗机构要切实落实传染病报告的主体责任，严格执行首诊医生负责制，及时准确填报传染病报告卡信息，杜绝迟报、漏报，确保传染病信息报告真实、无误。 </w:t>
            </w:r>
          </w:p>
        </w:tc>
      </w:tr>
      <w:tr w14:paraId="16B29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9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8ABA7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项目负责人：敬琼</w:t>
            </w:r>
          </w:p>
        </w:tc>
        <w:tc>
          <w:tcPr>
            <w:tcW w:w="47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915A7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23351E00">
      <w:pPr>
        <w:rPr>
          <w:rFonts w:hint="default"/>
          <w:lang w:val="en-US" w:eastAsia="zh-CN"/>
        </w:rPr>
      </w:pPr>
    </w:p>
    <w:tbl>
      <w:tblPr>
        <w:tblStyle w:val="15"/>
        <w:tblW w:w="10004" w:type="dxa"/>
        <w:tblInd w:w="-39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0"/>
        <w:gridCol w:w="900"/>
        <w:gridCol w:w="896"/>
        <w:gridCol w:w="896"/>
        <w:gridCol w:w="896"/>
        <w:gridCol w:w="899"/>
        <w:gridCol w:w="898"/>
        <w:gridCol w:w="899"/>
        <w:gridCol w:w="127"/>
        <w:gridCol w:w="769"/>
        <w:gridCol w:w="769"/>
        <w:gridCol w:w="1075"/>
      </w:tblGrid>
      <w:tr w14:paraId="6E91D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trPr>
        <w:tc>
          <w:tcPr>
            <w:tcW w:w="1000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093620F4">
            <w:pPr>
              <w:keepNext w:val="0"/>
              <w:keepLines w:val="0"/>
              <w:widowControl/>
              <w:suppressLineNumbers w:val="0"/>
              <w:ind w:left="-1" w:leftChars="-200" w:right="327" w:rightChars="156"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8400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18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1A7E8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项目名称</w:t>
            </w:r>
          </w:p>
        </w:tc>
        <w:tc>
          <w:tcPr>
            <w:tcW w:w="812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33F6D5C">
            <w:pPr>
              <w:keepNext w:val="0"/>
              <w:keepLines w:val="0"/>
              <w:widowControl/>
              <w:suppressLineNumbers w:val="0"/>
              <w:ind w:firstLine="1800" w:firstLineChars="100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51320025T000012814131-免疫规划专项</w:t>
            </w:r>
          </w:p>
        </w:tc>
      </w:tr>
      <w:tr w14:paraId="4FAA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8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9D85D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主管部门</w:t>
            </w:r>
          </w:p>
        </w:tc>
        <w:tc>
          <w:tcPr>
            <w:tcW w:w="448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BF6D92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州卫生健康委部门</w:t>
            </w:r>
          </w:p>
        </w:tc>
        <w:tc>
          <w:tcPr>
            <w:tcW w:w="1026" w:type="dxa"/>
            <w:gridSpan w:val="2"/>
            <w:tcBorders>
              <w:top w:val="nil"/>
              <w:left w:val="nil"/>
              <w:bottom w:val="nil"/>
              <w:right w:val="nil"/>
            </w:tcBorders>
            <w:shd w:val="clear" w:color="auto" w:fill="FFFFFF"/>
            <w:vAlign w:val="center"/>
          </w:tcPr>
          <w:p w14:paraId="69123B1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实施单位 </w:t>
            </w:r>
            <w:r>
              <w:rPr>
                <w:rFonts w:hint="eastAsia" w:ascii="宋体" w:hAnsi="宋体" w:eastAsia="宋体" w:cs="宋体"/>
                <w:i w:val="0"/>
                <w:iCs w:val="0"/>
                <w:color w:val="000000"/>
                <w:kern w:val="0"/>
                <w:sz w:val="18"/>
                <w:szCs w:val="18"/>
                <w:u w:val="none"/>
                <w:lang w:val="en-US" w:eastAsia="zh-CN" w:bidi="ar"/>
              </w:rPr>
              <w:t xml:space="preserve">   </w:t>
            </w:r>
            <w:r>
              <w:rPr>
                <w:rFonts w:hint="default" w:ascii="宋体" w:hAnsi="宋体" w:eastAsia="宋体" w:cs="宋体"/>
                <w:i w:val="0"/>
                <w:iCs w:val="0"/>
                <w:color w:val="000000"/>
                <w:kern w:val="0"/>
                <w:sz w:val="18"/>
                <w:szCs w:val="18"/>
                <w:u w:val="none"/>
                <w:lang w:val="en-US" w:eastAsia="zh-CN" w:bidi="ar"/>
              </w:rPr>
              <w:t>（盖章）</w:t>
            </w:r>
          </w:p>
        </w:tc>
        <w:tc>
          <w:tcPr>
            <w:tcW w:w="26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4C8C2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州疾控中心</w:t>
            </w:r>
          </w:p>
        </w:tc>
      </w:tr>
      <w:tr w14:paraId="0E03A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C6A6C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项目基本情况</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F9FAD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1.项目年度目标完成情况</w:t>
            </w:r>
          </w:p>
        </w:tc>
        <w:tc>
          <w:tcPr>
            <w:tcW w:w="448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BDDDE3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项目年度目标</w:t>
            </w:r>
          </w:p>
        </w:tc>
        <w:tc>
          <w:tcPr>
            <w:tcW w:w="363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3E4F31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4F3B2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434D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5294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48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199D481">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主要用于全州各县、市免疫规划专业技术人员培训，学习交流，工作指导等工作，通过提升免疫规划工作水平，提高疫苗接种率。</w:t>
            </w:r>
          </w:p>
        </w:tc>
        <w:tc>
          <w:tcPr>
            <w:tcW w:w="363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BD7C11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通过加强人员培训、多种方式工作指导，健康宣教等2025年以州和县（市）为单位22剂次国家免疫规划疫苗时段累计接种率全部达90%以上，达到国家和省的要求，实现建州以来最好成绩。</w:t>
            </w:r>
          </w:p>
        </w:tc>
      </w:tr>
      <w:tr w14:paraId="64390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EE4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F24B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2.项目实施内容及过程概述</w:t>
            </w:r>
          </w:p>
        </w:tc>
        <w:tc>
          <w:tcPr>
            <w:tcW w:w="812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AA4AF4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分别于2025年4月16-19日，8月20-23日召开阿坝州免疫规划工作培训班，共计100余人参会；于2025年4-6月，9-12月分组完成13个县级疾控中心，14个县（市）医疗机构和抽取</w:t>
            </w:r>
            <w:r>
              <w:rPr>
                <w:rFonts w:hint="eastAsia" w:ascii="宋体" w:hAnsi="宋体" w:cs="宋体"/>
                <w:i w:val="0"/>
                <w:iCs w:val="0"/>
                <w:color w:val="000000"/>
                <w:kern w:val="0"/>
                <w:sz w:val="18"/>
                <w:szCs w:val="18"/>
                <w:u w:val="none"/>
                <w:lang w:val="en-US" w:eastAsia="zh-CN" w:bidi="ar"/>
              </w:rPr>
              <w:t>26</w:t>
            </w:r>
            <w:r>
              <w:rPr>
                <w:rFonts w:hint="eastAsia" w:ascii="宋体" w:hAnsi="宋体" w:eastAsia="宋体" w:cs="宋体"/>
                <w:i w:val="0"/>
                <w:iCs w:val="0"/>
                <w:color w:val="000000"/>
                <w:kern w:val="0"/>
                <w:sz w:val="18"/>
                <w:szCs w:val="18"/>
                <w:u w:val="none"/>
                <w:lang w:val="en-US" w:eastAsia="zh-CN" w:bidi="ar"/>
              </w:rPr>
              <w:t>个乡镇卫生院开展免疫规划工作指导，对5个AAAA级及以上门诊开展动态抽查评审工作。</w:t>
            </w:r>
          </w:p>
        </w:tc>
      </w:tr>
      <w:tr w14:paraId="2FFE9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2C94D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预算执行情况（10分）</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E982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年度预算数（万元）</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4FB0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年初预算</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8B62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调整后预算数</w:t>
            </w:r>
          </w:p>
        </w:tc>
        <w:tc>
          <w:tcPr>
            <w:tcW w:w="26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99872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DE7A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5859D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69ED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6AEB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原因</w:t>
            </w:r>
          </w:p>
        </w:tc>
      </w:tr>
      <w:tr w14:paraId="0E510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CC4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4776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总额</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13CB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AF88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9.84</w:t>
            </w:r>
          </w:p>
        </w:tc>
        <w:tc>
          <w:tcPr>
            <w:tcW w:w="26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6A766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9.84</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F847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08994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9111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w:t>
            </w:r>
          </w:p>
        </w:tc>
        <w:tc>
          <w:tcPr>
            <w:tcW w:w="10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A02B6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B508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A40F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727F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CD19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1C4D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9.84</w:t>
            </w:r>
          </w:p>
        </w:tc>
        <w:tc>
          <w:tcPr>
            <w:tcW w:w="26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111BA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9.84</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1754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B87B0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8A00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5FD09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0D762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6D5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8CBB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5398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DE31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26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B2718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2104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AD273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0A37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6056A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16C72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E8BF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D979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1F6C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5C71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26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E4401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605D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FC685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B287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0482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3A974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51D7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AFD2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71D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6E3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6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95D6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3E7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98EDA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9445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B883F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77248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4" w:hRule="atLeast"/>
        </w:trPr>
        <w:tc>
          <w:tcPr>
            <w:tcW w:w="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7E8C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BFC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C88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9BB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E79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2B3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FBE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6F9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AAE8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CE1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BB3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70EEB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AD25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0CF2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8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57B5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EE2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举办培训班期数</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86D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ACE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07D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期</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3D7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CD84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557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693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D50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30AE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4AAB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C54D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10E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开展工作指导人次数</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6E6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C4A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D87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6CC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520</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C7C6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2B5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2EC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055C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BE4A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1101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17F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7D6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免疫规划培训对象覆盖率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B2B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B85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87E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70F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00D2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026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AA6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1D56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5880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479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AFF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19C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A60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CAB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E95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F62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12月底完成</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CA3C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827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8BE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34D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0234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041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856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86E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提高全州人群免疫水平</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537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571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较2024年有所提高</w:t>
            </w:r>
          </w:p>
        </w:tc>
        <w:tc>
          <w:tcPr>
            <w:tcW w:w="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964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A4D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22剂次接种率均达90%以上</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A395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FA2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753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C4C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633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892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052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A99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县级人员培训满意度</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29F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417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694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3FB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1CAD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23C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3E8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EE9A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AB60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A4C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293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C58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免疫规划督导及疫苗冷链运转成本</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A2C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4FF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50000</w:t>
            </w:r>
          </w:p>
        </w:tc>
        <w:tc>
          <w:tcPr>
            <w:tcW w:w="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5F1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6E1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63A5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D69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D91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CAEA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726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E8787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98C1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863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B23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F745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C28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2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254EA7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加强人员培训、多种方式工作指导，健康宣教等，2025年以州和县（市）为单位22剂次国家免疫规划疫苗时段累计接种率全部达90%以上，达到国家和省的要求，实现建州以来最好成绩，圆满完成2025年免疫规划各项工作，各项监测指标达到国家要求，与2024年比较都有较大提升。</w:t>
            </w:r>
          </w:p>
        </w:tc>
      </w:tr>
      <w:tr w14:paraId="322E3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227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2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B6B7C4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结合自评情况，分析存在的问题及原因。（200字以内）</w:t>
            </w:r>
          </w:p>
        </w:tc>
      </w:tr>
      <w:tr w14:paraId="7F58E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742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2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7F81B74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针对项目自评中发现的问题，提出下一步改进完善的意见及有关政策性建议。（200字以内）</w:t>
            </w:r>
          </w:p>
        </w:tc>
      </w:tr>
      <w:tr w14:paraId="14097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4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64EACE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项目负责人：粘绪华</w:t>
            </w:r>
          </w:p>
        </w:tc>
        <w:tc>
          <w:tcPr>
            <w:tcW w:w="543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88026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7D8DEB5C">
      <w:pPr>
        <w:pStyle w:val="2"/>
        <w:ind w:left="-127" w:leftChars="-200" w:hanging="293" w:hangingChars="139"/>
        <w:rPr>
          <w:rFonts w:hint="default"/>
          <w:lang w:val="en-US" w:eastAsia="zh-CN"/>
        </w:rPr>
      </w:pPr>
    </w:p>
    <w:tbl>
      <w:tblPr>
        <w:tblStyle w:val="15"/>
        <w:tblW w:w="9940" w:type="dxa"/>
        <w:tblInd w:w="-3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2"/>
        <w:gridCol w:w="904"/>
        <w:gridCol w:w="902"/>
        <w:gridCol w:w="902"/>
        <w:gridCol w:w="902"/>
        <w:gridCol w:w="902"/>
        <w:gridCol w:w="909"/>
        <w:gridCol w:w="902"/>
        <w:gridCol w:w="219"/>
        <w:gridCol w:w="587"/>
        <w:gridCol w:w="645"/>
        <w:gridCol w:w="1264"/>
      </w:tblGrid>
      <w:tr w14:paraId="6116D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8" w:hRule="atLeast"/>
        </w:trPr>
        <w:tc>
          <w:tcPr>
            <w:tcW w:w="9940"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4B50EF8A">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F7BC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B6B9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13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E372F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51320025T000012814120-公共卫生特别服务岗</w:t>
            </w:r>
          </w:p>
        </w:tc>
      </w:tr>
      <w:tr w14:paraId="0A55D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1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8F8A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51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6D512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1121" w:type="dxa"/>
            <w:gridSpan w:val="2"/>
            <w:tcBorders>
              <w:top w:val="nil"/>
              <w:left w:val="nil"/>
              <w:bottom w:val="nil"/>
              <w:right w:val="nil"/>
            </w:tcBorders>
            <w:shd w:val="clear" w:color="auto" w:fill="FFFFFF"/>
            <w:vAlign w:val="center"/>
          </w:tcPr>
          <w:p w14:paraId="5E5F3D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r>
              <w:rPr>
                <w:rFonts w:hint="default" w:ascii="宋体" w:hAnsi="宋体" w:eastAsia="宋体" w:cs="宋体"/>
                <w:i w:val="0"/>
                <w:iCs w:val="0"/>
                <w:color w:val="000000"/>
                <w:kern w:val="0"/>
                <w:sz w:val="18"/>
                <w:szCs w:val="18"/>
                <w:u w:val="none"/>
                <w:lang w:val="en-US" w:eastAsia="zh-CN" w:bidi="ar"/>
              </w:rPr>
              <w:t>实施单位</w:t>
            </w:r>
            <w:r>
              <w:rPr>
                <w:rFonts w:hint="eastAsia" w:ascii="宋体" w:hAnsi="宋体" w:eastAsia="宋体" w:cs="宋体"/>
                <w:i w:val="0"/>
                <w:iCs w:val="0"/>
                <w:color w:val="000000"/>
                <w:kern w:val="0"/>
                <w:sz w:val="18"/>
                <w:szCs w:val="18"/>
                <w:u w:val="none"/>
                <w:lang w:val="en-US" w:eastAsia="zh-CN" w:bidi="ar"/>
              </w:rPr>
              <w:t xml:space="preserve">   </w:t>
            </w:r>
            <w:r>
              <w:rPr>
                <w:rFonts w:hint="default" w:ascii="宋体" w:hAnsi="宋体" w:eastAsia="宋体" w:cs="宋体"/>
                <w:i w:val="0"/>
                <w:iCs w:val="0"/>
                <w:color w:val="000000"/>
                <w:kern w:val="0"/>
                <w:sz w:val="18"/>
                <w:szCs w:val="18"/>
                <w:u w:val="none"/>
                <w:lang w:val="en-US" w:eastAsia="zh-CN" w:bidi="ar"/>
              </w:rPr>
              <w:t xml:space="preserve"> （盖章）</w:t>
            </w:r>
          </w:p>
        </w:tc>
        <w:tc>
          <w:tcPr>
            <w:tcW w:w="249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6B71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69B8A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0D85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EA38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51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034D1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1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463234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595C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A33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ED9E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51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AA4AE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服务医疗卫生其他岗、医疗卫生应急岗位，协助开展从事核酸检测、隔离场所管控、医疗应急救治、疾病预防控制等工作，提升应对突发重大公共卫生事件能力。</w:t>
            </w:r>
          </w:p>
        </w:tc>
        <w:tc>
          <w:tcPr>
            <w:tcW w:w="361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4874D0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按要求完成全州疾病预防控制、检验检测、后勤服务保障等工作，个人应对突发重大公共卫生事件能力和专业实践技能得到提升。</w:t>
            </w:r>
          </w:p>
        </w:tc>
      </w:tr>
      <w:tr w14:paraId="21301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1499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BAC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13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64799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开展公卫特岗人员岗位聘用，按单位制度进行统一管理，实行年终考核评议。</w:t>
            </w:r>
          </w:p>
        </w:tc>
      </w:tr>
      <w:tr w14:paraId="0937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0FB7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8F2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35F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93F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7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52B8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BEE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18AA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DA8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6C5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211E8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5AAA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D4E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0A0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24.39</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FDD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24.39</w:t>
            </w:r>
          </w:p>
        </w:tc>
        <w:tc>
          <w:tcPr>
            <w:tcW w:w="27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3C74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24.39</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87F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3ADF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EAE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2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95ADA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2E4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C65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10C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F92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24.39</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2DF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24.39</w:t>
            </w:r>
          </w:p>
        </w:tc>
        <w:tc>
          <w:tcPr>
            <w:tcW w:w="27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927D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24.39</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D4E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1E51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3DE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2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CDD9D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6D362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E9C4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FDD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707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C49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A140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8DD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58DF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297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2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31B9B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52363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26B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B81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9B1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F6C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B942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16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FE9B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7E3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2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1834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4F1B6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B71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D26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041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A02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1040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C9C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B9C6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C78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2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843F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35D4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8" w:hRule="atLeast"/>
        </w:trPr>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35B7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50F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ECF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487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9D3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7F6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999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234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609F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73E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F02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61A8F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D46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F76A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7C1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772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聘请人员数量</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535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70F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EBB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4CD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2875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758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CF7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DAE1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68C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E33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B263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AF8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具备大专及以上学历率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9E0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949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A5F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256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B692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5D6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769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215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441E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7E8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BE0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87F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人员身心素质达标率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419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0EB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70C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CFB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6E27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A67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3C8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01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9A7B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C10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614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752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60B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373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C7C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B88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CB46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D46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A44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34E0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8583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F86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EDC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828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应对突发重大公共卫生事件的能力</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09A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B4D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明显增强</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3DA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728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个人应对突发重大公共卫生事件能力和专业实践技能得到提升。</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A23B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DA0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w:t>
            </w:r>
          </w:p>
        </w:tc>
        <w:tc>
          <w:tcPr>
            <w:tcW w:w="1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402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FCF0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6CCC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480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4FC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486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用人科室满意度</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96B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0C6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799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093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CE7F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D01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E0D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A10D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B49A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F48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B05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F5C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公共服务特岗人员工资</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1F8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736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243850</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9A4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06F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BDBB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EA6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w:t>
            </w:r>
          </w:p>
        </w:tc>
        <w:tc>
          <w:tcPr>
            <w:tcW w:w="1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8B6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7301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722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257C4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0156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051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83</w:t>
            </w:r>
          </w:p>
        </w:tc>
        <w:tc>
          <w:tcPr>
            <w:tcW w:w="1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196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A3D5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8" w:hRule="atLeast"/>
        </w:trPr>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FC1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38"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47000A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通过按月按时发放劳务工资、缴纳社保、公积金等。加强招募人员工作积极性，进一步稳住就业形势，充实疫情防控工作力量，特岗人员应对突发重大公共卫生事件能力和专业实践技能得到提升。</w:t>
            </w:r>
          </w:p>
        </w:tc>
      </w:tr>
      <w:tr w14:paraId="04F3D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1AF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38"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47878B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未发现问题</w:t>
            </w:r>
          </w:p>
        </w:tc>
      </w:tr>
      <w:tr w14:paraId="53D4F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629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38"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58B92D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303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451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28B165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项目负责人：殷召</w:t>
            </w: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1BEA3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026AEEA7">
      <w:pPr>
        <w:ind w:left="-129" w:leftChars="-200" w:hanging="291" w:hangingChars="139"/>
        <w:rPr>
          <w:rFonts w:hint="default"/>
          <w:lang w:val="en-US" w:eastAsia="zh-CN"/>
        </w:rPr>
      </w:pPr>
    </w:p>
    <w:tbl>
      <w:tblPr>
        <w:tblStyle w:val="15"/>
        <w:tblW w:w="9940" w:type="dxa"/>
        <w:tblInd w:w="-2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3"/>
        <w:gridCol w:w="904"/>
        <w:gridCol w:w="903"/>
        <w:gridCol w:w="903"/>
        <w:gridCol w:w="903"/>
        <w:gridCol w:w="903"/>
        <w:gridCol w:w="905"/>
        <w:gridCol w:w="903"/>
        <w:gridCol w:w="903"/>
        <w:gridCol w:w="717"/>
        <w:gridCol w:w="1093"/>
      </w:tblGrid>
      <w:tr w14:paraId="5CCDD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9" w:hRule="atLeast"/>
        </w:trPr>
        <w:tc>
          <w:tcPr>
            <w:tcW w:w="99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BEE49E">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6ACC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8F26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13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3371E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51320024T000010594129-卫生医疗废弃物处置费</w:t>
            </w:r>
          </w:p>
        </w:tc>
      </w:tr>
      <w:tr w14:paraId="1C058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9" w:hRule="atLeast"/>
        </w:trPr>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80D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A1FE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903" w:type="dxa"/>
            <w:tcBorders>
              <w:top w:val="nil"/>
              <w:left w:val="nil"/>
              <w:bottom w:val="nil"/>
              <w:right w:val="nil"/>
            </w:tcBorders>
            <w:shd w:val="clear" w:color="auto" w:fill="auto"/>
            <w:vAlign w:val="center"/>
          </w:tcPr>
          <w:p w14:paraId="7F5E51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45F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7113C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A80F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DD2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8401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0D6F1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4AD8B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9" w:hRule="atLeas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C44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EDE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72A0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环境保护，减少实验废弃物对环境的污染，由专业公司对实验室废弃物进行无害化处置；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从防疫站遗留医疗废弃物，由专业公司按照环境保护有关法律法规、标准规范对医疗废弃物实施转运和安全处理。</w:t>
            </w:r>
          </w:p>
        </w:tc>
        <w:tc>
          <w:tcPr>
            <w:tcW w:w="3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D89CB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中心卫生医疗废弃物均达到无害化处置</w:t>
            </w:r>
          </w:p>
        </w:tc>
      </w:tr>
      <w:tr w14:paraId="115AC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9" w:hRule="atLeas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CAD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91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13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2661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8141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036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88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CD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B8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7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8358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69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81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71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96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5C9AC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C4A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FC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7B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64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1.15</w:t>
            </w:r>
          </w:p>
        </w:tc>
        <w:tc>
          <w:tcPr>
            <w:tcW w:w="27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7DEF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1.15</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0E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7B8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455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89F8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A96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6B9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C05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0C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42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1.15</w:t>
            </w:r>
          </w:p>
        </w:tc>
        <w:tc>
          <w:tcPr>
            <w:tcW w:w="27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0A5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1.15</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F1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95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F2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2D36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0E2B1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440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01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2A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CC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B0EC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31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B9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F7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3460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5C207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F46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49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9C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29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55F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DC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76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87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7F90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36A3B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0A3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0B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CD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44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A588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91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02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1F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F72A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r>
      <w:tr w14:paraId="5A2F2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0A2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DD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A2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FC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FE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42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F4F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E5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0C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A4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35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7C4E4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59D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C13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E5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7B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处置次数</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55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B1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CA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41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0A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77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60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14C2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E23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196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7E6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76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生物安全事故发生率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B9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FE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0E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F68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04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BD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B9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B822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A13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FD6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D8C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22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生物废弃物泄漏事故发生率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DD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A7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5F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12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86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08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67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06AD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2E2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A28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C4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3D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8B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79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CE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77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5F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4D6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05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4A49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681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8E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36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生态效益指标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B3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无害化处理率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97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923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83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50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57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7D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61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3525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750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B2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43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82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实验室工作人员满意度</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763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33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35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73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E0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BE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DB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BA86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F7F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4B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F0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D2B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废弃物处置及人工费用</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856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3C2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20000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E9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EE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11500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A7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8D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CA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75C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658E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F3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47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82</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4A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A297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09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323C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医废处置减少了实验废弃物对环境的污染，由专业公司对卫生医疗废弃物进行无害化处置；保障处理过程安全、高效、合法。</w:t>
            </w:r>
          </w:p>
        </w:tc>
      </w:tr>
      <w:tr w14:paraId="4B38E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38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EBD68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在处置过程中有些处置人员未合理佩戴手套、口罩等，存在一定安全隐患</w:t>
            </w:r>
          </w:p>
        </w:tc>
      </w:tr>
      <w:tr w14:paraId="76BB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88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2375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加强对处置人员的监督、避免出现安全事故 。</w:t>
            </w:r>
          </w:p>
        </w:tc>
      </w:tr>
      <w:tr w14:paraId="33350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B24E7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项目负责人：苟代武</w:t>
            </w:r>
          </w:p>
        </w:tc>
        <w:tc>
          <w:tcPr>
            <w:tcW w:w="542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EB00A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79A9DACC">
      <w:pPr>
        <w:pStyle w:val="2"/>
        <w:ind w:left="-127" w:leftChars="-200" w:hanging="293" w:hangingChars="139"/>
        <w:rPr>
          <w:rFonts w:hint="default"/>
          <w:lang w:val="en-US" w:eastAsia="zh-CN"/>
        </w:rPr>
      </w:pPr>
    </w:p>
    <w:tbl>
      <w:tblPr>
        <w:tblStyle w:val="15"/>
        <w:tblW w:w="9920" w:type="dxa"/>
        <w:tblInd w:w="-3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1"/>
        <w:gridCol w:w="902"/>
        <w:gridCol w:w="901"/>
        <w:gridCol w:w="901"/>
        <w:gridCol w:w="901"/>
        <w:gridCol w:w="901"/>
        <w:gridCol w:w="904"/>
        <w:gridCol w:w="901"/>
        <w:gridCol w:w="132"/>
        <w:gridCol w:w="769"/>
        <w:gridCol w:w="716"/>
        <w:gridCol w:w="1091"/>
      </w:tblGrid>
      <w:tr w14:paraId="69E68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7" w:hRule="atLeast"/>
        </w:trPr>
        <w:tc>
          <w:tcPr>
            <w:tcW w:w="9920"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130D9C29">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D3BC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18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937E2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117"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E500EA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51320025T000012814079-基本公卫、慢病防控专项</w:t>
            </w:r>
          </w:p>
        </w:tc>
      </w:tr>
      <w:tr w14:paraId="1A3E3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18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B06F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0DA406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1033" w:type="dxa"/>
            <w:gridSpan w:val="2"/>
            <w:tcBorders>
              <w:top w:val="nil"/>
              <w:left w:val="nil"/>
              <w:bottom w:val="nil"/>
              <w:right w:val="nil"/>
            </w:tcBorders>
            <w:shd w:val="clear" w:color="auto" w:fill="FFFFFF"/>
            <w:vAlign w:val="center"/>
          </w:tcPr>
          <w:p w14:paraId="0566A8F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57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E90A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69D6F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9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49AA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ACC8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9FA75B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0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075C45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7D991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21FBF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9AF4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1F680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持续推进国家基本公共卫生服务项目工作高质量发展及各项任务落实，深化医药卫生体制改革，进一步推进基本公共卫生均等化工作，提高群众健康水平。</w:t>
            </w:r>
          </w:p>
        </w:tc>
        <w:tc>
          <w:tcPr>
            <w:tcW w:w="360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23C9F2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 1 期专项培训，通过常态化督导与规范服务管理，全州慢病防控水平、公共卫生服务能力与均等化水平稳步提升，服务质量和群众获得感明显提高，年度目标全面完成。</w:t>
            </w:r>
          </w:p>
        </w:tc>
      </w:tr>
      <w:tr w14:paraId="017CF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BCA43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CFBD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117"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4751A3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 1 期专项培训，通过常态化督导与规范服务管理，全州慢病防控水平、公共卫生服务能力与均等化水平稳步提升，服务质量和群众获得感明显提高。</w:t>
            </w:r>
          </w:p>
        </w:tc>
      </w:tr>
      <w:tr w14:paraId="032D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258C4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D554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DAC5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23C9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4C6D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4BCB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FF5B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B344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4F6B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0B853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7200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265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50B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2B2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F4AF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2B19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F1B9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0FE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0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854AD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2DFE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A239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6493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BF1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521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4BE9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3D70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1DC9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525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66026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3AB78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B7C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74A9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CA7A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6CC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2ED2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480E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038E5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9E3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0904E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5A6A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833DB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588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37D6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A0C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0B79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A8C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58D8F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F72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2DE9F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67C79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2A27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BDD5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260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BC9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64C8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806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E584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542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FD4B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6413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9" w:hRule="exact"/>
        </w:trPr>
        <w:tc>
          <w:tcPr>
            <w:tcW w:w="9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1F19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D0A5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6509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4E76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7E8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122A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F74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321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7025A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BDA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18EE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5F092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12E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DB9A8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B7365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B28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培训期数</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771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18A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2205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期</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F82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F61B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DF44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D8A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1602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84C3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9F6B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069CB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FBC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完成对全州县市督导评估数量</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AE2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3651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D76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699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F781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003A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150F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DC6D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3458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06988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D8F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2A86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督导评估达标率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524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B24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379B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1BE0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8F2B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564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47DC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EE83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51E0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0688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700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16B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525A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787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项目按时完成</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284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0451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1ECE6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4EE3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478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4019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6560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5D0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1266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EE09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基本公共卫生服务项目完成率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216F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A9B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4DF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B73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3F93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42B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82FA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48B8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F30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A5D4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3F7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B99A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服务群众满意度</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602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7FB9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FD4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13D3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73D40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2F7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D8E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BEE5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E741A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7C63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98C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1F64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基本公共卫生差旅费及培训费金额</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25D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5BC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0D9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47F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E1472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73C1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28DC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679C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721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957B41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0EEFE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C30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88</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253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56AC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5" w:hRule="atLeast"/>
        </w:trPr>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3622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19"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559B71E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自评，本项目各项指标均完成，自评总分达标。项目于2025年底顺利完成，开展1期专项培训，实现全州13县（市）督导评估全覆盖，督导评估达标率超90%，基本公共卫生服务项目完成率95%以上，群众满意度达90%。通过常态化督导、规范服务管理，全州慢病防控水平稳步提升，公共卫生服务能力持续增强，公共卫生服务质量和群众获得感明显提高，项目实施成效良好。</w:t>
            </w:r>
          </w:p>
        </w:tc>
      </w:tr>
      <w:tr w14:paraId="727E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F25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19"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C046B9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5318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3CB6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19"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E34F2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0AC67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0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99F12D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项目负责人：周燕</w:t>
            </w:r>
          </w:p>
        </w:tc>
        <w:tc>
          <w:tcPr>
            <w:tcW w:w="541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4D9D4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7D8A2F64">
      <w:pPr>
        <w:keepNext w:val="0"/>
        <w:keepLines w:val="0"/>
        <w:widowControl/>
        <w:suppressLineNumbers w:val="0"/>
        <w:ind w:left="-170" w:leftChars="-200" w:hanging="250" w:hangingChars="139"/>
        <w:jc w:val="left"/>
        <w:textAlignment w:val="center"/>
        <w:rPr>
          <w:rFonts w:hint="default" w:ascii="宋体" w:hAnsi="宋体" w:eastAsia="宋体" w:cs="宋体"/>
          <w:i w:val="0"/>
          <w:iCs w:val="0"/>
          <w:color w:val="000000"/>
          <w:kern w:val="0"/>
          <w:sz w:val="18"/>
          <w:szCs w:val="18"/>
          <w:u w:val="none"/>
          <w:lang w:val="en-US" w:eastAsia="zh-CN" w:bidi="ar"/>
        </w:rPr>
      </w:pPr>
    </w:p>
    <w:tbl>
      <w:tblPr>
        <w:tblStyle w:val="15"/>
        <w:tblW w:w="9920" w:type="dxa"/>
        <w:tblInd w:w="-3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1"/>
        <w:gridCol w:w="902"/>
        <w:gridCol w:w="901"/>
        <w:gridCol w:w="901"/>
        <w:gridCol w:w="901"/>
        <w:gridCol w:w="901"/>
        <w:gridCol w:w="904"/>
        <w:gridCol w:w="901"/>
        <w:gridCol w:w="117"/>
        <w:gridCol w:w="784"/>
        <w:gridCol w:w="596"/>
        <w:gridCol w:w="1211"/>
      </w:tblGrid>
      <w:tr w14:paraId="0384E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8" w:hRule="atLeast"/>
        </w:trPr>
        <w:tc>
          <w:tcPr>
            <w:tcW w:w="9920"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164CF297">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E199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18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351C0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117"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5908B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51320025T000013771211-2024州级人才发展专项资金</w:t>
            </w:r>
          </w:p>
        </w:tc>
      </w:tr>
      <w:tr w14:paraId="6254B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trPr>
        <w:tc>
          <w:tcPr>
            <w:tcW w:w="18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32747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F8982D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1018" w:type="dxa"/>
            <w:gridSpan w:val="2"/>
            <w:tcBorders>
              <w:top w:val="nil"/>
              <w:left w:val="nil"/>
              <w:bottom w:val="nil"/>
              <w:right w:val="nil"/>
            </w:tcBorders>
            <w:shd w:val="clear" w:color="auto" w:fill="FFFFFF"/>
            <w:vAlign w:val="center"/>
          </w:tcPr>
          <w:p w14:paraId="3CB7DB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5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FBCD2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4D296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9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00AB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48883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D8FA48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0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00E53F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0ED0C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9" w:hRule="atLeas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B0CE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24BA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5B74CC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为深入贯彻党的二十大精神和习近平总书记来川视察重要指示精神，认真落实中央、省委、州委人才工作系列决策部署，深入推进“新时代人才强州战略”，全面贯彻州委“需要、能用、用好”要求，进一步优化全州人才队伍结构，2022-2024年我委通过“雪山草地聚才行动，阿坝英才计划”公开考试招聘”积极引进卫生专业技术人才。</w:t>
            </w:r>
          </w:p>
        </w:tc>
        <w:tc>
          <w:tcPr>
            <w:tcW w:w="360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FA2AA4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通过“雪山草地聚才行动，阿坝英才计划”公开考试招聘”积极引进卫生专业技术人才9人。</w:t>
            </w:r>
          </w:p>
        </w:tc>
      </w:tr>
      <w:tr w14:paraId="3D729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2" w:hRule="atLeas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151E4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A5E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117"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740A5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通过“雪山草地聚才行动，阿坝英才计划”公开考试招聘”积极引进卫生专业技术人才，按照政策补助每人10万元，激励专业人才积极性。</w:t>
            </w:r>
          </w:p>
        </w:tc>
      </w:tr>
      <w:tr w14:paraId="1B16C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4" w:hRule="exact"/>
        </w:trPr>
        <w:tc>
          <w:tcPr>
            <w:tcW w:w="9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C7F59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CEFC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AED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FF69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BD1CF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C30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65B0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677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CCED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6A5C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9D180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C64D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F00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B8E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90.00</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3E17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6CF3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5DBE8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76F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2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95105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B017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1EA3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7D4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C5B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E44A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90.00</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1EA5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277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E65C0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6BAE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2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B22D1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6E5F0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7D1C8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8431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D74F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AEB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8367A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B79B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5DF6E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302D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2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65A66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26EB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D6446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253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88B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638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107AD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907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897E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D21A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2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7B9BF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39EA9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C336B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DED1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524E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AF96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6030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D5E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1B0E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2547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2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D1BD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732B7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5B17F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8A4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A54A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97F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37EF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E8C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F501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32D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C1DB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122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BA7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66873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C115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F4FF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6CEE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C708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补贴人数</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376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C33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B77A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D4C7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F18F6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4B7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2C20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CF2B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199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A2095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260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BFE4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F837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24D6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2025年10月前</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871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0B13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0D8BF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91E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D609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B8B3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0EA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D71F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BB21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B5C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积极引进和留住预防专业技术紧缺人才</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EFB0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5FA0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较2024年度有所提高</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FD86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04D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有提升</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A36C2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CFA5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BD11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DBE3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12BA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6B25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EFB7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EC0A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补贴人群满意度</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EE4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EF7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9F6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DD35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5D92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173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A4E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7E61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5782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4E4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34FB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B84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人均补贴标准</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C46A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ABCE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BE7C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1DE7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900000</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AD85A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413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C9B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A1D5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721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34CBB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3828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E13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943F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B093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42C5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19"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792719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通过激励项目实施，疾病防控紧缺专业人才引进力度和人才留用力度显著增强。</w:t>
            </w:r>
          </w:p>
        </w:tc>
      </w:tr>
      <w:tr w14:paraId="07A57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81D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19"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3349D1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54E08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A04A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19"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6B9CA7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持续开展引才留才育才项目</w:t>
            </w:r>
          </w:p>
        </w:tc>
      </w:tr>
      <w:tr w14:paraId="2B06B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450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73787A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项目负责人：殷召</w:t>
            </w:r>
          </w:p>
        </w:tc>
        <w:tc>
          <w:tcPr>
            <w:tcW w:w="541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6FE42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259212E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bl>
      <w:tblPr>
        <w:tblStyle w:val="15"/>
        <w:tblW w:w="9740" w:type="dxa"/>
        <w:tblInd w:w="-2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5"/>
        <w:gridCol w:w="885"/>
        <w:gridCol w:w="885"/>
        <w:gridCol w:w="885"/>
        <w:gridCol w:w="885"/>
        <w:gridCol w:w="885"/>
        <w:gridCol w:w="887"/>
        <w:gridCol w:w="885"/>
        <w:gridCol w:w="110"/>
        <w:gridCol w:w="775"/>
        <w:gridCol w:w="742"/>
        <w:gridCol w:w="1031"/>
      </w:tblGrid>
      <w:tr w14:paraId="7F589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5" w:hRule="atLeast"/>
        </w:trPr>
        <w:tc>
          <w:tcPr>
            <w:tcW w:w="9740"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5DB964AF">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1300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17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D2502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项目名称</w:t>
            </w:r>
          </w:p>
        </w:tc>
        <w:tc>
          <w:tcPr>
            <w:tcW w:w="797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FE4A33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51320025T000012506672-生物安全安保项目</w:t>
            </w:r>
          </w:p>
        </w:tc>
      </w:tr>
      <w:tr w14:paraId="603C1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0" w:hRule="atLeast"/>
        </w:trPr>
        <w:tc>
          <w:tcPr>
            <w:tcW w:w="17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55D0A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主管部门</w:t>
            </w:r>
          </w:p>
        </w:tc>
        <w:tc>
          <w:tcPr>
            <w:tcW w:w="442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278893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州卫生健康委部门</w:t>
            </w:r>
          </w:p>
        </w:tc>
        <w:tc>
          <w:tcPr>
            <w:tcW w:w="995" w:type="dxa"/>
            <w:gridSpan w:val="2"/>
            <w:tcBorders>
              <w:top w:val="nil"/>
              <w:left w:val="nil"/>
              <w:bottom w:val="nil"/>
              <w:right w:val="nil"/>
            </w:tcBorders>
            <w:shd w:val="clear" w:color="auto" w:fill="FFFFFF"/>
            <w:vAlign w:val="center"/>
          </w:tcPr>
          <w:p w14:paraId="40DAB69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5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7569E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州疾控中心</w:t>
            </w:r>
          </w:p>
        </w:tc>
      </w:tr>
      <w:tr w14:paraId="03621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8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8BB45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项目基本情况</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74279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1.项目年度目标完成情况</w:t>
            </w:r>
          </w:p>
        </w:tc>
        <w:tc>
          <w:tcPr>
            <w:tcW w:w="442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83458E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项目年度目标</w:t>
            </w:r>
          </w:p>
        </w:tc>
        <w:tc>
          <w:tcPr>
            <w:tcW w:w="354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8B0B70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146F8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9" w:hRule="atLeas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ED433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132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442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BCDBFB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完成18亩生物安全安保面积（中心区域全覆盖）的管理，聘请7名安保消防人员，确保生物安全保障到位；通过生物安全安保管理，不断提升单位生物安全保障工作水平。</w:t>
            </w:r>
          </w:p>
        </w:tc>
        <w:tc>
          <w:tcPr>
            <w:tcW w:w="354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0377D4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单位生物安全得到有效保障，职工满意度高，生物安全保障率达到了全覆盖</w:t>
            </w:r>
          </w:p>
        </w:tc>
      </w:tr>
      <w:tr w14:paraId="6E98E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9" w:hRule="atLeas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4EBF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16E4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2.项目实施内容及过程概述</w:t>
            </w:r>
          </w:p>
        </w:tc>
        <w:tc>
          <w:tcPr>
            <w:tcW w:w="797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738BE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BEFD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48ED0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预算执行情况（10分）</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07CC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年度预算数（万元）</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BA77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年初预算</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6706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调整后预算数</w:t>
            </w:r>
          </w:p>
        </w:tc>
        <w:tc>
          <w:tcPr>
            <w:tcW w:w="26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26DF3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预算执行数</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6EFE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预算执行率</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4454D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F830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DD95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原因</w:t>
            </w:r>
          </w:p>
        </w:tc>
      </w:tr>
      <w:tr w14:paraId="367B6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DA4B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6C27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总额</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317A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35.00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F524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35.00</w:t>
            </w:r>
          </w:p>
        </w:tc>
        <w:tc>
          <w:tcPr>
            <w:tcW w:w="26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BA0F3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33.60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5FE6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96.00%</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00770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40C0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99542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651F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681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5037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其中：财政资金</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9192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35.00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8DFE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35.00</w:t>
            </w:r>
          </w:p>
        </w:tc>
        <w:tc>
          <w:tcPr>
            <w:tcW w:w="26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543F8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33.60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5E2B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96.00%</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A3CD6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D540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350C8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A7A3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54833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6C5B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财政专户管理资金</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94D0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D183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6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C24CD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5C44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DD1AF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8FBE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E738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2DAF4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A8E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36A5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单位资金</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DBDF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30A8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6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A6F3F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038B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19F53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055F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8892C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76021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09FD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B559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其他资金</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2B5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212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26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2417A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CD55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CDE00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8963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F1A5F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04D47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FD1B6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绩效指标（90分）</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0C3A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一级指标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9CF4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二级指标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58C4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三级指标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14D4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指标性质</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6214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指标值</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0ABC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度量单位</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D996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完成值</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EE0A2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27F8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C944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未完成原因分析</w:t>
            </w:r>
          </w:p>
        </w:tc>
      </w:tr>
      <w:tr w14:paraId="3D48F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839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A93C3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产出指标</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6AD11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数量指标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BFF2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生物安全安保面积</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AD23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A118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12127</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A0B0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平方米/公里</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DB26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12127</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BD293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BDC7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734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37A2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955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E59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5E9C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0A89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聘请安保、消防等人员数量</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5C8F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0E99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74F4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人</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AC95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2FAFA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BFCB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15D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C749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FD01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337E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A9A5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质量指标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0074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生物安全保障率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DC1A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6334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3C6D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5E8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89AAE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3FC3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6078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D1B6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90840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2C0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3D08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时效指标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ECF1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项目完成时间</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2A4C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定性</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AE83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按时完成</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2B1A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D9A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682C9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050A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9BB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DAFC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F13FC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F076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效益指标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E699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社会效益指标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BBAB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提升单位生物安全保障工作</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0926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定性</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27DF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生物安全保障工作完善程度</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FBF0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45BB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较好</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51775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D4AF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17</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635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AA3F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E298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A6BB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满意度指标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3257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服务对象满意度指标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FFF6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职工满意度</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417C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2B8E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37A8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9E24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DD586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3D25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BE10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B254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3511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47CF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成本指标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342A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经济成本指标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3FA9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生物安全安保项目成本</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9638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9732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350000</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7E5D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元</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1251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336000</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3FE24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5625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18</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196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8F78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708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AC2302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合计</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2B5E4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244D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84</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15DA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4056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6FF8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评价结论</w:t>
            </w:r>
          </w:p>
        </w:tc>
        <w:tc>
          <w:tcPr>
            <w:tcW w:w="8855"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28D67E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完成18亩生物安全安保面积（中心区域全覆盖）的管理，聘请7名安保消防人员，确保生物安全保障到位；通过生物安全安保管理，不断提升单位生物安全保障工作水平。</w:t>
            </w:r>
          </w:p>
        </w:tc>
      </w:tr>
      <w:tr w14:paraId="09CF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24A8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存在问题</w:t>
            </w:r>
          </w:p>
        </w:tc>
        <w:tc>
          <w:tcPr>
            <w:tcW w:w="8855"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384151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巡查次数较少</w:t>
            </w:r>
          </w:p>
        </w:tc>
      </w:tr>
      <w:tr w14:paraId="596A5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2AED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改进措施</w:t>
            </w:r>
          </w:p>
        </w:tc>
        <w:tc>
          <w:tcPr>
            <w:tcW w:w="8855"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25C88E2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增加巡查次数日常，确保中心安全隐患零发生</w:t>
            </w:r>
          </w:p>
        </w:tc>
      </w:tr>
      <w:tr w14:paraId="4B4E1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42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A03D4A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项目负责人：苟代武</w:t>
            </w:r>
          </w:p>
        </w:tc>
        <w:tc>
          <w:tcPr>
            <w:tcW w:w="53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D1E49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0E495ABA">
      <w:pPr>
        <w:ind w:left="-129" w:leftChars="-200" w:hanging="291" w:hangingChars="139"/>
        <w:rPr>
          <w:rFonts w:hint="default"/>
          <w:lang w:val="en-US" w:eastAsia="zh-CN"/>
        </w:rPr>
      </w:pPr>
    </w:p>
    <w:tbl>
      <w:tblPr>
        <w:tblStyle w:val="15"/>
        <w:tblW w:w="9920" w:type="dxa"/>
        <w:tblInd w:w="-3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9"/>
        <w:gridCol w:w="902"/>
        <w:gridCol w:w="899"/>
        <w:gridCol w:w="899"/>
        <w:gridCol w:w="899"/>
        <w:gridCol w:w="899"/>
        <w:gridCol w:w="912"/>
        <w:gridCol w:w="899"/>
        <w:gridCol w:w="899"/>
        <w:gridCol w:w="662"/>
        <w:gridCol w:w="1151"/>
      </w:tblGrid>
      <w:tr w14:paraId="4C2F1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7" w:hRule="atLeast"/>
        </w:trPr>
        <w:tc>
          <w:tcPr>
            <w:tcW w:w="992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FC95638">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38E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18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EE28B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11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216937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51320025T000012814113-疾控综合信息管理</w:t>
            </w:r>
          </w:p>
        </w:tc>
      </w:tr>
      <w:tr w14:paraId="5D1C9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1" w:hRule="atLeast"/>
        </w:trPr>
        <w:tc>
          <w:tcPr>
            <w:tcW w:w="180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AC3D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B23C3A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899" w:type="dxa"/>
            <w:tcBorders>
              <w:top w:val="nil"/>
              <w:left w:val="nil"/>
              <w:bottom w:val="nil"/>
              <w:right w:val="nil"/>
            </w:tcBorders>
            <w:shd w:val="clear" w:color="auto" w:fill="FFFFFF"/>
            <w:vAlign w:val="center"/>
          </w:tcPr>
          <w:p w14:paraId="3B512E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CEE7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6B284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2A44C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3343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427BE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097F60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60276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1" w:hRule="atLeas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92F6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D15D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FBC11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通过培训和督导，提高全州信息安全，舆情综合信息管理能力。</w:t>
            </w: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418F8D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完成疾控综合信息管理培训一期、提高了全州的安全健康、全州对于疾控综合信息管理满意度高。</w:t>
            </w:r>
          </w:p>
        </w:tc>
      </w:tr>
      <w:tr w14:paraId="4FC8E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8" w:hRule="atLeas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322A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E172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11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73773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CE7C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9" w:hRule="exac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FEFA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171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3130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87EC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7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176D4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C08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53D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52B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136C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2B935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DA0A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32F8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7A6B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788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4.28</w:t>
            </w:r>
          </w:p>
        </w:tc>
        <w:tc>
          <w:tcPr>
            <w:tcW w:w="27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CB4E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4.28</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59E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D9B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AD19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1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DDA5E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F65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A73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3B2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914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282E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4.28</w:t>
            </w:r>
          </w:p>
        </w:tc>
        <w:tc>
          <w:tcPr>
            <w:tcW w:w="27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AD0F3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4.28</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CAAA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F4E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DC5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D7FF4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2F2C6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A06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53F7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8C20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1FD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9F8A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BC1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6C0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137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DCBE4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0E696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267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97F5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D1E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F37A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9F80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C72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2EE0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146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F8DE1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91F7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B93B8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C2F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8C3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1AD9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27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5A6D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330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D375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C6DE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B0DF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69C4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4" w:hRule="exac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8B2E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210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D115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F246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9EA5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8D59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FDF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278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6D66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8332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5089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0DEBB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4665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05154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DA37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0BA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举办培训班次数</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061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1AC3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927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期</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5438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52F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7055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473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2317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862A9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977B2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25DBE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0BC0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被督导单位数量</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FF7A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E24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911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19E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A588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2EF5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CC1A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BA1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F163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6D24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0510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E387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培训合格率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E27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A28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459C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6970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6288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5885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A4F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5211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A007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35A7E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8776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2CD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9101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5BC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6B73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0E6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B79F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A05B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C7AF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224C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10A8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D703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8BE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1E4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有效提高全州信息安全、舆情综合信息管理能力</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4A56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02DE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达到预期标准</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5AA0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ED0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达到预期标准</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18A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3B1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771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EA6F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31F61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2294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034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帮扶对象满意度指标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758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13县市满意度</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BC2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680B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0E7F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503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7A0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7C6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3B7E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04E5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FDB2C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453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D9C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0E8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差旅费和培训费金额</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895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150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E8BF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B47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42800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1C3F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C77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A9C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16E4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720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39BD27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DEB2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8FD3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87</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7B19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91F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4" w:hRule="atLeast"/>
        </w:trPr>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1D5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2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A760A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通过培训和督导，提高全州信息安全，舆情综合信息管理能力。</w:t>
            </w:r>
          </w:p>
        </w:tc>
      </w:tr>
      <w:tr w14:paraId="1822C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4" w:hRule="atLeast"/>
        </w:trPr>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390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2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2FDB56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部分地区疾控综合信息管理能力较弱，信息安全意识不强。</w:t>
            </w:r>
          </w:p>
        </w:tc>
      </w:tr>
      <w:tr w14:paraId="614C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4" w:hRule="atLeast"/>
        </w:trPr>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25B6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2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B41143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增加对能力薄弱地区的培训以及帮助。</w:t>
            </w:r>
          </w:p>
        </w:tc>
      </w:tr>
      <w:tr w14:paraId="7BE60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trPr>
        <w:tc>
          <w:tcPr>
            <w:tcW w:w="449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195418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项目负责人：苟代武</w:t>
            </w:r>
          </w:p>
        </w:tc>
        <w:tc>
          <w:tcPr>
            <w:tcW w:w="542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5DBEA2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454A501B">
      <w:pPr>
        <w:pStyle w:val="2"/>
        <w:ind w:left="-127" w:leftChars="-200" w:hanging="293" w:hangingChars="139"/>
        <w:rPr>
          <w:rFonts w:hint="default"/>
          <w:lang w:val="en-US" w:eastAsia="zh-CN"/>
        </w:rPr>
      </w:pPr>
    </w:p>
    <w:tbl>
      <w:tblPr>
        <w:tblStyle w:val="15"/>
        <w:tblW w:w="9900" w:type="dxa"/>
        <w:tblInd w:w="-3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9"/>
        <w:gridCol w:w="900"/>
        <w:gridCol w:w="899"/>
        <w:gridCol w:w="899"/>
        <w:gridCol w:w="899"/>
        <w:gridCol w:w="899"/>
        <w:gridCol w:w="903"/>
        <w:gridCol w:w="899"/>
        <w:gridCol w:w="899"/>
        <w:gridCol w:w="748"/>
        <w:gridCol w:w="1056"/>
      </w:tblGrid>
      <w:tr w14:paraId="2161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9" w:hRule="atLeast"/>
        </w:trPr>
        <w:tc>
          <w:tcPr>
            <w:tcW w:w="99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3DA1F9FD">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6168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17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2FE5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10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D2853D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51320025T000012814174-突发公共卫生专项</w:t>
            </w:r>
          </w:p>
        </w:tc>
      </w:tr>
      <w:tr w14:paraId="054E4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9" w:hRule="atLeast"/>
        </w:trPr>
        <w:tc>
          <w:tcPr>
            <w:tcW w:w="17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688E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49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BA246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899" w:type="dxa"/>
            <w:tcBorders>
              <w:top w:val="nil"/>
              <w:left w:val="nil"/>
              <w:bottom w:val="nil"/>
              <w:right w:val="nil"/>
            </w:tcBorders>
            <w:shd w:val="clear" w:color="auto" w:fill="FFFFFF"/>
            <w:vAlign w:val="center"/>
          </w:tcPr>
          <w:p w14:paraId="5C4F52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E3199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07F53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59AF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68D1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49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E4E6A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0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525ABD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113BC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9" w:hRule="atLeas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9855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C55D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449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0BBA15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按照《突发公共卫生事件应急条例》要求,补充中心应急处置物资，有效控制和应对突发公共卫生事件。</w:t>
            </w:r>
          </w:p>
        </w:tc>
        <w:tc>
          <w:tcPr>
            <w:tcW w:w="360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11DC5D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采购了18种应急物资。处置了流感、手足口病疫情。</w:t>
            </w:r>
          </w:p>
        </w:tc>
      </w:tr>
      <w:tr w14:paraId="4F9D6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8" w:hRule="atLeas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A9E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E5FB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10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316BA9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根据预算中心采购了84消毒液、泡腾消毒片、奋斗呐顺式氯氰菊酯、消毒粉（优氯净）及手套、口罩个人防护用品等18种应急物资，为全州有效应对突发公共卫生事件有效应对提供了保障。处置了流感、手足口病疫情。</w:t>
            </w:r>
          </w:p>
        </w:tc>
      </w:tr>
      <w:tr w14:paraId="4085E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58BE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3F9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19B8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C6A5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A50AA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969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FA4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791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6EE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45FD2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8EA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E3EA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25A5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58B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5195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B82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6CB9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B399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4E25F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1B5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B161F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9C51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C63B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37A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80C65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BC2B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BED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B7D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AC4A2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6A6E3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DED2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396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A0B4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1459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D7963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87A0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A7CF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928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CA2A6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071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2EB6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B18B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9EB6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47B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5B5A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074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78EB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0528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5075D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72283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84D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2FCA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255F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616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728E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057B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29B2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4536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C418A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6FFD6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D881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56A5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DD7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559A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1BB9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ABD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0572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9F71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E20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9F17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6E68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70267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73A00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D205D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3A7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4D0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补充应急物资种类</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07CA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5992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884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种</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732D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18种</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B918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3D65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452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1B30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8CDB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A835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B7748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D6E9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应急物资验收合格率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9CCA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81A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90A5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5DDE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C5C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5FB4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2BE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1D05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FAE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3E840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4D57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B31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符合国家对应急物资采购及质量管理的相关要求</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8381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D882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D473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47A0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C30D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4C9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2F0E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DADA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9F70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0D8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6068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F82F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68B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088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788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D28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084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705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6C34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701F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3ADB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14C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1CB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5D7A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有效控制突发公共卫生事件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5901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46F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突发事件处置得当</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54C6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C7D3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突发事件处置得当</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F6D6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8870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29D4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91A3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C4F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87DF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B078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D3B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13县市疾控满意度</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8ABD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140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7E7F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1243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D8A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405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DF5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1DA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C3728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8D65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259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3453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购买应急及常规试剂费用</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981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FEB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46FB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31B5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6946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D5B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277E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ACCA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719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8D4724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A299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2BB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82</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65B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43C0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5F2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0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A0304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该项目资金使用符合相关规定，通过应急物资采购，事件处置有力的保障了全州人民身体健康。</w:t>
            </w:r>
          </w:p>
        </w:tc>
      </w:tr>
      <w:tr w14:paraId="08ED3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B7A5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0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8868A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因消毒剂、个人防护用品有有效期，且保存期短，故每年都在补充。</w:t>
            </w:r>
          </w:p>
        </w:tc>
      </w:tr>
      <w:tr w14:paraId="11DDE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E896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0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48BA0B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及时清理、及时补充，保证发生疫情时能提供充足、有效的应急物资。</w:t>
            </w:r>
          </w:p>
        </w:tc>
      </w:tr>
      <w:tr w14:paraId="3CA89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449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CDEDEF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项目负责人：敬琼</w:t>
            </w:r>
          </w:p>
        </w:tc>
        <w:tc>
          <w:tcPr>
            <w:tcW w:w="540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23BC6E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6B5A92C0">
      <w:pPr>
        <w:ind w:left="-129" w:leftChars="-200" w:hanging="291" w:hangingChars="139"/>
        <w:rPr>
          <w:rFonts w:hint="default"/>
          <w:lang w:val="en-US" w:eastAsia="zh-CN"/>
        </w:rPr>
      </w:pPr>
    </w:p>
    <w:p w14:paraId="69339ADC">
      <w:pPr>
        <w:ind w:left="-129" w:leftChars="-200" w:hanging="291" w:hangingChars="139"/>
        <w:rPr>
          <w:rFonts w:hint="default"/>
          <w:lang w:val="en-US" w:eastAsia="zh-CN"/>
        </w:rPr>
      </w:pPr>
    </w:p>
    <w:tbl>
      <w:tblPr>
        <w:tblStyle w:val="15"/>
        <w:tblW w:w="9900" w:type="dxa"/>
        <w:tblInd w:w="-4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9"/>
        <w:gridCol w:w="900"/>
        <w:gridCol w:w="899"/>
        <w:gridCol w:w="899"/>
        <w:gridCol w:w="899"/>
        <w:gridCol w:w="899"/>
        <w:gridCol w:w="903"/>
        <w:gridCol w:w="899"/>
        <w:gridCol w:w="899"/>
        <w:gridCol w:w="733"/>
        <w:gridCol w:w="1071"/>
      </w:tblGrid>
      <w:tr w14:paraId="70C6A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99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37EBF38">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4A95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7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8E911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10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618F4E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51320023T000007898343-职业病防治</w:t>
            </w:r>
          </w:p>
        </w:tc>
      </w:tr>
      <w:tr w14:paraId="5486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7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43E1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49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B8B108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899" w:type="dxa"/>
            <w:tcBorders>
              <w:top w:val="nil"/>
              <w:left w:val="nil"/>
              <w:bottom w:val="nil"/>
              <w:right w:val="nil"/>
            </w:tcBorders>
            <w:shd w:val="clear" w:color="auto" w:fill="FFFFFF"/>
            <w:vAlign w:val="center"/>
          </w:tcPr>
          <w:p w14:paraId="518BBE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4C8D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7F72E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1498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D7F2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4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6016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A0DCE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6C209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6839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C8B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44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A57CA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加强职业卫生专业技术人员培训，加强学习交流，提升阿坝州职业病防治能力，开展工作场所职业病危害因素现场检测及医用和非医用设备防护检测，推进我州职业病防治工作进一步提升。</w:t>
            </w:r>
          </w:p>
        </w:tc>
        <w:tc>
          <w:tcPr>
            <w:tcW w:w="36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A2B15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举办培训班1期，完成工作场所职业病危害因素检测28家，职业病防治能力得到提升，劳动者健康水平和满意度均得到提升，资金执行率为99.6%</w:t>
            </w:r>
          </w:p>
        </w:tc>
      </w:tr>
      <w:tr w14:paraId="66CBE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6B18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2F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10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80BCF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按照国家省方案制定阿坝州项目工作方案并按工作方案要求实施，并做好质控，按时完成相关工作总结分析报告并上报。</w:t>
            </w:r>
          </w:p>
        </w:tc>
      </w:tr>
      <w:tr w14:paraId="3C968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2DB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EB6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F4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DD0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16D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F9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13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09F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B9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5C68D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D295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79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85D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0EC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4.98</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58E0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4.98</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09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99.60%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C181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BE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F71AD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63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3AC8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EFB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52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286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4.98</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BCB0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4.98</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F482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99.60%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53B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5A5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31F2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9AC4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2E1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DEE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06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1FC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0ADE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A68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70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556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756B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24960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EE1C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68B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236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EE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7FD33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00A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862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1D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FC60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6FF3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29F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FCC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83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4DD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2C86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4DDA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E1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A6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8E0A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1FA8C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A25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C4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D28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912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57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383B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6E2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EE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22F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C7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8A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4747C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CBB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A065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8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1251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DE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举办培训班期数</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9F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82F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DB4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期</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7A0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29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360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9D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BBEC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921B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3521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5AC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5D9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开展工作场所职业病危害因素检测次数</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E36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BB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BD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5CF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402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8D6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978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2805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F23E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B6E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90C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493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培训合格率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05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77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4B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E8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C4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8B6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2FA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B269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C8B0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910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516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9C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E8F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2ED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910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F7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DDE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E54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BF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F31F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040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6E0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570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D37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提升劳动者健康水平</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A77F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D4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劳动者健康水平明显提升</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0FC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D44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明显提升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1D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3A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68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7D27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8D9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D3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CCA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F21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劳动者满意度</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F1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17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685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77F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AAF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AF6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63E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38EC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3DB0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1C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ADD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B1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开展工作差旅费金额</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20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90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50000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98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3F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49800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52C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A34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0F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5D30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19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C436C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47F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7E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88</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88D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8F53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30D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644B4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按照要求按时完成目标任务，举办培训班1期，完成工作场所职业病危害因素检测28家，劳动者健康水平和满意度均得到提升，资金执行率为99.6%，自评得分91分。（200字以内）</w:t>
            </w:r>
          </w:p>
        </w:tc>
      </w:tr>
      <w:tr w14:paraId="310E9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49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DC2D3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1、职业病防治项目资金较少。阿坝州地域较广，工作服务半径大，服务成本较高。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2、职业病防治专业人才匮乏。全州13县（市）疾病预防控制中心无专门科室，均由卫生科室承担五大卫生工作，专业人员人少质弱，专业能力亟待提升。</w:t>
            </w:r>
          </w:p>
        </w:tc>
      </w:tr>
      <w:tr w14:paraId="0FD9A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0BC2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C9FF2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1、建议增加边远地区职业病防治项目工作资金；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2、建议加强对人员业务培训，提升专业技术水平和能力，进一步强化部门协作，加强数据运用。</w:t>
            </w:r>
          </w:p>
        </w:tc>
      </w:tr>
      <w:tr w14:paraId="7E66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4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B6E01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项目负责人：余朝彦</w:t>
            </w:r>
          </w:p>
        </w:tc>
        <w:tc>
          <w:tcPr>
            <w:tcW w:w="540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FB614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405989A9">
      <w:pPr>
        <w:pStyle w:val="2"/>
        <w:ind w:left="-127" w:leftChars="-200" w:hanging="293" w:hangingChars="139"/>
        <w:rPr>
          <w:rFonts w:hint="default"/>
          <w:lang w:val="en-US" w:eastAsia="zh-CN"/>
        </w:rPr>
      </w:pPr>
    </w:p>
    <w:tbl>
      <w:tblPr>
        <w:tblStyle w:val="15"/>
        <w:tblW w:w="9900" w:type="dxa"/>
        <w:tblInd w:w="-39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9"/>
        <w:gridCol w:w="900"/>
        <w:gridCol w:w="899"/>
        <w:gridCol w:w="899"/>
        <w:gridCol w:w="899"/>
        <w:gridCol w:w="899"/>
        <w:gridCol w:w="903"/>
        <w:gridCol w:w="899"/>
        <w:gridCol w:w="102"/>
        <w:gridCol w:w="797"/>
        <w:gridCol w:w="718"/>
        <w:gridCol w:w="1086"/>
      </w:tblGrid>
      <w:tr w14:paraId="08FF0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4" w:hRule="atLeast"/>
        </w:trPr>
        <w:tc>
          <w:tcPr>
            <w:tcW w:w="990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1F021A0">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2BE5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7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22262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10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A9C9B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51320022T000000339341-药品采购</w:t>
            </w:r>
          </w:p>
        </w:tc>
      </w:tr>
      <w:tr w14:paraId="0BD22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49FD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4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714C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1001" w:type="dxa"/>
            <w:gridSpan w:val="2"/>
            <w:tcBorders>
              <w:top w:val="nil"/>
              <w:left w:val="nil"/>
              <w:bottom w:val="nil"/>
              <w:right w:val="nil"/>
            </w:tcBorders>
            <w:shd w:val="clear" w:color="auto" w:fill="auto"/>
            <w:vAlign w:val="center"/>
          </w:tcPr>
          <w:p w14:paraId="01199E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6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412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49811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51E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AA5F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4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047D5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0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0913D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405A9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914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8DBA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44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99F9D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采购皮肤病、性病药品，保障门诊正常运行，提升我州皮肤、性病防治工作能力。</w:t>
            </w:r>
          </w:p>
        </w:tc>
        <w:tc>
          <w:tcPr>
            <w:tcW w:w="360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2B2130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已完成</w:t>
            </w:r>
          </w:p>
        </w:tc>
      </w:tr>
      <w:tr w14:paraId="2C401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5" w:hRule="atLeas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2178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72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1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39C4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州本级下达资金19.70万元，用于皮防所药品采购运转，该项目经费及时批付到位，该项目由分管领导、中心办公室相关责任人、皮防所负责人共同参与，按照政府采购相关制度实施询价采购药品，药品主要用于皮防所门诊，依据合规合法，与预算相符,药品质量达标。采购药品共计51种，其中包括皮肤病常见口服药品、外用药品及治疗需要的耗材，各项药品使用合理，符合资金使用管理办法等相关规定。</w:t>
            </w:r>
          </w:p>
        </w:tc>
      </w:tr>
      <w:tr w14:paraId="002A5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2548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16EB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97F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010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54565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3BF0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D10C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503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45E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72242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D203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193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190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2C4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19.70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16693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19.70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F8B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8082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669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23B87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807E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FA41F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394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469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7E0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19.70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AE9E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19.70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374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8EBB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E862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8F169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41F6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1EB6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9AB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C458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1AAE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47B27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22AF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F697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71D1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7AC81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771A6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D6C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B863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2E92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6819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E154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C641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DE962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B41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EB4EF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65ECB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57F83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819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E241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372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9AA0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DB78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B74A3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3A60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E4E6B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7B9C9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2B26E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56D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1F2E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2DAE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0ED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83F4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AB5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36FA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4E42B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18B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CFBA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2AF77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91926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A5E4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6A56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8BF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药品种类数量</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16D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FB7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F76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种</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A07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F23E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066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E483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35E7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2AB2E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B074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764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A208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符合国家对药品采购及质量管理的合格率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941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C7E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669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00C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EBAF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7F9B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814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3358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292C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BD78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6386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A54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701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3FD9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58C5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90AE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0AFC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6F27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9DE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83E9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41FB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38681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8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92B27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0DA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皮肤病患者疾病认知提升率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9BE8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E71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1FA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F2C6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FBB57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9C2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4CF1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9BFA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B2391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CBD70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5C12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FAB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皮肤病治疗有效率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C864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9BEB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F49A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5CB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62F8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E36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F0B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BCCE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EBBA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C25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A4B4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D80D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患者满意度</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EAF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6915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803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0D42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5B6A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D4D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4481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AF5A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CD54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407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CD3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556D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药品采购费用金额</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1B7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F920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200000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A2E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BC29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197000</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C8F3D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9C8B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B49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4E71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719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D4B97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BE6F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1B36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82</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321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19CE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E288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0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F891E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皮肤病门诊诊疗工作有序开展，通过开展多种诊疗手段，得到患者的一致好评，切实有效的保障了人民的身体健康。</w:t>
            </w:r>
          </w:p>
        </w:tc>
      </w:tr>
      <w:tr w14:paraId="1770A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B7D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0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3D864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部分药品存在短缺或积压现象。</w:t>
            </w:r>
          </w:p>
        </w:tc>
      </w:tr>
      <w:tr w14:paraId="5FD96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E49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0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556746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结合临床用量、历史用量、季节需求、疾病谱等综合制定采购计划，实现供需平衡。</w:t>
            </w:r>
          </w:p>
        </w:tc>
      </w:tr>
      <w:tr w14:paraId="7F950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49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5E79A8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项目负责人：蒲飞</w:t>
            </w:r>
          </w:p>
        </w:tc>
        <w:tc>
          <w:tcPr>
            <w:tcW w:w="54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C45B7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7C80E15E">
      <w:pPr>
        <w:ind w:left="-129" w:leftChars="-200" w:hanging="291" w:hangingChars="139"/>
        <w:rPr>
          <w:rFonts w:hint="default"/>
          <w:lang w:val="en-US" w:eastAsia="zh-CN"/>
        </w:rPr>
      </w:pPr>
    </w:p>
    <w:tbl>
      <w:tblPr>
        <w:tblStyle w:val="15"/>
        <w:tblW w:w="9920" w:type="dxa"/>
        <w:tblInd w:w="-3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0"/>
        <w:gridCol w:w="902"/>
        <w:gridCol w:w="900"/>
        <w:gridCol w:w="900"/>
        <w:gridCol w:w="900"/>
        <w:gridCol w:w="900"/>
        <w:gridCol w:w="908"/>
        <w:gridCol w:w="900"/>
        <w:gridCol w:w="87"/>
        <w:gridCol w:w="813"/>
        <w:gridCol w:w="749"/>
        <w:gridCol w:w="1061"/>
      </w:tblGrid>
      <w:tr w14:paraId="639E1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9920"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763881AE">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5C01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8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C78CD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11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12CC6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51320025T000012814160-食品及饮用水检测能力提升</w:t>
            </w:r>
          </w:p>
        </w:tc>
      </w:tr>
      <w:tr w14:paraId="0DFE1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D0E7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F8295F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987" w:type="dxa"/>
            <w:gridSpan w:val="2"/>
            <w:tcBorders>
              <w:top w:val="nil"/>
              <w:left w:val="nil"/>
              <w:bottom w:val="nil"/>
              <w:right w:val="nil"/>
            </w:tcBorders>
            <w:shd w:val="clear" w:color="auto" w:fill="FFFFFF"/>
            <w:vAlign w:val="center"/>
          </w:tcPr>
          <w:p w14:paraId="088F898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6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8D0B6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7DAA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6178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325FC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9CB96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1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668860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4AA5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8"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393D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7D7D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450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6E7791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通过购买相关仪器设备，提升食品风险监测和生活饮用水检测能力，保障食品安全和饮用水安全。</w:t>
            </w:r>
          </w:p>
        </w:tc>
        <w:tc>
          <w:tcPr>
            <w:tcW w:w="361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E782DF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购买一台全自动微萃取进样系统，完成食品安全风险监测和生活饮用水的监测任务数。</w:t>
            </w:r>
          </w:p>
        </w:tc>
      </w:tr>
      <w:tr w14:paraId="730B9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8"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7904A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23AE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11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5A99D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7449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45712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710E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11E1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BCEB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7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F9A9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EBD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4AFB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C89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C03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31D96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F0E7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A909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587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FE83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55.00</w:t>
            </w:r>
          </w:p>
        </w:tc>
        <w:tc>
          <w:tcPr>
            <w:tcW w:w="27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344CB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54.80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1AC3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99.64%</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AAD5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2B13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4320E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1733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1D70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9552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1A2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32F6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55.00</w:t>
            </w:r>
          </w:p>
        </w:tc>
        <w:tc>
          <w:tcPr>
            <w:tcW w:w="27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CACEE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54.80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EE1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99.64%</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FCD5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C736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10C3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79D13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BE10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27AF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4097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1B4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5A50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2B7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8B9E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6789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59F07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7B5AC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4D71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AE7F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3398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603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7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3D6AD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3F75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A466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052E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B8F57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102D6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994C0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283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F5FA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A43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27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1DA2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A4F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8CE63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D38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D3A6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5ABA3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1FC5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26B9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BD2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EA15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91A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BD8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F25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CF8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0F17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A29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AB2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5F316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2713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C012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715D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5754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检测项目数</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A36A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AA33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5F5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B2E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DA070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B7C0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81A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3CFE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32F4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5C3B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B4B2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C2A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购买检测设备数量</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1A77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2B90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4E84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7D6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F13C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1A1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476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F4C6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CF5FE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CFE1F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CC08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8B7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水质、食品检测完成率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7663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4DE1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EC6E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76E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EF6C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5B1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2AB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0B46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0279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6ADB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46D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8DA1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F45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65B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FC9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4FEF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按时完成</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97C1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2DCE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FD73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DF85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7F15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8DB3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E20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A13D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水质、食品检测能力提升情况</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E399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A85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明显提升</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25A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BB3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明显提升</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B9FB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0687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14DF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BCFC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2CD5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ADE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DE74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8BB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群众满意度</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26A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36E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DDD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26F9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94E1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B9C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E09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7E8D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52020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AACA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15B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8D8A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购买设备成本</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DCF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0ED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550000</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821B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0AED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542000</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452D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45E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5FDD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2F7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721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5273D9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18E0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73F9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81</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DFAE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6044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514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2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3545AF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自评，本项目各项指标均完成，自评总分达标。项目于2025年底分别完成食品安全风险监测和饮用水监测任务数，分别开展各1期食品风险监测和饮用水监测专项培训。通过常态化工作指导、规范数据审核及质量控制，全州食品安全风险监测和饮用水监测水平稳步提升，项目实施成效良好。</w:t>
            </w:r>
          </w:p>
        </w:tc>
      </w:tr>
      <w:tr w14:paraId="7DDF3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7FD3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2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2E2D63A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7D388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BFD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2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30226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75B0E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50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8ED59C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项目负责人：彭刚</w:t>
            </w:r>
          </w:p>
        </w:tc>
        <w:tc>
          <w:tcPr>
            <w:tcW w:w="54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D50D9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2956C2C3">
      <w:pPr>
        <w:pStyle w:val="2"/>
        <w:ind w:left="-127" w:leftChars="-200" w:hanging="293" w:hangingChars="139"/>
        <w:rPr>
          <w:rFonts w:hint="default"/>
          <w:lang w:val="en-US" w:eastAsia="zh-CN"/>
        </w:rPr>
      </w:pPr>
    </w:p>
    <w:tbl>
      <w:tblPr>
        <w:tblStyle w:val="15"/>
        <w:tblW w:w="9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2"/>
        <w:gridCol w:w="24"/>
        <w:gridCol w:w="880"/>
        <w:gridCol w:w="47"/>
        <w:gridCol w:w="136"/>
        <w:gridCol w:w="719"/>
        <w:gridCol w:w="151"/>
        <w:gridCol w:w="1185"/>
        <w:gridCol w:w="28"/>
        <w:gridCol w:w="615"/>
        <w:gridCol w:w="137"/>
        <w:gridCol w:w="590"/>
        <w:gridCol w:w="323"/>
        <w:gridCol w:w="122"/>
        <w:gridCol w:w="464"/>
        <w:gridCol w:w="167"/>
        <w:gridCol w:w="735"/>
        <w:gridCol w:w="119"/>
        <w:gridCol w:w="712"/>
        <w:gridCol w:w="71"/>
        <w:gridCol w:w="507"/>
        <w:gridCol w:w="238"/>
        <w:gridCol w:w="1067"/>
        <w:gridCol w:w="1"/>
      </w:tblGrid>
      <w:tr w14:paraId="2275D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315" w:hRule="atLeast"/>
        </w:trPr>
        <w:tc>
          <w:tcPr>
            <w:tcW w:w="185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50DF61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086" w:type="dxa"/>
            <w:gridSpan w:val="19"/>
            <w:tcBorders>
              <w:top w:val="single" w:color="000000" w:sz="4" w:space="0"/>
              <w:left w:val="single" w:color="000000" w:sz="4" w:space="0"/>
              <w:bottom w:val="single" w:color="000000" w:sz="4" w:space="0"/>
              <w:right w:val="single" w:color="000000" w:sz="4" w:space="0"/>
            </w:tcBorders>
            <w:shd w:val="clear" w:color="auto" w:fill="FFFFFF"/>
            <w:vAlign w:val="center"/>
          </w:tcPr>
          <w:p w14:paraId="5C419879">
            <w:pPr>
              <w:keepNext w:val="0"/>
              <w:keepLines w:val="0"/>
              <w:widowControl/>
              <w:suppressLineNumbers w:val="0"/>
              <w:jc w:val="left"/>
              <w:textAlignment w:val="center"/>
              <w:rPr>
                <w:rFonts w:hint="eastAsia"/>
                <w:lang w:val="en-US" w:eastAsia="zh-CN"/>
              </w:rPr>
            </w:pPr>
            <w:r>
              <w:rPr>
                <w:rFonts w:hint="eastAsia" w:ascii="宋体" w:hAnsi="宋体" w:eastAsia="宋体" w:cs="宋体"/>
                <w:i w:val="0"/>
                <w:iCs w:val="0"/>
                <w:color w:val="000000"/>
                <w:kern w:val="0"/>
                <w:sz w:val="18"/>
                <w:szCs w:val="18"/>
                <w:u w:val="none"/>
                <w:lang w:val="en-US" w:eastAsia="zh-CN" w:bidi="ar"/>
              </w:rPr>
              <w:t>51320022T000005995406-中央和省财政基本公共卫生服务补助资金2024-36号</w:t>
            </w:r>
          </w:p>
        </w:tc>
      </w:tr>
      <w:tr w14:paraId="60494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90" w:hRule="atLeast"/>
        </w:trPr>
        <w:tc>
          <w:tcPr>
            <w:tcW w:w="185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C2D178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637"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494D116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854" w:type="dxa"/>
            <w:gridSpan w:val="2"/>
            <w:tcBorders>
              <w:top w:val="nil"/>
              <w:left w:val="nil"/>
              <w:bottom w:val="nil"/>
              <w:right w:val="nil"/>
            </w:tcBorders>
            <w:shd w:val="clear" w:color="auto" w:fill="FFFFFF"/>
            <w:vAlign w:val="center"/>
          </w:tcPr>
          <w:p w14:paraId="2F75FA0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59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2FD47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68666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405" w:hRule="atLeast"/>
        </w:trPr>
        <w:tc>
          <w:tcPr>
            <w:tcW w:w="92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69734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2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06D7A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637"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0CEAB1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4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E1364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5BDB2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2925" w:hRule="atLeas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6AA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4691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4637"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3BDC443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费向城乡居民提供基本卫生服务，开展重点疾病危害因素监测，有效控制疾病流行，为制定相关政策提供依据，包场吃重点地方病防治措施全面落实，开展职业病监测，最大限度的保护放射工作人员、患者和公众的健康权益，健康素养促进，医养结合和老年健康服务，卫生应急，计划生育等方面工作。</w:t>
            </w:r>
          </w:p>
        </w:tc>
        <w:tc>
          <w:tcPr>
            <w:tcW w:w="34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B3B04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1.地方病防治资金28万元，用于州疾控中心组织13个县（市）开展相关地方病防治项目实施、人员培训、质量控制、技术指导、社会动员以及项目管理等。</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2.职业病下达26.54万元，按照项目方案的要求全面完成重点职业病监测项目、工作场所职业病危害因素监测、辐射防护（含医疗、非医疗机构）与放射性职业病监测项目等绩效目标任务。</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3.基本公共卫生下达8万元,用于开展国家基本公共卫生服务项目工作现场指导和现场评价工作，已完成对13县（市）指导中心，</w:t>
            </w:r>
            <w:r>
              <w:rPr>
                <w:rFonts w:hint="eastAsia" w:ascii="宋体" w:hAnsi="宋体" w:eastAsia="宋体" w:cs="宋体"/>
                <w:i w:val="0"/>
                <w:iCs w:val="0"/>
                <w:color w:val="000000"/>
                <w:kern w:val="0"/>
                <w:sz w:val="18"/>
                <w:szCs w:val="18"/>
                <w:u w:val="none"/>
                <w:lang w:val="en-US" w:eastAsia="zh-CN" w:bidi="ar"/>
              </w:rPr>
              <w:t>13</w:t>
            </w:r>
            <w:r>
              <w:rPr>
                <w:rFonts w:hint="default" w:ascii="宋体" w:hAnsi="宋体" w:eastAsia="宋体" w:cs="宋体"/>
                <w:i w:val="0"/>
                <w:iCs w:val="0"/>
                <w:color w:val="000000"/>
                <w:kern w:val="0"/>
                <w:sz w:val="18"/>
                <w:szCs w:val="18"/>
                <w:u w:val="none"/>
                <w:lang w:val="en-US" w:eastAsia="zh-CN" w:bidi="ar"/>
              </w:rPr>
              <w:t>个乡镇、社区医疗机构现场指导和现场评价工作。</w:t>
            </w:r>
          </w:p>
        </w:tc>
      </w:tr>
      <w:tr w14:paraId="100BD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720" w:hRule="atLeas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6DC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9CB1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086" w:type="dxa"/>
            <w:gridSpan w:val="19"/>
            <w:tcBorders>
              <w:top w:val="single" w:color="000000" w:sz="4" w:space="0"/>
              <w:left w:val="single" w:color="000000" w:sz="4" w:space="0"/>
              <w:bottom w:val="single" w:color="000000" w:sz="4" w:space="0"/>
              <w:right w:val="single" w:color="000000" w:sz="4" w:space="0"/>
            </w:tcBorders>
            <w:shd w:val="clear" w:color="auto" w:fill="FFFFFF"/>
            <w:vAlign w:val="center"/>
          </w:tcPr>
          <w:p w14:paraId="315192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1.开展地方病监测，完成指导评价、质控等工作，规范治疗、管理、随访、健康管理全过程，各项指标均稳定推进并取得良好成效。2.疟疾开展技术指导，全国疟疾日宣传等综合管理</w:t>
            </w:r>
          </w:p>
        </w:tc>
      </w:tr>
      <w:tr w14:paraId="7CD57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769" w:hRule="exact"/>
        </w:trPr>
        <w:tc>
          <w:tcPr>
            <w:tcW w:w="92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7AD9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10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3577B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 （万元）</w:t>
            </w:r>
          </w:p>
        </w:tc>
        <w:tc>
          <w:tcPr>
            <w:tcW w:w="8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1536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58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44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0F077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DC971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439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8951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10C5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75269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1134"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80355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52F3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10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62A6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BEF3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11.11</w:t>
            </w:r>
          </w:p>
        </w:tc>
        <w:tc>
          <w:tcPr>
            <w:tcW w:w="244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4E64E0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11.11</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18AD4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0DCE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82D0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0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5AEFB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345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1134"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8902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0AFD5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10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7DBB3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BE20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11.11</w:t>
            </w:r>
          </w:p>
        </w:tc>
        <w:tc>
          <w:tcPr>
            <w:tcW w:w="244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B298B3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11.11</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FAD9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DA67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EC24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30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72E4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17DE2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1134"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B3E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6D6A1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10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A6EC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6934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44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16B7F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E57A6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1BE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86F31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30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57FC2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56824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1134"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577F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EDA27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10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706AD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67BF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44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D7343E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C742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91C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4A7F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30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DD2F9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7E405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1134"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8D2C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1664A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10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58BB5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BC83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c>
          <w:tcPr>
            <w:tcW w:w="244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D89F23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D0A13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247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414E8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30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8701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989E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907" w:hRule="exact"/>
        </w:trPr>
        <w:tc>
          <w:tcPr>
            <w:tcW w:w="92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C2A3D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5138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10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D15C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A706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F22CF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10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E02B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63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244CB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2ED38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3129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3B8E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8166F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218FE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907"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944D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46120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100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F429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1867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疟疾媒介调查点工作完成率</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D15B0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F534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63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2D3B1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2C272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A1BD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36A1A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67E76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63A0E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907"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718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AA4B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E398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A31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地方病监测完成率</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0DFDC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AE5A6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63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175E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7FB71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A94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1C168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45D8D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500A7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907"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2DB5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D1A99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E6C9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8E5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麻风病可疑线索报告率</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568EC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DCE85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63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DA74B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54C2A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108.2</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48D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46FB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E3129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7AD17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907"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6376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19C20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CF532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BFAF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传染病和突发公共卫生事件报告率</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4602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14027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63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2A79E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ECBAF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98</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C13A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C13BF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6680A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7575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907"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F55D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0834B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10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A3279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69F1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城乡公共卫生差距</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FEB35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10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02A2F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不断缩小</w:t>
            </w:r>
          </w:p>
        </w:tc>
        <w:tc>
          <w:tcPr>
            <w:tcW w:w="63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78B5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4A510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不断缩小</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3C1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9229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95B57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12DA9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907"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0B95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526F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62BB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3BC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基本公共卫生服务水平</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7919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10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CEFB1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持续提高</w:t>
            </w:r>
          </w:p>
        </w:tc>
        <w:tc>
          <w:tcPr>
            <w:tcW w:w="63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960F6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83661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持续提高</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B70F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2EE7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EA308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1F5A5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907" w:hRule="exact"/>
        </w:trPr>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0FF2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C6FE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10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4DAF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B7FD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85370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10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E6993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w:t>
            </w:r>
          </w:p>
        </w:tc>
        <w:tc>
          <w:tcPr>
            <w:tcW w:w="63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1998E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615A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B4B7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5F46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D0732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23EFD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315" w:hRule="atLeast"/>
        </w:trPr>
        <w:tc>
          <w:tcPr>
            <w:tcW w:w="7344"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3D749FA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889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00E7B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83</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75C6E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41CB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2920" w:hRule="atLeast"/>
        </w:trPr>
        <w:tc>
          <w:tcPr>
            <w:tcW w:w="9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7DE29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13" w:type="dxa"/>
            <w:gridSpan w:val="21"/>
            <w:tcBorders>
              <w:top w:val="single" w:color="000000" w:sz="4" w:space="0"/>
              <w:left w:val="single" w:color="000000" w:sz="4" w:space="0"/>
              <w:bottom w:val="single" w:color="000000" w:sz="4" w:space="0"/>
              <w:right w:val="single" w:color="000000" w:sz="4" w:space="0"/>
            </w:tcBorders>
            <w:shd w:val="clear" w:color="auto" w:fill="FFFFFF"/>
            <w:vAlign w:val="center"/>
          </w:tcPr>
          <w:p w14:paraId="09DBAC3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地方病：全面完成地方病中财、省财任务，按照国家要求地方病核心指标监测率≥90%，实际地方病核心指标监测率100%，其中碘缺乏病核心指标监测率100%，大骨节病核心指标监测率100%，克山病核心指标检测率100%，饮茶型地氟病核心指标监测率100%，饮水型砷中毒核心指标监测率100%。</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地方病监测完成率100%。其中碘缺乏病监测完成率100%，大骨节病监测指标完成率100%，克山病监测指标完成率100%，饮茶型地氟病监测完成率100%，饮水型砷中毒监测完成率100%。</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2.职业病：按照项目方案的要求全面完成重点职业病监测项目、工作场所职业病危害因素监测、辐射防护（含医疗、非医疗机构）与放射性职业病监测项目等绩效目标任务。</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基本公共卫生：2024年健康档案建档率为94.49%，动态管理率37.90%；儿童眼保健和视力检查覆盖率92.11%；新生儿访视率96.85%；早孕建册率92.00%，产后访视96.10%；老年人规范健康管理服务率64.42%；管理高血压患者规范管理率70.51%，控制率70.34%；糖尿病患者规范管理率71.69%，控制率75.71%；严重精神疾病患者规范化管理率为96.55%；肺结核患者管理率97.39%，肺结核患者规则服药率99.43%；</w:t>
            </w:r>
          </w:p>
        </w:tc>
      </w:tr>
      <w:tr w14:paraId="78E4D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1260" w:hRule="atLeast"/>
        </w:trPr>
        <w:tc>
          <w:tcPr>
            <w:tcW w:w="9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4DA1E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13" w:type="dxa"/>
            <w:gridSpan w:val="21"/>
            <w:tcBorders>
              <w:top w:val="single" w:color="000000" w:sz="4" w:space="0"/>
              <w:left w:val="single" w:color="000000" w:sz="4" w:space="0"/>
              <w:bottom w:val="single" w:color="000000" w:sz="4" w:space="0"/>
              <w:right w:val="single" w:color="000000" w:sz="4" w:space="0"/>
            </w:tcBorders>
            <w:shd w:val="clear" w:color="auto" w:fill="FFFFFF"/>
            <w:vAlign w:val="center"/>
          </w:tcPr>
          <w:p w14:paraId="4712BD9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部分县（市）政府重视程度不够；地方病防治能力不足（专业技术人员缺乏、设施设备老化）；健康意识不高。</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工作建议：各级政府要提高思想认识，相关单位明确责任，密切配合，组织好重点监测工作，同时在病区开展防治宣传，增强防病意识，使居民能积极参与到监测调查中，提高监测质量。增加经费投入更新升级设施设备。</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2.我州、县疾控机构病防无专门科室，卫生科室承担五大卫生工作，专业人员人少质弱，专业能力亟待提升。</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下步按照省下达的项目工作方案认真组织实施相关项目工作。同时做好人员培训，提升专业技术水平和能力，进一步强化部门协作，加强数据运用。</w:t>
            </w:r>
          </w:p>
        </w:tc>
      </w:tr>
      <w:tr w14:paraId="7DF7F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565" w:hRule="atLeast"/>
        </w:trPr>
        <w:tc>
          <w:tcPr>
            <w:tcW w:w="9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148FD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13" w:type="dxa"/>
            <w:gridSpan w:val="21"/>
            <w:tcBorders>
              <w:top w:val="single" w:color="000000" w:sz="4" w:space="0"/>
              <w:left w:val="single" w:color="000000" w:sz="4" w:space="0"/>
              <w:bottom w:val="single" w:color="000000" w:sz="4" w:space="0"/>
              <w:right w:val="single" w:color="000000" w:sz="4" w:space="0"/>
            </w:tcBorders>
            <w:shd w:val="clear" w:color="auto" w:fill="FFFFFF"/>
            <w:vAlign w:val="center"/>
          </w:tcPr>
          <w:p w14:paraId="00D1AE8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针对项目自评中发现的问题，提出下一步改进完善的意见及有关政策性建议。（200字以内）</w:t>
            </w:r>
          </w:p>
        </w:tc>
      </w:tr>
      <w:tr w14:paraId="4000A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dxa"/>
          <w:trHeight w:val="315" w:hRule="atLeast"/>
        </w:trPr>
        <w:tc>
          <w:tcPr>
            <w:tcW w:w="482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2C0174F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项目负责人：李民杰、余朝彦等</w:t>
            </w:r>
          </w:p>
        </w:tc>
        <w:tc>
          <w:tcPr>
            <w:tcW w:w="5115"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647C28A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r w14:paraId="5670F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9940" w:type="dxa"/>
            <w:gridSpan w:val="24"/>
            <w:tcBorders>
              <w:top w:val="single" w:color="000000" w:sz="4" w:space="0"/>
              <w:left w:val="single" w:color="000000" w:sz="4" w:space="0"/>
              <w:bottom w:val="single" w:color="000000" w:sz="4" w:space="0"/>
              <w:right w:val="single" w:color="000000" w:sz="4" w:space="0"/>
            </w:tcBorders>
            <w:shd w:val="clear" w:color="auto" w:fill="FFFFFF"/>
            <w:vAlign w:val="center"/>
          </w:tcPr>
          <w:p w14:paraId="189F59DA">
            <w:pPr>
              <w:keepNext w:val="0"/>
              <w:keepLines w:val="0"/>
              <w:widowControl/>
              <w:suppressLineNumbers w:val="0"/>
              <w:tabs>
                <w:tab w:val="left" w:pos="5040"/>
              </w:tabs>
              <w:ind w:left="0" w:leftChars="0" w:firstLine="0" w:firstLineChars="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B25C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18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A9662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项目名称</w:t>
            </w:r>
          </w:p>
        </w:tc>
        <w:tc>
          <w:tcPr>
            <w:tcW w:w="8134" w:type="dxa"/>
            <w:gridSpan w:val="21"/>
            <w:tcBorders>
              <w:top w:val="single" w:color="000000" w:sz="4" w:space="0"/>
              <w:left w:val="single" w:color="000000" w:sz="4" w:space="0"/>
              <w:bottom w:val="single" w:color="000000" w:sz="4" w:space="0"/>
              <w:right w:val="single" w:color="000000" w:sz="4" w:space="0"/>
            </w:tcBorders>
            <w:shd w:val="clear" w:color="auto" w:fill="FFFFFF"/>
            <w:vAlign w:val="center"/>
          </w:tcPr>
          <w:p w14:paraId="422E75D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51320024T000011467523-医疗服务与保障能力提升财政补助资金25-5号和25-73号</w:t>
            </w:r>
          </w:p>
        </w:tc>
      </w:tr>
      <w:tr w14:paraId="3F78C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18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3B9C2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主管部门</w:t>
            </w:r>
          </w:p>
        </w:tc>
        <w:tc>
          <w:tcPr>
            <w:tcW w:w="4517"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3F37468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州卫生健康委部门</w:t>
            </w:r>
          </w:p>
        </w:tc>
        <w:tc>
          <w:tcPr>
            <w:tcW w:w="902" w:type="dxa"/>
            <w:gridSpan w:val="2"/>
            <w:tcBorders>
              <w:top w:val="nil"/>
              <w:left w:val="nil"/>
              <w:bottom w:val="nil"/>
              <w:right w:val="nil"/>
            </w:tcBorders>
            <w:shd w:val="clear" w:color="auto" w:fill="FFFFFF"/>
            <w:vAlign w:val="center"/>
          </w:tcPr>
          <w:p w14:paraId="74ABA94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70F9D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州疾控中心</w:t>
            </w:r>
          </w:p>
        </w:tc>
      </w:tr>
      <w:tr w14:paraId="44BB5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8ADEC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项目基本情况</w:t>
            </w:r>
          </w:p>
        </w:tc>
        <w:tc>
          <w:tcPr>
            <w:tcW w:w="90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432F9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1.项目年度目标完成情况</w:t>
            </w:r>
          </w:p>
        </w:tc>
        <w:tc>
          <w:tcPr>
            <w:tcW w:w="4517"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5935F0C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项目年度目标</w:t>
            </w:r>
          </w:p>
        </w:tc>
        <w:tc>
          <w:tcPr>
            <w:tcW w:w="361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4CFC76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01F71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68" w:hRule="atLeas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0AB9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A475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393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D60104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医疗服务与保障能力提升补助资金（能力建设部分）</w:t>
            </w:r>
          </w:p>
        </w:tc>
        <w:tc>
          <w:tcPr>
            <w:tcW w:w="4203"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DDAC93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按要求购买了相应的检测试剂、耗材与设备，参加了省级检测质量考核评价。项目覆盖发热呼吸道、腹泻、发热伴出血以及脑膜炎共五大症候群，涵盖细菌、病毒、真菌和寄生虫等多种类型的病源；同时开展抗结核药物敏感性试验熟练度测试。</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2、动态评估检测和处置试剂。包括评估不同检测方法、不同类型试剂在各地实验室内部检测系统下的及时性、特异性与灵敏度等指标。通过质量考核与设备更新提高了传染病实验室的检验检测能力。</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3、按照监测预警队伍建设和人才培养资金使用要求，州疾控中心应急办应组织开展为期7天的短期培训，培训对象为13县（市）疾控中心、医疗机构从事传染病疫情监测预警相关工作的专业人员，共培训53人次。</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4、按照传染病应急专业人才培训资金使用要求，州疾控中心应急办应组织开展为期2天的短期培训，培训对象为13县（市）疾控中心、医疗机构从事传染病应急相关工作的专业人员，共培训150人。州疾控中心应急办组织开展了两期培训班，培训内容、人次、时长均符合文件要求。</w:t>
            </w:r>
          </w:p>
        </w:tc>
      </w:tr>
      <w:tr w14:paraId="7857B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8" w:hRule="atLeas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CF3CAF">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52889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2.项目实施内容及过程概述</w:t>
            </w:r>
          </w:p>
        </w:tc>
        <w:tc>
          <w:tcPr>
            <w:tcW w:w="8134" w:type="dxa"/>
            <w:gridSpan w:val="21"/>
            <w:tcBorders>
              <w:top w:val="single" w:color="000000" w:sz="4" w:space="0"/>
              <w:left w:val="single" w:color="000000" w:sz="4" w:space="0"/>
              <w:bottom w:val="single" w:color="000000" w:sz="4" w:space="0"/>
              <w:right w:val="single" w:color="000000" w:sz="4" w:space="0"/>
            </w:tcBorders>
            <w:shd w:val="clear" w:color="auto" w:fill="FFFFFF"/>
            <w:vAlign w:val="center"/>
          </w:tcPr>
          <w:p w14:paraId="7B602DA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按照实施方案要求，高质量完成了传染病实验室检测质量考评和动态评估检测试剂；2、依据实施方案，购置了致病菌识别网前处理设备及结核病分子耐药检测设备。州疾控中心于2025年6月16日至22日在马尔康市成功举办了“全州传染病应急与监测预警基层专业人才培训班”各县（市）疾控中心、医疗机构的专业骨干共计150余人参加了此次培训。其中监测预警基层专业人才培训班，共53人，传染病应急专业培训班，共155人。</w:t>
            </w:r>
          </w:p>
        </w:tc>
      </w:tr>
      <w:tr w14:paraId="084D6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48F0CB">
            <w:pPr>
              <w:keepNext w:val="0"/>
              <w:keepLines w:val="0"/>
              <w:widowControl/>
              <w:suppressLineNumbers w:val="0"/>
              <w:tabs>
                <w:tab w:val="left" w:pos="5040"/>
              </w:tabs>
              <w:ind w:left="0" w:leftChars="0" w:firstLine="0" w:firstLineChars="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预算执行情况（10分）</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3B1D0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年度预算数（万元）</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511A2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年初预算</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7DEB6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调整后预算数</w:t>
            </w:r>
          </w:p>
        </w:tc>
        <w:tc>
          <w:tcPr>
            <w:tcW w:w="225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A1F527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预算执行数</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8093E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预算执行率</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B3ADA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9BA81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2DA14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原因</w:t>
            </w:r>
          </w:p>
        </w:tc>
      </w:tr>
      <w:tr w14:paraId="60BD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2A5594">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829BB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总额</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AA8EC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E9FB7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82.92</w:t>
            </w:r>
          </w:p>
        </w:tc>
        <w:tc>
          <w:tcPr>
            <w:tcW w:w="225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C8E6B5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82.62</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B2C92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99.64%</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3A1D5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06BA8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w:t>
            </w:r>
          </w:p>
        </w:tc>
        <w:tc>
          <w:tcPr>
            <w:tcW w:w="1068"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C1DFA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A556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8729AB">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65D81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其中：财政资金</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E7DC0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33697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82.92</w:t>
            </w:r>
          </w:p>
        </w:tc>
        <w:tc>
          <w:tcPr>
            <w:tcW w:w="225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BFE960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82.62</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9311E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99.64%</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BDD5F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74FCE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6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FC318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2697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172726">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A7D8C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财政专户管理资金</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B1B06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9A7CD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25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1A6BCA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1A6D0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3A809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6CA18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6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E8146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49E9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60BF2F">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3D45C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单位资金</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327A9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C761A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25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9240B6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C998C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9C874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993E8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6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67EF3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DDC8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6A4FAC">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C04D2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其他资金</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CC55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FCE99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c>
          <w:tcPr>
            <w:tcW w:w="225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60B354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2A46B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079EE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42771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6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80D62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50C68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8" w:hRule="atLeast"/>
        </w:trPr>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D80511">
            <w:pPr>
              <w:keepNext w:val="0"/>
              <w:keepLines w:val="0"/>
              <w:widowControl/>
              <w:suppressLineNumbers w:val="0"/>
              <w:tabs>
                <w:tab w:val="left" w:pos="5040"/>
              </w:tabs>
              <w:ind w:left="0" w:leftChars="0" w:firstLine="0" w:firstLineChars="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绩效指标（90分）</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2FC3E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一级指标</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177A7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二级指标</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5FCC3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三级指标</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5571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指标性质</w:t>
            </w:r>
          </w:p>
        </w:tc>
        <w:tc>
          <w:tcPr>
            <w:tcW w:w="7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87223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指标值</w:t>
            </w:r>
          </w:p>
        </w:tc>
        <w:tc>
          <w:tcPr>
            <w:tcW w:w="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DDA6D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度量单位</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425BA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完成值</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2D278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539EE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427FC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未完成原因分析</w:t>
            </w:r>
          </w:p>
        </w:tc>
      </w:tr>
      <w:tr w14:paraId="2313F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A29D5">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9EA2D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产出指标</w:t>
            </w:r>
          </w:p>
        </w:tc>
        <w:tc>
          <w:tcPr>
            <w:tcW w:w="9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DA5DE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数量指标</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E50CA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传染病应急参训人员的培训完成率</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87E4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87A41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95</w:t>
            </w:r>
          </w:p>
        </w:tc>
        <w:tc>
          <w:tcPr>
            <w:tcW w:w="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892A8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45434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956EA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5662B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E5A6E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51A1F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F6FA89">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9295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0AD6A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5B07D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登革热监测次数</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D15A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6BDD2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w:t>
            </w:r>
          </w:p>
        </w:tc>
        <w:tc>
          <w:tcPr>
            <w:tcW w:w="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F2E0C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次</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94156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F6B06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6619E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513C7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01AD6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40D4C">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B9B5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ABD8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45F3C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监测预警基层专业人员培训人数完成率</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DD08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D997A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547E9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A799D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E2057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43647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C687F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F3D0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6A54A">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C0253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16686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质量指标</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0113E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技术升级和业务保障能力提升</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0927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定性</w:t>
            </w:r>
          </w:p>
        </w:tc>
        <w:tc>
          <w:tcPr>
            <w:tcW w:w="7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EC1BD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逐步提升</w:t>
            </w:r>
          </w:p>
        </w:tc>
        <w:tc>
          <w:tcPr>
            <w:tcW w:w="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D843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ABACE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逐步提升</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D150F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ECACD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F2F35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53288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76D80">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4F19F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效益指标</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3CF27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社会效益指标</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B99E4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国家卫生应急队伍应对突发事件能力</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6F34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定性</w:t>
            </w:r>
          </w:p>
        </w:tc>
        <w:tc>
          <w:tcPr>
            <w:tcW w:w="7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075C6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逐步增强</w:t>
            </w:r>
          </w:p>
        </w:tc>
        <w:tc>
          <w:tcPr>
            <w:tcW w:w="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3A5D0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B949C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逐步增强</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F9325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77D7A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3F8AB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46FE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E9A0B">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7FB3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BE224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可持续影响指标</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1F254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传染病智慧化监测预警和风险评估能力</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5E46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定性</w:t>
            </w:r>
          </w:p>
        </w:tc>
        <w:tc>
          <w:tcPr>
            <w:tcW w:w="7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38C1E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有效提升</w:t>
            </w:r>
          </w:p>
        </w:tc>
        <w:tc>
          <w:tcPr>
            <w:tcW w:w="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802E5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38B73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有效提升</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A8461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1414F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15</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54729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2D68F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359751">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E9F28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满意度指标</w:t>
            </w:r>
          </w:p>
        </w:tc>
        <w:tc>
          <w:tcPr>
            <w:tcW w:w="9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DB8F2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服务对象满意度指标</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86379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监测预警培训学员满意度</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A007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BF913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3B0D7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B442F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95</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D70F2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0B2C4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B118E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6A256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6AAF41">
            <w:pPr>
              <w:keepNext w:val="0"/>
              <w:keepLines w:val="0"/>
              <w:widowControl/>
              <w:suppressLineNumbers w:val="0"/>
              <w:tabs>
                <w:tab w:val="left" w:pos="5040"/>
              </w:tabs>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8FC0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170B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A2B46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传染病应急处置培训学员满意度</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3C36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2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9B912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4B26A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E9468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95</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A8406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02A48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DBBC5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1B298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5" w:type="dxa"/>
            <w:gridSpan w:val="17"/>
            <w:tcBorders>
              <w:top w:val="single" w:color="000000" w:sz="4" w:space="0"/>
              <w:left w:val="single" w:color="000000" w:sz="4" w:space="0"/>
              <w:bottom w:val="single" w:color="000000" w:sz="4" w:space="0"/>
              <w:right w:val="single" w:color="000000" w:sz="4" w:space="0"/>
            </w:tcBorders>
            <w:shd w:val="clear" w:color="auto" w:fill="FFFFFF"/>
            <w:vAlign w:val="center"/>
          </w:tcPr>
          <w:p w14:paraId="5521BD2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合计</w:t>
            </w:r>
          </w:p>
        </w:tc>
        <w:tc>
          <w:tcPr>
            <w:tcW w:w="9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76111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9A5A2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88</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373A3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3870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6" w:hRule="atLeast"/>
        </w:trPr>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938B0">
            <w:pPr>
              <w:keepNext w:val="0"/>
              <w:keepLines w:val="0"/>
              <w:widowControl/>
              <w:suppressLineNumbers w:val="0"/>
              <w:tabs>
                <w:tab w:val="left" w:pos="5040"/>
              </w:tabs>
              <w:ind w:left="0" w:leftChars="0" w:firstLine="0" w:firstLineChars="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9038" w:type="dxa"/>
            <w:gridSpan w:val="23"/>
            <w:tcBorders>
              <w:top w:val="single" w:color="000000" w:sz="4" w:space="0"/>
              <w:left w:val="single" w:color="000000" w:sz="4" w:space="0"/>
              <w:bottom w:val="single" w:color="000000" w:sz="4" w:space="0"/>
              <w:right w:val="single" w:color="000000" w:sz="4" w:space="0"/>
            </w:tcBorders>
            <w:shd w:val="clear" w:color="auto" w:fill="FFFFFF"/>
            <w:vAlign w:val="center"/>
          </w:tcPr>
          <w:p w14:paraId="65B031B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按照实施方案的要求，圆满完成各项工作。（阿州财社〔2025〕5号下达至我中心的21.5万资金余3.42万元，已收回；并结转26年使用；（阿州财社【2025】73号）下达资金56.71万元全部用完）。</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为加强全州传染病应急队伍规范化建设，提升传染病监测预警和突发公共卫生事件应急处置能力，州疾控中心于2025年6月16日至22日在马尔康市成功举办了“全州传染病应急与监测预警基层专业人才培训班”。各县（市）疾控中心、医疗机构的专业骨干共计150余人参加了此次培训。其中监测预警基层专业人才培训班，共53人，传染病应急专业培训班，共155人。</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州疾控中心副主任秦胜超出席开幕式，强调了传染病防控工作的重要性，指出当前应急工作中存在的问题，并提出了加强人才队伍建设、提升监测能力、完善应急预案等七项关键举措。同时，要求学员充分利用预警系统，提高预警信息响应率，确保传染病监测预警工作再上新台阶。</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本次培训内容丰富，涵盖流行病学调查、风险评估、监测预警技术、数据分析工具应用等核心模块。课程包括国际案例分享、现场流行病学调查技能、国家传染病智能监测预警前置软件的应用、Excel在疾病监测中的应用等实用内容。培训班还特别邀请了省疾控中心、眉山市和资阳市疾控中心的专家进行授课，旨在提升学员的专业素养和实践能力。</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此次培训不仅为学员提供了宝贵的学习机会，还促进了州县两级疾控中心和医疗机构之间的交流与合作，为全州传染病监测预警和应对突发公共卫生事件奠定了坚实基础</w:t>
            </w:r>
          </w:p>
        </w:tc>
      </w:tr>
      <w:tr w14:paraId="54821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48EA5">
            <w:pPr>
              <w:keepNext w:val="0"/>
              <w:keepLines w:val="0"/>
              <w:widowControl/>
              <w:suppressLineNumbers w:val="0"/>
              <w:ind w:left="0" w:leftChars="0" w:firstLine="0" w:firstLineChars="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9038" w:type="dxa"/>
            <w:gridSpan w:val="23"/>
            <w:tcBorders>
              <w:top w:val="single" w:color="000000" w:sz="4" w:space="0"/>
              <w:left w:val="single" w:color="000000" w:sz="4" w:space="0"/>
              <w:bottom w:val="single" w:color="000000" w:sz="4" w:space="0"/>
              <w:right w:val="single" w:color="000000" w:sz="4" w:space="0"/>
            </w:tcBorders>
            <w:shd w:val="clear" w:color="auto" w:fill="FFFFFF"/>
            <w:vAlign w:val="center"/>
          </w:tcPr>
          <w:p w14:paraId="6F8ED11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结合自评情况，分析存在的问题及原因。（200字以内）</w:t>
            </w:r>
          </w:p>
        </w:tc>
      </w:tr>
      <w:tr w14:paraId="54442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AB2E3">
            <w:pPr>
              <w:keepNext w:val="0"/>
              <w:keepLines w:val="0"/>
              <w:widowControl/>
              <w:suppressLineNumbers w:val="0"/>
              <w:ind w:left="0" w:leftChars="0" w:firstLine="0" w:firstLineChars="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改进措施</w:t>
            </w:r>
          </w:p>
        </w:tc>
        <w:tc>
          <w:tcPr>
            <w:tcW w:w="9038" w:type="dxa"/>
            <w:gridSpan w:val="23"/>
            <w:tcBorders>
              <w:top w:val="single" w:color="000000" w:sz="4" w:space="0"/>
              <w:left w:val="single" w:color="000000" w:sz="4" w:space="0"/>
              <w:bottom w:val="single" w:color="000000" w:sz="4" w:space="0"/>
              <w:right w:val="single" w:color="000000" w:sz="4" w:space="0"/>
            </w:tcBorders>
            <w:shd w:val="clear" w:color="auto" w:fill="FFFFFF"/>
            <w:vAlign w:val="center"/>
          </w:tcPr>
          <w:p w14:paraId="0C3A381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针对项目自评中发现的问题，提出下一步改进完善的意见及有关政策性建议。（200字以内）</w:t>
            </w:r>
          </w:p>
        </w:tc>
      </w:tr>
      <w:tr w14:paraId="5B7EA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4687"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772548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项目负责人：敬琼、洪斌等</w:t>
            </w:r>
          </w:p>
        </w:tc>
        <w:tc>
          <w:tcPr>
            <w:tcW w:w="52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7D2C2D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65260C97">
      <w:pPr>
        <w:pStyle w:val="2"/>
        <w:ind w:left="0" w:leftChars="0" w:firstLine="0" w:firstLineChars="0"/>
        <w:rPr>
          <w:rFonts w:hint="default"/>
          <w:lang w:val="en-US" w:eastAsia="zh-CN"/>
        </w:rPr>
      </w:pPr>
    </w:p>
    <w:tbl>
      <w:tblPr>
        <w:tblStyle w:val="15"/>
        <w:tblW w:w="9940" w:type="dxa"/>
        <w:tblInd w:w="-1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3"/>
        <w:gridCol w:w="903"/>
        <w:gridCol w:w="903"/>
        <w:gridCol w:w="1275"/>
        <w:gridCol w:w="750"/>
        <w:gridCol w:w="684"/>
        <w:gridCol w:w="66"/>
        <w:gridCol w:w="839"/>
        <w:gridCol w:w="903"/>
        <w:gridCol w:w="116"/>
        <w:gridCol w:w="572"/>
        <w:gridCol w:w="660"/>
        <w:gridCol w:w="1366"/>
      </w:tblGrid>
      <w:tr w14:paraId="5E2F0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9940" w:type="dxa"/>
            <w:gridSpan w:val="13"/>
            <w:tcBorders>
              <w:top w:val="single" w:color="000000" w:sz="4" w:space="0"/>
              <w:left w:val="single" w:color="000000" w:sz="4" w:space="0"/>
              <w:bottom w:val="single" w:color="000000" w:sz="4" w:space="0"/>
              <w:right w:val="single" w:color="000000" w:sz="4" w:space="0"/>
            </w:tcBorders>
            <w:shd w:val="clear" w:color="auto" w:fill="FFFFFF"/>
            <w:vAlign w:val="center"/>
          </w:tcPr>
          <w:p w14:paraId="6404B018">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3A7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1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071DD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项目名称</w:t>
            </w:r>
          </w:p>
        </w:tc>
        <w:tc>
          <w:tcPr>
            <w:tcW w:w="813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F776DC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51320024T000011729412-基本公共卫生服务补助资金2025-34和25-104号</w:t>
            </w:r>
          </w:p>
        </w:tc>
      </w:tr>
      <w:tr w14:paraId="1FD46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1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0ABC4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主管部门</w:t>
            </w:r>
          </w:p>
        </w:tc>
        <w:tc>
          <w:tcPr>
            <w:tcW w:w="451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649E93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州卫生健康委部门</w:t>
            </w:r>
          </w:p>
        </w:tc>
        <w:tc>
          <w:tcPr>
            <w:tcW w:w="1019" w:type="dxa"/>
            <w:gridSpan w:val="2"/>
            <w:tcBorders>
              <w:top w:val="nil"/>
              <w:left w:val="nil"/>
              <w:bottom w:val="nil"/>
              <w:right w:val="nil"/>
            </w:tcBorders>
            <w:shd w:val="clear" w:color="auto" w:fill="FFFFFF"/>
            <w:vAlign w:val="center"/>
          </w:tcPr>
          <w:p w14:paraId="4C7CF25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5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845C3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州疾控中心</w:t>
            </w:r>
          </w:p>
        </w:tc>
      </w:tr>
      <w:tr w14:paraId="2BC8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9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DFC40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项目基本情况</w:t>
            </w:r>
          </w:p>
        </w:tc>
        <w:tc>
          <w:tcPr>
            <w:tcW w:w="9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FC7EB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1.项目年度目标完成情况</w:t>
            </w:r>
          </w:p>
        </w:tc>
        <w:tc>
          <w:tcPr>
            <w:tcW w:w="451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363E9C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项目年度目标</w:t>
            </w:r>
          </w:p>
        </w:tc>
        <w:tc>
          <w:tcPr>
            <w:tcW w:w="361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BA28B4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588A0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0" w:hRule="atLeas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8AADA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72D8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367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4090E0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"1.免费向城乡居民提供基本公共卫生服务。</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2.保持重点地方疾病防治措施全面落实。开展职业病监测，最大限度地保护放射工作人员、患者和公众 的健康权益。同时推进妇幼卫生、健康素养促进、老年健康服务、卫生应急、计划生育等方面工作。"</w:t>
            </w:r>
          </w:p>
        </w:tc>
        <w:tc>
          <w:tcPr>
            <w:tcW w:w="445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630677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1.地方病防治资金40.5万元，用于州疾控中心组织13个县（市）开展相关地方病防治项目实施、人员培训、质量控制、技术指导、社会动员、能力建设以及项目管理等。</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2.职业病下达20.94万元，按照项目方案的要求全面完成重点职业病监测项目、工作场所职业病危害因素监测、辐射防护（含医疗、非医疗机构）与放射性职业病监测项目等绩效目标任务。</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3.基本公共卫生下达10万元,用于开展国家基本公共卫生服务项目工作现场指导和现场评价工作，已完成对13县（市）指导中心，13个乡镇、社区医疗机构现场指导和现场评价工作。</w:t>
            </w:r>
          </w:p>
        </w:tc>
      </w:tr>
      <w:tr w14:paraId="1A98F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3" w:hRule="atLeas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61FD8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7FBD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2.项目实施内容及过程概述</w:t>
            </w:r>
          </w:p>
        </w:tc>
        <w:tc>
          <w:tcPr>
            <w:tcW w:w="813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5C93149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开展居民健康档案、老年人、高血压、糖尿病、严重精神障碍、肺结核健康管理等基本公共卫生服务，完成指导评价、质控等工作，规范落实筛查、随访、干预与健康管理全过程，各项服务指标均稳步推进并取得良好成效。2.开展地方病监测，完成指导评价、质控等工作，规范治疗、管理、随访、健康管理全过程，各项指标均稳定推进并取得良好成效。</w:t>
            </w:r>
          </w:p>
        </w:tc>
      </w:tr>
      <w:tr w14:paraId="5BAFD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3" w:hRule="atLeast"/>
        </w:trPr>
        <w:tc>
          <w:tcPr>
            <w:tcW w:w="9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1D9B5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预算执行情况（10分）</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B5B1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年度预算数（万元）</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5758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年初预算</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6382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调整后预算数</w:t>
            </w:r>
          </w:p>
        </w:tc>
        <w:tc>
          <w:tcPr>
            <w:tcW w:w="233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A538B2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预算执行数</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17E1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预算执行率</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EAB3A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4573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D74F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原因</w:t>
            </w:r>
          </w:p>
        </w:tc>
      </w:tr>
      <w:tr w14:paraId="35B14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5" w:hRule="atLeas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38077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C012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总额</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7ED9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9A2F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65.84</w:t>
            </w:r>
          </w:p>
        </w:tc>
        <w:tc>
          <w:tcPr>
            <w:tcW w:w="233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91FD81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65.84</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16AA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28FF6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F32A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36B9B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357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3645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29EF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其中：财政资金</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FAD9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51A5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65.84</w:t>
            </w:r>
          </w:p>
        </w:tc>
        <w:tc>
          <w:tcPr>
            <w:tcW w:w="233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B469CB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65.84</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7ABD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39269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8FA1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ADB38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2BC8D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2182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30F5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财政专户管理资金</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6349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2A0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33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75616A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74D0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53940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643B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EB2E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3ED8D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6D48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7FC5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单位资金</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B15E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60ED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33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D40A97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F293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F7F79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7B52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A838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64AC0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A214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43FB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其他资金</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4521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21A4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c>
          <w:tcPr>
            <w:tcW w:w="233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577031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5A2D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4D771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F4AB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030A9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1A25C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40512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绩效指标（90分）</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9268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一级指标</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4E08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二级指标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0DD8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三级指标</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CFD5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指标性质</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7C2D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指标值</w:t>
            </w:r>
          </w:p>
        </w:tc>
        <w:tc>
          <w:tcPr>
            <w:tcW w:w="9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1EADB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度量单位</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0A47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完成值</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86DDF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8C01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12E7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未完成原因分析</w:t>
            </w:r>
          </w:p>
        </w:tc>
      </w:tr>
      <w:tr w14:paraId="18375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A48B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3B2A5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产出指标</w:t>
            </w:r>
          </w:p>
        </w:tc>
        <w:tc>
          <w:tcPr>
            <w:tcW w:w="9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B2D4A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数量指标</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9F65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地方病监测完成率</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DB2F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0E61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95</w:t>
            </w:r>
          </w:p>
        </w:tc>
        <w:tc>
          <w:tcPr>
            <w:tcW w:w="9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2A931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5472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DA982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334B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098A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1FF73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8E3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8CA8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F320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3759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重点职业病监测地市开展率</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7CD1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5F0E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95</w:t>
            </w:r>
          </w:p>
        </w:tc>
        <w:tc>
          <w:tcPr>
            <w:tcW w:w="9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2EE97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9C7E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DEBEA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DC19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5F62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508E7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87E34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2DBE0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3139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42B3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老年人中医药健康管理率</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4249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06CF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70</w:t>
            </w:r>
          </w:p>
        </w:tc>
        <w:tc>
          <w:tcPr>
            <w:tcW w:w="9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C8B29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0B33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83.62</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43156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E7FB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DD57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1725C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98F4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C7EE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8A4DA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质量指标</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CE6C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2型糖尿病患者基层规范管理服务率</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7CC3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AE05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61</w:t>
            </w:r>
          </w:p>
        </w:tc>
        <w:tc>
          <w:tcPr>
            <w:tcW w:w="9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A74DA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7F1C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75.3</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AD616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DAD9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629B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29A7C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9E9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6C1D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7E202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9D06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居民规范化电子健康档案覆盖率</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0B6E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5C97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61</w:t>
            </w:r>
          </w:p>
        </w:tc>
        <w:tc>
          <w:tcPr>
            <w:tcW w:w="9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0AA2C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F032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62.94</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A9BD9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DBF1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CF83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73263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D9B1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828C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效益指标</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EC1A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社会效益指标</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F081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城乡居民公共卫生差距</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A329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定性</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0512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不断缩小</w:t>
            </w:r>
          </w:p>
        </w:tc>
        <w:tc>
          <w:tcPr>
            <w:tcW w:w="9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7A65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0BCE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不断缩小</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F4698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F380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18</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6015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51236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E51D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6319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满意度指标</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16D5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服务对象满意度指标</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3817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服务对象满意度</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9EDB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A0F6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9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D8DE2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214B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5B939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6DB3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02C3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p>
        </w:tc>
      </w:tr>
      <w:tr w14:paraId="2E5D4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722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0CFE5F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合计</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E9712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597B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88</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424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E574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6" w:hRule="atLeast"/>
        </w:trPr>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7FA1D">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评价结论</w:t>
            </w:r>
          </w:p>
        </w:tc>
        <w:tc>
          <w:tcPr>
            <w:tcW w:w="9037"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6EDF97D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1.地方病防治资金40.5万元，用于州疾控中心组织13个县（市）开展相关地方病防治项目实施、人员培训、质量控制、技术指导、社会动员、能力建设以及项目管理等。</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2.职业病：按照项目方案的要求全面完成重点职业病监测项目、工作场所职业病危害因素监测、辐射防护（含医疗、非医疗机构）与放射性职业病监测项目等绩效目标任务。</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基本公共卫生：2025年健康档案建档率为95.77%、覆盖率62.94%、动态使用率70.25%；儿童眼保健和视力检查覆盖率91.81%；新生儿访视率96.63%；早孕建册率89.86%，产后访视96.07%；老年人规范健康管理服务率67.59%、中医药健康管理率83.62%；高血压患者规范管理率74.09%，控制率88.03%；糖尿病患者规范管理率75.30%，控制率70.77%；严重精神疾病患者规范化管理率为95.99%；肺结核患者管理率99.36%，肺结核患者规则服药率99.50%；</w:t>
            </w:r>
          </w:p>
        </w:tc>
      </w:tr>
      <w:tr w14:paraId="4374C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C2C0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存在问题</w:t>
            </w:r>
          </w:p>
        </w:tc>
        <w:tc>
          <w:tcPr>
            <w:tcW w:w="9037"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532C7D3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县（市）疾控机构职业病防治无专门科室，专业人员人少质弱，专业能力亟待提升。</w:t>
            </w:r>
          </w:p>
        </w:tc>
      </w:tr>
      <w:tr w14:paraId="5DFF1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38D2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改进措施</w:t>
            </w:r>
          </w:p>
        </w:tc>
        <w:tc>
          <w:tcPr>
            <w:tcW w:w="9037"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5FBCAE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520F4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473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D25EDF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项目负责人：周燕、余朝彦等</w:t>
            </w:r>
          </w:p>
        </w:tc>
        <w:tc>
          <w:tcPr>
            <w:tcW w:w="520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0F6A6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340C91F3">
      <w:pPr>
        <w:ind w:left="-129" w:leftChars="-200" w:hanging="291" w:hangingChars="139"/>
        <w:rPr>
          <w:rFonts w:hint="default"/>
          <w:lang w:val="en-US" w:eastAsia="zh-CN"/>
        </w:rPr>
      </w:pPr>
    </w:p>
    <w:tbl>
      <w:tblPr>
        <w:tblStyle w:val="15"/>
        <w:tblW w:w="9940" w:type="dxa"/>
        <w:tblInd w:w="-2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07"/>
        <w:gridCol w:w="880"/>
        <w:gridCol w:w="880"/>
        <w:gridCol w:w="880"/>
        <w:gridCol w:w="880"/>
        <w:gridCol w:w="881"/>
        <w:gridCol w:w="1007"/>
        <w:gridCol w:w="880"/>
        <w:gridCol w:w="880"/>
        <w:gridCol w:w="1210"/>
      </w:tblGrid>
      <w:tr w14:paraId="0FAB6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6" w:hRule="atLeast"/>
        </w:trPr>
        <w:tc>
          <w:tcPr>
            <w:tcW w:w="994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4337E0F6">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FAAB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15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256B3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项目名称</w:t>
            </w:r>
          </w:p>
        </w:tc>
        <w:tc>
          <w:tcPr>
            <w:tcW w:w="8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237603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51320025T000012157607-天府青城计划</w:t>
            </w:r>
          </w:p>
        </w:tc>
      </w:tr>
      <w:tr w14:paraId="4EA70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5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700DA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主管部门</w:t>
            </w:r>
          </w:p>
        </w:tc>
        <w:tc>
          <w:tcPr>
            <w:tcW w:w="44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6C190A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州卫生健康委部门</w:t>
            </w:r>
          </w:p>
        </w:tc>
        <w:tc>
          <w:tcPr>
            <w:tcW w:w="1007" w:type="dxa"/>
            <w:tcBorders>
              <w:top w:val="nil"/>
              <w:left w:val="nil"/>
              <w:bottom w:val="nil"/>
              <w:right w:val="nil"/>
            </w:tcBorders>
            <w:shd w:val="clear" w:color="auto" w:fill="FFFFFF"/>
            <w:vAlign w:val="center"/>
          </w:tcPr>
          <w:p w14:paraId="4AC7198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9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18050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州疾控中心</w:t>
            </w:r>
          </w:p>
        </w:tc>
      </w:tr>
      <w:tr w14:paraId="28003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E46DE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项目基本情况</w:t>
            </w:r>
          </w:p>
        </w:tc>
        <w:tc>
          <w:tcPr>
            <w:tcW w:w="10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F4870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1.项目年度目标完成情况</w:t>
            </w:r>
          </w:p>
        </w:tc>
        <w:tc>
          <w:tcPr>
            <w:tcW w:w="44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2F4B4B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项目年度目标</w:t>
            </w:r>
          </w:p>
        </w:tc>
        <w:tc>
          <w:tcPr>
            <w:tcW w:w="39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2E93C4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1F53A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90BE5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395A9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44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DD95C9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实施天府青城计划</w:t>
            </w:r>
          </w:p>
        </w:tc>
        <w:tc>
          <w:tcPr>
            <w:tcW w:w="39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1A0AB1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为提升团队业务能力带领团队调研、指导、培训</w:t>
            </w:r>
          </w:p>
        </w:tc>
      </w:tr>
      <w:tr w14:paraId="48F1A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4"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9F6D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1120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2.项目实施内容及过程概述</w:t>
            </w:r>
          </w:p>
        </w:tc>
        <w:tc>
          <w:tcPr>
            <w:tcW w:w="8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894207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2025年带领团队对全州传染病报告情况、重点传染病防治情况进行调研和指导，同时为了进一步提升团队的业务水平参加短期学习</w:t>
            </w:r>
          </w:p>
        </w:tc>
      </w:tr>
      <w:tr w14:paraId="51B53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2E23D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预算执行情况（10分）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4875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年度预算数（万元）</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15A7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年初预算</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C647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调整后预算数</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76751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预算执行数</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B854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预算执行率</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0272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1863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69CF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原因</w:t>
            </w:r>
          </w:p>
        </w:tc>
      </w:tr>
      <w:tr w14:paraId="4445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9FC53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F934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总额</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D0AD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D11A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0.47</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F28C8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0.47</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87A3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DF72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D857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2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7CFC6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5BE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49C64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9552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其中：财政资金</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53FC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21E1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578E2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35D1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8640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A50A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2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5F1E7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4AC60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1A01F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74A8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财政专户管理资金</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EE2B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0619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7CD49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1329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364A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FFE8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2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F3956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103E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BF16F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EDF2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单位资金</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9252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F5E9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0.47</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AC988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0.47</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3C97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EEF7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0D38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2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7F6A2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6643D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49CD2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BDAB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其他资金</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7CC7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E28B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7AB3B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33B9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DE3B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6EDB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2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F1285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4218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8" w:hRule="exac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88E1B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绩效指标（90分）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E9C9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一级指标</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EE05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二级指标</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3B3E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三级指标</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1D49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指标性质</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D3D7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指标值</w:t>
            </w:r>
          </w:p>
        </w:tc>
        <w:tc>
          <w:tcPr>
            <w:tcW w:w="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8EAF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度量单位</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3B67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完成值</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0C4B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75F3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2C61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未完成原因分析</w:t>
            </w:r>
          </w:p>
        </w:tc>
      </w:tr>
      <w:tr w14:paraId="105DD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1" w:hRule="exac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DB2F3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CAC8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产出指标</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70E1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时效指标</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C14F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项目完成时间</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839F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定性</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2809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按时推进</w:t>
            </w:r>
          </w:p>
        </w:tc>
        <w:tc>
          <w:tcPr>
            <w:tcW w:w="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658F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E97C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按时推进</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6C87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0099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40</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03CC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103C1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1" w:hRule="exac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68EED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6BAF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效益指标</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589D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社会效益指标</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CBA7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天府青城计划</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3783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定性</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B0C8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有效实施</w:t>
            </w:r>
          </w:p>
        </w:tc>
        <w:tc>
          <w:tcPr>
            <w:tcW w:w="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60FB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BFCD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有效实施</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A033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ED1A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27</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98B6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8DC6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1" w:hRule="exac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88311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D015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满意度指标</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3B28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满意度指标</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88D8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计划实施单位满意度</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D093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7035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95</w:t>
            </w:r>
          </w:p>
        </w:tc>
        <w:tc>
          <w:tcPr>
            <w:tcW w:w="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B0FB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C6E4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97</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F20C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662F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AEEC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7911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exact"/>
        </w:trPr>
        <w:tc>
          <w:tcPr>
            <w:tcW w:w="697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8B11ED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合计</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BE60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74AA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87</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EEB7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r>
      <w:tr w14:paraId="0A175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1" w:hRule="exact"/>
        </w:trPr>
        <w:tc>
          <w:tcPr>
            <w:tcW w:w="5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57BC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评价结论</w:t>
            </w:r>
          </w:p>
        </w:tc>
        <w:tc>
          <w:tcPr>
            <w:tcW w:w="9385" w:type="dxa"/>
            <w:gridSpan w:val="10"/>
            <w:tcBorders>
              <w:top w:val="nil"/>
              <w:left w:val="nil"/>
              <w:bottom w:val="nil"/>
              <w:right w:val="single" w:color="000000" w:sz="4" w:space="0"/>
            </w:tcBorders>
            <w:shd w:val="clear" w:color="auto" w:fill="FFFFFF"/>
            <w:noWrap/>
            <w:vAlign w:val="center"/>
          </w:tcPr>
          <w:p w14:paraId="0737549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2025年入选人员按照经费使用计划“资金20%用于入选人员及研究团队能力提升，短期学习及合作交流。”开展了工作。</w:t>
            </w:r>
          </w:p>
        </w:tc>
      </w:tr>
      <w:tr w14:paraId="01F79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trPr>
        <w:tc>
          <w:tcPr>
            <w:tcW w:w="5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F0D6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存在问题</w:t>
            </w:r>
          </w:p>
        </w:tc>
        <w:tc>
          <w:tcPr>
            <w:tcW w:w="9385"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ADB0E9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无</w:t>
            </w:r>
          </w:p>
        </w:tc>
      </w:tr>
      <w:tr w14:paraId="5AAA7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exact"/>
        </w:trPr>
        <w:tc>
          <w:tcPr>
            <w:tcW w:w="5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FC13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改进措施</w:t>
            </w:r>
          </w:p>
        </w:tc>
        <w:tc>
          <w:tcPr>
            <w:tcW w:w="9385"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198493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无</w:t>
            </w:r>
          </w:p>
        </w:tc>
      </w:tr>
      <w:tr w14:paraId="5E43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trPr>
        <w:tc>
          <w:tcPr>
            <w:tcW w:w="420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2DB796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项目负责人：敬琼</w:t>
            </w:r>
          </w:p>
        </w:tc>
        <w:tc>
          <w:tcPr>
            <w:tcW w:w="573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34441D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4AB1E396">
      <w:pPr>
        <w:pStyle w:val="2"/>
        <w:ind w:left="-127" w:leftChars="-200" w:hanging="293" w:hangingChars="139"/>
        <w:rPr>
          <w:rFonts w:hint="default"/>
          <w:lang w:val="en-US" w:eastAsia="zh-CN"/>
        </w:rPr>
      </w:pPr>
    </w:p>
    <w:p w14:paraId="4193881A">
      <w:pPr>
        <w:rPr>
          <w:rFonts w:hint="default"/>
          <w:lang w:val="en-US" w:eastAsia="zh-CN"/>
        </w:rPr>
      </w:pPr>
    </w:p>
    <w:p w14:paraId="72954D28">
      <w:pPr>
        <w:pStyle w:val="2"/>
        <w:rPr>
          <w:rFonts w:hint="default"/>
          <w:lang w:val="en-US" w:eastAsia="zh-CN"/>
        </w:rPr>
      </w:pPr>
    </w:p>
    <w:p w14:paraId="6684EA46">
      <w:pPr>
        <w:rPr>
          <w:rFonts w:hint="default"/>
          <w:lang w:val="en-US" w:eastAsia="zh-CN"/>
        </w:rPr>
      </w:pPr>
    </w:p>
    <w:p w14:paraId="3324C357">
      <w:pPr>
        <w:pStyle w:val="2"/>
        <w:rPr>
          <w:rFonts w:hint="default"/>
          <w:lang w:val="en-US" w:eastAsia="zh-CN"/>
        </w:rPr>
      </w:pPr>
    </w:p>
    <w:tbl>
      <w:tblPr>
        <w:tblStyle w:val="15"/>
        <w:tblW w:w="9960" w:type="dxa"/>
        <w:tblInd w:w="-32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3"/>
        <w:gridCol w:w="814"/>
        <w:gridCol w:w="803"/>
        <w:gridCol w:w="190"/>
        <w:gridCol w:w="1310"/>
        <w:gridCol w:w="511"/>
        <w:gridCol w:w="903"/>
        <w:gridCol w:w="908"/>
        <w:gridCol w:w="903"/>
        <w:gridCol w:w="903"/>
        <w:gridCol w:w="738"/>
        <w:gridCol w:w="1074"/>
      </w:tblGrid>
      <w:tr w14:paraId="2F8EA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9960"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786FBAAC">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7053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171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98DEF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8243"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300A8B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51320025T000013939345-民族地区卫生发展十年行动计划省级补助资金2025-67号</w:t>
            </w:r>
          </w:p>
        </w:tc>
      </w:tr>
      <w:tr w14:paraId="47158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171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6A21D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62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6C4CCE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州卫生健康委部门</w:t>
            </w:r>
          </w:p>
        </w:tc>
        <w:tc>
          <w:tcPr>
            <w:tcW w:w="903" w:type="dxa"/>
            <w:tcBorders>
              <w:top w:val="nil"/>
              <w:left w:val="nil"/>
              <w:bottom w:val="nil"/>
              <w:right w:val="nil"/>
            </w:tcBorders>
            <w:shd w:val="clear" w:color="auto" w:fill="FFFFFF"/>
            <w:vAlign w:val="center"/>
          </w:tcPr>
          <w:p w14:paraId="137BAAE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7E85A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州疾控中心</w:t>
            </w:r>
          </w:p>
        </w:tc>
      </w:tr>
      <w:tr w14:paraId="04B9E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 w:hRule="atLeast"/>
        </w:trPr>
        <w:tc>
          <w:tcPr>
            <w:tcW w:w="9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5AE40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44ED8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462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CC4535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25C145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43E4D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6" w:hRule="atLeas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E8B8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865FD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462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CE2C32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民族地区卫生发展十年行动计划，培养民族地区疾控机构专业技术人员基本专业技术，提升民族地区疾控机构专业人员核心能力，进一步加强地方病防治队伍建设、提高防控能力、完善防控体系，确保持续巩固地方病防治成果。</w:t>
            </w:r>
          </w:p>
        </w:tc>
        <w:tc>
          <w:tcPr>
            <w:tcW w:w="36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C4DC35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按中心项目资金管理办法制定方案，实施明确，主要完成疾控机构专用技术人员进修项目、预防接种冷链设备更新和补充项目、重大传染病能力提升项目工作。为开展大骨节病防治项目提供X线片采集硬件支持。</w:t>
            </w:r>
          </w:p>
        </w:tc>
      </w:tr>
      <w:tr w14:paraId="0C41A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5" w:hRule="atLeas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5303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5BD9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8243"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CDEA02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r>
      <w:tr w14:paraId="64840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8521B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8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A65F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EBE34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13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8894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23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DF68A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83A4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C1A8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79DE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6ED9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28BD9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B0A0F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769A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762F7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3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86FD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273.40</w:t>
            </w:r>
          </w:p>
        </w:tc>
        <w:tc>
          <w:tcPr>
            <w:tcW w:w="23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E84E2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248.16</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4AF1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90.77%</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60F9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F87B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0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1BE43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3F4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FD07D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E455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0CF7E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3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BDB7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273.40</w:t>
            </w:r>
          </w:p>
        </w:tc>
        <w:tc>
          <w:tcPr>
            <w:tcW w:w="23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DF8E8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248.16</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A7EA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90.77%</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DD0F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2455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FECA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0F0D3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BCB7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779F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50DFE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3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E709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3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EE880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7933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4E5B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43A9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9B2A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2DC33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DDBB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B64C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480E9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3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C1F6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23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F0709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EB3D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FC5C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0FA3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C98F5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271CE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47074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8005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7E3CC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3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6A30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23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8E508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12DA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B49C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3944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C038D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185FA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1" w:hRule="exact"/>
        </w:trPr>
        <w:tc>
          <w:tcPr>
            <w:tcW w:w="9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63BF9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8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8476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9F6F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2A0E7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7772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03E7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FC18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372E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CF3A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011C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E716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33033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6FD8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784FD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8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4817A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A6439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预防接种冷链设备更新项目含温度监控设备的医用冷藏冷冻冰箱数</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150B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7D3D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62</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593B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2AA7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62</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F354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48EF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DCBF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7854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5E1D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11A9C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FB24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024C6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重大传染病能力提升项目设备配置数</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C3F0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DFCE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E5D3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9071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7028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B853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6828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40B0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5B11B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BD957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053F4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25B95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疾控机构专业技术人员培训人数</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5058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C4EE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6950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4442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05AC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9172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7F1C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19CC4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3D658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403A7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68D1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86183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预防接种冷链设备更新项目一体化自启动发电机组数</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EEDC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0C0F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84</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D9BE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个/套</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19EA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84</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7B80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585B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F960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DB33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8EA4B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A8D27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3FFE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42776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培训完成率</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5812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84DC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BF54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2DC5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F80A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E952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5933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F3FE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21FE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8110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5C16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8BA63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项目开工率</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4F72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CF45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DCC9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1756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22B9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C044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31C4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93A6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7"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2B8AF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836B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3A41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54296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适龄儿童免疫规划疫苗接种率</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3E00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C501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F68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0225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91.38</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0FC4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CFCC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85F1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D0E3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7" w:hRule="exact"/>
        </w:trPr>
        <w:tc>
          <w:tcPr>
            <w:tcW w:w="9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51C68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8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4F6B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BE7B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B613C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培训人员满意度</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0125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840D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8670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3B35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5EA8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675D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237E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6FB79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724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ED16C7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8C24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CFA2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91</w:t>
            </w:r>
          </w:p>
        </w:tc>
        <w:tc>
          <w:tcPr>
            <w:tcW w:w="1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C4CA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r>
      <w:tr w14:paraId="45625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7" w:hRule="atLeast"/>
        </w:trPr>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DA07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057"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258AA9B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针对阿坝州13县市疾控机构专业人员短板和实际需求，以问题、需求和结果为导向，持续开展阿坝州13县市疾控机构专业人员短期进修，切实提升我州疾控机构专业人员业务能力。</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通过项目绩效自评，切实提升民族和享受民族待遇地区保持高水平国家免疫规划疫苗接种率，达到以县为单位，国家免疫规划疫苗损耗系数达到《预防接种工作规范（2023年版）》要求。</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通过自查自评全面了解项目管理过程是否规范、产出目标是否完成，效果目标是否实现等方面的内容；总结经验，查找不足，为项目在以后年度的开展提供可行性参考建议。</w:t>
            </w:r>
          </w:p>
        </w:tc>
      </w:tr>
      <w:tr w14:paraId="71F52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2623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057"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C8FB20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0AC4E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9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BC27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057"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2119A2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4B921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453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FB1981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项目负责人：粘绪华、洪斌等</w:t>
            </w:r>
          </w:p>
        </w:tc>
        <w:tc>
          <w:tcPr>
            <w:tcW w:w="542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B48CA1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32DC2CD1">
      <w:pPr>
        <w:ind w:left="-129" w:leftChars="-200" w:hanging="291" w:hangingChars="139"/>
        <w:rPr>
          <w:rFonts w:hint="default"/>
          <w:lang w:val="en-US" w:eastAsia="zh-CN"/>
        </w:rPr>
      </w:pPr>
    </w:p>
    <w:tbl>
      <w:tblPr>
        <w:tblStyle w:val="15"/>
        <w:tblW w:w="9940" w:type="dxa"/>
        <w:tblInd w:w="-1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2"/>
        <w:gridCol w:w="904"/>
        <w:gridCol w:w="902"/>
        <w:gridCol w:w="1459"/>
        <w:gridCol w:w="233"/>
        <w:gridCol w:w="112"/>
        <w:gridCol w:w="238"/>
        <w:gridCol w:w="267"/>
        <w:gridCol w:w="433"/>
        <w:gridCol w:w="300"/>
        <w:gridCol w:w="573"/>
        <w:gridCol w:w="227"/>
        <w:gridCol w:w="675"/>
        <w:gridCol w:w="459"/>
        <w:gridCol w:w="443"/>
        <w:gridCol w:w="690"/>
        <w:gridCol w:w="212"/>
        <w:gridCol w:w="911"/>
      </w:tblGrid>
      <w:tr w14:paraId="40110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65B65471">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E058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38F0E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项目名称</w:t>
            </w:r>
          </w:p>
        </w:tc>
        <w:tc>
          <w:tcPr>
            <w:tcW w:w="8134" w:type="dxa"/>
            <w:gridSpan w:val="16"/>
            <w:tcBorders>
              <w:top w:val="single" w:color="000000" w:sz="4" w:space="0"/>
              <w:left w:val="single" w:color="000000" w:sz="4" w:space="0"/>
              <w:bottom w:val="single" w:color="000000" w:sz="4" w:space="0"/>
              <w:right w:val="single" w:color="000000" w:sz="4" w:space="0"/>
            </w:tcBorders>
            <w:shd w:val="clear" w:color="auto" w:fill="FFFFFF"/>
            <w:vAlign w:val="center"/>
          </w:tcPr>
          <w:p w14:paraId="0469C48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51320023T000009802372-阿坝州城乡饮用水水质现况及影响因素调查研究阿州财教2023-27号</w:t>
            </w:r>
          </w:p>
        </w:tc>
      </w:tr>
      <w:tr w14:paraId="548D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8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64E62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主管部门</w:t>
            </w:r>
          </w:p>
        </w:tc>
        <w:tc>
          <w:tcPr>
            <w:tcW w:w="451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3957A7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州卫生健康委部门</w:t>
            </w:r>
          </w:p>
        </w:tc>
        <w:tc>
          <w:tcPr>
            <w:tcW w:w="902" w:type="dxa"/>
            <w:gridSpan w:val="2"/>
            <w:tcBorders>
              <w:top w:val="nil"/>
              <w:left w:val="nil"/>
              <w:bottom w:val="nil"/>
              <w:right w:val="nil"/>
            </w:tcBorders>
            <w:shd w:val="clear" w:color="auto" w:fill="FFFFFF"/>
            <w:vAlign w:val="center"/>
          </w:tcPr>
          <w:p w14:paraId="45882D3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1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0EBF46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州疾控中心</w:t>
            </w:r>
          </w:p>
        </w:tc>
      </w:tr>
      <w:tr w14:paraId="43E13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C2816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项目基本情况</w:t>
            </w: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06BE7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1.项目年度目标完成情况</w:t>
            </w:r>
          </w:p>
        </w:tc>
        <w:tc>
          <w:tcPr>
            <w:tcW w:w="451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0B4227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项目年度目标</w:t>
            </w:r>
          </w:p>
        </w:tc>
        <w:tc>
          <w:tcPr>
            <w:tcW w:w="3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F7E05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0E4DA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5" w:hRule="atLeas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ABCE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1D414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294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D93095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研究成果可供饮用水行政管理使用，为政府部门决策提供技术支撑；可帮助供水单位了解其水质，为其采取措施、保障饮用水卫生提供技术参考；</w:t>
            </w:r>
          </w:p>
        </w:tc>
        <w:tc>
          <w:tcPr>
            <w:tcW w:w="519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4BA01C4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1.建立供水单位信息数据库、水质检测结果数据库：2023年6月-2024年7月，已建立供水单位信息数据113条， </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 通过多种形式传播研究结果，向州内调查供水单位宣讲研究成果，帮助供水单位了解其水质，为其采取措施、保障饮用水卫生提供技术参考：累计对57处供水单位，水处理工作人员39名开展现场宣传。</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 形成研究报告：预计在2024年12月形成研究报告。</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4. 撰写为科技论文，在国内科技期刊公开发表研究结果：预计在2025年5月完成论文期刊的收录。</w:t>
            </w:r>
          </w:p>
        </w:tc>
      </w:tr>
      <w:tr w14:paraId="61D95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8" w:hRule="atLeas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F70DC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AF0D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2.项目实施内容及过程概述</w:t>
            </w:r>
          </w:p>
        </w:tc>
        <w:tc>
          <w:tcPr>
            <w:tcW w:w="8134" w:type="dxa"/>
            <w:gridSpan w:val="16"/>
            <w:tcBorders>
              <w:top w:val="single" w:color="000000" w:sz="4" w:space="0"/>
              <w:left w:val="single" w:color="000000" w:sz="4" w:space="0"/>
              <w:bottom w:val="single" w:color="000000" w:sz="4" w:space="0"/>
              <w:right w:val="single" w:color="000000" w:sz="4" w:space="0"/>
            </w:tcBorders>
            <w:shd w:val="clear" w:color="auto" w:fill="FFFFFF"/>
            <w:vAlign w:val="center"/>
          </w:tcPr>
          <w:p w14:paraId="421F7E6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开展州内供水单位现场调查，了解全州水质情况，撰写论文报告</w:t>
            </w:r>
          </w:p>
        </w:tc>
      </w:tr>
      <w:tr w14:paraId="1E3A1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4" w:hRule="exact"/>
        </w:trPr>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D4EC9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预算执行情况（10分）</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38C0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年度预算数（万元）</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AD28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年初预算</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2006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调整后预算数</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306C21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预算执行数</w:t>
            </w:r>
          </w:p>
        </w:tc>
        <w:tc>
          <w:tcPr>
            <w:tcW w:w="11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7148C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预算执行率</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72D77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541B5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12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60821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原因</w:t>
            </w:r>
          </w:p>
        </w:tc>
      </w:tr>
      <w:tr w14:paraId="5928B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49F1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5254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总额</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B137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830F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1.49</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D593E8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1.49</w:t>
            </w:r>
          </w:p>
        </w:tc>
        <w:tc>
          <w:tcPr>
            <w:tcW w:w="11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D1790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100.00%</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7D3F7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34E28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12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ED7AC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6F4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EDDFF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AF2A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其中：财政资金</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C998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4A8A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1.49</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D59C5C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1.49</w:t>
            </w:r>
          </w:p>
        </w:tc>
        <w:tc>
          <w:tcPr>
            <w:tcW w:w="11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CF0C8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100.00%</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1227F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53EBF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2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A77AF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2F8F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E7637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A4B5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财政专户管理资金</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0FC4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35A4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050061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1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71116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9EA8B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A01B3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2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5AC5F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E24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F682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462E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单位资金</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DC63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0FFF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50FE3C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1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E0031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592D7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95098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2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002D6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4EA00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D6662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A223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其他资金</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31A7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21C5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12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A98791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11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81DEA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60B88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82504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2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3DD6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02E67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8" w:hRule="exact"/>
        </w:trPr>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F231A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绩效指标（90分）</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79F0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一级指标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FA53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二级指标</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7E4B2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三级指标</w:t>
            </w:r>
          </w:p>
        </w:tc>
        <w:tc>
          <w:tcPr>
            <w:tcW w:w="6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A5D32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指标性质</w:t>
            </w:r>
          </w:p>
        </w:tc>
        <w:tc>
          <w:tcPr>
            <w:tcW w:w="7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8A716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指标值</w:t>
            </w:r>
          </w:p>
        </w:tc>
        <w:tc>
          <w:tcPr>
            <w:tcW w:w="8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EC68E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度量单位</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8E34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完成值</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14A6C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权重</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6A4B8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得分</w:t>
            </w:r>
          </w:p>
        </w:tc>
        <w:tc>
          <w:tcPr>
            <w:tcW w:w="9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E239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未完成原因分析</w:t>
            </w:r>
          </w:p>
        </w:tc>
      </w:tr>
      <w:tr w14:paraId="78496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7A69C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1B437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产出指标</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396DE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数量指标</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D272A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研究报告，论文</w:t>
            </w:r>
          </w:p>
        </w:tc>
        <w:tc>
          <w:tcPr>
            <w:tcW w:w="6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847E3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w:t>
            </w:r>
          </w:p>
        </w:tc>
        <w:tc>
          <w:tcPr>
            <w:tcW w:w="7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96E95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w:t>
            </w:r>
          </w:p>
        </w:tc>
        <w:tc>
          <w:tcPr>
            <w:tcW w:w="8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2C30A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篇</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6D11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B601B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51789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20</w:t>
            </w:r>
          </w:p>
        </w:tc>
        <w:tc>
          <w:tcPr>
            <w:tcW w:w="9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FCA5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p>
        </w:tc>
      </w:tr>
      <w:tr w14:paraId="54CF8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6"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F4592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2D006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B2199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E185A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建立供水单位信息数据库</w:t>
            </w:r>
          </w:p>
        </w:tc>
        <w:tc>
          <w:tcPr>
            <w:tcW w:w="6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55C44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w:t>
            </w:r>
          </w:p>
        </w:tc>
        <w:tc>
          <w:tcPr>
            <w:tcW w:w="7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CE34D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40</w:t>
            </w:r>
          </w:p>
        </w:tc>
        <w:tc>
          <w:tcPr>
            <w:tcW w:w="8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84149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884B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40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9FA7D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787FA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20</w:t>
            </w:r>
          </w:p>
        </w:tc>
        <w:tc>
          <w:tcPr>
            <w:tcW w:w="9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E35B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p>
        </w:tc>
      </w:tr>
      <w:tr w14:paraId="2C586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D65EE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A8FFA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FAF9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时效指标</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C75D7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项目完成时间</w:t>
            </w:r>
          </w:p>
        </w:tc>
        <w:tc>
          <w:tcPr>
            <w:tcW w:w="6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84AB4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定性</w:t>
            </w:r>
          </w:p>
        </w:tc>
        <w:tc>
          <w:tcPr>
            <w:tcW w:w="7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08A1B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2025年12月底前完成</w:t>
            </w:r>
          </w:p>
        </w:tc>
        <w:tc>
          <w:tcPr>
            <w:tcW w:w="8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3DC2D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FD2B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90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F07F2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B074D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9</w:t>
            </w:r>
          </w:p>
        </w:tc>
        <w:tc>
          <w:tcPr>
            <w:tcW w:w="9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7E2C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已申请延期结题</w:t>
            </w:r>
          </w:p>
        </w:tc>
      </w:tr>
      <w:tr w14:paraId="3383A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7"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1616C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5064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效益指标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CE05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经济效益指标</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E705A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研究成果可供饮用水行政管理使用，为政府部门决策提供技术支撑；可帮助供水单位了解其水质，为其采取措施、保障饮用水卫生提供技术参考；</w:t>
            </w:r>
          </w:p>
        </w:tc>
        <w:tc>
          <w:tcPr>
            <w:tcW w:w="6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FCBE4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定性</w:t>
            </w:r>
          </w:p>
        </w:tc>
        <w:tc>
          <w:tcPr>
            <w:tcW w:w="7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84F07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不断提高</w:t>
            </w:r>
          </w:p>
        </w:tc>
        <w:tc>
          <w:tcPr>
            <w:tcW w:w="8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80560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09DF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不断提高</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9FDB7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E5288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20</w:t>
            </w:r>
          </w:p>
        </w:tc>
        <w:tc>
          <w:tcPr>
            <w:tcW w:w="9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CF0F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p>
        </w:tc>
      </w:tr>
      <w:tr w14:paraId="78B92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1"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07A8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EC7E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满意度指标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A06E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服务对象满意度指标</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E17A9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过多种形式向被州内供水单位宣讲研究成果，帮助供水单位了解其水质，为其采取措施、保障饮用水卫生提供技术参考。</w:t>
            </w:r>
          </w:p>
        </w:tc>
        <w:tc>
          <w:tcPr>
            <w:tcW w:w="6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2C858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定性</w:t>
            </w:r>
          </w:p>
        </w:tc>
        <w:tc>
          <w:tcPr>
            <w:tcW w:w="7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87168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持续影响</w:t>
            </w:r>
          </w:p>
        </w:tc>
        <w:tc>
          <w:tcPr>
            <w:tcW w:w="8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2FE71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E277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持续影响</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30544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12D97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w:t>
            </w:r>
          </w:p>
        </w:tc>
        <w:tc>
          <w:tcPr>
            <w:tcW w:w="9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26D4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p>
        </w:tc>
      </w:tr>
      <w:tr w14:paraId="4EDAC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exact"/>
        </w:trPr>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DDF33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EBB0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成本指标</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1A43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经济成本指标</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48912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开展饮用水调查差旅费</w:t>
            </w:r>
          </w:p>
        </w:tc>
        <w:tc>
          <w:tcPr>
            <w:tcW w:w="6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B17A5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w:t>
            </w:r>
          </w:p>
        </w:tc>
        <w:tc>
          <w:tcPr>
            <w:tcW w:w="7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44279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10000</w:t>
            </w:r>
          </w:p>
        </w:tc>
        <w:tc>
          <w:tcPr>
            <w:tcW w:w="8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BC49D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元</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30C6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7000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4B11C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F0605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7</w:t>
            </w:r>
          </w:p>
        </w:tc>
        <w:tc>
          <w:tcPr>
            <w:tcW w:w="9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1CAD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项目现场调查基本完成</w:t>
            </w:r>
          </w:p>
        </w:tc>
      </w:tr>
      <w:tr w14:paraId="79D89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225" w:type="dxa"/>
            <w:gridSpan w:val="13"/>
            <w:tcBorders>
              <w:top w:val="single" w:color="000000" w:sz="4" w:space="0"/>
              <w:left w:val="single" w:color="000000" w:sz="4" w:space="0"/>
              <w:bottom w:val="single" w:color="000000" w:sz="4" w:space="0"/>
              <w:right w:val="single" w:color="000000" w:sz="4" w:space="0"/>
            </w:tcBorders>
            <w:shd w:val="clear" w:color="auto" w:fill="FFFFFF"/>
            <w:vAlign w:val="center"/>
          </w:tcPr>
          <w:p w14:paraId="090AB85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合计</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C0011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100</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D8615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87</w:t>
            </w:r>
          </w:p>
        </w:tc>
        <w:tc>
          <w:tcPr>
            <w:tcW w:w="9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2541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p>
        </w:tc>
      </w:tr>
      <w:tr w14:paraId="11941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E8DB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评价结论</w:t>
            </w:r>
          </w:p>
        </w:tc>
        <w:tc>
          <w:tcPr>
            <w:tcW w:w="9038" w:type="dxa"/>
            <w:gridSpan w:val="17"/>
            <w:tcBorders>
              <w:top w:val="single" w:color="000000" w:sz="4" w:space="0"/>
              <w:left w:val="single" w:color="000000" w:sz="4" w:space="0"/>
              <w:bottom w:val="single" w:color="000000" w:sz="4" w:space="0"/>
              <w:right w:val="single" w:color="000000" w:sz="4" w:space="0"/>
            </w:tcBorders>
            <w:shd w:val="clear" w:color="auto" w:fill="FFFFFF"/>
            <w:vAlign w:val="center"/>
          </w:tcPr>
          <w:p w14:paraId="2AF3324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产出指标：(1)数量指标:建立供水单位信息数据库，截止2024年7月，已完成城乡供水单位基本情况现场调查113　　处，完成调查问卷39份;待完成指标研究报告１篇、论文１篇; (2)时效指标：所有项目指标在2025年5月完成。</w:t>
            </w:r>
            <w:r>
              <w:rPr>
                <w:rFonts w:hint="default" w:ascii="宋体" w:hAnsi="宋体" w:eastAsia="宋体" w:cs="宋体"/>
                <w:i w:val="0"/>
                <w:iCs w:val="0"/>
                <w:color w:val="000000"/>
                <w:kern w:val="0"/>
                <w:sz w:val="16"/>
                <w:szCs w:val="16"/>
                <w:u w:val="none"/>
                <w:lang w:val="en-US" w:eastAsia="zh-CN" w:bidi="ar"/>
              </w:rPr>
              <w:br w:type="textWrapping"/>
            </w:r>
            <w:r>
              <w:rPr>
                <w:rFonts w:hint="default" w:ascii="宋体" w:hAnsi="宋体" w:eastAsia="宋体" w:cs="宋体"/>
                <w:i w:val="0"/>
                <w:iCs w:val="0"/>
                <w:color w:val="000000"/>
                <w:kern w:val="0"/>
                <w:sz w:val="16"/>
                <w:szCs w:val="16"/>
                <w:u w:val="none"/>
                <w:lang w:val="en-US" w:eastAsia="zh-CN" w:bidi="ar"/>
              </w:rPr>
              <w:t>效益指标：(1)经济效益指标：为国内其他地区（特别是地理环境、社会经济相似的西部地区）开展类似研究或开展饮用水卫生保障工作提供参考；(2)社会效益指标　将有力提升我州饮用水监管水平、提高供水单位水质合格率，保障城乡居民身体健康。该两项指标在项目实施过程中不断提高：(3)可持续影响指标：通过过多种形式向被州内供水单位宣讲研究成果，帮助供水单位了解其水质，为其采取措施、保障饮用水卫生提供技术参考。该指标在项目实施过程中将持续性影响。</w:t>
            </w:r>
            <w:r>
              <w:rPr>
                <w:rFonts w:hint="default" w:ascii="宋体" w:hAnsi="宋体" w:eastAsia="宋体" w:cs="宋体"/>
                <w:i w:val="0"/>
                <w:iCs w:val="0"/>
                <w:color w:val="000000"/>
                <w:kern w:val="0"/>
                <w:sz w:val="16"/>
                <w:szCs w:val="16"/>
                <w:u w:val="none"/>
                <w:lang w:val="en-US" w:eastAsia="zh-CN" w:bidi="ar"/>
              </w:rPr>
              <w:br w:type="textWrapping"/>
            </w:r>
            <w:r>
              <w:rPr>
                <w:rFonts w:hint="default" w:ascii="宋体" w:hAnsi="宋体" w:eastAsia="宋体" w:cs="宋体"/>
                <w:i w:val="0"/>
                <w:iCs w:val="0"/>
                <w:color w:val="000000"/>
                <w:kern w:val="0"/>
                <w:sz w:val="16"/>
                <w:szCs w:val="16"/>
                <w:u w:val="none"/>
                <w:lang w:val="en-US" w:eastAsia="zh-CN" w:bidi="ar"/>
              </w:rPr>
              <w:t>满意度指标：在课题项目实施过程中已通过多种形式向被州内供水单位宣讲研究成果，帮助供水单位了解其水质，为其采取措施、保障饮用水卫生提供了技术参考。</w:t>
            </w:r>
          </w:p>
        </w:tc>
      </w:tr>
      <w:tr w14:paraId="79B55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22E9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存在问题</w:t>
            </w:r>
          </w:p>
        </w:tc>
        <w:tc>
          <w:tcPr>
            <w:tcW w:w="9038" w:type="dxa"/>
            <w:gridSpan w:val="17"/>
            <w:tcBorders>
              <w:top w:val="single" w:color="000000" w:sz="4" w:space="0"/>
              <w:left w:val="single" w:color="000000" w:sz="4" w:space="0"/>
              <w:bottom w:val="single" w:color="000000" w:sz="4" w:space="0"/>
              <w:right w:val="single" w:color="000000" w:sz="4" w:space="0"/>
            </w:tcBorders>
            <w:shd w:val="clear" w:color="auto" w:fill="FFFFFF"/>
            <w:vAlign w:val="center"/>
          </w:tcPr>
          <w:p w14:paraId="5D31B4F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无</w:t>
            </w:r>
          </w:p>
        </w:tc>
      </w:tr>
      <w:tr w14:paraId="47DBD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E5C0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改进措施</w:t>
            </w:r>
          </w:p>
        </w:tc>
        <w:tc>
          <w:tcPr>
            <w:tcW w:w="9038" w:type="dxa"/>
            <w:gridSpan w:val="17"/>
            <w:tcBorders>
              <w:top w:val="single" w:color="000000" w:sz="4" w:space="0"/>
              <w:left w:val="single" w:color="000000" w:sz="4" w:space="0"/>
              <w:bottom w:val="single" w:color="000000" w:sz="4" w:space="0"/>
              <w:right w:val="single" w:color="000000" w:sz="4" w:space="0"/>
            </w:tcBorders>
            <w:shd w:val="clear" w:color="auto" w:fill="FFFFFF"/>
            <w:vAlign w:val="center"/>
          </w:tcPr>
          <w:p w14:paraId="26B83A1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无</w:t>
            </w:r>
          </w:p>
        </w:tc>
      </w:tr>
      <w:tr w14:paraId="402C0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51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2FC48C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项目负责人：付海霞</w:t>
            </w:r>
          </w:p>
        </w:tc>
        <w:tc>
          <w:tcPr>
            <w:tcW w:w="5428"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56B66EB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财务负责人：秦胜超</w:t>
            </w:r>
          </w:p>
        </w:tc>
      </w:tr>
    </w:tbl>
    <w:p w14:paraId="7C2739CA">
      <w:pPr>
        <w:ind w:left="-198" w:leftChars="-200" w:hanging="222" w:hangingChars="139"/>
        <w:rPr>
          <w:rFonts w:hint="default"/>
          <w:sz w:val="16"/>
          <w:szCs w:val="16"/>
          <w:lang w:val="en-US" w:eastAsia="zh-CN"/>
        </w:rPr>
      </w:pPr>
    </w:p>
    <w:tbl>
      <w:tblPr>
        <w:tblStyle w:val="15"/>
        <w:tblW w:w="9960" w:type="dxa"/>
        <w:tblInd w:w="-1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4"/>
        <w:gridCol w:w="906"/>
        <w:gridCol w:w="904"/>
        <w:gridCol w:w="904"/>
        <w:gridCol w:w="904"/>
        <w:gridCol w:w="904"/>
        <w:gridCol w:w="910"/>
        <w:gridCol w:w="904"/>
        <w:gridCol w:w="904"/>
        <w:gridCol w:w="773"/>
        <w:gridCol w:w="1043"/>
      </w:tblGrid>
      <w:tr w14:paraId="71631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6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51046D4">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1AC2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A37A1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项目名称</w:t>
            </w:r>
          </w:p>
        </w:tc>
        <w:tc>
          <w:tcPr>
            <w:tcW w:w="815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3058B9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51320025T000013007272-重大公共卫生服务补助资金2024-98、2025-38、2025-118号</w:t>
            </w:r>
          </w:p>
        </w:tc>
      </w:tr>
      <w:tr w14:paraId="18BE1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8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7BD8F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主管部门</w:t>
            </w:r>
          </w:p>
        </w:tc>
        <w:tc>
          <w:tcPr>
            <w:tcW w:w="452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EDF0A0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州卫生健康委部门</w:t>
            </w:r>
          </w:p>
        </w:tc>
        <w:tc>
          <w:tcPr>
            <w:tcW w:w="904" w:type="dxa"/>
            <w:tcBorders>
              <w:top w:val="nil"/>
              <w:left w:val="nil"/>
              <w:bottom w:val="nil"/>
              <w:right w:val="nil"/>
            </w:tcBorders>
            <w:shd w:val="clear" w:color="auto" w:fill="FFFFFF"/>
            <w:vAlign w:val="center"/>
          </w:tcPr>
          <w:p w14:paraId="3995102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D4B2D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州疾控中心</w:t>
            </w:r>
          </w:p>
        </w:tc>
      </w:tr>
      <w:tr w14:paraId="4FD82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52F06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项目基本情况</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D967D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1.项目年度目标完成情况</w:t>
            </w:r>
          </w:p>
        </w:tc>
        <w:tc>
          <w:tcPr>
            <w:tcW w:w="452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0B4655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项目年度目标</w:t>
            </w:r>
          </w:p>
        </w:tc>
        <w:tc>
          <w:tcPr>
            <w:tcW w:w="362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0D558A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3A932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922D3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FB7EB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452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1B8C9B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日标1:保持高水平国家免疫规划疫苗接种率。</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目标2:在全</w:t>
            </w:r>
            <w:r>
              <w:rPr>
                <w:rFonts w:hint="eastAsia" w:ascii="宋体" w:hAnsi="宋体" w:eastAsia="宋体" w:cs="宋体"/>
                <w:i w:val="0"/>
                <w:iCs w:val="0"/>
                <w:color w:val="000000"/>
                <w:kern w:val="0"/>
                <w:sz w:val="18"/>
                <w:szCs w:val="18"/>
                <w:u w:val="none"/>
                <w:lang w:val="en-US" w:eastAsia="zh-CN" w:bidi="ar"/>
              </w:rPr>
              <w:t>州</w:t>
            </w:r>
            <w:r>
              <w:rPr>
                <w:rFonts w:hint="default" w:ascii="宋体" w:hAnsi="宋体" w:eastAsia="宋体" w:cs="宋体"/>
                <w:i w:val="0"/>
                <w:iCs w:val="0"/>
                <w:color w:val="000000"/>
                <w:kern w:val="0"/>
                <w:sz w:val="18"/>
                <w:szCs w:val="18"/>
                <w:u w:val="none"/>
                <w:lang w:val="en-US" w:eastAsia="zh-CN" w:bidi="ar"/>
              </w:rPr>
              <w:t>开展食品污染物和有害因素监测：在全</w:t>
            </w:r>
            <w:r>
              <w:rPr>
                <w:rFonts w:hint="eastAsia" w:ascii="宋体" w:hAnsi="宋体" w:eastAsia="宋体" w:cs="宋体"/>
                <w:i w:val="0"/>
                <w:iCs w:val="0"/>
                <w:color w:val="000000"/>
                <w:kern w:val="0"/>
                <w:sz w:val="18"/>
                <w:szCs w:val="18"/>
                <w:u w:val="none"/>
                <w:lang w:val="en-US" w:eastAsia="zh-CN" w:bidi="ar"/>
              </w:rPr>
              <w:t>州</w:t>
            </w:r>
            <w:r>
              <w:rPr>
                <w:rFonts w:hint="default" w:ascii="宋体" w:hAnsi="宋体" w:eastAsia="宋体" w:cs="宋体"/>
                <w:i w:val="0"/>
                <w:iCs w:val="0"/>
                <w:color w:val="000000"/>
                <w:kern w:val="0"/>
                <w:sz w:val="18"/>
                <w:szCs w:val="18"/>
                <w:u w:val="none"/>
                <w:lang w:val="en-US" w:eastAsia="zh-CN" w:bidi="ar"/>
              </w:rPr>
              <w:t>开展食源性疾病监测。</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目标3:进一步完善“政府组织领导，部门各负其贵、全社会共同参与”的防治机制全面落实各项艾滋病和性病预防控制措施，提高发现率，扩大治疗覆益 面，提升治疗成功率，降低死亡率，降低新发感染，提高感染者和病人的生活质量：及时发现和规范治疗管理结核病患者，持续降低结核病的感染、发病与死 亡，确保结核病疫情稳步下降，提高群众健康水平：全面开展包虫病综合防治，提升我省包虫病防治成效：持续巩全省血吸虫病消除成果。加强肺吸虫病监 测：强化疟疾和其他寄生虫病监测、防治。防止输入性疟疾继发传播，持续巩固消除疟疾成果；加强麻风监测和疫点调查，强化病例发现，减少麻风危害，临 床用血核酸检测覆盖率100%。</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日标4:开展急性呼吸道传染病监测、病毒性传染病监测、细菌性传染病监测、病媒生物监测、新冠病薄抗体血清流行病学调查：开展服疫、人禽流感、SARS 等传染病监测，饮用水、环境卫生与学校卫生监测等。</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日标5:在全省开展食品污染物和有害因素监测、食源性疾病监测，开展食品放射性监测。</w:t>
            </w:r>
          </w:p>
        </w:tc>
        <w:tc>
          <w:tcPr>
            <w:tcW w:w="362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8486A4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对全州艾滋病性病丙肝防治工作督导、指导全覆盖；抗病毒治疗覆盖率分别达95%，抗病毒治疗管理成功率分别达95%，各类人群艾滋病防治知识知晓率分别达90%，常住人口艾滋病检测覆盖率达30%（云平台），CD4检测率达90%，结核筛查率达90%，配偶及性伴筛查率达88%。</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保持高水平国家免疫规划疫苗接种率。开展急性弛缓性麻痹（AFP）、麻疹、风疹、流脑、乙脑病例监测，监测指标达到国家监测方案要求。加强疑似预防接种异常反应（AEFI）监测，监测指标达到国家监测方案要求，提高监测敏感性，发现免疫规划工作的薄弱地区和环节，提高国家免疫规划疫苗接种率，切实降低疫苗可防控疾病的发生和流行，保障儿童身体健康。每月用冷藏车将各县（市）所需国家免疫规划疫苗和注射器及时配送到各县（市），保证疫苗全程冷链可追溯，开展疫苗相关工作指导，推进乡镇免疫规划疫苗接种工作，逐步实现以乡镇（街道）为单位适龄儿童国家免疫规划疫苗接种率≥90%的指标要求。</w:t>
            </w:r>
          </w:p>
        </w:tc>
      </w:tr>
      <w:tr w14:paraId="27DE1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7ECFE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1E93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2.项目实施内容及过程概述</w:t>
            </w:r>
          </w:p>
        </w:tc>
        <w:tc>
          <w:tcPr>
            <w:tcW w:w="815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AEFBD5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全州包虫病完成人群B超筛查工作，完成全州食品安全风险监测和食源性疾病报告及饮用水监测年度目标任务数</w:t>
            </w:r>
          </w:p>
        </w:tc>
      </w:tr>
      <w:tr w14:paraId="4C61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B7877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预算执行情况（10分）</w:t>
            </w: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877E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年度预算数（万元）</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1248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年初预算</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039C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调整后预算数</w:t>
            </w: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6A7E2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A7C9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AF27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0FEB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1580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原因</w:t>
            </w:r>
          </w:p>
        </w:tc>
      </w:tr>
      <w:tr w14:paraId="4F7D1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5"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ACECD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759A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总额</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0C16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2E17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513.94</w:t>
            </w: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E4C2F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508.12</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4FC6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98.87%</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E983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E3B8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w:t>
            </w:r>
          </w:p>
        </w:tc>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7ED70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452A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15B3A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4506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其中：财政资金</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8457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CD59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513.94</w:t>
            </w: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EDF84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508.12</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2529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98.87%</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F4FB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A44A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854B6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39BD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D682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9173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财政专户管理资金</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DCAA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0448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E369D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616A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703C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606B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8F6D3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F85C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D62B9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1825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单位资金</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47A1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DD12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4D62E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1D48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C9DE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CE57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4487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207A6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DC5E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6F86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其他资金</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F4B7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2821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27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F8F4D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177E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5998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DB52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A7E1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5627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D548C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绩效指标（90分）</w:t>
            </w: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BD9C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一级指标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E978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二级指标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E0A5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三级指标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4ABC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指标性质</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1659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指标值</w:t>
            </w:r>
          </w:p>
        </w:tc>
        <w:tc>
          <w:tcPr>
            <w:tcW w:w="9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BDCA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9DE7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完成值</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6D28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F7D8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2201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未完成原因分析</w:t>
            </w:r>
          </w:p>
        </w:tc>
      </w:tr>
      <w:tr w14:paraId="0101B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6081D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1524A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产出指标</w:t>
            </w: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72062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数量指标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9454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对全州13县市疾控中心医疗机构、部分接种单位开展免疫规划工作指导次数</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D246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6867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w:t>
            </w:r>
          </w:p>
        </w:tc>
        <w:tc>
          <w:tcPr>
            <w:tcW w:w="9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83F3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次</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C10D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7B97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51DE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7998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F2AA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C63B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C151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441F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FC8A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登革热、禽流感等重点传染病防控指导次数</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23E4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1329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w:t>
            </w:r>
          </w:p>
        </w:tc>
        <w:tc>
          <w:tcPr>
            <w:tcW w:w="9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51DE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次</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9F23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5365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146D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B5E7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5B5D8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EA5BF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0C79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7E776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C524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禽流感监测次数</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3FF3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52A2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w:t>
            </w:r>
          </w:p>
        </w:tc>
        <w:tc>
          <w:tcPr>
            <w:tcW w:w="9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EC4E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次</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7AB4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3FAB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7000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22A0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0CEE1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61AD0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8D030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12542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质量指标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188F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饮用水和环境卫生监测完成率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48F6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0FFE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95</w:t>
            </w:r>
          </w:p>
        </w:tc>
        <w:tc>
          <w:tcPr>
            <w:tcW w:w="9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BD42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E209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1277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3E2A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DBEC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6BBE9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D755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0D198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5051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4AFA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包虫病人群主动筛查任务完成率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1EA2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1EB8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9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5E85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7F4E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3C25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0B79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329D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5ECF5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A21C6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8A011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FE67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71C7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艾滋病高危人群检测比例</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7BAE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4217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80</w:t>
            </w:r>
          </w:p>
        </w:tc>
        <w:tc>
          <w:tcPr>
            <w:tcW w:w="9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59C0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4DF7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74B0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682F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AD3C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51D8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1A2B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750E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效益指标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9A92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可持续影响指标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9E6E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艾滋病疫情处于低流行水平</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BBB4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定性</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AC2E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中长期</w:t>
            </w:r>
          </w:p>
        </w:tc>
        <w:tc>
          <w:tcPr>
            <w:tcW w:w="9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706F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3971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低流行水平</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86AA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30</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4CD9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1FE9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60DC6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E4524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0D93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满意度指标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3549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满意度指标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B7B9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服务对象满意度</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CB82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17E5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9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8734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52D0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0C03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5CCD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DF97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842E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24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F4EB67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合计</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06F1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3F31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FF11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r>
      <w:tr w14:paraId="65EBD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0" w:hRule="atLeast"/>
        </w:trPr>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B40F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评价结论</w:t>
            </w:r>
          </w:p>
        </w:tc>
        <w:tc>
          <w:tcPr>
            <w:tcW w:w="905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E5CF48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流感/新冠监测：监测年度需检测流感样病例标本1040份，已检测1189份流感样病例标本，流感病毒核酸阳性110份（109份季H3，1份Victoria型）；新冠阳性113份。已完成监测年度采样任务。</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不明原因肺炎监测：11月，中心完成了1例重症肺炎病例的流调、采样、检测、风险评估工作，中心实验室检测通过呼吸道多病原核酸检测测出是金黄色葡萄球菌感染，与州人民医院送第三方机构宏基因测序结果一致。</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禽流感监测：州、县联合开展禽流感监测，每月采集环境标本10份，全年120份；2025年，壤塘、阿坝2县未开展禽流感监测，在其余11个县（市）采集环境标本122份，经州疾控实验室检测，流感病毒甲型通用阳性19份，阳性率15.57%，其中H9亚型19份，H5、H7亚型未检出。3月，州疾控中心在若尔盖县采集职业暴露人群血清10人份，送中国疾控中心进行H9N2、H5N6、H10N3、H3N8抗体检测，结果均为阴性。</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登革热蚊媒监测：2025年，茂县为登革热蚊媒监测点，4-11月期间，除6-7月每月开展2次，其余月份均开展1次；今年首次在茂县县城凤仪镇发现白纹伊蚊。基孔肯雅热疫情高发时在理县、九寨沟、金川、小金各开展了一次监测。</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手足口病监测：2025年全州共采集46份手足口病病例标本进行应急检测（马尔康市、松潘县各17份，汶川县12份），阳性36份（均为CoxA16病毒分型），阳性检出率78.26%。</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狂犬病监测：全州无狂犬病病例报告，每月按时完成各类报表。</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食品安全风险监测开展情况：按照省级《方案》下达的监测任务要求，2025年完成食品安全风险监测样品492份，任务完成率100%，其中食品化学污染物及有害因素监测208份、微生物及其致病因监测284份，并及时将检测结果录入全民健康保障信息化工程食品安全风险评估业务应用平台；2025年全州25家开展食源性疾病监测的医疗机构通过“食源性疾病监测系统”累计报告食源性疾病共3732例病例，较去年下降5.12%。报告病例数居前3位的县（市）依次为：若尔盖县人民医院、阿坝州人民医院、阿坝县人民医院 。报告食源性疾病暴发事件42起，其中以误食毒蘑菇中毒事件为主，共报告37起，无死亡病例报告。</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城乡饮用水卫生监测工作开展情况：2025年生活饮用水监测任务数城市和农村分别为204和816份。完成情况：共监测水样1142份，其中城市水检测219份，任务完成率107.35%，合格率99.54%；农村水检测923份,任务完成率113.11%，合格率93.72%。完成一至四季度管网末梢水监测397份。完成茂县自来水厂、汶川县绵虒镇水厂出厂水、末梢水和二次供水共5份水样水质全分析，合格率为100%；对马尔康市明珠供排水有限公司（三水厂）和汶川县水磨镇水厂的出厂水开展8项水质参考指标检测，合格率为100%。对阿坝县、若尔盖县、红原县、壤塘县进行学校全覆盖，对松潘县部分学校生活饮用水进行专项水质检测，5县共监测122所学校，采集水样122份，合格61份，合格率50.00%；州疾控中心对所监测学校总数的10%进行抽样检测工作，共抽检20份水样，合格8份，合格率40.00%。</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学生常见病及健康影响因素监测干预工作开展情况：2025年学生常见病共体检学生257676人，其中检出近视10396例，近视率40.35%，较2024年下降0.65%；检出肥胖1529例，肥胖率6.53%，较2024年增长0.22%；检出超重2783例，超重率11.89%，较2024年上升0.05%；检出营养不良1355例，营养不良率5.79%，较2024年下降2.10%；检出龋齿患病16081例，龋患率67.84%，较2024年下降9.48%。</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2025年5月14日在松潘县联合举办"阿坝州饮用水监测暨德阿岷江流域技术培训会"，5月14-15日，“德阿饮用水卫生监测联盟”联合州相关部门在岷江源核心区域开展了“守护生命之源，共筑饮用水安全屏障”的主题宣传活动。2025年7月21日至25日组织举办了“食品安全风险监测、人群合理膳食及农村义务教育营养改善计划专题培训班”和“阿坝州学生常见病和健康危害影响因素监测培训班”。</w:t>
            </w:r>
          </w:p>
        </w:tc>
      </w:tr>
      <w:tr w14:paraId="5A32F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1361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存在问题</w:t>
            </w:r>
          </w:p>
        </w:tc>
        <w:tc>
          <w:tcPr>
            <w:tcW w:w="905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97BCF5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1.深入开展大众人群、重点人群的宣传教育，倡导健康文明的生活方式，对高危行为人群进行警示性教育。针对性宣传不强，宣传形式单一。</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2.重点人群监测检测工作：需进一步加大筛查力度。采取多种方式，扩大艾滋病筛查覆盖面。完善检测策略，强化主动检测，各地根据本地疫情特点采取适当措施，分片区进行检测，减少重复检测。</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性病丙肝监测工作的报病质量不高，需开展性病门诊报告梅毒、淋病、生殖道沙眼衣原体、生殖器疱疹和尖锐湿疣5种性病病例与诊断标准符合率的调查工作，确保报病准确。对辖区内报告的梅毒母婴传播病例和18 月龄及以下的丙肝病例，要逐一进行个案核实。</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4.部分县（市）未将免疫规划项目纳入政府绩效考核，有些县虽然纳入，但免疫规划所占比重极低，不能起到奖惩的作用，不能提高人员积极性；部分县（市）财政未配套免疫规划专项资金，不能更好地开展人员培训和工作指导；</w:t>
            </w:r>
          </w:p>
        </w:tc>
      </w:tr>
      <w:tr w14:paraId="0F0AD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06BC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改进措施</w:t>
            </w:r>
          </w:p>
        </w:tc>
        <w:tc>
          <w:tcPr>
            <w:tcW w:w="905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BC3664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64D99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52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030AF2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项目负责人：粘绪华、吴青青等</w:t>
            </w:r>
          </w:p>
        </w:tc>
        <w:tc>
          <w:tcPr>
            <w:tcW w:w="543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182DB7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395529AC">
      <w:pPr>
        <w:pStyle w:val="2"/>
        <w:ind w:left="-127" w:leftChars="-200" w:hanging="293" w:hangingChars="139"/>
        <w:rPr>
          <w:rFonts w:hint="default"/>
          <w:lang w:val="en-US" w:eastAsia="zh-CN"/>
        </w:rPr>
      </w:pPr>
    </w:p>
    <w:p w14:paraId="41FE5318">
      <w:pPr>
        <w:rPr>
          <w:rFonts w:hint="default"/>
          <w:lang w:val="en-US" w:eastAsia="zh-CN"/>
        </w:rPr>
      </w:pPr>
    </w:p>
    <w:p w14:paraId="236B7960">
      <w:pPr>
        <w:pStyle w:val="2"/>
        <w:rPr>
          <w:rFonts w:hint="default"/>
          <w:lang w:val="en-US" w:eastAsia="zh-CN"/>
        </w:rPr>
      </w:pPr>
    </w:p>
    <w:p w14:paraId="34E3CE4F">
      <w:pPr>
        <w:rPr>
          <w:rFonts w:hint="default"/>
          <w:lang w:val="en-US" w:eastAsia="zh-CN"/>
        </w:rPr>
      </w:pPr>
    </w:p>
    <w:p w14:paraId="2F2EAF0B">
      <w:pPr>
        <w:pStyle w:val="2"/>
        <w:rPr>
          <w:rFonts w:hint="default"/>
          <w:lang w:val="en-US" w:eastAsia="zh-CN"/>
        </w:rPr>
      </w:pPr>
    </w:p>
    <w:p w14:paraId="7008BE48">
      <w:pPr>
        <w:rPr>
          <w:rFonts w:hint="default"/>
          <w:lang w:val="en-US" w:eastAsia="zh-CN"/>
        </w:rPr>
      </w:pPr>
    </w:p>
    <w:p w14:paraId="7C4D9B65">
      <w:pPr>
        <w:pStyle w:val="2"/>
        <w:rPr>
          <w:rFonts w:hint="default"/>
          <w:lang w:val="en-US" w:eastAsia="zh-CN"/>
        </w:rPr>
      </w:pPr>
    </w:p>
    <w:p w14:paraId="37BADCD9">
      <w:pPr>
        <w:rPr>
          <w:rFonts w:hint="default"/>
          <w:lang w:val="en-US" w:eastAsia="zh-CN"/>
        </w:rPr>
      </w:pPr>
    </w:p>
    <w:p w14:paraId="7A6B1497">
      <w:pPr>
        <w:pStyle w:val="2"/>
        <w:rPr>
          <w:rFonts w:hint="default"/>
          <w:lang w:val="en-US" w:eastAsia="zh-CN"/>
        </w:rPr>
      </w:pPr>
    </w:p>
    <w:p w14:paraId="61CD11D2">
      <w:pPr>
        <w:rPr>
          <w:rFonts w:hint="default"/>
          <w:lang w:val="en-US" w:eastAsia="zh-CN"/>
        </w:rPr>
      </w:pPr>
    </w:p>
    <w:p w14:paraId="1C469C45">
      <w:pPr>
        <w:pStyle w:val="2"/>
        <w:rPr>
          <w:rFonts w:hint="default"/>
          <w:lang w:val="en-US" w:eastAsia="zh-CN"/>
        </w:rPr>
      </w:pPr>
    </w:p>
    <w:tbl>
      <w:tblPr>
        <w:tblStyle w:val="15"/>
        <w:tblW w:w="9980" w:type="dxa"/>
        <w:tblInd w:w="-1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778"/>
        <w:gridCol w:w="1118"/>
        <w:gridCol w:w="950"/>
        <w:gridCol w:w="943"/>
        <w:gridCol w:w="943"/>
        <w:gridCol w:w="899"/>
        <w:gridCol w:w="733"/>
        <w:gridCol w:w="223"/>
        <w:gridCol w:w="723"/>
        <w:gridCol w:w="221"/>
        <w:gridCol w:w="625"/>
        <w:gridCol w:w="97"/>
        <w:gridCol w:w="221"/>
        <w:gridCol w:w="846"/>
      </w:tblGrid>
      <w:tr w14:paraId="5BC56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998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531CE0D">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7E34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BE38E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项目名称</w:t>
            </w:r>
          </w:p>
        </w:tc>
        <w:tc>
          <w:tcPr>
            <w:tcW w:w="8542" w:type="dxa"/>
            <w:gridSpan w:val="13"/>
            <w:tcBorders>
              <w:top w:val="single" w:color="000000" w:sz="4" w:space="0"/>
              <w:left w:val="single" w:color="000000" w:sz="4" w:space="0"/>
              <w:bottom w:val="single" w:color="000000" w:sz="4" w:space="0"/>
              <w:right w:val="single" w:color="000000" w:sz="4" w:space="0"/>
            </w:tcBorders>
            <w:shd w:val="clear" w:color="auto" w:fill="FFFFFF"/>
            <w:vAlign w:val="center"/>
          </w:tcPr>
          <w:p w14:paraId="2F38AC3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51320024T000011616570-重大传染病防控补助资金2024-35号</w:t>
            </w:r>
          </w:p>
        </w:tc>
      </w:tr>
      <w:tr w14:paraId="1E9E2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9" w:hRule="atLeast"/>
        </w:trPr>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3B993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主管部门</w:t>
            </w:r>
          </w:p>
        </w:tc>
        <w:tc>
          <w:tcPr>
            <w:tcW w:w="485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6D5F31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州卫生健康委部门</w:t>
            </w:r>
          </w:p>
        </w:tc>
        <w:tc>
          <w:tcPr>
            <w:tcW w:w="956" w:type="dxa"/>
            <w:gridSpan w:val="2"/>
            <w:tcBorders>
              <w:top w:val="nil"/>
              <w:left w:val="nil"/>
              <w:bottom w:val="nil"/>
              <w:right w:val="nil"/>
            </w:tcBorders>
            <w:shd w:val="clear" w:color="auto" w:fill="FFFFFF"/>
            <w:vAlign w:val="center"/>
          </w:tcPr>
          <w:p w14:paraId="60DC60C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3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2592D9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州疾控中心</w:t>
            </w:r>
          </w:p>
        </w:tc>
      </w:tr>
      <w:tr w14:paraId="0CFF7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51D74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项目基本情况</w:t>
            </w:r>
          </w:p>
        </w:tc>
        <w:tc>
          <w:tcPr>
            <w:tcW w:w="7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8DD68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1.项目年度目标完成情况</w:t>
            </w:r>
          </w:p>
        </w:tc>
        <w:tc>
          <w:tcPr>
            <w:tcW w:w="485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AC0988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项目年度目标</w:t>
            </w:r>
          </w:p>
        </w:tc>
        <w:tc>
          <w:tcPr>
            <w:tcW w:w="368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0A6857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000CC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6"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0EF8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E48C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485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4F77CB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为0-6岁适龄儿童进行常规接种，开展重点传染病及危险因素监测。推广癌症、心脑血管疾病、慢性呼吸系 统疾病、口腔疾病等重点慢性病早期筛查和干预适宜技术，健全完善慢性病及其危险因素监测网络，以慢 性病综合防控示范区和全民健康生活方式行动为抓手，加强慢性病防控能力建设。加强严重精神障碍患者 管理。开展农村地区贫困癫痫患者筛查登记和随访管理，提高患者治疗率。进一步完善“政府组织领导、部门各负其责、全社会共同参与”的防治机制，全面落实各项艾滋病和性病预 防控制措施，提高发现率，扩大治疗覆盖面，提升治疗成功率，降低死亡率，降低新发感染，提高感染者 和病人的生活质量。及时发现和规范治疗管理结核病患者，持续降低结核病的感染、发病与死亡，确保结 核病疫情稳步下降，提高群众健康水平。全面开展包虫病综合防治，提升我省包虫病防治成效。 持续巩 固全省血吸虫病消除成果，加强肺吸虫病监测。</w:t>
            </w:r>
          </w:p>
        </w:tc>
        <w:tc>
          <w:tcPr>
            <w:tcW w:w="368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E7F705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1.地方病防治资金用于州疾控中心组织13个县（市）开展相关地方病防治项目实施、人员培训、质量控制、技术指导、社会动员、能力建设以及项目管理等。</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2.职业病：按照项目方案的要求全面完成重点职业病监测项目、工作场所职业病危害因素监测、辐射防护（含医疗、非医疗机构）与放射性职业病监测项目等绩效目标任务。</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基本公共卫生：2025年健康档案建档率为95.77%，动态使用率70.25%；儿童眼保健和视力检查覆盖率91.81%；新生儿访视率96.63%；早孕建册率89.86%，产后访视96.07%；老年人规范健康管理服务率67.59%；高血压患者规范管理率74.09%，控制率88.03%；糖尿病患者规范管理率75.30%，控制率70.77%；严重精神疾病患者规范化管理率为95.99%；肺结核患者管理率99.36%，肺结核患者规则服药率99.50%；</w:t>
            </w:r>
          </w:p>
        </w:tc>
      </w:tr>
      <w:tr w14:paraId="4D7AB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8"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EEB9F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B587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2.项目实施内容及过程概述</w:t>
            </w:r>
          </w:p>
        </w:tc>
        <w:tc>
          <w:tcPr>
            <w:tcW w:w="8542" w:type="dxa"/>
            <w:gridSpan w:val="13"/>
            <w:tcBorders>
              <w:top w:val="single" w:color="000000" w:sz="4" w:space="0"/>
              <w:left w:val="single" w:color="000000" w:sz="4" w:space="0"/>
              <w:bottom w:val="single" w:color="000000" w:sz="4" w:space="0"/>
              <w:right w:val="single" w:color="000000" w:sz="4" w:space="0"/>
            </w:tcBorders>
            <w:shd w:val="clear" w:color="auto" w:fill="FFFFFF"/>
            <w:vAlign w:val="center"/>
          </w:tcPr>
          <w:p w14:paraId="38D3A11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包虫病人群主动筛查任务全部完成</w:t>
            </w:r>
          </w:p>
        </w:tc>
      </w:tr>
      <w:tr w14:paraId="3AB24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5603A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预算执行情况（10分）</w:t>
            </w:r>
          </w:p>
        </w:tc>
        <w:tc>
          <w:tcPr>
            <w:tcW w:w="7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4D3E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年度预算数（万元）</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01D9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年初预算</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7DF0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调整后预算数</w:t>
            </w:r>
          </w:p>
        </w:tc>
        <w:tc>
          <w:tcPr>
            <w:tcW w:w="27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00C72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预算执行数</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3E3B2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预算执行率</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95321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8756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1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17F89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原因</w:t>
            </w:r>
          </w:p>
        </w:tc>
      </w:tr>
      <w:tr w14:paraId="6E114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D982D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14BF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总额</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3BD1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13F5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33.48</w:t>
            </w:r>
          </w:p>
        </w:tc>
        <w:tc>
          <w:tcPr>
            <w:tcW w:w="27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0C5C1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33.48</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C53C2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100.00%</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9C941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6931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16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93DBA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0102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6F1DB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2CB5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其中：财政资金</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6F4D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714F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33.48</w:t>
            </w:r>
          </w:p>
        </w:tc>
        <w:tc>
          <w:tcPr>
            <w:tcW w:w="27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FD105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33.48</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8F12E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100.00%</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24839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B3DB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E11F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2E92B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AE6FD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8036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财政专户管理资金</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2577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C542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7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3A163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08C9B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73C99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68B8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94743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B360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CA229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67E5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单位资金</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E0D7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F14D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7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59F97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CA1CA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A5CB4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7BC9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F4AE7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3F98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D5BA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6DDD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其他资金</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40B2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6809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27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74B06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17A46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F441B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DEBB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1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CB3F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4CA8D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3C71E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绩效指标（90分）</w:t>
            </w:r>
          </w:p>
        </w:tc>
        <w:tc>
          <w:tcPr>
            <w:tcW w:w="7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0189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一级指标</w:t>
            </w:r>
          </w:p>
        </w:tc>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C4E0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二级指标</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32AF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三级指标</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A020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指标性质</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2358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指标值</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EFE1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度量单位</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B4F21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完成值</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9AFE4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9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82BDF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D087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未完成原因分析</w:t>
            </w:r>
          </w:p>
        </w:tc>
      </w:tr>
      <w:tr w14:paraId="57EA3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B2E58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B4D3B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产出指标</w:t>
            </w:r>
          </w:p>
        </w:tc>
        <w:tc>
          <w:tcPr>
            <w:tcW w:w="1118" w:type="dxa"/>
            <w:tcBorders>
              <w:top w:val="nil"/>
              <w:left w:val="nil"/>
              <w:bottom w:val="single" w:color="000000" w:sz="8" w:space="0"/>
              <w:right w:val="single" w:color="000000" w:sz="8" w:space="0"/>
            </w:tcBorders>
            <w:shd w:val="clear" w:color="auto" w:fill="FFFFFF"/>
            <w:vAlign w:val="center"/>
          </w:tcPr>
          <w:p w14:paraId="74FCB78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950" w:type="dxa"/>
            <w:tcBorders>
              <w:top w:val="nil"/>
              <w:left w:val="nil"/>
              <w:bottom w:val="single" w:color="000000" w:sz="8" w:space="0"/>
              <w:right w:val="single" w:color="000000" w:sz="8" w:space="0"/>
            </w:tcBorders>
            <w:shd w:val="clear" w:color="auto" w:fill="FFFFFF"/>
            <w:vAlign w:val="center"/>
          </w:tcPr>
          <w:p w14:paraId="7105306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开展免疫规划疫苗工作指导单位数</w:t>
            </w:r>
          </w:p>
        </w:tc>
        <w:tc>
          <w:tcPr>
            <w:tcW w:w="943" w:type="dxa"/>
            <w:tcBorders>
              <w:top w:val="nil"/>
              <w:left w:val="nil"/>
              <w:bottom w:val="single" w:color="000000" w:sz="8" w:space="0"/>
              <w:right w:val="single" w:color="000000" w:sz="8" w:space="0"/>
            </w:tcBorders>
            <w:shd w:val="clear" w:color="auto" w:fill="FFFFFF"/>
            <w:vAlign w:val="center"/>
          </w:tcPr>
          <w:p w14:paraId="500BDCF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43" w:type="dxa"/>
            <w:tcBorders>
              <w:top w:val="nil"/>
              <w:left w:val="nil"/>
              <w:bottom w:val="single" w:color="000000" w:sz="8" w:space="0"/>
              <w:right w:val="single" w:color="000000" w:sz="8" w:space="0"/>
            </w:tcBorders>
            <w:shd w:val="clear" w:color="auto" w:fill="FFFFFF"/>
            <w:vAlign w:val="center"/>
          </w:tcPr>
          <w:p w14:paraId="3368F8D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68C8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次</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93A5F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53</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34C2E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9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6E893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C411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2E4A4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E7CE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8509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118" w:type="dxa"/>
            <w:vMerge w:val="restart"/>
            <w:tcBorders>
              <w:top w:val="nil"/>
              <w:left w:val="nil"/>
              <w:bottom w:val="single" w:color="000000" w:sz="8" w:space="0"/>
              <w:right w:val="single" w:color="000000" w:sz="8" w:space="0"/>
            </w:tcBorders>
            <w:shd w:val="clear" w:color="auto" w:fill="FFFFFF"/>
            <w:vAlign w:val="center"/>
          </w:tcPr>
          <w:p w14:paraId="44AE850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950" w:type="dxa"/>
            <w:tcBorders>
              <w:top w:val="nil"/>
              <w:left w:val="nil"/>
              <w:bottom w:val="single" w:color="000000" w:sz="8" w:space="0"/>
              <w:right w:val="single" w:color="000000" w:sz="8" w:space="0"/>
            </w:tcBorders>
            <w:shd w:val="clear" w:color="auto" w:fill="FFFFFF"/>
            <w:vAlign w:val="center"/>
          </w:tcPr>
          <w:p w14:paraId="2D4BE6D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包虫病人群主动筛查任务完成率</w:t>
            </w:r>
          </w:p>
        </w:tc>
        <w:tc>
          <w:tcPr>
            <w:tcW w:w="943" w:type="dxa"/>
            <w:tcBorders>
              <w:top w:val="nil"/>
              <w:left w:val="nil"/>
              <w:bottom w:val="single" w:color="000000" w:sz="8" w:space="0"/>
              <w:right w:val="single" w:color="000000" w:sz="8" w:space="0"/>
            </w:tcBorders>
            <w:shd w:val="clear" w:color="auto" w:fill="FFFFFF"/>
            <w:vAlign w:val="center"/>
          </w:tcPr>
          <w:p w14:paraId="3D6AF14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43" w:type="dxa"/>
            <w:tcBorders>
              <w:top w:val="nil"/>
              <w:left w:val="nil"/>
              <w:bottom w:val="single" w:color="000000" w:sz="8" w:space="0"/>
              <w:right w:val="single" w:color="000000" w:sz="8" w:space="0"/>
            </w:tcBorders>
            <w:shd w:val="clear" w:color="auto" w:fill="FFFFFF"/>
            <w:vAlign w:val="center"/>
          </w:tcPr>
          <w:p w14:paraId="324FCCF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6B6F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0BBC2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100 </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AB554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9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CA46B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68C7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2DCF0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DB7C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E12F2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118" w:type="dxa"/>
            <w:vMerge w:val="continue"/>
            <w:tcBorders>
              <w:top w:val="nil"/>
              <w:left w:val="nil"/>
              <w:bottom w:val="single" w:color="000000" w:sz="8" w:space="0"/>
              <w:right w:val="single" w:color="000000" w:sz="8" w:space="0"/>
            </w:tcBorders>
            <w:shd w:val="clear" w:color="auto" w:fill="FFFFFF"/>
            <w:vAlign w:val="center"/>
          </w:tcPr>
          <w:p w14:paraId="6064595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50" w:type="dxa"/>
            <w:tcBorders>
              <w:top w:val="nil"/>
              <w:left w:val="nil"/>
              <w:bottom w:val="single" w:color="000000" w:sz="8" w:space="0"/>
              <w:right w:val="single" w:color="000000" w:sz="8" w:space="0"/>
            </w:tcBorders>
            <w:shd w:val="clear" w:color="auto" w:fill="FFFFFF"/>
            <w:vAlign w:val="center"/>
          </w:tcPr>
          <w:p w14:paraId="7FF3BA2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死因监测规范报告率</w:t>
            </w:r>
          </w:p>
        </w:tc>
        <w:tc>
          <w:tcPr>
            <w:tcW w:w="943" w:type="dxa"/>
            <w:tcBorders>
              <w:top w:val="nil"/>
              <w:left w:val="nil"/>
              <w:bottom w:val="single" w:color="000000" w:sz="8" w:space="0"/>
              <w:right w:val="single" w:color="000000" w:sz="8" w:space="0"/>
            </w:tcBorders>
            <w:shd w:val="clear" w:color="auto" w:fill="FFFFFF"/>
            <w:vAlign w:val="center"/>
          </w:tcPr>
          <w:p w14:paraId="567CA7C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43" w:type="dxa"/>
            <w:tcBorders>
              <w:top w:val="nil"/>
              <w:left w:val="nil"/>
              <w:bottom w:val="single" w:color="000000" w:sz="8" w:space="0"/>
              <w:right w:val="single" w:color="000000" w:sz="8" w:space="0"/>
            </w:tcBorders>
            <w:shd w:val="clear" w:color="auto" w:fill="FFFFFF"/>
            <w:vAlign w:val="center"/>
          </w:tcPr>
          <w:p w14:paraId="710E846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67C6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328AD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69.23</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A49DF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9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DD166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18</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75B2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0E5E1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6A9E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5C117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118" w:type="dxa"/>
            <w:vMerge w:val="continue"/>
            <w:tcBorders>
              <w:top w:val="nil"/>
              <w:left w:val="nil"/>
              <w:bottom w:val="single" w:color="000000" w:sz="8" w:space="0"/>
              <w:right w:val="single" w:color="000000" w:sz="8" w:space="0"/>
            </w:tcBorders>
            <w:shd w:val="clear" w:color="auto" w:fill="FFFFFF"/>
            <w:vAlign w:val="center"/>
          </w:tcPr>
          <w:p w14:paraId="17054B3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50" w:type="dxa"/>
            <w:tcBorders>
              <w:top w:val="nil"/>
              <w:left w:val="nil"/>
              <w:bottom w:val="single" w:color="000000" w:sz="8" w:space="0"/>
              <w:right w:val="single" w:color="000000" w:sz="8" w:space="0"/>
            </w:tcBorders>
            <w:shd w:val="clear" w:color="auto" w:fill="FFFFFF"/>
            <w:vAlign w:val="center"/>
          </w:tcPr>
          <w:p w14:paraId="17FA86D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艾滋病规范化随访干预比例</w:t>
            </w:r>
          </w:p>
        </w:tc>
        <w:tc>
          <w:tcPr>
            <w:tcW w:w="943" w:type="dxa"/>
            <w:tcBorders>
              <w:top w:val="nil"/>
              <w:left w:val="nil"/>
              <w:bottom w:val="single" w:color="000000" w:sz="8" w:space="0"/>
              <w:right w:val="single" w:color="000000" w:sz="8" w:space="0"/>
            </w:tcBorders>
            <w:shd w:val="clear" w:color="auto" w:fill="FFFFFF"/>
            <w:vAlign w:val="center"/>
          </w:tcPr>
          <w:p w14:paraId="7B7D230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43" w:type="dxa"/>
            <w:tcBorders>
              <w:top w:val="nil"/>
              <w:left w:val="nil"/>
              <w:bottom w:val="single" w:color="000000" w:sz="8" w:space="0"/>
              <w:right w:val="single" w:color="000000" w:sz="8" w:space="0"/>
            </w:tcBorders>
            <w:shd w:val="clear" w:color="auto" w:fill="FFFFFF"/>
            <w:vAlign w:val="center"/>
          </w:tcPr>
          <w:p w14:paraId="670A7DD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84D3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959A3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95.63</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F6995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9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713F5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334E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2D881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9F75C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F49A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118" w:type="dxa"/>
            <w:tcBorders>
              <w:top w:val="nil"/>
              <w:left w:val="nil"/>
              <w:bottom w:val="single" w:color="000000" w:sz="8" w:space="0"/>
              <w:right w:val="single" w:color="000000" w:sz="8" w:space="0"/>
            </w:tcBorders>
            <w:shd w:val="clear" w:color="auto" w:fill="FFFFFF"/>
            <w:vAlign w:val="center"/>
          </w:tcPr>
          <w:p w14:paraId="705E26C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950" w:type="dxa"/>
            <w:tcBorders>
              <w:top w:val="nil"/>
              <w:left w:val="nil"/>
              <w:bottom w:val="single" w:color="000000" w:sz="8" w:space="0"/>
              <w:right w:val="single" w:color="000000" w:sz="8" w:space="0"/>
            </w:tcBorders>
            <w:shd w:val="clear" w:color="auto" w:fill="FFFFFF"/>
            <w:vAlign w:val="center"/>
          </w:tcPr>
          <w:p w14:paraId="034E1FC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重大传染病防控能力</w:t>
            </w:r>
          </w:p>
        </w:tc>
        <w:tc>
          <w:tcPr>
            <w:tcW w:w="943" w:type="dxa"/>
            <w:tcBorders>
              <w:top w:val="nil"/>
              <w:left w:val="nil"/>
              <w:bottom w:val="single" w:color="000000" w:sz="8" w:space="0"/>
              <w:right w:val="single" w:color="000000" w:sz="8" w:space="0"/>
            </w:tcBorders>
            <w:shd w:val="clear" w:color="auto" w:fill="FFFFFF"/>
            <w:vAlign w:val="center"/>
          </w:tcPr>
          <w:p w14:paraId="569CF94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43" w:type="dxa"/>
            <w:tcBorders>
              <w:top w:val="nil"/>
              <w:left w:val="nil"/>
              <w:bottom w:val="single" w:color="000000" w:sz="8" w:space="0"/>
              <w:right w:val="single" w:color="000000" w:sz="8" w:space="0"/>
            </w:tcBorders>
            <w:shd w:val="clear" w:color="auto" w:fill="FFFFFF"/>
            <w:vAlign w:val="center"/>
          </w:tcPr>
          <w:p w14:paraId="6126369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不断提升</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D503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56" w:type="dxa"/>
            <w:gridSpan w:val="2"/>
            <w:tcBorders>
              <w:top w:val="nil"/>
              <w:left w:val="nil"/>
              <w:bottom w:val="single" w:color="000000" w:sz="8" w:space="0"/>
              <w:right w:val="single" w:color="000000" w:sz="8" w:space="0"/>
            </w:tcBorders>
            <w:shd w:val="clear" w:color="auto" w:fill="FFFFFF"/>
            <w:vAlign w:val="center"/>
          </w:tcPr>
          <w:p w14:paraId="0DF7AEC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不断提升</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3A088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9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53559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6B84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0100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0B212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7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0ED55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1118" w:type="dxa"/>
            <w:tcBorders>
              <w:top w:val="nil"/>
              <w:left w:val="nil"/>
              <w:bottom w:val="single" w:color="000000" w:sz="8" w:space="0"/>
              <w:right w:val="single" w:color="000000" w:sz="8" w:space="0"/>
            </w:tcBorders>
            <w:shd w:val="clear" w:color="auto" w:fill="FFFFFF"/>
            <w:vAlign w:val="center"/>
          </w:tcPr>
          <w:p w14:paraId="2A8F33E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950" w:type="dxa"/>
            <w:tcBorders>
              <w:top w:val="nil"/>
              <w:left w:val="nil"/>
              <w:bottom w:val="single" w:color="000000" w:sz="8" w:space="0"/>
              <w:right w:val="single" w:color="000000" w:sz="8" w:space="0"/>
            </w:tcBorders>
            <w:shd w:val="clear" w:color="auto" w:fill="FFFFFF"/>
            <w:vAlign w:val="center"/>
          </w:tcPr>
          <w:p w14:paraId="662D5B0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w:t>
            </w:r>
          </w:p>
        </w:tc>
        <w:tc>
          <w:tcPr>
            <w:tcW w:w="943" w:type="dxa"/>
            <w:tcBorders>
              <w:top w:val="nil"/>
              <w:left w:val="nil"/>
              <w:bottom w:val="single" w:color="000000" w:sz="8" w:space="0"/>
              <w:right w:val="single" w:color="000000" w:sz="8" w:space="0"/>
            </w:tcBorders>
            <w:shd w:val="clear" w:color="auto" w:fill="FFFFFF"/>
            <w:vAlign w:val="center"/>
          </w:tcPr>
          <w:p w14:paraId="106B1DE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43" w:type="dxa"/>
            <w:tcBorders>
              <w:top w:val="nil"/>
              <w:left w:val="nil"/>
              <w:bottom w:val="single" w:color="000000" w:sz="8" w:space="0"/>
              <w:right w:val="single" w:color="000000" w:sz="8" w:space="0"/>
            </w:tcBorders>
            <w:shd w:val="clear" w:color="auto" w:fill="FFFFFF"/>
            <w:vAlign w:val="center"/>
          </w:tcPr>
          <w:p w14:paraId="5E16C63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C22E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551B1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90</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A3D83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9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821FC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BD71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75872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702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DAFBB2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合计</w:t>
            </w:r>
          </w:p>
        </w:tc>
        <w:tc>
          <w:tcPr>
            <w:tcW w:w="9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369AA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9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56E7D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88</w:t>
            </w: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2DB73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r>
      <w:tr w14:paraId="1FA3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1" w:hRule="atLeast"/>
        </w:trPr>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B973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评价结论</w:t>
            </w:r>
          </w:p>
        </w:tc>
        <w:tc>
          <w:tcPr>
            <w:tcW w:w="9320"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F05668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地方病：一是2025年全州继续开展县、乡、村三级全覆盖地方病监测工作，以县为单位完成对全州13个县（市）的碘缺乏病监测及11个县的饮茶型地氟病监测；以乡为单位完成对全州3个县23个乡的克山病监测；以村为单位完成对全州12个县377个村大骨节病、1个县1个村饮水型地方性砷中毒的监测，实际地方病监测完成率100%。完成碘缺乏病、饮茶型地氟病、大骨节病、克山病、饮水型地方性砷中毒等地方病核心指标监测，实际地方病核心指标监测率100%。完成2025年绩效目标。二是开展全社会群防群控，不断巩固消除重点地方病危害成果，开展第32个全国“防治碘缺乏病日”活动，开展饮茶型地氟病健康教育项目。三、联合省疾控对全州的13个县（市）开展地方病防治工作现场技术指导共计12次。四、完成老旧DR维修维护。</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2.职业病:</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（1）开展技术培训，提升专业水平</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2025年6月23日-6月25日，全州职业病防治项目工作培训班在马尔康顺利举行，各县（市）疾控中心分管领导、卫生科科长、专业人员，州卫生执法支队、各县(市)卫生监督人员，职业健康检查机构网报人员及州疾控中心工作人员共计40余人参加会议。重点就职业卫生相关法律法规、职业病危害因素识别、游离二氧化硅实验室检测、职业病网络、工作场所职业病危害因素现场采样及仪器设备操作、2025年工作方案等内容进行了详细讲解。</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（2）职业健康监测情况</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2025年1月1日至2025年12月31日，完成职业健康体检16819人，其中岗前体检8168人，检出职业禁忌证491人，检出率6.0%；在岗期间体检8483人，检出职业禁忌证166人，检出率6.0%，检出疑似职业病9人，检出率0.1%；离岗体检168人，未检出疑似职业病。国家系统报告职业病情况：报告职业病病例8例、疑似职业病病例9例。</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（3）职业病随访</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完成66例尘肺病患者随访工作。</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（4）主动监测情况</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2025年省下达主动监测任务数粉尘、噪声共680人，完成680人，任务完成率100%。</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 xml:space="preserve">（5）职业健康素养调查情况 </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完成133名（任务数132名）一线工人的职业健康素养问卷调查，劳动者职业健康素养水平为42.86%。</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（6）工作场所职业病危害因素监测</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2025年完成工作场所职业病危害因素现场监测企业48家，岗位合格率为67.44%。</w:t>
            </w:r>
          </w:p>
        </w:tc>
      </w:tr>
      <w:tr w14:paraId="36CBD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51" w:hRule="atLeast"/>
        </w:trPr>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0F955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存在问题</w:t>
            </w:r>
          </w:p>
        </w:tc>
        <w:tc>
          <w:tcPr>
            <w:tcW w:w="8542" w:type="dxa"/>
            <w:gridSpan w:val="13"/>
            <w:tcBorders>
              <w:top w:val="single" w:color="000000" w:sz="4" w:space="0"/>
              <w:left w:val="single" w:color="000000" w:sz="4" w:space="0"/>
              <w:bottom w:val="single" w:color="000000" w:sz="4" w:space="0"/>
              <w:right w:val="single" w:color="000000" w:sz="4" w:space="0"/>
            </w:tcBorders>
            <w:shd w:val="clear" w:color="auto" w:fill="FFFFFF"/>
            <w:vAlign w:val="center"/>
          </w:tcPr>
          <w:p w14:paraId="07CBCC4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（一）食品安全风险监测方面</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1.食品安全风险监测技术机构少，样品采集监测难度大。全州疾控机构目前仅有州疾控中心和九寨沟县疾控中心承担食品污染物和有害因素监测任务，其他县（市）受监测技术能力和项目经费影响，仅承担了食源性疾病事件的流行病学调查。样品采集覆盖13县（市），阿坝州大部分县（市）地处偏远地区，导致采样时间较长。</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食品安全风险监测技术能力薄弱。承担食品安全风险监测项目的疾控机构监测能力较薄弱，主要为无独立职能科室、监测人员和实验室检测人员严重匮乏，县级实验室检测设备配置不足，需送至省疾控中心或其他市州疾控中心检测，送样和信息反馈过程颇费周折，影响结果报送和利用的及时性。</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3.食源性疾病监测工作的重视程度需进一步提高。各级食源性疾病监测医疗机构对食源性疾病监测重视程度不够，协调各有关部门开展工作配合难度较大。</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4.食源性疾病监测能力还有待于进一步提升。部分疾控机构对食源性疾病流行病学调查知识掌握不够，程序不明，技术能力薄弱，流行病学调查报告的撰写规范性有待进一步提高。</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5.食源性疾病监测工作指导和培训有待进一步加强。部分食源性疾病监测医疗机构对具体内容及报告程序不清，监测工作质量难以保证。进一步加强对食源性疾病监测医疗机构督导和培训工作。</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（二）饮用水水质监测方面</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1.大部分农村学校供水设施设备不完善，存在生活饮用水安全隐患。对于山区、牧区特殊地理环境，大部分学校供水设施设备不完善，乡镇、村学校生活饮用水大多数未经常规处理（含混凝、沉淀、过滤、消毒）；农村学校供水工程普遍没有水处理工艺或者即使有水处理工艺也不用或不规范使用的现象；自建供水设施（大多为井水）的学校无任何水处理工艺、未配置消毒设备及不消毒成为饮水不安全的主要因素。</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2.各县（市）疾控机构水质监测工作能力薄弱，人员、检测设备储备不足。2024年按照《生活饮用水卫生标准》（GB 5749-2022）开展水质常规指标监测（放射性指标除外），目前大部分县不具备43项常规指标的检测能力，除此之外，部分县（市）常规指标中理化指标检测还依赖于对口支援单位或第三方检测完成检测任务，自身能力未得到有效提升。全州疾病机构专业人员严重不足，人员队伍不稳定，很多县级疾控机构无单独的卫生科，且近年来五大卫生的工作量大幅增加，导致工作质量无法保证，水质监测能力薄弱。</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相关部门对监测结果反馈利用不足，水质卫生状况未能从源头上改善。疾控机构在监测的供水单位调查基本情况显示：大部分农村供水单位水处理工艺不完善、消毒剂使用不规范，卫生管理不到位、农饮工程后期缺乏运营管理和维护。</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（三）学校卫生监测方面</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1.总体我州中小学生近视防治形式仍严峻，尤以小学阶段，其近视下降百分比较低。</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2.我州中小学生患龋率处于较高的发生水平，防控形势严峻，不容乐观。</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3.中小学校教室的照明条件远远不能满足视觉活动的需要</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四）慢病方面：一是多部门联合防控长效机制有待进一步健全完善。二是慢性病综合防控工作经费缺乏。三是各级医疗卫生机构慢性病防控专业技术人员缺乏。四是各级慢性病防控专业人员业务水平及业务技能不能满足工作的需要。</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五）结核病方面：阿坝州地广人稀，经济相对欠发达，结核病疫情形势严峻，防治工作任务重，上级在分配结核病防控资金时没有充分考虑阿坝州开展工作的实际困难，均按照内地市州模式给予分配资金，导致部分县工作经费不足，影响工作进度。</w:t>
            </w:r>
          </w:p>
        </w:tc>
      </w:tr>
      <w:tr w14:paraId="103D3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9" w:hRule="atLeast"/>
        </w:trPr>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C248A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改进措施</w:t>
            </w:r>
          </w:p>
        </w:tc>
        <w:tc>
          <w:tcPr>
            <w:tcW w:w="8542" w:type="dxa"/>
            <w:gridSpan w:val="13"/>
            <w:tcBorders>
              <w:top w:val="single" w:color="000000" w:sz="4" w:space="0"/>
              <w:left w:val="single" w:color="000000" w:sz="4" w:space="0"/>
              <w:bottom w:val="single" w:color="000000" w:sz="4" w:space="0"/>
              <w:right w:val="single" w:color="000000" w:sz="4" w:space="0"/>
            </w:tcBorders>
            <w:shd w:val="clear" w:color="auto" w:fill="FFFFFF"/>
            <w:vAlign w:val="center"/>
          </w:tcPr>
          <w:p w14:paraId="425BFC7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1.慢病方面：一是进一步加强健康教育及健康促进。二是进一步加大培训力度。三是进一步做好慢性病的监测及项目工作。四是进一步做好慢性病防治适宜技术的推广及运用。</w:t>
            </w:r>
            <w:r>
              <w:rPr>
                <w:rFonts w:hint="default" w:ascii="宋体" w:hAnsi="宋体" w:eastAsia="宋体" w:cs="宋体"/>
                <w:i w:val="0"/>
                <w:iCs w:val="0"/>
                <w:color w:val="000000"/>
                <w:kern w:val="0"/>
                <w:sz w:val="18"/>
                <w:szCs w:val="18"/>
                <w:u w:val="none"/>
                <w:lang w:val="en-US" w:eastAsia="zh-CN" w:bidi="ar"/>
              </w:rPr>
              <w:br w:type="textWrapping"/>
            </w:r>
            <w:r>
              <w:rPr>
                <w:rFonts w:hint="default" w:ascii="宋体" w:hAnsi="宋体" w:eastAsia="宋体" w:cs="宋体"/>
                <w:i w:val="0"/>
                <w:iCs w:val="0"/>
                <w:color w:val="000000"/>
                <w:kern w:val="0"/>
                <w:sz w:val="18"/>
                <w:szCs w:val="18"/>
                <w:u w:val="none"/>
                <w:lang w:val="en-US" w:eastAsia="zh-CN" w:bidi="ar"/>
              </w:rPr>
              <w:t>2.结核病方面：建议上级根据工作困难程度给予资金适当倾斜，确保基层结核病防治工作顺利推</w:t>
            </w:r>
          </w:p>
        </w:tc>
      </w:tr>
      <w:tr w14:paraId="51B0F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444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257E12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项目负责人：粘绪华、吴青青等</w:t>
            </w:r>
          </w:p>
        </w:tc>
        <w:tc>
          <w:tcPr>
            <w:tcW w:w="553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12CF68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318C92DD">
      <w:pPr>
        <w:pStyle w:val="14"/>
        <w:spacing w:line="560" w:lineRule="exact"/>
        <w:ind w:left="-4" w:leftChars="-200" w:hanging="416" w:hangingChars="139"/>
        <w:rPr>
          <w:rFonts w:hint="eastAsia" w:ascii="仿宋_GB2312" w:hAnsi="仿宋_GB2312" w:eastAsia="仿宋_GB2312" w:cs="仿宋_GB2312"/>
          <w:kern w:val="0"/>
          <w:sz w:val="30"/>
          <w:szCs w:val="30"/>
        </w:rPr>
      </w:pPr>
    </w:p>
    <w:p w14:paraId="54E94C1B">
      <w:pPr>
        <w:pStyle w:val="14"/>
        <w:spacing w:line="560" w:lineRule="exact"/>
        <w:ind w:left="-4" w:leftChars="-200" w:hanging="416" w:hangingChars="139"/>
        <w:rPr>
          <w:rFonts w:hint="eastAsia" w:ascii="仿宋_GB2312" w:hAnsi="仿宋_GB2312" w:eastAsia="仿宋_GB2312" w:cs="仿宋_GB2312"/>
          <w:kern w:val="0"/>
          <w:sz w:val="30"/>
          <w:szCs w:val="30"/>
        </w:rPr>
      </w:pPr>
    </w:p>
    <w:tbl>
      <w:tblPr>
        <w:tblStyle w:val="15"/>
        <w:tblW w:w="990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0"/>
        <w:gridCol w:w="900"/>
        <w:gridCol w:w="900"/>
        <w:gridCol w:w="900"/>
        <w:gridCol w:w="900"/>
        <w:gridCol w:w="900"/>
        <w:gridCol w:w="900"/>
        <w:gridCol w:w="900"/>
        <w:gridCol w:w="900"/>
        <w:gridCol w:w="716"/>
        <w:gridCol w:w="184"/>
        <w:gridCol w:w="900"/>
      </w:tblGrid>
      <w:tr w14:paraId="7D427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1" w:hRule="atLeast"/>
        </w:trPr>
        <w:tc>
          <w:tcPr>
            <w:tcW w:w="9900"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6FD3651A">
            <w:pPr>
              <w:keepNext w:val="0"/>
              <w:keepLines w:val="0"/>
              <w:widowControl/>
              <w:suppressLineNumbers w:val="0"/>
              <w:ind w:left="-1" w:leftChars="-200" w:hanging="419" w:hangingChars="139"/>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BF2C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18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1F0B9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项目名称</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39F2EB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51320025T000013629401-往来质保金</w:t>
            </w:r>
          </w:p>
        </w:tc>
      </w:tr>
      <w:tr w14:paraId="2B257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18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D3483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主管部门</w:t>
            </w:r>
          </w:p>
        </w:tc>
        <w:tc>
          <w:tcPr>
            <w:tcW w:w="450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4328D4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州卫生健康委部门</w:t>
            </w:r>
          </w:p>
        </w:tc>
        <w:tc>
          <w:tcPr>
            <w:tcW w:w="900" w:type="dxa"/>
            <w:tcBorders>
              <w:top w:val="nil"/>
              <w:left w:val="nil"/>
              <w:bottom w:val="nil"/>
              <w:right w:val="nil"/>
            </w:tcBorders>
            <w:shd w:val="clear" w:color="auto" w:fill="FFFFFF"/>
            <w:vAlign w:val="center"/>
          </w:tcPr>
          <w:p w14:paraId="7739A60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70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FE656A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州疾控中心</w:t>
            </w:r>
          </w:p>
        </w:tc>
      </w:tr>
      <w:tr w14:paraId="1FA2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741CA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项目基本情况</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51441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1.项目年度目标完成情况</w:t>
            </w:r>
          </w:p>
        </w:tc>
        <w:tc>
          <w:tcPr>
            <w:tcW w:w="450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8BB65C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项目年度目标</w:t>
            </w:r>
          </w:p>
        </w:tc>
        <w:tc>
          <w:tcPr>
            <w:tcW w:w="360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4A6904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0FB57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7715E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4FC02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450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1B40D9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完成质保金支付</w:t>
            </w:r>
          </w:p>
        </w:tc>
        <w:tc>
          <w:tcPr>
            <w:tcW w:w="360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5B8C77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完成质保金支付</w:t>
            </w:r>
          </w:p>
        </w:tc>
      </w:tr>
      <w:tr w14:paraId="06D37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7"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86739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36FF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2.项目实施内容及过程概述</w:t>
            </w:r>
          </w:p>
        </w:tc>
        <w:tc>
          <w:tcPr>
            <w:tcW w:w="810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9D6C59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质保金到期厂家提出退款申请，由仪器使用科室提出意见，完成报账审批手续，实现支付</w:t>
            </w:r>
          </w:p>
        </w:tc>
      </w:tr>
      <w:tr w14:paraId="64C8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B7392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预算执行情况（10分）</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9224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年度预算数（万元）</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4E18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年初预算</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7CC7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调整后预算数</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6B783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预算执行数</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1716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预算执行率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4689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AB35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10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7BA48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原因</w:t>
            </w:r>
          </w:p>
        </w:tc>
      </w:tr>
      <w:tr w14:paraId="2C413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6E9F0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9743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总额</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BC30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CB82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46.30</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624FE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46.30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B11F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00DE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B341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108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5EF5C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6"/>
                <w:szCs w:val="16"/>
                <w:u w:val="none"/>
                <w:lang w:val="en-US" w:eastAsia="zh-CN" w:bidi="ar"/>
              </w:rPr>
              <w:t>1.预算执行率=预算执行数/调整后预算数，预算执行率未达到90%的需说明原因（100字以内）;2.年中发生预算调整的（追加或调减）,应单独说明理</w:t>
            </w:r>
            <w:r>
              <w:rPr>
                <w:rFonts w:hint="default" w:ascii="宋体" w:hAnsi="宋体" w:eastAsia="宋体" w:cs="宋体"/>
                <w:i w:val="0"/>
                <w:iCs w:val="0"/>
                <w:color w:val="000000"/>
                <w:kern w:val="0"/>
                <w:sz w:val="18"/>
                <w:szCs w:val="18"/>
                <w:u w:val="none"/>
                <w:lang w:val="en-US" w:eastAsia="zh-CN" w:bidi="ar"/>
              </w:rPr>
              <w:t>由；3.其他资金包括：社会投入资金、银行贷款.</w:t>
            </w:r>
          </w:p>
        </w:tc>
      </w:tr>
      <w:tr w14:paraId="638C5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F49E3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8ABC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19FF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E239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9CB19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8ECF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5A68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C86F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8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B521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EA62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E209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D908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财政专户管理资金</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03F5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921E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14EDF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2FB9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DEBF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D3F3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8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E59A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2EFB8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FF9D1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51FD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单位资金</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3B28E">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6997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46.30</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016CB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46.30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3D65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12BA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C170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8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E801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31D62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6677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143F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B2BF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365B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3986A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5E9E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1CE3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3E97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108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EBEE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66081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C99A4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绩效指标（90分）</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4D4C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一级指标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F8A5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二级指标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4B21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三级指标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2880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指标性质</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367C4">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BA6B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度量单位</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74EA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完成值</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A1B8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权重</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95B1E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44AB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未完成原因分析</w:t>
            </w:r>
          </w:p>
        </w:tc>
      </w:tr>
      <w:tr w14:paraId="6479A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2B26F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6461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产出指标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C213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数量指标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B4B8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每年完成质保金支付</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070B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E670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32CF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个</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271A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2个</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202E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50</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EB00E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C336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04578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488FD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43095">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324F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经济效益指标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E39A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合规质保金支付率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597D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F21AA">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28C4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BD62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0516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30</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B7204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E3D5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19D98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exac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92D6E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05F0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8F7E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服务对象满意度指标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6FF8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满意度</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BF3E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66E16">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B1F9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8DDF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F683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144789">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6E98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r>
      <w:tr w14:paraId="116C7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trPr>
        <w:tc>
          <w:tcPr>
            <w:tcW w:w="720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DA7B39F">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合计</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E9AC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3E9E7D">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98</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1CB0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p>
        </w:tc>
      </w:tr>
      <w:tr w14:paraId="3AEA4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A40D7">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评价结论</w:t>
            </w:r>
          </w:p>
        </w:tc>
        <w:tc>
          <w:tcPr>
            <w:tcW w:w="90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665A8A1">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合规完成25年质保金支付</w:t>
            </w:r>
          </w:p>
        </w:tc>
      </w:tr>
      <w:tr w14:paraId="63702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7" w:hRule="atLeast"/>
        </w:trPr>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B7F30">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存在问题</w:t>
            </w:r>
          </w:p>
        </w:tc>
        <w:tc>
          <w:tcPr>
            <w:tcW w:w="90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42508B6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097A6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1" w:hRule="atLeast"/>
        </w:trPr>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913CB">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改进措施</w:t>
            </w:r>
          </w:p>
        </w:tc>
        <w:tc>
          <w:tcPr>
            <w:tcW w:w="90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02414FC">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6C9F4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trPr>
        <w:tc>
          <w:tcPr>
            <w:tcW w:w="450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46624B3">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项目负责人：孙洁</w:t>
            </w:r>
          </w:p>
        </w:tc>
        <w:tc>
          <w:tcPr>
            <w:tcW w:w="540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7A9D32">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财务负责人：秦胜超</w:t>
            </w:r>
          </w:p>
        </w:tc>
      </w:tr>
    </w:tbl>
    <w:p w14:paraId="54D22125">
      <w:pPr>
        <w:pStyle w:val="14"/>
        <w:spacing w:line="560" w:lineRule="exact"/>
        <w:ind w:left="-4" w:leftChars="-200" w:hanging="416" w:hangingChars="139"/>
        <w:rPr>
          <w:rFonts w:hint="eastAsia" w:ascii="仿宋_GB2312" w:hAnsi="仿宋_GB2312" w:eastAsia="仿宋_GB2312" w:cs="仿宋_GB2312"/>
          <w:kern w:val="0"/>
          <w:sz w:val="30"/>
          <w:szCs w:val="30"/>
        </w:rPr>
      </w:pPr>
    </w:p>
    <w:p w14:paraId="59263712">
      <w:pPr>
        <w:pStyle w:val="14"/>
        <w:spacing w:line="560" w:lineRule="exact"/>
        <w:ind w:left="-840" w:leftChars="-400" w:firstLine="5" w:firstLineChars="0"/>
        <w:rPr>
          <w:rFonts w:hint="eastAsia" w:ascii="仿宋_GB2312" w:hAnsi="仿宋_GB2312" w:eastAsia="仿宋_GB2312" w:cs="仿宋_GB2312"/>
          <w:kern w:val="0"/>
          <w:sz w:val="30"/>
          <w:szCs w:val="30"/>
        </w:rPr>
      </w:pPr>
    </w:p>
    <w:sectPr>
      <w:headerReference r:id="rId4" w:type="default"/>
      <w:footerReference r:id="rId5" w:type="default"/>
      <w:pgSz w:w="11906" w:h="16838"/>
      <w:pgMar w:top="1440" w:right="1906" w:bottom="1440" w:left="138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Arial Unicode MS">
    <w:altName w:val="Arial"/>
    <w:panose1 w:val="020B0604020202020204"/>
    <w:charset w:val="00"/>
    <w:family w:val="swiss"/>
    <w:pitch w:val="default"/>
    <w:sig w:usb0="00000000" w:usb1="00000000" w:usb2="0000003F" w:usb3="00000000" w:csb0="003F01FF" w:csb1="00000000"/>
  </w:font>
  <w:font w:name="方正小标宋简体">
    <w:panose1 w:val="02000000000000000000"/>
    <w:charset w:val="86"/>
    <w:family w:val="auto"/>
    <w:pitch w:val="default"/>
    <w:sig w:usb0="A00002BF" w:usb1="184F6CFA" w:usb2="00000012" w:usb3="00000000" w:csb0="00040001" w:csb1="00000000"/>
  </w:font>
  <w:font w:name="国标黑体">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67A4F">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7AE8F">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01755">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1A01755">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r>
      <w:rPr>
        <w:rFonts w:hint="eastAsia"/>
        <w:lang w:val="en-US" w:eastAsia="zh-CN"/>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612EB">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EC7F570A"/>
    <w:multiLevelType w:val="singleLevel"/>
    <w:tmpl w:val="EC7F570A"/>
    <w:lvl w:ilvl="0" w:tentative="0">
      <w:start w:val="3"/>
      <w:numFmt w:val="chineseCounting"/>
      <w:suff w:val="nothing"/>
      <w:lvlText w:val="（%1）"/>
      <w:lvlJc w:val="left"/>
      <w:rPr>
        <w:rFonts w:hint="eastAsia"/>
      </w:rPr>
    </w:lvl>
  </w:abstractNum>
  <w:abstractNum w:abstractNumId="3">
    <w:nsid w:val="F6FA7D26"/>
    <w:multiLevelType w:val="singleLevel"/>
    <w:tmpl w:val="F6FA7D26"/>
    <w:lvl w:ilvl="0" w:tentative="0">
      <w:start w:val="2"/>
      <w:numFmt w:val="chineseCounting"/>
      <w:suff w:val="nothing"/>
      <w:lvlText w:val="（%1）"/>
      <w:lvlJc w:val="left"/>
      <w:rPr>
        <w:rFonts w:hint="eastAsia"/>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44E53948"/>
    <w:multiLevelType w:val="singleLevel"/>
    <w:tmpl w:val="44E53948"/>
    <w:lvl w:ilvl="0" w:tentative="0">
      <w:start w:val="1"/>
      <w:numFmt w:val="chineseCounting"/>
      <w:suff w:val="space"/>
      <w:lvlText w:val="第%1部分"/>
      <w:lvlJc w:val="left"/>
      <w:rPr>
        <w:rFonts w:hint="eastAsia"/>
      </w:rPr>
    </w:lvl>
  </w:abstractNum>
  <w:abstractNum w:abstractNumId="6">
    <w:nsid w:val="474F99A8"/>
    <w:multiLevelType w:val="singleLevel"/>
    <w:tmpl w:val="474F99A8"/>
    <w:lvl w:ilvl="0" w:tentative="0">
      <w:start w:val="2"/>
      <w:numFmt w:val="chineseCounting"/>
      <w:suff w:val="nothing"/>
      <w:lvlText w:val="（%1）"/>
      <w:lvlJc w:val="left"/>
      <w:rPr>
        <w:rFonts w:hint="eastAsia"/>
      </w:rPr>
    </w:lvl>
  </w:abstractNum>
  <w:abstractNum w:abstractNumId="7">
    <w:nsid w:val="7BF60ACC"/>
    <w:multiLevelType w:val="singleLevel"/>
    <w:tmpl w:val="7BF60ACC"/>
    <w:lvl w:ilvl="0" w:tentative="0">
      <w:start w:val="2"/>
      <w:numFmt w:val="chineseCounting"/>
      <w:suff w:val="nothing"/>
      <w:lvlText w:val="（%1）"/>
      <w:lvlJc w:val="left"/>
      <w:rPr>
        <w:rFonts w:hint="eastAsia"/>
      </w:rPr>
    </w:lvl>
  </w:abstractNum>
  <w:num w:numId="1">
    <w:abstractNumId w:val="5"/>
  </w:num>
  <w:num w:numId="2">
    <w:abstractNumId w:val="4"/>
  </w:num>
  <w:num w:numId="3">
    <w:abstractNumId w:val="0"/>
  </w:num>
  <w:num w:numId="4">
    <w:abstractNumId w:val="1"/>
  </w:num>
  <w:num w:numId="5">
    <w:abstractNumId w:val="3"/>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wOGM1MTEyZWQ5ZjYyNTAwNmM1ZDRjYjM0YzNiZmYifQ=="/>
  </w:docVars>
  <w:rsids>
    <w:rsidRoot w:val="42B31918"/>
    <w:rsid w:val="00FA1733"/>
    <w:rsid w:val="06D600B1"/>
    <w:rsid w:val="0CA02639"/>
    <w:rsid w:val="0D304A76"/>
    <w:rsid w:val="18ED2570"/>
    <w:rsid w:val="1A451613"/>
    <w:rsid w:val="1AEF5DE1"/>
    <w:rsid w:val="1E211247"/>
    <w:rsid w:val="1EFE65BC"/>
    <w:rsid w:val="1F542BAF"/>
    <w:rsid w:val="2B28788B"/>
    <w:rsid w:val="32D4C8FF"/>
    <w:rsid w:val="35BEBE91"/>
    <w:rsid w:val="37EDFA76"/>
    <w:rsid w:val="3BEF32C6"/>
    <w:rsid w:val="3D07518C"/>
    <w:rsid w:val="3E4520F7"/>
    <w:rsid w:val="3F3CAD4B"/>
    <w:rsid w:val="3FEFD393"/>
    <w:rsid w:val="41026A58"/>
    <w:rsid w:val="42B31918"/>
    <w:rsid w:val="46111B42"/>
    <w:rsid w:val="489A2587"/>
    <w:rsid w:val="4CEA0599"/>
    <w:rsid w:val="4E7F7F59"/>
    <w:rsid w:val="4E9C13BF"/>
    <w:rsid w:val="515E5526"/>
    <w:rsid w:val="55FF8E6F"/>
    <w:rsid w:val="57FF263F"/>
    <w:rsid w:val="58E3481A"/>
    <w:rsid w:val="5AAF846A"/>
    <w:rsid w:val="5B67955B"/>
    <w:rsid w:val="5BF41EB9"/>
    <w:rsid w:val="5EEF70E0"/>
    <w:rsid w:val="5FD689D3"/>
    <w:rsid w:val="5FDFA8BE"/>
    <w:rsid w:val="5FFFFD6A"/>
    <w:rsid w:val="6965127B"/>
    <w:rsid w:val="6AE7A320"/>
    <w:rsid w:val="6EBB4FB9"/>
    <w:rsid w:val="6EDB00E0"/>
    <w:rsid w:val="6F5558EE"/>
    <w:rsid w:val="6FFA5D2D"/>
    <w:rsid w:val="71474696"/>
    <w:rsid w:val="71742F9A"/>
    <w:rsid w:val="732ADDFF"/>
    <w:rsid w:val="74732A9E"/>
    <w:rsid w:val="763F0A88"/>
    <w:rsid w:val="77EF8FED"/>
    <w:rsid w:val="7AFDDA62"/>
    <w:rsid w:val="7B7DECD4"/>
    <w:rsid w:val="7B7F596B"/>
    <w:rsid w:val="7B8DBEA9"/>
    <w:rsid w:val="7BD6E0E8"/>
    <w:rsid w:val="7BF73547"/>
    <w:rsid w:val="7BFEDE9D"/>
    <w:rsid w:val="7CAB7E05"/>
    <w:rsid w:val="7CF37C3C"/>
    <w:rsid w:val="7CF9DBB5"/>
    <w:rsid w:val="7DBD7B95"/>
    <w:rsid w:val="7DC50D98"/>
    <w:rsid w:val="7DFD9DFB"/>
    <w:rsid w:val="7EFDFF52"/>
    <w:rsid w:val="7F37E830"/>
    <w:rsid w:val="7F37F09D"/>
    <w:rsid w:val="7FC73B8D"/>
    <w:rsid w:val="7FDDFD4A"/>
    <w:rsid w:val="7FE74262"/>
    <w:rsid w:val="7FEDFC31"/>
    <w:rsid w:val="7FFF1E6F"/>
    <w:rsid w:val="9BDE0084"/>
    <w:rsid w:val="9BFE3774"/>
    <w:rsid w:val="9DFDEFA9"/>
    <w:rsid w:val="A547BD86"/>
    <w:rsid w:val="A7BB5F6C"/>
    <w:rsid w:val="AC3FE3FD"/>
    <w:rsid w:val="BB7B7178"/>
    <w:rsid w:val="BD7FDB17"/>
    <w:rsid w:val="BDF31BBE"/>
    <w:rsid w:val="BE5C0FCA"/>
    <w:rsid w:val="BF294247"/>
    <w:rsid w:val="BF662FC1"/>
    <w:rsid w:val="CEBAE6A0"/>
    <w:rsid w:val="D0FF005C"/>
    <w:rsid w:val="DBFF74D9"/>
    <w:rsid w:val="DD7E28D5"/>
    <w:rsid w:val="DF73156E"/>
    <w:rsid w:val="DFBB29D5"/>
    <w:rsid w:val="E5FF1390"/>
    <w:rsid w:val="EAFFB748"/>
    <w:rsid w:val="EBEFCF7A"/>
    <w:rsid w:val="EC7BEA59"/>
    <w:rsid w:val="EDDF4A88"/>
    <w:rsid w:val="EFDD53B9"/>
    <w:rsid w:val="EFDF8747"/>
    <w:rsid w:val="EFFEDBA9"/>
    <w:rsid w:val="F1EF899C"/>
    <w:rsid w:val="F27E18C8"/>
    <w:rsid w:val="F37F458A"/>
    <w:rsid w:val="F3AFC915"/>
    <w:rsid w:val="F5AEF14A"/>
    <w:rsid w:val="F777D21C"/>
    <w:rsid w:val="F7E9A74D"/>
    <w:rsid w:val="F7FECF0C"/>
    <w:rsid w:val="F93FED56"/>
    <w:rsid w:val="FD7E078D"/>
    <w:rsid w:val="FDF324C5"/>
    <w:rsid w:val="FEAB03E6"/>
    <w:rsid w:val="FF3FAE54"/>
    <w:rsid w:val="FFB3F89C"/>
    <w:rsid w:val="FFBA7DAE"/>
    <w:rsid w:val="FFBB4A4B"/>
    <w:rsid w:val="FFBC4513"/>
    <w:rsid w:val="FFBD6A8A"/>
    <w:rsid w:val="FFE97C3F"/>
    <w:rsid w:val="FFEA613E"/>
    <w:rsid w:val="FFEB984A"/>
    <w:rsid w:val="FFF765F1"/>
    <w:rsid w:val="FFFED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3">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1"/>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table of figures"/>
    <w:basedOn w:val="1"/>
    <w:next w:val="1"/>
    <w:unhideWhenUsed/>
    <w:qFormat/>
    <w:uiPriority w:val="99"/>
    <w:pPr>
      <w:ind w:left="840" w:leftChars="200" w:hanging="420" w:hangingChars="200"/>
    </w:pPr>
    <w:rPr>
      <w:b/>
      <w:bCs/>
    </w:rPr>
  </w:style>
  <w:style w:type="paragraph" w:styleId="5">
    <w:name w:val="Body Text"/>
    <w:basedOn w:val="1"/>
    <w:qFormat/>
    <w:uiPriority w:val="0"/>
    <w:pPr>
      <w:spacing w:before="0" w:after="140" w:line="276" w:lineRule="auto"/>
    </w:pPr>
  </w:style>
  <w:style w:type="paragraph" w:styleId="6">
    <w:name w:val="Body Text Indent"/>
    <w:basedOn w:val="1"/>
    <w:qFormat/>
    <w:uiPriority w:val="0"/>
    <w:pPr>
      <w:spacing w:after="120"/>
      <w:ind w:leftChars="200"/>
    </w:pPr>
    <w:rPr>
      <w:rFonts w:ascii="仿宋_GB2312"/>
      <w:szCs w:val="32"/>
    </w:rPr>
  </w:style>
  <w:style w:type="paragraph" w:styleId="7">
    <w:name w:val="Plain Text"/>
    <w:basedOn w:val="1"/>
    <w:qFormat/>
    <w:uiPriority w:val="0"/>
    <w:rPr>
      <w:rFonts w:ascii="宋体" w:hAnsi="Courier New" w:cs="Courier New"/>
      <w:szCs w:val="21"/>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styleId="12">
    <w:name w:val="Normal (Web)"/>
    <w:basedOn w:val="1"/>
    <w:qFormat/>
    <w:uiPriority w:val="99"/>
    <w:pPr>
      <w:widowControl/>
      <w:spacing w:before="100" w:beforeAutospacing="1" w:after="100" w:afterAutospacing="1"/>
      <w:jc w:val="left"/>
    </w:pPr>
    <w:rPr>
      <w:rFonts w:ascii="宋体" w:hAnsi="宋体" w:eastAsia="宋体" w:cs="宋体"/>
      <w:kern w:val="0"/>
      <w:sz w:val="24"/>
    </w:rPr>
  </w:style>
  <w:style w:type="paragraph" w:styleId="13">
    <w:name w:val="Title"/>
    <w:basedOn w:val="1"/>
    <w:qFormat/>
    <w:uiPriority w:val="10"/>
    <w:pPr>
      <w:spacing w:before="240" w:after="60"/>
      <w:jc w:val="center"/>
      <w:outlineLvl w:val="0"/>
    </w:pPr>
    <w:rPr>
      <w:rFonts w:ascii="Arial" w:hAnsi="Arial"/>
      <w:b/>
      <w:sz w:val="32"/>
      <w:szCs w:val="24"/>
    </w:rPr>
  </w:style>
  <w:style w:type="paragraph" w:styleId="14">
    <w:name w:val="Body Text First Indent 2"/>
    <w:basedOn w:val="6"/>
    <w:unhideWhenUsed/>
    <w:qFormat/>
    <w:uiPriority w:val="99"/>
    <w:pPr>
      <w:ind w:firstLine="420" w:firstLineChars="200"/>
    </w:pPr>
  </w:style>
  <w:style w:type="character" w:styleId="17">
    <w:name w:val="Strong"/>
    <w:basedOn w:val="16"/>
    <w:qFormat/>
    <w:uiPriority w:val="99"/>
    <w:rPr>
      <w:b/>
    </w:rPr>
  </w:style>
  <w:style w:type="paragraph" w:customStyle="1" w:styleId="18">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9">
    <w:name w:val="标题 1 Char"/>
    <w:basedOn w:val="16"/>
    <w:link w:val="3"/>
    <w:qFormat/>
    <w:uiPriority w:val="9"/>
    <w:rPr>
      <w:b/>
      <w:bCs/>
      <w:kern w:val="44"/>
      <w:sz w:val="44"/>
      <w:szCs w:val="44"/>
    </w:rPr>
  </w:style>
  <w:style w:type="paragraph" w:styleId="20">
    <w:name w:val="List Paragraph"/>
    <w:basedOn w:val="1"/>
    <w:qFormat/>
    <w:uiPriority w:val="34"/>
    <w:pPr>
      <w:ind w:firstLine="420" w:firstLineChars="200"/>
    </w:pPr>
  </w:style>
  <w:style w:type="character" w:customStyle="1" w:styleId="21">
    <w:name w:val="标题 2 Char"/>
    <w:basedOn w:val="16"/>
    <w:link w:val="4"/>
    <w:qFormat/>
    <w:uiPriority w:val="9"/>
    <w:rPr>
      <w:rFonts w:ascii="Cambria" w:hAnsi="Cambria" w:eastAsia="宋体" w:cs="Times New Roman"/>
      <w:b/>
      <w:bCs/>
      <w:sz w:val="32"/>
      <w:szCs w:val="32"/>
    </w:rPr>
  </w:style>
  <w:style w:type="paragraph" w:customStyle="1" w:styleId="2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3">
    <w:name w:val="正文文本1"/>
    <w:basedOn w:val="1"/>
    <w:qFormat/>
    <w:uiPriority w:val="99"/>
    <w:pPr>
      <w:spacing w:before="93"/>
    </w:pPr>
    <w:rPr>
      <w:rFonts w:ascii="仿宋_GB2312" w:hAnsi="仿宋_GB2312"/>
      <w:kern w:val="0"/>
      <w:sz w:val="30"/>
      <w:szCs w:val="20"/>
    </w:rPr>
  </w:style>
  <w:style w:type="paragraph" w:customStyle="1" w:styleId="2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25">
    <w:name w:val="reader-word-layer reader-word-s2-4"/>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6">
    <w:name w:val="font31"/>
    <w:basedOn w:val="16"/>
    <w:qFormat/>
    <w:uiPriority w:val="0"/>
    <w:rPr>
      <w:rFonts w:hint="default" w:ascii="微软雅黑" w:hAnsi="微软雅黑" w:eastAsia="微软雅黑" w:cs="微软雅黑"/>
      <w:i/>
      <w:iCs/>
      <w:color w:val="000000"/>
      <w:sz w:val="16"/>
      <w:szCs w:val="16"/>
      <w:u w:val="none"/>
    </w:rPr>
  </w:style>
  <w:style w:type="character" w:customStyle="1" w:styleId="27">
    <w:name w:val="font81"/>
    <w:basedOn w:val="16"/>
    <w:qFormat/>
    <w:uiPriority w:val="0"/>
    <w:rPr>
      <w:rFonts w:hint="default" w:ascii="微软雅黑" w:hAnsi="微软雅黑" w:eastAsia="微软雅黑" w:cs="微软雅黑"/>
      <w:color w:val="000000"/>
      <w:sz w:val="16"/>
      <w:szCs w:val="16"/>
      <w:u w:val="none"/>
    </w:rPr>
  </w:style>
  <w:style w:type="character" w:customStyle="1" w:styleId="28">
    <w:name w:val="font71"/>
    <w:basedOn w:val="16"/>
    <w:qFormat/>
    <w:uiPriority w:val="0"/>
    <w:rPr>
      <w:rFonts w:hint="default" w:ascii="微软雅黑" w:hAnsi="微软雅黑" w:eastAsia="微软雅黑" w:cs="微软雅黑"/>
      <w:color w:val="000000"/>
      <w:sz w:val="16"/>
      <w:szCs w:val="16"/>
      <w:u w:val="none"/>
    </w:rPr>
  </w:style>
  <w:style w:type="character" w:customStyle="1" w:styleId="29">
    <w:name w:val="NormalCharacter"/>
    <w:semiHidden/>
    <w:qFormat/>
    <w:uiPriority w:val="0"/>
  </w:style>
  <w:style w:type="paragraph" w:customStyle="1" w:styleId="30">
    <w:name w:val="正文 A"/>
    <w:basedOn w:val="1"/>
    <w:qFormat/>
    <w:uiPriority w:val="0"/>
    <w:rPr>
      <w:rFonts w:ascii="Times New Roman" w:hAnsi="Times New Roman" w:cs="Arial Unicode MS"/>
      <w:color w:val="000000"/>
      <w:szCs w:val="21"/>
    </w:rPr>
  </w:style>
  <w:style w:type="character" w:customStyle="1" w:styleId="31">
    <w:name w:val="font21"/>
    <w:basedOn w:val="16"/>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user/_dde_data/2026&#24180;/2025&#24180;&#20915;&#31639;&#20844;&#24320;/2025&#24180;&#20915;&#31639;&#20844;&#24320;&#34920;&#25968;&#25454;.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user/_dde_data/2026&#24180;/2025&#24180;&#20915;&#31639;&#20844;&#24320;/2025&#24180;&#20915;&#31639;&#20844;&#24320;&#34920;&#25968;&#25454;.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user/_dde_data/2026&#24180;/2025&#24180;&#20915;&#31639;&#20844;&#24320;/2025&#24180;&#20915;&#31639;&#20844;&#24320;&#34920;&#25968;&#25454;.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user/_dde_data/2026&#24180;/2025&#24180;&#20915;&#31639;&#20844;&#24320;/2025&#24180;&#20915;&#31639;&#20844;&#24320;&#34920;&#25968;&#25454;.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user/_dde_data/2026&#24180;/2025&#24180;&#20915;&#31639;&#20844;&#24320;/2025&#24180;&#20915;&#31639;&#20844;&#24320;&#34920;&#25968;&#25454;.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user/_dde_data/2026&#24180;/2025&#24180;&#20915;&#31639;&#20844;&#24320;/2025&#24180;&#20915;&#31639;&#20844;&#24320;&#34920;&#25968;&#25454;.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edia/user/_dde_data/2026&#24180;/2025&#24180;&#20915;&#31639;&#20844;&#24320;/2025&#24180;&#20915;&#31639;&#20844;&#24320;&#34920;&#25968;&#2545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收入支出决算总体情况表</a:t>
            </a:r>
          </a:p>
        </c:rich>
      </c:tx>
      <c:layout/>
      <c:overlay val="0"/>
      <c:spPr>
        <a:noFill/>
        <a:ln>
          <a:noFill/>
        </a:ln>
        <a:effectLst/>
      </c:spPr>
    </c:title>
    <c:autoTitleDeleted val="0"/>
    <c:plotArea>
      <c:layout>
        <c:manualLayout>
          <c:layoutTarget val="inner"/>
          <c:xMode val="edge"/>
          <c:yMode val="edge"/>
          <c:x val="0.0703472555608897"/>
          <c:y val="0.00961846745751843"/>
          <c:w val="0.864042246759481"/>
          <c:h val="0.455402372555306"/>
        </c:manualLayout>
      </c:layout>
      <c:barChart>
        <c:barDir val="col"/>
        <c:grouping val="clustered"/>
        <c:varyColors val="0"/>
        <c:ser>
          <c:idx val="0"/>
          <c:order val="0"/>
          <c:tx>
            <c:strRef>
              <c:f>[2025年决算公开表数据.xls]Sheet1!$A$3</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[2025年决算公开表数据.xls]Sheet1!$B$2:$C$2</c:f>
              <c:strCache>
                <c:ptCount val="2"/>
                <c:pt idx="0">
                  <c:v>2024年</c:v>
                </c:pt>
                <c:pt idx="1">
                  <c:v>2025年</c:v>
                </c:pt>
              </c:strCache>
            </c:strRef>
          </c:cat>
          <c:val>
            <c:numRef>
              <c:f>[2025年决算公开表数据.xls]Sheet1!$B$3:$C$3</c:f>
              <c:numCache>
                <c:formatCode>General</c:formatCode>
                <c:ptCount val="2"/>
                <c:pt idx="0">
                  <c:v>4340.71</c:v>
                </c:pt>
                <c:pt idx="1">
                  <c:v>4353.09</c:v>
                </c:pt>
              </c:numCache>
            </c:numRef>
          </c:val>
        </c:ser>
        <c:ser>
          <c:idx val="1"/>
          <c:order val="1"/>
          <c:tx>
            <c:strRef>
              <c:f>[2025年决算公开表数据.xls]Sheet1!$A$4</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[2025年决算公开表数据.xls]Sheet1!$B$2:$C$2</c:f>
              <c:strCache>
                <c:ptCount val="2"/>
                <c:pt idx="0">
                  <c:v>2024年</c:v>
                </c:pt>
                <c:pt idx="1">
                  <c:v>2025年</c:v>
                </c:pt>
              </c:strCache>
            </c:strRef>
          </c:cat>
          <c:val>
            <c:numRef>
              <c:f>[2025年决算公开表数据.xls]Sheet1!$B$4:$C$4</c:f>
              <c:numCache>
                <c:formatCode>General</c:formatCode>
                <c:ptCount val="2"/>
                <c:pt idx="0">
                  <c:v>4345.3</c:v>
                </c:pt>
                <c:pt idx="1">
                  <c:v>4355.69</c:v>
                </c:pt>
              </c:numCache>
            </c:numRef>
          </c:val>
        </c:ser>
        <c:dLbls>
          <c:showLegendKey val="0"/>
          <c:showVal val="0"/>
          <c:showCatName val="0"/>
          <c:showSerName val="0"/>
          <c:showPercent val="0"/>
          <c:showBubbleSize val="0"/>
        </c:dLbls>
        <c:gapWidth val="246"/>
        <c:overlap val="-28"/>
        <c:axId val="494435395"/>
        <c:axId val="573816442"/>
      </c:barChart>
      <c:catAx>
        <c:axId val="49443539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3816442"/>
        <c:crosses val="autoZero"/>
        <c:auto val="1"/>
        <c:lblAlgn val="ctr"/>
        <c:lblOffset val="100"/>
        <c:noMultiLvlLbl val="0"/>
      </c:catAx>
      <c:valAx>
        <c:axId val="573816442"/>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43539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c2171df-f664-4e3a-b6c1-909abd58eba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收入决算情况表</a:t>
            </a: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[2025年决算公开表数据.xls]Sheet1!$A$18:$A$19</c:f>
              <c:strCache>
                <c:ptCount val="2"/>
                <c:pt idx="0">
                  <c:v>一般公共预算收入</c:v>
                </c:pt>
                <c:pt idx="1">
                  <c:v>其他收入</c:v>
                </c:pt>
              </c:strCache>
            </c:strRef>
          </c:cat>
          <c:val>
            <c:numRef>
              <c:f>[2025年决算公开表数据.xls]Sheet1!$B$18:$B$19</c:f>
              <c:numCache>
                <c:formatCode>General</c:formatCode>
                <c:ptCount val="2"/>
                <c:pt idx="0">
                  <c:v>4351.09</c:v>
                </c:pt>
                <c:pt idx="1">
                  <c:v>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dbcafca-af71-4491-aae0-bf9ce4c6ed0b}"/>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支出决算情况表</a:t>
            </a: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[2025年决算公开表数据.xls]Sheet1!$A$36:$A$37</c:f>
              <c:strCache>
                <c:ptCount val="2"/>
                <c:pt idx="0">
                  <c:v>基本支出</c:v>
                </c:pt>
                <c:pt idx="1">
                  <c:v>项目支出</c:v>
                </c:pt>
              </c:strCache>
            </c:strRef>
          </c:cat>
          <c:val>
            <c:numRef>
              <c:f>[2025年决算公开表数据.xls]Sheet1!$B$36:$B$37</c:f>
              <c:numCache>
                <c:formatCode>General</c:formatCode>
                <c:ptCount val="2"/>
                <c:pt idx="0">
                  <c:v>3083.93</c:v>
                </c:pt>
                <c:pt idx="1">
                  <c:v>1271.76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6e9f062-3f5f-4f3c-8512-e3006f8ce06b}"/>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财政拨款收入支出决算表</a:t>
            </a:r>
          </a:p>
        </c:rich>
      </c:tx>
      <c:layout/>
      <c:overlay val="0"/>
      <c:spPr>
        <a:noFill/>
        <a:ln>
          <a:noFill/>
        </a:ln>
        <a:effectLst/>
      </c:spPr>
    </c:title>
    <c:autoTitleDeleted val="0"/>
    <c:plotArea>
      <c:layout/>
      <c:barChart>
        <c:barDir val="col"/>
        <c:grouping val="clustered"/>
        <c:varyColors val="0"/>
        <c:ser>
          <c:idx val="0"/>
          <c:order val="0"/>
          <c:tx>
            <c:strRef>
              <c:f>[2025年决算公开表数据.xls]Sheet1!$A$58</c:f>
              <c:strCache>
                <c:ptCount val="1"/>
                <c:pt idx="0">
                  <c:v>财政拨款收入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[2025年决算公开表数据.xls]Sheet1!$B$57:$C$57</c:f>
              <c:strCache>
                <c:ptCount val="2"/>
                <c:pt idx="0">
                  <c:v>2024年</c:v>
                </c:pt>
                <c:pt idx="1">
                  <c:v>2025年</c:v>
                </c:pt>
              </c:strCache>
            </c:strRef>
          </c:cat>
          <c:val>
            <c:numRef>
              <c:f>[2025年决算公开表数据.xls]Sheet1!$B$58:$C$58</c:f>
              <c:numCache>
                <c:formatCode>General</c:formatCode>
                <c:ptCount val="2"/>
                <c:pt idx="0">
                  <c:v>4337.71</c:v>
                </c:pt>
                <c:pt idx="1">
                  <c:v>4351.09</c:v>
                </c:pt>
              </c:numCache>
            </c:numRef>
          </c:val>
        </c:ser>
        <c:ser>
          <c:idx val="1"/>
          <c:order val="1"/>
          <c:tx>
            <c:strRef>
              <c:f>[2025年决算公开表数据.xls]Sheet1!$A$59</c:f>
              <c:strCache>
                <c:ptCount val="1"/>
                <c:pt idx="0">
                  <c:v>财政拨款支出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[2025年决算公开表数据.xls]Sheet1!$B$57:$C$57</c:f>
              <c:strCache>
                <c:ptCount val="2"/>
                <c:pt idx="0">
                  <c:v>2024年</c:v>
                </c:pt>
                <c:pt idx="1">
                  <c:v>2025年</c:v>
                </c:pt>
              </c:strCache>
            </c:strRef>
          </c:cat>
          <c:val>
            <c:numRef>
              <c:f>[2025年决算公开表数据.xls]Sheet1!$B$59:$C$59</c:f>
              <c:numCache>
                <c:formatCode>General</c:formatCode>
                <c:ptCount val="2"/>
                <c:pt idx="0">
                  <c:v>4337.71</c:v>
                </c:pt>
                <c:pt idx="1">
                  <c:v>4351.09</c:v>
                </c:pt>
              </c:numCache>
            </c:numRef>
          </c:val>
        </c:ser>
        <c:dLbls>
          <c:showLegendKey val="0"/>
          <c:showVal val="0"/>
          <c:showCatName val="0"/>
          <c:showSerName val="0"/>
          <c:showPercent val="0"/>
          <c:showBubbleSize val="0"/>
        </c:dLbls>
        <c:gapWidth val="246"/>
        <c:overlap val="-28"/>
        <c:axId val="200110147"/>
        <c:axId val="739409653"/>
      </c:barChart>
      <c:catAx>
        <c:axId val="20011014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9409653"/>
        <c:crosses val="autoZero"/>
        <c:auto val="1"/>
        <c:lblAlgn val="ctr"/>
        <c:lblOffset val="100"/>
        <c:noMultiLvlLbl val="0"/>
      </c:catAx>
      <c:valAx>
        <c:axId val="739409653"/>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1101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76d2c1-d572-4206-af20-f03d2f76d1a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一般公共预算财政拨款支出表</a:t>
            </a:r>
          </a:p>
        </c:rich>
      </c:tx>
      <c:layout/>
      <c:overlay val="0"/>
      <c:spPr>
        <a:noFill/>
        <a:ln>
          <a:noFill/>
        </a:ln>
        <a:effectLst/>
      </c:spPr>
    </c:title>
    <c:autoTitleDeleted val="0"/>
    <c:plotArea>
      <c:layout/>
      <c:barChart>
        <c:barDir val="col"/>
        <c:grouping val="clustered"/>
        <c:varyColors val="0"/>
        <c:ser>
          <c:idx val="0"/>
          <c:order val="0"/>
          <c:tx>
            <c:strRef>
              <c:f>[2025年决算公开表数据.xls]Sheet1!$A$77</c:f>
              <c:strCache>
                <c:ptCount val="1"/>
                <c:pt idx="0">
                  <c:v>一般公共预算财政拨款支出</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[2025年决算公开表数据.xls]Sheet1!$B$76:$C$76</c:f>
              <c:strCache>
                <c:ptCount val="2"/>
                <c:pt idx="0">
                  <c:v>2024年</c:v>
                </c:pt>
                <c:pt idx="1">
                  <c:v>2025年</c:v>
                </c:pt>
              </c:strCache>
            </c:strRef>
          </c:cat>
          <c:val>
            <c:numRef>
              <c:f>[2025年决算公开表数据.xls]Sheet1!$B$77:$C$77</c:f>
              <c:numCache>
                <c:formatCode>General</c:formatCode>
                <c:ptCount val="2"/>
                <c:pt idx="0">
                  <c:v>4337.71</c:v>
                </c:pt>
                <c:pt idx="1">
                  <c:v>4351.09</c:v>
                </c:pt>
              </c:numCache>
            </c:numRef>
          </c:val>
        </c:ser>
        <c:dLbls>
          <c:showLegendKey val="0"/>
          <c:showVal val="0"/>
          <c:showCatName val="0"/>
          <c:showSerName val="0"/>
          <c:showPercent val="0"/>
          <c:showBubbleSize val="0"/>
        </c:dLbls>
        <c:gapWidth val="246"/>
        <c:overlap val="-28"/>
        <c:axId val="323876034"/>
        <c:axId val="866729342"/>
      </c:barChart>
      <c:catAx>
        <c:axId val="32387603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6729342"/>
        <c:crosses val="autoZero"/>
        <c:auto val="1"/>
        <c:lblAlgn val="ctr"/>
        <c:lblOffset val="100"/>
        <c:noMultiLvlLbl val="0"/>
      </c:catAx>
      <c:valAx>
        <c:axId val="866729342"/>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387603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cc55825-5e78-412e-9045-b6c0214dffae}"/>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a:p>
            <a:pPr defTabSz="914400">
              <a:defRPr lang="zh-CN" sz="1400" b="1" i="0" u="none" strike="noStrike" kern="1200" baseline="0">
                <a:solidFill>
                  <a:schemeClr val="tx1">
                    <a:lumMod val="75000"/>
                    <a:lumOff val="25000"/>
                  </a:schemeClr>
                </a:solidFill>
                <a:latin typeface="+mn-lt"/>
                <a:ea typeface="+mn-ea"/>
                <a:cs typeface="+mn-cs"/>
              </a:defRPr>
            </a:pPr>
            <a:r>
              <a:rPr sz="1400" b="1" i="0" u="none" strike="noStrike" baseline="0">
                <a:solidFill>
                  <a:srgbClr val="404040">
                    <a:alpha val="100000"/>
                  </a:srgbClr>
                </a:solidFill>
                <a:latin typeface="宋体" charset="-122"/>
                <a:ea typeface="宋体" charset="-122"/>
                <a:cs typeface="宋体" charset="-122"/>
              </a:rPr>
              <a:t>表</a:t>
            </a:r>
            <a:endParaRPr sz="1400" b="1" i="0" u="none" strike="noStrike" baseline="0">
              <a:solidFill>
                <a:srgbClr val="404040">
                  <a:alpha val="100000"/>
                </a:srgbClr>
              </a:solidFill>
              <a:latin typeface="宋体" charset="-122"/>
              <a:ea typeface="宋体" charset="-122"/>
              <a:cs typeface="宋体" charset="-122"/>
            </a:endParaRPr>
          </a:p>
        </c:rich>
      </c:tx>
      <c:layout>
        <c:manualLayout>
          <c:xMode val="edge"/>
          <c:yMode val="edge"/>
          <c:x val="0.101366742596811"/>
          <c:y val="0.0318021201413428"/>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explosion val="0"/>
            <c:spPr>
              <a:solidFill>
                <a:schemeClr val="accent3"/>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[2025年决算公开表数据.xls]Sheet1!$A$94:$A$96</c:f>
              <c:strCache>
                <c:ptCount val="3"/>
                <c:pt idx="0">
                  <c:v>社会保障和就业类支出</c:v>
                </c:pt>
                <c:pt idx="1">
                  <c:v>卫生健康支出</c:v>
                </c:pt>
                <c:pt idx="2">
                  <c:v>住房保障支出</c:v>
                </c:pt>
              </c:strCache>
            </c:strRef>
          </c:cat>
          <c:val>
            <c:numRef>
              <c:f>[2025年决算公开表数据.xls]Sheet1!$B$94:$B$96</c:f>
              <c:numCache>
                <c:formatCode>General</c:formatCode>
                <c:ptCount val="3"/>
                <c:pt idx="0">
                  <c:v>340.72</c:v>
                </c:pt>
                <c:pt idx="1">
                  <c:v>3822.81</c:v>
                </c:pt>
                <c:pt idx="2">
                  <c:v>187.56</c:v>
                </c:pt>
              </c:numCache>
            </c:numRef>
          </c:val>
        </c:ser>
        <c:ser>
          <c:idx val="1"/>
          <c:order val="1"/>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explosion val="0"/>
            <c:spPr>
              <a:solidFill>
                <a:schemeClr val="accent3"/>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[2025年决算公开表数据.xls]Sheet1!$A$94:$A$96</c:f>
              <c:strCache>
                <c:ptCount val="3"/>
                <c:pt idx="0">
                  <c:v>社会保障和就业类支出</c:v>
                </c:pt>
                <c:pt idx="1">
                  <c:v>卫生健康支出</c:v>
                </c:pt>
                <c:pt idx="2">
                  <c:v>住房保障支出</c:v>
                </c:pt>
              </c:strCache>
            </c:strRef>
          </c:cat>
          <c:val>
            <c:numRef>
              <c:f>[2025年决算公开表数据.xls]Sheet1!$C$94:$C$96</c:f>
              <c:numCache>
                <c:formatCode>General</c:formatCode>
                <c:ptCount val="3"/>
                <c:pt idx="0">
                  <c:v>0.078306815073924</c:v>
                </c:pt>
                <c:pt idx="1">
                  <c:v>0.878586744930581</c:v>
                </c:pt>
                <c:pt idx="2">
                  <c:v>0.0431064399954954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a433642-0ef9-4a8a-ac10-c549c72edf8a}"/>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三公经费财政拨款支出决算表表</a:t>
            </a: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[2025年决算公开表数据.xls]Sheet1!$A$132:$A$133</c:f>
              <c:strCache>
                <c:ptCount val="2"/>
                <c:pt idx="0">
                  <c:v>公务用车购置经费</c:v>
                </c:pt>
                <c:pt idx="1">
                  <c:v>公务接待费</c:v>
                </c:pt>
              </c:strCache>
            </c:strRef>
          </c:cat>
          <c:val>
            <c:numRef>
              <c:f>[2025年决算公开表数据.xls]Sheet1!$B$132:$B$133</c:f>
              <c:numCache>
                <c:formatCode>General</c:formatCode>
                <c:ptCount val="2"/>
                <c:pt idx="0">
                  <c:v>43.57</c:v>
                </c:pt>
                <c:pt idx="1">
                  <c:v>0.33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a54f1f5-abf0-4a3c-adad-ba336b53d8d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71</Pages>
  <Words>1444</Words>
  <Characters>1598</Characters>
  <Lines>0</Lines>
  <Paragraphs>0</Paragraphs>
  <TotalTime>27</TotalTime>
  <ScaleCrop>false</ScaleCrop>
  <LinksUpToDate>false</LinksUpToDate>
  <CharactersWithSpaces>1626</CharactersWithSpaces>
  <Application>WPS Office_12.8.2.1116_F1E327BC-269C-435d-A152-05C5408002CA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2024-09-12T09:26:00Z</dcterms:created>
  <dc:creator>Administrator</dc:creator>
  <cp:lastModifiedBy>huawei</cp:lastModifiedBy>
  <cp:lastPrinted>2026-09-11T23:46:00Z</cp:lastPrinted>
  <dcterms:modified xsi:type="dcterms:W3CDTF">2026-09-11T16:54:17Z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2052-12.8.2.1116</vt:lpwstr>
  </property>
  <property fmtid="{D5CDD505-2E9C-101B-9397-08002B2CF9AE}" pid="3" name="ICV">
    <vt:lpwstr>59210EAABE629E0E8032996AC3643F8D_43</vt:lpwstr>
  </property>
  <property fmtid="{D5CDD505-2E9C-101B-9397-08002B2CF9AE}" pid="4" name="KSOTemplateDocerSaveRecord">
    <vt:lpwstr>eyJoZGlkIjoiNmRkYzA4NjliYjY0MjFlZjk3NjRjZmUxYjVhMTQxNTMiLCJ1c2VySWQiOiIxNjIwMzAwNDc1In0=</vt:lpwstr>
  </property>
</Properties>
</file>