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B5287">
      <w:pPr>
        <w:spacing w:before="0" w:after="120" w:line="240" w:lineRule="auto"/>
        <w:jc w:val="center"/>
        <w:rPr>
          <w:rFonts w:hint="default" w:ascii="Times New Roman" w:hAnsi="Times New Roman" w:eastAsia="方正小标宋简体" w:cs="Times New Roman"/>
          <w:b w:val="0"/>
          <w:sz w:val="84"/>
          <w:szCs w:val="84"/>
        </w:rPr>
      </w:pPr>
    </w:p>
    <w:p w14:paraId="726B8675">
      <w:pPr>
        <w:spacing w:before="0" w:after="120" w:line="240" w:lineRule="auto"/>
        <w:jc w:val="both"/>
        <w:rPr>
          <w:rFonts w:hint="default" w:ascii="Times New Roman" w:hAnsi="Times New Roman" w:eastAsia="方正小标宋简体" w:cs="Times New Roman"/>
          <w:b w:val="0"/>
          <w:sz w:val="84"/>
          <w:szCs w:val="84"/>
        </w:rPr>
      </w:pPr>
    </w:p>
    <w:p w14:paraId="39A02ADC">
      <w:pPr>
        <w:spacing w:before="0" w:after="120" w:line="240" w:lineRule="auto"/>
        <w:jc w:val="center"/>
        <w:rPr>
          <w:rFonts w:hint="default" w:ascii="Times New Roman" w:hAnsi="Times New Roman" w:eastAsia="方正小标宋简体" w:cs="Times New Roman"/>
          <w:b w:val="0"/>
          <w:sz w:val="84"/>
          <w:szCs w:val="84"/>
        </w:rPr>
      </w:pPr>
    </w:p>
    <w:p w14:paraId="3937203A">
      <w:pPr>
        <w:spacing w:before="0" w:after="120" w:line="240" w:lineRule="auto"/>
        <w:jc w:val="center"/>
        <w:rPr>
          <w:rFonts w:hint="default" w:ascii="Times New Roman" w:hAnsi="Times New Roman" w:eastAsia="方正小标宋简体" w:cs="Times New Roman"/>
          <w:b w:val="0"/>
          <w:sz w:val="72"/>
          <w:szCs w:val="72"/>
        </w:rPr>
      </w:pPr>
      <w:r>
        <w:rPr>
          <w:rFonts w:hint="default" w:ascii="Times New Roman" w:hAnsi="Times New Roman" w:eastAsia="方正小标宋简体" w:cs="Times New Roman"/>
          <w:b w:val="0"/>
          <w:sz w:val="72"/>
          <w:szCs w:val="72"/>
        </w:rPr>
        <w:t>2025年度</w:t>
      </w:r>
    </w:p>
    <w:p w14:paraId="6D5775BF">
      <w:pPr>
        <w:spacing w:before="0" w:after="120" w:line="240" w:lineRule="auto"/>
        <w:jc w:val="center"/>
        <w:rPr>
          <w:rFonts w:hint="default" w:ascii="Times New Roman" w:hAnsi="Times New Roman" w:eastAsia="方正小标宋简体" w:cs="Times New Roman"/>
          <w:b w:val="0"/>
          <w:sz w:val="72"/>
          <w:szCs w:val="72"/>
        </w:rPr>
      </w:pPr>
      <w:r>
        <w:rPr>
          <w:rFonts w:hint="default" w:ascii="Times New Roman" w:hAnsi="Times New Roman" w:eastAsia="方正小标宋简体" w:cs="Times New Roman"/>
          <w:b w:val="0"/>
          <w:sz w:val="72"/>
          <w:szCs w:val="72"/>
        </w:rPr>
        <w:t>四川省阿坝州卫生健康委员会（本级）部门决算</w:t>
      </w:r>
    </w:p>
    <w:p w14:paraId="2F280DE9">
      <w:pPr>
        <w:spacing w:before="0" w:after="120" w:line="240" w:lineRule="auto"/>
        <w:jc w:val="center"/>
        <w:rPr>
          <w:rFonts w:hint="default" w:ascii="Times New Roman" w:hAnsi="Times New Roman" w:eastAsia="方正小标宋简体" w:cs="Times New Roman"/>
          <w:b w:val="0"/>
          <w:sz w:val="84"/>
          <w:szCs w:val="84"/>
        </w:rPr>
      </w:pPr>
    </w:p>
    <w:p w14:paraId="3C1FC756">
      <w:pPr>
        <w:spacing w:before="0" w:after="120" w:line="240" w:lineRule="auto"/>
        <w:jc w:val="center"/>
        <w:rPr>
          <w:rFonts w:hint="default" w:ascii="Times New Roman" w:hAnsi="Times New Roman" w:eastAsia="方正小标宋简体" w:cs="Times New Roman"/>
          <w:b w:val="0"/>
          <w:sz w:val="84"/>
          <w:szCs w:val="84"/>
        </w:rPr>
      </w:pPr>
    </w:p>
    <w:p w14:paraId="4BA8AF1C">
      <w:pPr>
        <w:spacing w:before="0" w:after="120" w:line="240" w:lineRule="auto"/>
        <w:jc w:val="center"/>
        <w:rPr>
          <w:rFonts w:hint="default" w:ascii="Times New Roman" w:hAnsi="Times New Roman" w:eastAsia="方正小标宋简体" w:cs="Times New Roman"/>
          <w:b w:val="0"/>
          <w:sz w:val="84"/>
          <w:szCs w:val="84"/>
        </w:rPr>
      </w:pPr>
    </w:p>
    <w:p w14:paraId="24D0730D">
      <w:pPr>
        <w:widowControl/>
        <w:jc w:val="center"/>
        <w:rPr>
          <w:rFonts w:hint="default" w:ascii="Times New Roman" w:hAnsi="Times New Roman" w:eastAsia="仿宋" w:cs="Times New Roman"/>
          <w:b/>
          <w:sz w:val="24"/>
          <w:lang w:val="en-US"/>
        </w:rPr>
        <w:sectPr>
          <w:pgSz w:w="11906" w:h="16838"/>
          <w:pgMar w:top="1440" w:right="1800" w:bottom="1440" w:left="1800" w:header="720" w:footer="720" w:gutter="0"/>
          <w:pgNumType w:fmt="numberInDash" w:start="1"/>
          <w:cols w:space="720" w:num="1"/>
          <w:docGrid w:type="lines" w:linePitch="312" w:charSpace="0"/>
        </w:sectPr>
      </w:pPr>
      <w:r>
        <w:rPr>
          <w:rFonts w:hint="default" w:ascii="Times New Roman" w:hAnsi="Times New Roman" w:eastAsia="仿宋_GB2312" w:cs="Times New Roman"/>
          <w:sz w:val="32"/>
          <w:szCs w:val="32"/>
        </w:rPr>
        <w:t>已经保密审查、内容审定，同意对外</w:t>
      </w:r>
      <w:r>
        <w:rPr>
          <w:rFonts w:hint="default" w:ascii="Times New Roman" w:hAnsi="Times New Roman" w:eastAsia="仿宋_GB2312" w:cs="Times New Roman"/>
          <w:sz w:val="32"/>
          <w:szCs w:val="32"/>
          <w:lang w:eastAsia="zh-CN"/>
        </w:rPr>
        <w:t>公</w:t>
      </w:r>
      <w:r>
        <w:rPr>
          <w:rFonts w:hint="eastAsia" w:cs="Times New Roman"/>
          <w:sz w:val="32"/>
          <w:szCs w:val="32"/>
          <w:lang w:val="en-US" w:eastAsia="zh-CN"/>
        </w:rPr>
        <w:t>开</w:t>
      </w:r>
      <w:bookmarkStart w:id="58" w:name="_GoBack"/>
      <w:bookmarkEnd w:id="58"/>
    </w:p>
    <w:sdt>
      <w:sdtPr>
        <w:rPr>
          <w:rFonts w:hint="default" w:ascii="Times New Roman" w:hAnsi="Times New Roman" w:eastAsia="黑体" w:cs="Times New Roman"/>
          <w:sz w:val="32"/>
          <w:szCs w:val="32"/>
          <w:lang w:val="en-US" w:eastAsia="en-US" w:bidi="ar-SA"/>
        </w:rPr>
        <w:id w:val="147469572"/>
        <w15:color w:val="DBDBDB"/>
        <w:docPartObj>
          <w:docPartGallery w:val="Table of Contents"/>
          <w:docPartUnique/>
        </w:docPartObj>
      </w:sdtPr>
      <w:sdtEndPr>
        <w:rPr>
          <w:rFonts w:hint="default" w:ascii="Times New Roman" w:hAnsi="Times New Roman" w:eastAsia="方正小标宋简体" w:cs="Times New Roman"/>
          <w:sz w:val="32"/>
          <w:szCs w:val="84"/>
          <w:lang w:val="en-US" w:eastAsia="en-US" w:bidi="ar-SA"/>
        </w:rPr>
      </w:sdtEndPr>
      <w:sdtContent>
        <w:p w14:paraId="4DA407C4">
          <w:pPr>
            <w:spacing w:before="0" w:beforeLines="0" w:after="0" w:afterLines="0" w:line="240" w:lineRule="auto"/>
            <w:ind w:left="0" w:leftChars="0" w:right="0" w:rightChars="0" w:firstLine="0" w:firstLineChars="0"/>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目</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录</w:t>
          </w:r>
        </w:p>
        <w:p w14:paraId="67420E8F">
          <w:pPr>
            <w:spacing w:before="0" w:after="200" w:line="560" w:lineRule="exact"/>
            <w:jc w:val="center"/>
            <w:rPr>
              <w:rFonts w:hint="default" w:ascii="Times New Roman" w:hAnsi="Times New Roman" w:cs="Times New Roman"/>
            </w:rPr>
          </w:pPr>
          <w:r>
            <w:rPr>
              <w:rFonts w:hint="default" w:ascii="Times New Roman" w:hAnsi="Times New Roman" w:eastAsia="仿宋_GB2312" w:cs="Times New Roman"/>
              <w:b w:val="0"/>
              <w:sz w:val="32"/>
            </w:rPr>
            <w:t>公开时间：2026年9月18日</w:t>
          </w:r>
        </w:p>
        <w:p w14:paraId="445331BC">
          <w:pPr>
            <w:pStyle w:val="32"/>
            <w:rPr>
              <w:rFonts w:hint="default" w:ascii="Times New Roman" w:hAnsi="Times New Roman" w:cs="Times New Roman"/>
            </w:rPr>
          </w:pPr>
        </w:p>
        <w:p w14:paraId="2146AD1E">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b w:val="0"/>
              <w:sz w:val="30"/>
              <w:szCs w:val="30"/>
            </w:rPr>
            <w:fldChar w:fldCharType="begin"/>
          </w:r>
          <w:r>
            <w:rPr>
              <w:rFonts w:hint="default" w:ascii="Times New Roman" w:hAnsi="Times New Roman" w:eastAsia="方正仿宋_GB2312" w:cs="Times New Roman"/>
              <w:b w:val="0"/>
              <w:sz w:val="30"/>
              <w:szCs w:val="30"/>
            </w:rPr>
            <w:instrText xml:space="preserve">TOC \o "1-2" \h \u </w:instrText>
          </w:r>
          <w:r>
            <w:rPr>
              <w:rFonts w:hint="default" w:ascii="Times New Roman" w:hAnsi="Times New Roman" w:eastAsia="方正仿宋_GB2312" w:cs="Times New Roman"/>
              <w:b w:val="0"/>
              <w:sz w:val="30"/>
              <w:szCs w:val="30"/>
            </w:rPr>
            <w:fldChar w:fldCharType="separate"/>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_Toc30908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第一部分 部门概况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_Toc30908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3563C3D0">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_Toc31432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一、部门职责</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_Toc31432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4BC8C1BA">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_Toc23161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第二部分 2025年度部门决算情况说明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_Toc23161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4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755AA14C">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_Toc2325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一、收入支出决算总体情况说明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_Toc2325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4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47346B7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_Toc22183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二、收入决算情况说明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_Toc22183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5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1D01E4D">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_Toc23152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三、支出决算情况说明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_Toc23152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5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FB702F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_Toc24462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四、财政拨款收入支出决算总体情况说明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_Toc24462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6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16BE22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_Toc23799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五、一般公共预算财政拨款支出决算情况说明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_Toc23799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C167428">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_Toc17379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六、一般公共预算财政拨款基本支出决算情况说明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_Toc17379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9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179826C">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_Toc8535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七、财政拨款"三公"经费支出决算情况说明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_Toc8535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038EA40">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_Toc836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八、政府性基金预算支出决算情况说明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_Toc836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12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1248A8C">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_Toc7119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九、国有资本经营预算支出决算情况说明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_Toc7119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12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78FEB6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_Toc20388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十、其他重要事项的情况说明</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_Toc20388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12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31A87D79">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_Toc21109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第三部分  名词解释</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_Toc21109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13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0D937E8F">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_Toc27399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第四部分  附件</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_Toc27399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14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78680298">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_Toc2673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kern w:val="0"/>
              <w:sz w:val="30"/>
              <w:szCs w:val="30"/>
              <w:shd w:val="clear" w:color="auto" w:fill="FFFFFF"/>
              <w:lang w:val="zh-CN"/>
            </w:rPr>
            <w:t>一、部门（单位）基本情况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_Toc2673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15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3081212">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_Toc19524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（一）机构组成</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_Toc19524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15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0E248D34">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_Toc21579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（二）机构职能</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_Toc21579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15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95D312F">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_Toc2721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（三）人员概况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_Toc2721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267D68A">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_Toc6025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kern w:val="0"/>
              <w:sz w:val="30"/>
              <w:szCs w:val="30"/>
              <w:shd w:val="clear" w:color="auto" w:fill="FFFFFF"/>
            </w:rPr>
            <w:t>二、部门资金收支情况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_Toc6025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D3E8C23">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_Toc20360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（一）收入情况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_Toc20360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72784FDA">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_Toc26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（二）支出情况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_Toc26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2FBC620">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_Toc18083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highlight w:val="none"/>
              <w:shd w:val="clear" w:color="auto" w:fill="FFFFFF"/>
              <w:lang w:val="zh-CN"/>
            </w:rPr>
            <w:t>（三）</w:t>
          </w:r>
          <w:r>
            <w:rPr>
              <w:rFonts w:hint="default" w:ascii="Times New Roman" w:hAnsi="Times New Roman" w:eastAsia="方正仿宋_GB2312" w:cs="Times New Roman"/>
              <w:sz w:val="30"/>
              <w:szCs w:val="30"/>
              <w:highlight w:val="none"/>
            </w:rPr>
            <w:t>结余分配和结转结余情</w:t>
          </w:r>
          <w:r>
            <w:rPr>
              <w:rFonts w:hint="default" w:ascii="Times New Roman" w:hAnsi="Times New Roman" w:eastAsia="方正仿宋_GB2312" w:cs="Times New Roman"/>
              <w:sz w:val="30"/>
              <w:szCs w:val="30"/>
            </w:rPr>
            <w:t>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_Toc18083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19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1675D88">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_Toc1142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kern w:val="0"/>
              <w:sz w:val="30"/>
              <w:szCs w:val="30"/>
              <w:shd w:val="clear" w:color="auto" w:fill="FFFFFF"/>
            </w:rPr>
            <w:t>三、部门预算绩效分析</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_Toc1142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20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7C022BDB">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_Toc2085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w:t>
          </w:r>
          <w:r>
            <w:rPr>
              <w:rFonts w:hint="default" w:ascii="Times New Roman" w:hAnsi="Times New Roman" w:eastAsia="方正仿宋_GB2312" w:cs="Times New Roman"/>
              <w:bCs/>
              <w:kern w:val="0"/>
              <w:sz w:val="30"/>
              <w:szCs w:val="30"/>
              <w:highlight w:val="none"/>
              <w:shd w:val="clear" w:color="auto" w:fill="FFFFFF"/>
              <w:lang w:val="zh-CN"/>
            </w:rPr>
            <w:t>一）部门预算总体绩效分析</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_Toc2085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20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01426CCD">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_Toc12628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highlight w:val="none"/>
              <w:shd w:val="clear" w:color="auto" w:fill="FFFFFF"/>
              <w:lang w:val="zh-CN"/>
            </w:rPr>
            <w:t>（二）部门预算项目绩效分析</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_Toc12628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27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47B25EA">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_Toc5639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（三）</w:t>
          </w:r>
          <w:r>
            <w:rPr>
              <w:rFonts w:hint="default" w:ascii="Times New Roman" w:hAnsi="Times New Roman" w:eastAsia="方正仿宋_GB2312" w:cs="Times New Roman"/>
              <w:bCs/>
              <w:sz w:val="30"/>
              <w:szCs w:val="30"/>
              <w:lang w:val="zh-CN"/>
            </w:rPr>
            <w:t>绩效结果应用情况</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_Toc5639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29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00CE83E0">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_Toc4188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kern w:val="0"/>
              <w:sz w:val="30"/>
              <w:szCs w:val="30"/>
              <w:shd w:val="clear" w:color="auto" w:fill="FFFFFF"/>
            </w:rPr>
            <w:t>四、评价结论及建议</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_Toc4188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0F31B3D">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_Toc3202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（一）评价结论</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_Toc3202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2847BEEA">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_Toc26960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shd w:val="clear" w:color="auto" w:fill="FFFFFF"/>
              <w:lang w:val="zh-CN"/>
            </w:rPr>
            <w:t>（二）存在问题</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_Toc26960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30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338E5D4">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_Toc26387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kern w:val="0"/>
              <w:sz w:val="30"/>
              <w:szCs w:val="30"/>
              <w:highlight w:val="none"/>
              <w:shd w:val="clear" w:color="auto" w:fill="FFFFFF"/>
              <w:lang w:val="zh-CN"/>
            </w:rPr>
            <w:t>（三）改进建议</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_Toc26387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31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03478C5E">
          <w:pPr>
            <w:pStyle w:val="29"/>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_Toc22900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第五部分  附表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_Toc22900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35E5836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_Toc1728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一、收入支出决算总表（公开01表）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_Toc1728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4A048EAC">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_Toc23361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二、收入决算表（公开02表）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_Toc23361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A2957B7">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_Toc19329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三、支出决算表（公开03表）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_Toc19329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4E84369">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_Toc26791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四、财政拨款收入支出决算总表（公开04表）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_Toc26791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37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4260F532">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_Toc25080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五、财政拨款支出决算明细表（公开05表）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_Toc25080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4CF0BCD6">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_Toc29801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六、一般公共预算财政拨款支出决算表（公开06表）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_Toc29801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FA68CD6">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_Toc12252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七、一般公共预算财政拨款支出决算明细表（公开07表）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_Toc12252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CCDCA96">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_Toc7004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八、一般公共预算财政拨款基本支出决算明细表（公开08表）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_Toc7004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5464D561">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_Toc23747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九、一般公共预算财政拨款项目支出决算表（公开09表）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_Toc23747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B2FDDC0">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_Toc13450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十、政府性基金预算财政拨款收入支出决算表（公开10表）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_Toc13450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1A0A8FB5">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_Toc8749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十一、国有资本经营预算财政拨款收入支出决算表（公开11表）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_Toc8749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36786B97">
          <w:pPr>
            <w:pStyle w:val="33"/>
            <w:keepNext w:val="0"/>
            <w:keepLines w:val="0"/>
            <w:pageBreakBefore w:val="0"/>
            <w:widowControl/>
            <w:tabs>
              <w:tab w:val="right" w:leader="dot" w:pos="8300"/>
            </w:tabs>
            <w:kinsoku/>
            <w:wordWrap/>
            <w:overflowPunct/>
            <w:topLinePunct w:val="0"/>
            <w:autoSpaceDE/>
            <w:autoSpaceDN/>
            <w:bidi w:val="0"/>
            <w:adjustRightInd/>
            <w:spacing w:line="240" w:lineRule="atLeast"/>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HYPERLINK \l _Toc9472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bCs/>
              <w:sz w:val="30"/>
              <w:szCs w:val="30"/>
            </w:rPr>
            <w:t>十二、国有资本经营预算财政拨款支出决算表（公开12表）</w:t>
          </w:r>
          <w:r>
            <w:rPr>
              <w:rFonts w:hint="default" w:ascii="Times New Roman" w:hAnsi="Times New Roman" w:eastAsia="方正仿宋_GB2312" w:cs="Times New Roman"/>
              <w:sz w:val="30"/>
              <w:szCs w:val="30"/>
            </w:rPr>
            <w:tab/>
          </w:r>
          <w:r>
            <w:rPr>
              <w:rFonts w:hint="default" w:ascii="Times New Roman" w:hAnsi="Times New Roman" w:eastAsia="方正仿宋_GB2312" w:cs="Times New Roman"/>
              <w:sz w:val="30"/>
              <w:szCs w:val="30"/>
            </w:rPr>
            <w:fldChar w:fldCharType="begin"/>
          </w:r>
          <w:r>
            <w:rPr>
              <w:rFonts w:hint="default" w:ascii="Times New Roman" w:hAnsi="Times New Roman" w:eastAsia="方正仿宋_GB2312" w:cs="Times New Roman"/>
              <w:sz w:val="30"/>
              <w:szCs w:val="30"/>
            </w:rPr>
            <w:instrText xml:space="preserve"> PAGEREF _Toc9472 \h </w:instrText>
          </w:r>
          <w:r>
            <w:rPr>
              <w:rFonts w:hint="default" w:ascii="Times New Roman" w:hAnsi="Times New Roman" w:eastAsia="方正仿宋_GB2312" w:cs="Times New Roman"/>
              <w:sz w:val="30"/>
              <w:szCs w:val="30"/>
            </w:rPr>
            <w:fldChar w:fldCharType="separate"/>
          </w:r>
          <w:r>
            <w:rPr>
              <w:rFonts w:hint="default" w:ascii="Times New Roman" w:hAnsi="Times New Roman" w:eastAsia="方正仿宋_GB2312" w:cs="Times New Roman"/>
              <w:sz w:val="30"/>
              <w:szCs w:val="30"/>
            </w:rPr>
            <w:t xml:space="preserve"> 38 </w:t>
          </w:r>
          <w:r>
            <w:rPr>
              <w:rFonts w:hint="default" w:ascii="Times New Roman" w:hAnsi="Times New Roman" w:eastAsia="方正仿宋_GB2312" w:cs="Times New Roman"/>
              <w:sz w:val="30"/>
              <w:szCs w:val="30"/>
            </w:rPr>
            <w:fldChar w:fldCharType="end"/>
          </w:r>
          <w:r>
            <w:rPr>
              <w:rFonts w:hint="default" w:ascii="Times New Roman" w:hAnsi="Times New Roman" w:eastAsia="方正仿宋_GB2312" w:cs="Times New Roman"/>
              <w:sz w:val="30"/>
              <w:szCs w:val="30"/>
            </w:rPr>
            <w:fldChar w:fldCharType="end"/>
          </w:r>
        </w:p>
        <w:p w14:paraId="65A9EE4C">
          <w:pPr>
            <w:keepNext w:val="0"/>
            <w:keepLines w:val="0"/>
            <w:pageBreakBefore w:val="0"/>
            <w:widowControl/>
            <w:kinsoku/>
            <w:wordWrap/>
            <w:overflowPunct/>
            <w:topLinePunct w:val="0"/>
            <w:autoSpaceDE/>
            <w:autoSpaceDN/>
            <w:bidi w:val="0"/>
            <w:adjustRightInd/>
            <w:spacing w:before="0" w:after="120" w:line="240" w:lineRule="atLeast"/>
            <w:jc w:val="center"/>
            <w:textAlignment w:val="auto"/>
            <w:rPr>
              <w:rFonts w:hint="default" w:ascii="Times New Roman" w:hAnsi="Times New Roman" w:eastAsia="方正小标宋简体" w:cs="Times New Roman"/>
              <w:sz w:val="32"/>
              <w:szCs w:val="84"/>
              <w:lang w:val="en-US" w:eastAsia="en-US" w:bidi="ar-SA"/>
            </w:rPr>
          </w:pPr>
          <w:r>
            <w:rPr>
              <w:rFonts w:hint="default" w:ascii="Times New Roman" w:hAnsi="Times New Roman" w:eastAsia="方正仿宋_GB2312" w:cs="Times New Roman"/>
              <w:sz w:val="30"/>
              <w:szCs w:val="30"/>
            </w:rPr>
            <w:fldChar w:fldCharType="end"/>
          </w:r>
        </w:p>
      </w:sdtContent>
    </w:sdt>
    <w:p w14:paraId="513A3AD3">
      <w:pPr>
        <w:pStyle w:val="32"/>
        <w:keepNext w:val="0"/>
        <w:keepLines w:val="0"/>
        <w:pageBreakBefore w:val="0"/>
        <w:widowControl/>
        <w:kinsoku/>
        <w:wordWrap/>
        <w:overflowPunct/>
        <w:topLinePunct w:val="0"/>
        <w:autoSpaceDE/>
        <w:autoSpaceDN/>
        <w:bidi w:val="0"/>
        <w:adjustRightInd/>
        <w:spacing w:line="240" w:lineRule="atLeast"/>
        <w:textAlignment w:val="auto"/>
        <w:rPr>
          <w:rFonts w:hint="default" w:ascii="Times New Roman" w:hAnsi="Times New Roman" w:cs="Times New Roman"/>
        </w:rPr>
        <w:sectPr>
          <w:pgSz w:w="11906" w:h="16838"/>
          <w:pgMar w:top="1440" w:right="1803" w:bottom="1440" w:left="1803" w:header="720" w:footer="720" w:gutter="0"/>
          <w:pgNumType w:fmt="numberInDash"/>
          <w:cols w:space="720" w:num="1"/>
          <w:docGrid w:linePitch="360" w:charSpace="0"/>
        </w:sectPr>
      </w:pPr>
    </w:p>
    <w:p w14:paraId="53596BCE">
      <w:pPr>
        <w:pStyle w:val="32"/>
        <w:rPr>
          <w:rFonts w:hint="default" w:ascii="Times New Roman" w:hAnsi="Times New Roman" w:cs="Times New Roman"/>
        </w:rPr>
      </w:pPr>
    </w:p>
    <w:p w14:paraId="6C24DB20">
      <w:pPr>
        <w:keepNext w:val="0"/>
        <w:keepLines w:val="0"/>
        <w:pageBreakBefore w:val="0"/>
        <w:widowControl/>
        <w:numPr>
          <w:ilvl w:val="0"/>
          <w:numId w:val="7"/>
        </w:numPr>
        <w:kinsoku/>
        <w:wordWrap/>
        <w:overflowPunct/>
        <w:topLinePunct w:val="0"/>
        <w:autoSpaceDE/>
        <w:autoSpaceDN/>
        <w:bidi w:val="0"/>
        <w:adjustRightInd/>
        <w:snapToGrid/>
        <w:spacing w:before="240" w:after="120" w:line="720" w:lineRule="exact"/>
        <w:ind w:firstLine="880" w:firstLineChars="200"/>
        <w:jc w:val="center"/>
        <w:textAlignment w:val="auto"/>
        <w:outlineLvl w:val="0"/>
        <w:rPr>
          <w:rFonts w:hint="default" w:ascii="Times New Roman" w:hAnsi="Times New Roman" w:eastAsia="方正小标宋简体" w:cs="Times New Roman"/>
          <w:b w:val="0"/>
          <w:bCs/>
          <w:color w:val="000000"/>
          <w:sz w:val="44"/>
        </w:rPr>
      </w:pPr>
      <w:r>
        <w:rPr>
          <w:rFonts w:hint="default" w:ascii="Times New Roman" w:hAnsi="Times New Roman" w:eastAsia="方正小标宋简体" w:cs="Times New Roman"/>
          <w:b w:val="0"/>
          <w:bCs/>
          <w:color w:val="000000"/>
          <w:sz w:val="44"/>
        </w:rPr>
        <w:t xml:space="preserve"> </w:t>
      </w:r>
      <w:bookmarkStart w:id="0" w:name="_Toc30908"/>
      <w:r>
        <w:rPr>
          <w:rFonts w:hint="default" w:ascii="Times New Roman" w:hAnsi="Times New Roman" w:eastAsia="方正小标宋简体" w:cs="Times New Roman"/>
          <w:b w:val="0"/>
          <w:bCs/>
          <w:color w:val="000000"/>
          <w:sz w:val="44"/>
        </w:rPr>
        <w:t>部门概况</w:t>
      </w:r>
      <w:bookmarkEnd w:id="0"/>
    </w:p>
    <w:p w14:paraId="43922A7E">
      <w:pPr>
        <w:pStyle w:val="32"/>
        <w:numPr>
          <w:ilvl w:val="0"/>
          <w:numId w:val="0"/>
        </w:numPr>
        <w:rPr>
          <w:rFonts w:hint="default" w:ascii="Times New Roman" w:hAnsi="Times New Roman" w:cs="Times New Roman"/>
        </w:rPr>
      </w:pPr>
    </w:p>
    <w:p w14:paraId="4834FC61">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rPr>
      </w:pPr>
      <w:bookmarkStart w:id="1" w:name="_Toc31432"/>
      <w:r>
        <w:rPr>
          <w:rFonts w:hint="default" w:ascii="Times New Roman" w:hAnsi="Times New Roman" w:eastAsia="黑体" w:cs="Times New Roman"/>
          <w:b w:val="0"/>
          <w:bCs/>
          <w:sz w:val="32"/>
        </w:rPr>
        <w:t>一、部门职责</w:t>
      </w:r>
      <w:bookmarkEnd w:id="1"/>
    </w:p>
    <w:p w14:paraId="6C1B8F59">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阿坝州卫生健康委员会是阿坝州人民政府工作部门，为正县级。根据《阿坝州卫生健康委员会职能配置、内设机构和人员编制规定》等文件规定，主要职责是：</w:t>
      </w:r>
    </w:p>
    <w:p w14:paraId="70653357">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拟订并组织实施卫生健康基本公共卫生服务均等化、普惠化、便捷化和公共资源向基层延伸等政策措施；拟订并组织实施全州卫生健康、中（藏羌）医发展政策，制定并组织实施全州卫生健康、中（藏羌）医技术规范、实施方案，统筹规划全州卫生健康、中（藏羌）医服务资源配置。</w:t>
      </w:r>
    </w:p>
    <w:p w14:paraId="7F91F58B">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牵头推进全州深化医药卫生体制改革，研究提出深化改革重大政策和措施的建议，牵头负责全州分级诊疗、现代医院管理、全民医保、药品供应保障、综合监管5项基本医疗卫生制度建设，拟订并组织实施卫生健康公共服务提供主体多元化、提供方式多样化的政策措施。</w:t>
      </w:r>
    </w:p>
    <w:p w14:paraId="2426E913">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3.负责制定并推动落实全州疾病预防控制规划、免疫规划以及严重危害人民健康的艾滋病等重大传染病、地方病等公共卫生问题的干预措施；负责全州医疗卫生应急工作，组织和指导全州突发公共卫生事件预防控制和各类突发公共事件的医疗卫生救援，报告传染病疫情信息、突发公共卫生事件应急处置信息。</w:t>
      </w:r>
    </w:p>
    <w:p w14:paraId="408331D7">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4.负责拟订并组织实施医养结合政策，建立和完善老年健康服务体系，推进老年健康管理与服务。</w:t>
      </w:r>
    </w:p>
    <w:p w14:paraId="729CEDCB">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5.贯彻落实国家药物政策和国家基本药物制度，开展药械使用监测、临床综合评价和短缺药品预警，组织执行国家药典和国家基本药物目录，拟订基本药物使用的政策措施；按照国家和省相关要求会同有关部门制定并实施食品安全风险监测计划，依法开展食品安全企业标准备案。</w:t>
      </w:r>
    </w:p>
    <w:p w14:paraId="5CAD3FCE">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6.负责职责范围内的职业卫生、放射卫生、环境卫生、学校卫生、公共场所卫生、饮用水卫生等公共卫生的监督管理，负责传染病防治监督，健全卫生健康综合监管体系。</w:t>
      </w:r>
    </w:p>
    <w:p w14:paraId="020AA906">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7.拟订全州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0CCCF0B5">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8.负责承担全州人口监测预警工作并提出人口与家庭发展相关健康政策建议，监督实施计划生育家庭扶助政策和计划生育特殊家庭扶助关怀制度。</w:t>
      </w:r>
    </w:p>
    <w:p w14:paraId="74BAB750">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9.指导县（市）卫生健康工作，指导基层医疗卫生、妇幼健康服务体系和基层卫生队伍建设，推进卫生健康科技创新发展。</w:t>
      </w:r>
    </w:p>
    <w:p w14:paraId="50A0E92D">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10.贯彻落实干部医疗保健政策措施，负责州级保健对象的医疗保健工作，负责州级部门有关干部医疗服务工作，负责重要会议与重大活动的医疗卫生保障工作。</w:t>
      </w:r>
    </w:p>
    <w:p w14:paraId="294EC108">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11.依法依规履行卫生健康行业安全生产监管职责，负责职责范围内的生态环境保护、审批服务便民化等工作，负责全州职业病防治工作，负责本级系统内公共机构节能工作。</w:t>
      </w:r>
    </w:p>
    <w:p w14:paraId="5D0D8910">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12.完成州委、州政府交办的其他任务。</w:t>
      </w:r>
    </w:p>
    <w:p w14:paraId="3BE25E25">
      <w:pPr>
        <w:spacing w:before="60" w:after="60" w:line="560" w:lineRule="exact"/>
        <w:ind w:firstLine="640" w:firstLineChars="200"/>
        <w:rPr>
          <w:rFonts w:hint="default" w:ascii="Times New Roman" w:hAnsi="Times New Roman" w:eastAsia="黑体" w:cs="Times New Roman"/>
          <w:b w:val="0"/>
          <w:bCs/>
          <w:sz w:val="32"/>
        </w:rPr>
      </w:pPr>
      <w:r>
        <w:rPr>
          <w:rFonts w:hint="default" w:ascii="Times New Roman" w:hAnsi="Times New Roman" w:eastAsia="黑体" w:cs="Times New Roman"/>
          <w:b w:val="0"/>
          <w:bCs/>
          <w:sz w:val="32"/>
        </w:rPr>
        <w:t>二、机构设置</w:t>
      </w:r>
    </w:p>
    <w:p w14:paraId="044ACA7C">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阿坝州卫生健康委员会（以下简称"本部门"）无下属二级预算单位。2025年度纳入部门决算编制范围的单位为本级机关1个（独立编制机构数1个、独立核算机构数1个）。原纳入2024年度部门决算编报范围的阿坝州卫生和计划生育监督执法支队，因机构改革</w:t>
      </w:r>
      <w:r>
        <w:rPr>
          <w:rFonts w:hint="default" w:ascii="Times New Roman" w:hAnsi="Times New Roman" w:cs="Times New Roman"/>
          <w:b w:val="0"/>
          <w:sz w:val="32"/>
          <w:lang w:eastAsia="zh-CN"/>
        </w:rPr>
        <w:t>于2025年</w:t>
      </w:r>
      <w:r>
        <w:rPr>
          <w:rFonts w:hint="default" w:ascii="Times New Roman" w:hAnsi="Times New Roman" w:eastAsia="仿宋_GB2312" w:cs="Times New Roman"/>
          <w:b w:val="0"/>
          <w:sz w:val="32"/>
        </w:rPr>
        <w:t>划转至州疾病预防控制中心，不再纳入本部门决算编报范围。</w:t>
      </w:r>
    </w:p>
    <w:p w14:paraId="7EAB5FE3">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本部门下设12个内设机构，分别是：办公室、人事教育科、规划发展与信息化科、体制改革与政策研究科、法规审批监督科、医疗卫生应急科、疾病预防控制科、医政与基层卫生科、中藏羌医科、妇幼健康与家庭发展科、爱国卫生与健康促进科和老龄健康科。</w:t>
      </w:r>
    </w:p>
    <w:p w14:paraId="17F17354">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截至2025年12月31日，本部门编制内实有人数39人，其中：行政人员25人、参照公务员法管理事业人员9人、机关和事业工人5人；其他人员3人。年末编制内实有人数较上年减少9人，主要原因是卫生执法支队划转至州疾控中心。</w:t>
      </w:r>
    </w:p>
    <w:p w14:paraId="5ED77D9E">
      <w:pPr>
        <w:pStyle w:val="32"/>
        <w:rPr>
          <w:rFonts w:hint="default" w:ascii="Times New Roman" w:hAnsi="Times New Roman" w:cs="Times New Roman"/>
        </w:rPr>
      </w:pPr>
    </w:p>
    <w:p w14:paraId="5372027F">
      <w:pPr>
        <w:keepNext w:val="0"/>
        <w:keepLines w:val="0"/>
        <w:pageBreakBefore w:val="0"/>
        <w:widowControl/>
        <w:numPr>
          <w:ilvl w:val="0"/>
          <w:numId w:val="7"/>
        </w:numPr>
        <w:kinsoku/>
        <w:wordWrap/>
        <w:overflowPunct/>
        <w:topLinePunct w:val="0"/>
        <w:autoSpaceDE/>
        <w:autoSpaceDN/>
        <w:bidi w:val="0"/>
        <w:adjustRightInd/>
        <w:snapToGrid/>
        <w:spacing w:before="240" w:after="120" w:line="720" w:lineRule="exact"/>
        <w:ind w:left="0" w:leftChars="0" w:firstLine="880" w:firstLineChars="200"/>
        <w:jc w:val="both"/>
        <w:textAlignment w:val="auto"/>
        <w:outlineLvl w:val="0"/>
        <w:rPr>
          <w:rFonts w:hint="default" w:ascii="Times New Roman" w:hAnsi="Times New Roman" w:eastAsia="方正小标宋简体" w:cs="Times New Roman"/>
          <w:b w:val="0"/>
          <w:bCs/>
          <w:color w:val="000000"/>
          <w:sz w:val="44"/>
        </w:rPr>
      </w:pPr>
      <w:r>
        <w:rPr>
          <w:rFonts w:hint="default" w:ascii="Times New Roman" w:hAnsi="Times New Roman" w:eastAsia="方正小标宋简体" w:cs="Times New Roman"/>
          <w:b w:val="0"/>
          <w:bCs/>
          <w:color w:val="000000"/>
          <w:sz w:val="44"/>
        </w:rPr>
        <w:t xml:space="preserve"> </w:t>
      </w:r>
      <w:bookmarkStart w:id="2" w:name="_Toc23161"/>
      <w:r>
        <w:rPr>
          <w:rFonts w:hint="default" w:ascii="Times New Roman" w:hAnsi="Times New Roman" w:eastAsia="方正小标宋简体" w:cs="Times New Roman"/>
          <w:b w:val="0"/>
          <w:bCs/>
          <w:color w:val="000000"/>
          <w:sz w:val="44"/>
        </w:rPr>
        <w:t>2025年度部门决算情况说明</w:t>
      </w:r>
      <w:bookmarkEnd w:id="2"/>
    </w:p>
    <w:p w14:paraId="305C7486">
      <w:pPr>
        <w:pStyle w:val="32"/>
        <w:numPr>
          <w:ilvl w:val="0"/>
          <w:numId w:val="0"/>
        </w:numPr>
        <w:ind w:leftChars="200"/>
        <w:rPr>
          <w:rFonts w:hint="default" w:ascii="Times New Roman" w:hAnsi="Times New Roman" w:cs="Times New Roman"/>
        </w:rPr>
      </w:pPr>
    </w:p>
    <w:p w14:paraId="5846E6CE">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rPr>
      </w:pPr>
      <w:bookmarkStart w:id="3" w:name="_Toc2325"/>
      <w:r>
        <w:rPr>
          <w:rFonts w:hint="default" w:ascii="Times New Roman" w:hAnsi="Times New Roman" w:eastAsia="黑体" w:cs="Times New Roman"/>
          <w:b w:val="0"/>
          <w:bCs/>
          <w:sz w:val="32"/>
        </w:rPr>
        <w:t>一、收入支出决算总体情况说明</w:t>
      </w:r>
      <w:bookmarkEnd w:id="3"/>
    </w:p>
    <w:p w14:paraId="56369ED6">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2025年度本年收入合计2296.12万元，本年支出合计2296.12万元；加上年初结转和结余21.01万元，2025年度收、支总计均为2317.12万元。与2024年度相比，本年收入、本年支出各减少390.28万元，下降14.5%。主要变动原因是：一是上年决算合并卫生执法支队账务，本年支队划转至州疾控中心，收支相应减少；二是2025年未有疫情后续资金支付。</w:t>
      </w:r>
    </w:p>
    <w:p w14:paraId="72DA0449">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2821305"/>
            <wp:effectExtent l="0" t="0" r="17145" b="171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4860000" cy="2821935"/>
                    </a:xfrm>
                    <a:prstGeom prst="rect">
                      <a:avLst/>
                    </a:prstGeom>
                  </pic:spPr>
                </pic:pic>
              </a:graphicData>
            </a:graphic>
          </wp:inline>
        </w:drawing>
      </w:r>
    </w:p>
    <w:p w14:paraId="3104A4D7">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图1  收入、支出决算总计变动情况图</w:t>
      </w:r>
    </w:p>
    <w:p w14:paraId="3F009D94">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4" w:name="_Toc22183"/>
      <w:r>
        <w:rPr>
          <w:rFonts w:hint="default" w:ascii="Times New Roman" w:hAnsi="Times New Roman" w:eastAsia="黑体" w:cs="Times New Roman"/>
          <w:b w:val="0"/>
          <w:bCs/>
          <w:sz w:val="32"/>
        </w:rPr>
        <w:t>二、收入决算情况说明</w:t>
      </w:r>
      <w:bookmarkEnd w:id="4"/>
    </w:p>
    <w:p w14:paraId="5B99CD0D">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2025年度本年收入合计2296.12万元，其中：一般公共预算财政拨款收入2296.12万元，占100%；无政府性基金预算财政拨款收入、国有资本经营预算财政拨款收入、上级补助收入、事业收入、经营收入、附属单位上缴收入和其他收入。</w:t>
      </w:r>
    </w:p>
    <w:p w14:paraId="7D2D640C">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3202940"/>
            <wp:effectExtent l="0" t="0" r="17145" b="165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4860000" cy="3203085"/>
                    </a:xfrm>
                    <a:prstGeom prst="rect">
                      <a:avLst/>
                    </a:prstGeom>
                  </pic:spPr>
                </pic:pic>
              </a:graphicData>
            </a:graphic>
          </wp:inline>
        </w:drawing>
      </w:r>
    </w:p>
    <w:p w14:paraId="729BE250">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图2  收入决算结构图</w:t>
      </w:r>
    </w:p>
    <w:p w14:paraId="1FD86DD1">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5" w:name="_Toc23152"/>
      <w:r>
        <w:rPr>
          <w:rFonts w:hint="default" w:ascii="Times New Roman" w:hAnsi="Times New Roman" w:eastAsia="黑体" w:cs="Times New Roman"/>
          <w:b w:val="0"/>
          <w:bCs/>
          <w:sz w:val="32"/>
        </w:rPr>
        <w:t>三、支出决算情况说明</w:t>
      </w:r>
      <w:bookmarkEnd w:id="5"/>
    </w:p>
    <w:p w14:paraId="001B4221">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2025年度本年支出合计2296.12万元，其中：基本支出1689.72万元，占73.6%；项目支出606.4万元，占26.4%；无上缴上级支出、经营支出和对附属单位补助支出。</w:t>
      </w:r>
    </w:p>
    <w:p w14:paraId="44589B97">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3674110"/>
            <wp:effectExtent l="0" t="0" r="1714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4860000" cy="3674277"/>
                    </a:xfrm>
                    <a:prstGeom prst="rect">
                      <a:avLst/>
                    </a:prstGeom>
                  </pic:spPr>
                </pic:pic>
              </a:graphicData>
            </a:graphic>
          </wp:inline>
        </w:drawing>
      </w:r>
    </w:p>
    <w:p w14:paraId="106D2DC9">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图3  支出决算结构图</w:t>
      </w:r>
    </w:p>
    <w:p w14:paraId="6C90C8DE">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6" w:name="_Toc24462"/>
      <w:r>
        <w:rPr>
          <w:rFonts w:hint="default" w:ascii="Times New Roman" w:hAnsi="Times New Roman" w:eastAsia="黑体" w:cs="Times New Roman"/>
          <w:b w:val="0"/>
          <w:bCs/>
          <w:sz w:val="32"/>
        </w:rPr>
        <w:t>四、财政拨款收入支出决算总体情况说明</w:t>
      </w:r>
      <w:bookmarkEnd w:id="6"/>
    </w:p>
    <w:p w14:paraId="3EB762C6">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2025年度财政拨款收入2296.12万元，财政拨款支出2296.12万元；加上年初财政拨款结转和结余21.01万元，财政拨款收、支总计均为2317.12万元。与2024年度相比，财政拨款收、支各减少390.28万元，下降14.5%。主要变动原因同上。</w:t>
      </w:r>
    </w:p>
    <w:p w14:paraId="7D1190CF">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2821305"/>
            <wp:effectExtent l="0" t="0" r="17145"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4860000" cy="2821935"/>
                    </a:xfrm>
                    <a:prstGeom prst="rect">
                      <a:avLst/>
                    </a:prstGeom>
                  </pic:spPr>
                </pic:pic>
              </a:graphicData>
            </a:graphic>
          </wp:inline>
        </w:drawing>
      </w:r>
    </w:p>
    <w:p w14:paraId="43ADE262">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图4  财政拨款收入、支出决算总计变动情况图</w:t>
      </w:r>
    </w:p>
    <w:p w14:paraId="2F78F873">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7" w:name="_Toc23799"/>
      <w:r>
        <w:rPr>
          <w:rFonts w:hint="default" w:ascii="Times New Roman" w:hAnsi="Times New Roman" w:eastAsia="黑体" w:cs="Times New Roman"/>
          <w:b w:val="0"/>
          <w:bCs/>
          <w:sz w:val="32"/>
        </w:rPr>
        <w:t>五、一般公共预算财政拨款支出决算情况说明</w:t>
      </w:r>
      <w:bookmarkEnd w:id="7"/>
    </w:p>
    <w:p w14:paraId="64303B97">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（一）总体情况。</w:t>
      </w:r>
      <w:r>
        <w:rPr>
          <w:rFonts w:hint="default" w:ascii="Times New Roman" w:hAnsi="Times New Roman" w:eastAsia="仿宋_GB2312" w:cs="Times New Roman"/>
          <w:b w:val="0"/>
          <w:sz w:val="32"/>
        </w:rPr>
        <w:t>2025年度一般公共预算财政拨款支出2296.12万元，占本年支出合计的100%。与2024年度相比，一般公共预算财政拨款支出减少390.28万元，下降14.5%。主要变动原因是：上年决算合并卫生执法支队账务，本年支队划转至州疾控中心；2025年未有疫情后续资金支付。</w:t>
      </w:r>
    </w:p>
    <w:p w14:paraId="73B3BDF4">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2821305"/>
            <wp:effectExtent l="0" t="0" r="17145" b="171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4860000" cy="2821935"/>
                    </a:xfrm>
                    <a:prstGeom prst="rect">
                      <a:avLst/>
                    </a:prstGeom>
                  </pic:spPr>
                </pic:pic>
              </a:graphicData>
            </a:graphic>
          </wp:inline>
        </w:drawing>
      </w:r>
    </w:p>
    <w:p w14:paraId="32F56A8D">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图5  一般公共预算财政拨款支出决算变动情况图</w:t>
      </w:r>
    </w:p>
    <w:p w14:paraId="1A279942">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（二）结构情况。</w:t>
      </w:r>
      <w:r>
        <w:rPr>
          <w:rFonts w:hint="default" w:ascii="Times New Roman" w:hAnsi="Times New Roman" w:eastAsia="仿宋_GB2312" w:cs="Times New Roman"/>
          <w:b w:val="0"/>
          <w:sz w:val="32"/>
        </w:rPr>
        <w:t>2025年度一般公共预算财政拨款支出2296.12万元，主要用于以下方面：社会保障和就业支出200.39万元，占8.7%；卫生健康支出1994.49万元，占86.9%；住房保障支出101.24万元，占4.4%。</w:t>
      </w:r>
    </w:p>
    <w:p w14:paraId="78B9DDB4">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3002280"/>
            <wp:effectExtent l="0" t="0" r="1714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4860000" cy="3002280"/>
                    </a:xfrm>
                    <a:prstGeom prst="rect">
                      <a:avLst/>
                    </a:prstGeom>
                  </pic:spPr>
                </pic:pic>
              </a:graphicData>
            </a:graphic>
          </wp:inline>
        </w:drawing>
      </w:r>
    </w:p>
    <w:p w14:paraId="33B79C94">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图6  一般公共预算财政拨款支出决算结构图</w:t>
      </w:r>
    </w:p>
    <w:p w14:paraId="7DB9A656">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（三）具体情况。</w:t>
      </w:r>
      <w:r>
        <w:rPr>
          <w:rFonts w:hint="default" w:ascii="Times New Roman" w:hAnsi="Times New Roman" w:eastAsia="仿宋_GB2312" w:cs="Times New Roman"/>
          <w:b w:val="0"/>
          <w:sz w:val="32"/>
        </w:rPr>
        <w:t>2025年度一般公共预算财政拨款支出决算为2296.12万元，完成全年预算的100%。其中：</w:t>
      </w:r>
    </w:p>
    <w:p w14:paraId="2A949C66">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社会保障和就业支出行政事业单位养老支出决算200.39万元，完成全年预算的100%，包括：机关事业单位基本养老保险缴费支出120.45万元；机关事业单位职业年金缴费支出62.64万元；其他行政事业单位养老支出17.31万元。</w:t>
      </w:r>
    </w:p>
    <w:p w14:paraId="61E66B0A">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卫生健康支出决算1994.49万元，完成全年预算的100%，包括：卫生健康管理事务行政运行1311.12万元；卫生健康管理事务一般行政管理事务418.45万元；卫生健康管理事务其他卫生健康管理事务支出29.29万元；公共卫生基本公共卫生服务19.6万元；公共卫生重大公共卫生服务23.78万元；公共卫生其他公共卫生支出11.12万元；行政事业单位医疗行政单位医疗59.18万元；行政事业单位医疗公务员医疗补助17.79万元；中医药中医（民族医）药专项9万元；</w:t>
      </w:r>
      <w:r>
        <w:rPr>
          <w:rFonts w:hint="default" w:ascii="Times New Roman" w:hAnsi="Times New Roman" w:cs="Times New Roman"/>
          <w:b w:val="0"/>
          <w:sz w:val="32"/>
          <w:lang w:eastAsia="zh-CN"/>
        </w:rPr>
        <w:t>其他卫生健康支出</w:t>
      </w:r>
      <w:r>
        <w:rPr>
          <w:rFonts w:hint="default" w:ascii="Times New Roman" w:hAnsi="Times New Roman" w:eastAsia="仿宋_GB2312" w:cs="Times New Roman"/>
          <w:b w:val="0"/>
          <w:sz w:val="32"/>
        </w:rPr>
        <w:t>95.17万元。</w:t>
      </w:r>
    </w:p>
    <w:p w14:paraId="7D434BEC">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3.住房保障支出住房改革支出决算101.24万元，完成全年预算的100%，包括：住房公积金100.04万元；购房补贴1.2万元。</w:t>
      </w:r>
    </w:p>
    <w:p w14:paraId="0EE0D431">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rPr>
      </w:pPr>
      <w:bookmarkStart w:id="8" w:name="_Toc17379"/>
      <w:r>
        <w:rPr>
          <w:rFonts w:hint="default" w:ascii="Times New Roman" w:hAnsi="Times New Roman" w:eastAsia="黑体" w:cs="Times New Roman"/>
          <w:b w:val="0"/>
          <w:bCs/>
          <w:sz w:val="32"/>
        </w:rPr>
        <w:t>六、一般公共预算财政拨款基本支出决算情况说明</w:t>
      </w:r>
      <w:bookmarkEnd w:id="8"/>
    </w:p>
    <w:p w14:paraId="5A32B6D3">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2025年度一般公共预算财政拨款基本支出1689.72万元，其中：</w:t>
      </w:r>
    </w:p>
    <w:p w14:paraId="0F5ECE81">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人员经费1504.11万元，主要包括：基本工资301.42万元、津贴补贴507.82万元、奖金94.42万元、伙食补助费19.05万元、机关事业单位基本养老保险缴费120.45万元、职业年金缴费62.64万元、职工基本医疗保险缴费59.18万元、公务员医疗补助缴费17.79万元、其他社会保障缴费14.05万元、住房公积金100.04万元、其他工资福利支出27.93万元、离休费12.71万元、生活补助166.54万元、奖励金0.08万元等。</w:t>
      </w:r>
    </w:p>
    <w:p w14:paraId="2D0CB068">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公用经费185.61万元，主要包括：办公费18.29万元、水费0.6万元、电费10.97万元、邮电费4.49万元、差旅费40.6万元、维修（护）费1.84万元、租赁费0.2万元、会议费2.21万元、培训费4.72万元、公务接待费0.08万元、劳务费3.85万元、工会经费10.83万元、福利费14.82万元、公务用车运行维护费53.7万元、其他交通费用1.89万元、其他商品和服务支出11.87万元、办公设备购置4.63万元等。</w:t>
      </w:r>
    </w:p>
    <w:p w14:paraId="0629BA51">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rPr>
      </w:pPr>
      <w:bookmarkStart w:id="9" w:name="_Toc8535"/>
      <w:r>
        <w:rPr>
          <w:rFonts w:hint="default" w:ascii="Times New Roman" w:hAnsi="Times New Roman" w:eastAsia="黑体" w:cs="Times New Roman"/>
          <w:b w:val="0"/>
          <w:bCs/>
          <w:sz w:val="32"/>
        </w:rPr>
        <w:t>七、财政拨款"三公"经费支出决算情况说明</w:t>
      </w:r>
      <w:bookmarkEnd w:id="9"/>
    </w:p>
    <w:p w14:paraId="25D2015A">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（一）总体情况。</w:t>
      </w:r>
      <w:r>
        <w:rPr>
          <w:rFonts w:hint="default" w:ascii="Times New Roman" w:hAnsi="Times New Roman" w:eastAsia="仿宋_GB2312" w:cs="Times New Roman"/>
          <w:b w:val="0"/>
          <w:sz w:val="32"/>
        </w:rPr>
        <w:t>2025年度财政拨款"三公"经费支出决算为61.73万元，完成全年预算的100%。与2024年度相比，财政拨款"三公"经费支出减少25.21万元，下降29%。主要变动原因是上年决算合并卫生执法支队账务，本年支队划转至州疾控中心。</w:t>
      </w:r>
    </w:p>
    <w:p w14:paraId="13CC46C7">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其中：因公出国（境）费支出0万元；公务用车购置及运行维护费支出61.65万元，占99.9%；公务接待费支出0.08万元，占0.1%。</w:t>
      </w:r>
    </w:p>
    <w:p w14:paraId="703C4ADA">
      <w:pPr>
        <w:spacing w:before="12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859655" cy="3199765"/>
            <wp:effectExtent l="0" t="0" r="1714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4860000" cy="3200280"/>
                    </a:xfrm>
                    <a:prstGeom prst="rect">
                      <a:avLst/>
                    </a:prstGeom>
                  </pic:spPr>
                </pic:pic>
              </a:graphicData>
            </a:graphic>
          </wp:inline>
        </w:drawing>
      </w:r>
    </w:p>
    <w:p w14:paraId="30012CEE">
      <w:pPr>
        <w:spacing w:before="0" w:after="120" w:line="400" w:lineRule="exact"/>
        <w:jc w:val="center"/>
        <w:rPr>
          <w:rFonts w:hint="default" w:ascii="Times New Roman" w:hAnsi="Times New Roman" w:cs="Times New Roman"/>
        </w:rPr>
      </w:pPr>
      <w:r>
        <w:rPr>
          <w:rFonts w:hint="default" w:ascii="Times New Roman" w:hAnsi="Times New Roman" w:eastAsia="黑体" w:cs="Times New Roman"/>
          <w:b w:val="0"/>
          <w:sz w:val="24"/>
        </w:rPr>
        <w:t>图7  财政拨款"三公"经费支出结构图</w:t>
      </w:r>
    </w:p>
    <w:p w14:paraId="121943C1">
      <w:pPr>
        <w:spacing w:before="0" w:after="0" w:line="560" w:lineRule="exact"/>
        <w:ind w:firstLine="640"/>
        <w:rPr>
          <w:rFonts w:hint="default" w:ascii="Times New Roman" w:hAnsi="Times New Roman" w:cs="Times New Roman"/>
          <w:b/>
          <w:bCs/>
        </w:rPr>
      </w:pPr>
      <w:r>
        <w:rPr>
          <w:rFonts w:hint="default" w:ascii="Times New Roman" w:hAnsi="Times New Roman" w:eastAsia="仿宋_GB2312" w:cs="Times New Roman"/>
          <w:b/>
          <w:bCs/>
          <w:sz w:val="32"/>
        </w:rPr>
        <w:t>（二）具体情况。</w:t>
      </w:r>
    </w:p>
    <w:p w14:paraId="39C9E10F">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1.因公出国（境）费支出0万元。全年安排因公出国（境）团组0个，因公出国（境）0人次。</w:t>
      </w:r>
    </w:p>
    <w:p w14:paraId="386E38F5">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公务用车购置及运行维护费支出61.65万元，完成全年预算的100%，其中：公务用车购置支出0万元，全年按规定更新购置公务用车0辆；公务用车运行维护费支出61.65万元，主要用于机要通信、应急保障、执法执勤等公务用车燃料费、维修费、过路过桥费、保险费等支出。截至2025年12月31日，本部门共有公务用车12辆，其中：特种专业技术用车2辆、其他用车10辆。</w:t>
      </w:r>
    </w:p>
    <w:p w14:paraId="1058C1C5">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3.公务接待费支出0.08万元，完成全年预算的100%。全年国内公务接待1批次、6人次，主要用于工作交流、检查指导等公务活动；无国（境）外公务接待。</w:t>
      </w:r>
    </w:p>
    <w:p w14:paraId="3056B377">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rPr>
      </w:pPr>
      <w:bookmarkStart w:id="10" w:name="_Toc836"/>
      <w:r>
        <w:rPr>
          <w:rFonts w:hint="default" w:ascii="Times New Roman" w:hAnsi="Times New Roman" w:eastAsia="黑体" w:cs="Times New Roman"/>
          <w:b w:val="0"/>
          <w:bCs/>
          <w:sz w:val="32"/>
        </w:rPr>
        <w:t>八、政府性基金预算支出决算情况说明</w:t>
      </w:r>
      <w:bookmarkEnd w:id="10"/>
    </w:p>
    <w:p w14:paraId="67B64022">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本部门2025年度无政府性基金预算财政拨款收入、支出及结转结余。</w:t>
      </w:r>
    </w:p>
    <w:p w14:paraId="3DD7F53B">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11" w:name="_Toc7119"/>
      <w:r>
        <w:rPr>
          <w:rFonts w:hint="default" w:ascii="Times New Roman" w:hAnsi="Times New Roman" w:eastAsia="黑体" w:cs="Times New Roman"/>
          <w:b w:val="0"/>
          <w:bCs/>
          <w:sz w:val="32"/>
        </w:rPr>
        <w:t>九、国有资本经营预算支出决算情况说明</w:t>
      </w:r>
      <w:bookmarkEnd w:id="11"/>
    </w:p>
    <w:p w14:paraId="4E3BA3C4">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本部门2025年度无国有资本经营预算财政拨款收入、支出及结转结余。</w:t>
      </w:r>
    </w:p>
    <w:p w14:paraId="1E658FEC">
      <w:pPr>
        <w:keepNext w:val="0"/>
        <w:keepLines w:val="0"/>
        <w:pageBreakBefore w:val="0"/>
        <w:widowControl/>
        <w:kinsoku/>
        <w:wordWrap/>
        <w:overflowPunct/>
        <w:topLinePunct w:val="0"/>
        <w:autoSpaceDE/>
        <w:autoSpaceDN/>
        <w:bidi w:val="0"/>
        <w:adjustRightInd/>
        <w:snapToGrid/>
        <w:spacing w:before="60" w:after="60" w:line="560" w:lineRule="exact"/>
        <w:ind w:firstLine="640" w:firstLineChars="200"/>
        <w:textAlignment w:val="auto"/>
        <w:outlineLvl w:val="1"/>
        <w:rPr>
          <w:rFonts w:hint="default" w:ascii="Times New Roman" w:hAnsi="Times New Roman" w:eastAsia="黑体" w:cs="Times New Roman"/>
          <w:b w:val="0"/>
          <w:bCs/>
          <w:sz w:val="32"/>
        </w:rPr>
      </w:pPr>
      <w:bookmarkStart w:id="12" w:name="_Toc20388"/>
      <w:r>
        <w:rPr>
          <w:rFonts w:hint="default" w:ascii="Times New Roman" w:hAnsi="Times New Roman" w:eastAsia="黑体" w:cs="Times New Roman"/>
          <w:b w:val="0"/>
          <w:bCs/>
          <w:sz w:val="32"/>
        </w:rPr>
        <w:t>十、其他重要事项的情况说明</w:t>
      </w:r>
      <w:bookmarkEnd w:id="12"/>
    </w:p>
    <w:p w14:paraId="2ABB1329">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（一）机关运行经费支出情况。</w:t>
      </w:r>
      <w:r>
        <w:rPr>
          <w:rFonts w:hint="default" w:ascii="Times New Roman" w:hAnsi="Times New Roman" w:eastAsia="仿宋_GB2312" w:cs="Times New Roman"/>
          <w:b w:val="0"/>
          <w:sz w:val="32"/>
        </w:rPr>
        <w:t>2025年度本部门机关运行经费支出185.61万元，比2024年度减少464.94万元，下降71.5%。主要原因是上年决算合并卫生执法支队账务，本年支队划转至州疾控中心。</w:t>
      </w:r>
    </w:p>
    <w:p w14:paraId="2C9A3853">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（二）政府采购支出情况。</w:t>
      </w:r>
      <w:r>
        <w:rPr>
          <w:rFonts w:hint="default" w:ascii="Times New Roman" w:hAnsi="Times New Roman" w:eastAsia="仿宋_GB2312" w:cs="Times New Roman"/>
          <w:b w:val="0"/>
          <w:sz w:val="32"/>
        </w:rPr>
        <w:t>2025年度本部门政府采购支出总额24.89万元，其中：政府采购货物支出0万元、政府采购工程支出0万元、政府采购服务支出24.89万元。授予中小企业合同金额0万元，占政府采购支出总额的0%，其中：授予小微企业合同金额0万元，占政府采购支出总额的0%。</w:t>
      </w:r>
    </w:p>
    <w:p w14:paraId="0747243E">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（三）国有资产占有使用情况。</w:t>
      </w:r>
      <w:r>
        <w:rPr>
          <w:rFonts w:hint="default" w:ascii="Times New Roman" w:hAnsi="Times New Roman" w:eastAsia="仿宋_GB2312" w:cs="Times New Roman"/>
          <w:b w:val="0"/>
          <w:sz w:val="32"/>
        </w:rPr>
        <w:t>截至2025年12月31日，本部门共有车辆12辆，其中：特种专业技术用车2辆、其他用车10辆；单价100万元（含）以上设备（不含车辆）3台（套）。</w:t>
      </w:r>
    </w:p>
    <w:p w14:paraId="4CCE7B7E">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bCs/>
          <w:sz w:val="32"/>
        </w:rPr>
        <w:t>（四）预算绩效管理情况。</w:t>
      </w:r>
      <w:r>
        <w:rPr>
          <w:rFonts w:hint="default" w:ascii="Times New Roman" w:hAnsi="Times New Roman" w:eastAsia="仿宋_GB2312" w:cs="Times New Roman"/>
          <w:b w:val="0"/>
          <w:sz w:val="32"/>
        </w:rPr>
        <w:t>根据预算绩效管理要求，本部门对2025年度部门整体支出和项目支出开展绩效自评，绩效评价综合得分85.55分。其中：常年项目101个，涉及预算总金额21638.22万元，1—12月预算执行总体进度为100%；阶段（一次性）项目56个，涉及预算总金额5122.37万元，1—12月预算执行总体进度为100%，预算结余率大于10%的项目均为0个。本部门已按要求随决算公开《阿坝州卫生健康委员会部门预算绩效自评报告》（详见附件）。</w:t>
      </w:r>
    </w:p>
    <w:p w14:paraId="7753FB83">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leftChars="200" w:firstLine="1320" w:firstLineChars="300"/>
        <w:jc w:val="both"/>
        <w:textAlignment w:val="auto"/>
        <w:outlineLvl w:val="0"/>
        <w:rPr>
          <w:rFonts w:hint="default" w:ascii="Times New Roman" w:hAnsi="Times New Roman" w:eastAsia="方正小标宋简体" w:cs="Times New Roman"/>
          <w:b w:val="0"/>
          <w:bCs/>
          <w:color w:val="000000"/>
          <w:sz w:val="44"/>
        </w:rPr>
      </w:pPr>
      <w:bookmarkStart w:id="13" w:name="_Toc21109"/>
      <w:r>
        <w:rPr>
          <w:rFonts w:hint="default" w:ascii="Times New Roman" w:hAnsi="Times New Roman" w:eastAsia="方正小标宋简体" w:cs="Times New Roman"/>
          <w:b w:val="0"/>
          <w:bCs/>
          <w:color w:val="000000"/>
          <w:sz w:val="44"/>
        </w:rPr>
        <w:t>第三部分  名词解释</w:t>
      </w:r>
      <w:bookmarkEnd w:id="13"/>
    </w:p>
    <w:p w14:paraId="628BA549">
      <w:pPr>
        <w:pStyle w:val="32"/>
        <w:rPr>
          <w:rFonts w:hint="default" w:ascii="Times New Roman" w:hAnsi="Times New Roman" w:cs="Times New Roman"/>
        </w:rPr>
      </w:pPr>
    </w:p>
    <w:p w14:paraId="1C2AB4B2">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1.</w:t>
      </w:r>
      <w:r>
        <w:rPr>
          <w:rFonts w:hint="default" w:ascii="Times New Roman" w:hAnsi="Times New Roman" w:eastAsia="仿宋_GB2312" w:cs="Times New Roman"/>
          <w:b/>
          <w:bCs/>
          <w:sz w:val="32"/>
        </w:rPr>
        <w:t>财政拨款收入：</w:t>
      </w:r>
      <w:r>
        <w:rPr>
          <w:rFonts w:hint="default" w:ascii="Times New Roman" w:hAnsi="Times New Roman" w:eastAsia="仿宋_GB2312" w:cs="Times New Roman"/>
          <w:b w:val="0"/>
          <w:sz w:val="32"/>
        </w:rPr>
        <w:t>指单位从同级财政部门取得的财政预算资金。</w:t>
      </w:r>
    </w:p>
    <w:p w14:paraId="67BE3065">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2.</w:t>
      </w:r>
      <w:r>
        <w:rPr>
          <w:rFonts w:hint="default" w:ascii="Times New Roman" w:hAnsi="Times New Roman" w:eastAsia="仿宋_GB2312" w:cs="Times New Roman"/>
          <w:b/>
          <w:bCs/>
          <w:sz w:val="32"/>
        </w:rPr>
        <w:t>事业收入：</w:t>
      </w:r>
      <w:r>
        <w:rPr>
          <w:rFonts w:hint="default" w:ascii="Times New Roman" w:hAnsi="Times New Roman" w:eastAsia="仿宋_GB2312" w:cs="Times New Roman"/>
          <w:b w:val="0"/>
          <w:sz w:val="32"/>
        </w:rPr>
        <w:t>指事业单位开展专业业务活动及辅助活动取得的收入。</w:t>
      </w:r>
    </w:p>
    <w:p w14:paraId="07052139">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3.</w:t>
      </w:r>
      <w:r>
        <w:rPr>
          <w:rFonts w:hint="default" w:ascii="Times New Roman" w:hAnsi="Times New Roman" w:eastAsia="仿宋_GB2312" w:cs="Times New Roman"/>
          <w:b/>
          <w:bCs/>
          <w:sz w:val="32"/>
        </w:rPr>
        <w:t>经营收入：</w:t>
      </w:r>
      <w:r>
        <w:rPr>
          <w:rFonts w:hint="default" w:ascii="Times New Roman" w:hAnsi="Times New Roman" w:eastAsia="仿宋_GB2312" w:cs="Times New Roman"/>
          <w:b w:val="0"/>
          <w:sz w:val="32"/>
        </w:rPr>
        <w:t>指事业单位在专业业务活动及其辅助活动之外开展非独立核算经营活动取得的收入。</w:t>
      </w:r>
    </w:p>
    <w:p w14:paraId="6B6242A2">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4.</w:t>
      </w:r>
      <w:r>
        <w:rPr>
          <w:rFonts w:hint="default" w:ascii="Times New Roman" w:hAnsi="Times New Roman" w:eastAsia="仿宋_GB2312" w:cs="Times New Roman"/>
          <w:b/>
          <w:bCs/>
          <w:sz w:val="32"/>
        </w:rPr>
        <w:t>其他收入：</w:t>
      </w:r>
      <w:r>
        <w:rPr>
          <w:rFonts w:hint="default" w:ascii="Times New Roman" w:hAnsi="Times New Roman" w:eastAsia="仿宋_GB2312" w:cs="Times New Roman"/>
          <w:b w:val="0"/>
          <w:sz w:val="32"/>
        </w:rPr>
        <w:t>指单位取得的除上述收入以外的各项收入。</w:t>
      </w:r>
    </w:p>
    <w:p w14:paraId="63676CD2">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5.</w:t>
      </w:r>
      <w:r>
        <w:rPr>
          <w:rFonts w:hint="default" w:ascii="Times New Roman" w:hAnsi="Times New Roman" w:eastAsia="仿宋_GB2312" w:cs="Times New Roman"/>
          <w:b/>
          <w:bCs/>
          <w:sz w:val="32"/>
        </w:rPr>
        <w:t>基本支出：</w:t>
      </w:r>
      <w:r>
        <w:rPr>
          <w:rFonts w:hint="default" w:ascii="Times New Roman" w:hAnsi="Times New Roman" w:eastAsia="仿宋_GB2312" w:cs="Times New Roman"/>
          <w:b w:val="0"/>
          <w:sz w:val="32"/>
        </w:rPr>
        <w:t>指为保障机构正常运转、完成日常工作任务而发生的人员支出和公用支出。</w:t>
      </w:r>
    </w:p>
    <w:p w14:paraId="5CDBAEC4">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6.</w:t>
      </w:r>
      <w:r>
        <w:rPr>
          <w:rFonts w:hint="default" w:ascii="Times New Roman" w:hAnsi="Times New Roman" w:eastAsia="仿宋_GB2312" w:cs="Times New Roman"/>
          <w:b/>
          <w:bCs/>
          <w:sz w:val="32"/>
        </w:rPr>
        <w:t>项目支出：</w:t>
      </w:r>
      <w:r>
        <w:rPr>
          <w:rFonts w:hint="default" w:ascii="Times New Roman" w:hAnsi="Times New Roman" w:eastAsia="仿宋_GB2312" w:cs="Times New Roman"/>
          <w:b w:val="0"/>
          <w:sz w:val="32"/>
        </w:rPr>
        <w:t>指在基本支出之外为完成特定行政任务和事业发展目标所发生的支出。</w:t>
      </w:r>
    </w:p>
    <w:p w14:paraId="306603BC">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7."</w:t>
      </w:r>
      <w:r>
        <w:rPr>
          <w:rFonts w:hint="default" w:ascii="Times New Roman" w:hAnsi="Times New Roman" w:eastAsia="仿宋_GB2312" w:cs="Times New Roman"/>
          <w:b/>
          <w:bCs/>
          <w:sz w:val="32"/>
        </w:rPr>
        <w:t>三公"经费：</w:t>
      </w:r>
      <w:r>
        <w:rPr>
          <w:rFonts w:hint="default" w:ascii="Times New Roman" w:hAnsi="Times New Roman" w:eastAsia="仿宋_GB2312" w:cs="Times New Roman"/>
          <w:b w:val="0"/>
          <w:sz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路过桥费、保险费、安全奖励费用等支出；公务接待费反映单位按规定开支的各类公务接待（含外宾接待）支出。</w:t>
      </w:r>
    </w:p>
    <w:p w14:paraId="5299411A">
      <w:pPr>
        <w:spacing w:before="0" w:after="0" w:line="560" w:lineRule="exact"/>
        <w:ind w:firstLine="640"/>
        <w:rPr>
          <w:rFonts w:hint="default" w:ascii="Times New Roman" w:hAnsi="Times New Roman" w:cs="Times New Roman"/>
        </w:rPr>
      </w:pPr>
      <w:r>
        <w:rPr>
          <w:rFonts w:hint="default" w:ascii="Times New Roman" w:hAnsi="Times New Roman" w:eastAsia="仿宋_GB2312" w:cs="Times New Roman"/>
          <w:b w:val="0"/>
          <w:sz w:val="32"/>
        </w:rPr>
        <w:t>8.</w:t>
      </w:r>
      <w:r>
        <w:rPr>
          <w:rFonts w:hint="default" w:ascii="Times New Roman" w:hAnsi="Times New Roman" w:eastAsia="仿宋_GB2312" w:cs="Times New Roman"/>
          <w:b/>
          <w:bCs/>
          <w:sz w:val="32"/>
        </w:rPr>
        <w:t>机关运行经费：</w:t>
      </w:r>
      <w:r>
        <w:rPr>
          <w:rFonts w:hint="default" w:ascii="Times New Roman" w:hAnsi="Times New Roman" w:eastAsia="仿宋_GB2312" w:cs="Times New Roman"/>
          <w:b w:val="0"/>
          <w:sz w:val="32"/>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97140E">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leftChars="200" w:firstLine="1320" w:firstLineChars="300"/>
        <w:jc w:val="both"/>
        <w:textAlignment w:val="auto"/>
        <w:outlineLvl w:val="0"/>
        <w:rPr>
          <w:rFonts w:hint="default" w:ascii="Times New Roman" w:hAnsi="Times New Roman" w:eastAsia="方正小标宋简体" w:cs="Times New Roman"/>
          <w:b w:val="0"/>
          <w:bCs/>
          <w:color w:val="000000"/>
          <w:sz w:val="44"/>
        </w:rPr>
      </w:pPr>
      <w:bookmarkStart w:id="14" w:name="_Toc27399"/>
      <w:r>
        <w:rPr>
          <w:rFonts w:hint="default" w:ascii="Times New Roman" w:hAnsi="Times New Roman" w:eastAsia="方正小标宋简体" w:cs="Times New Roman"/>
          <w:b w:val="0"/>
          <w:bCs/>
          <w:color w:val="000000"/>
          <w:sz w:val="44"/>
        </w:rPr>
        <w:t>第四部分  附件</w:t>
      </w:r>
      <w:bookmarkEnd w:id="14"/>
    </w:p>
    <w:p w14:paraId="435F6717">
      <w:pPr>
        <w:pStyle w:val="2"/>
        <w:rPr>
          <w:rFonts w:hint="default" w:ascii="Times New Roman" w:hAnsi="Times New Roman" w:cs="Times New Roman"/>
        </w:rPr>
      </w:pPr>
    </w:p>
    <w:p w14:paraId="1D8F1910">
      <w:pPr>
        <w:widowControl/>
        <w:spacing w:line="578" w:lineRule="exact"/>
        <w:contextualSpacing/>
        <w:jc w:val="left"/>
        <w:rPr>
          <w:rFonts w:hint="default" w:ascii="Times New Roman" w:hAnsi="Times New Roman" w:eastAsia="黑体" w:cs="Times New Roman"/>
          <w:b w:val="0"/>
          <w:bCs/>
          <w:sz w:val="32"/>
          <w:szCs w:val="32"/>
          <w:shd w:val="clear" w:color="auto" w:fill="FFFFFF"/>
          <w:lang w:val="en-US" w:eastAsia="zh-CN"/>
        </w:rPr>
      </w:pPr>
      <w:r>
        <w:rPr>
          <w:rFonts w:hint="default" w:ascii="Times New Roman" w:hAnsi="Times New Roman" w:eastAsia="黑体" w:cs="Times New Roman"/>
          <w:b w:val="0"/>
          <w:bCs/>
          <w:sz w:val="32"/>
          <w:szCs w:val="32"/>
          <w:shd w:val="clear" w:color="auto" w:fill="FFFFFF"/>
          <w:lang w:val="en-US" w:eastAsia="zh-CN"/>
        </w:rPr>
        <w:t>附件1</w:t>
      </w:r>
    </w:p>
    <w:p w14:paraId="15C42472">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lang w:eastAsia="zh-CN"/>
        </w:rPr>
        <w:t>阿坝州卫生健康委员会</w:t>
      </w:r>
      <w:r>
        <w:rPr>
          <w:rFonts w:hint="default" w:ascii="Times New Roman" w:hAnsi="Times New Roman" w:eastAsia="方正小标宋简体" w:cs="Times New Roman"/>
          <w:bCs/>
          <w:sz w:val="44"/>
          <w:szCs w:val="44"/>
          <w:shd w:val="clear" w:color="auto" w:fill="FFFFFF"/>
        </w:rPr>
        <w:t>部门</w:t>
      </w:r>
    </w:p>
    <w:p w14:paraId="6BEAB5A5">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预算绩效自评报告</w:t>
      </w:r>
    </w:p>
    <w:p w14:paraId="64D3A60D">
      <w:pPr>
        <w:widowControl/>
        <w:adjustRightInd w:val="0"/>
        <w:snapToGrid w:val="0"/>
        <w:spacing w:line="578" w:lineRule="exact"/>
        <w:contextualSpacing/>
        <w:jc w:val="left"/>
        <w:rPr>
          <w:rFonts w:hint="default" w:ascii="Times New Roman" w:hAnsi="Times New Roman" w:eastAsia="黑体" w:cs="Times New Roman"/>
          <w:color w:val="000000"/>
          <w:kern w:val="0"/>
          <w:sz w:val="24"/>
          <w:szCs w:val="32"/>
          <w:shd w:val="clear" w:color="auto" w:fill="FFFFFF"/>
        </w:rPr>
      </w:pPr>
    </w:p>
    <w:p w14:paraId="647C7D2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0"/>
        <w:rPr>
          <w:rFonts w:hint="default" w:ascii="Times New Roman" w:hAnsi="Times New Roman" w:cs="Times New Roman"/>
          <w:szCs w:val="32"/>
        </w:rPr>
      </w:pPr>
      <w:bookmarkStart w:id="15" w:name="_Toc2673"/>
      <w:r>
        <w:rPr>
          <w:rFonts w:hint="default" w:ascii="Times New Roman" w:hAnsi="Times New Roman" w:eastAsia="黑体" w:cs="Times New Roman"/>
          <w:color w:val="000000"/>
          <w:kern w:val="0"/>
          <w:szCs w:val="32"/>
          <w:shd w:val="clear" w:color="auto" w:fill="FFFFFF"/>
          <w:lang w:val="zh-CN"/>
        </w:rPr>
        <w:t>一、部门（单位）基本情况</w:t>
      </w:r>
      <w:bookmarkEnd w:id="15"/>
    </w:p>
    <w:p w14:paraId="3F0B786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16" w:name="_Toc19524"/>
      <w:r>
        <w:rPr>
          <w:rFonts w:hint="default" w:ascii="Times New Roman" w:hAnsi="Times New Roman" w:eastAsia="楷体_GB2312" w:cs="Times New Roman"/>
          <w:b/>
          <w:bCs/>
          <w:color w:val="000000"/>
          <w:kern w:val="0"/>
          <w:szCs w:val="32"/>
          <w:shd w:val="clear" w:color="auto" w:fill="FFFFFF"/>
          <w:lang w:val="zh-CN"/>
        </w:rPr>
        <w:t>（一）机构组成</w:t>
      </w:r>
      <w:bookmarkEnd w:id="16"/>
    </w:p>
    <w:p w14:paraId="649BAE82">
      <w:pPr>
        <w:keepNext w:val="0"/>
        <w:keepLines w:val="0"/>
        <w:pageBreakBefore w:val="0"/>
        <w:widowControl/>
        <w:tabs>
          <w:tab w:val="left" w:pos="613"/>
        </w:tabs>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b/>
          <w:bCs/>
          <w:color w:val="000000"/>
          <w:kern w:val="0"/>
          <w:szCs w:val="32"/>
          <w:shd w:val="clear" w:color="auto" w:fill="FFFFFF"/>
          <w:lang w:val="en-US"/>
        </w:rPr>
      </w:pPr>
      <w:r>
        <w:rPr>
          <w:rFonts w:hint="default" w:ascii="Times New Roman" w:hAnsi="Times New Roman" w:cs="Times New Roman"/>
          <w:caps w:val="0"/>
          <w:sz w:val="32"/>
          <w:szCs w:val="32"/>
          <w:lang w:eastAsia="zh-CN"/>
        </w:rPr>
        <w:t>阿坝州卫生健康委员会（</w:t>
      </w:r>
      <w:r>
        <w:rPr>
          <w:rFonts w:hint="default" w:ascii="Times New Roman" w:hAnsi="Times New Roman" w:cs="Times New Roman"/>
          <w:caps w:val="0"/>
          <w:sz w:val="32"/>
          <w:szCs w:val="32"/>
          <w:lang w:val="en-US" w:eastAsia="zh-CN"/>
        </w:rPr>
        <w:t>以下简称“我单位”）是阿坝州人民政府工作部门，为正县级。下设12个内设机构，分别是：办公室、人事教育科、规划发展与信息化科、体制改革与政策研究科、法规审批监督科、医疗卫生应急科、疾病预防控制科、医政与基层卫生科、中藏羌医科、妇幼健康与家庭发展科、爱国卫生与健康促进科和老龄健康科。</w:t>
      </w:r>
    </w:p>
    <w:p w14:paraId="50C226E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17" w:name="_Toc21579"/>
      <w:r>
        <w:rPr>
          <w:rFonts w:hint="default" w:ascii="Times New Roman" w:hAnsi="Times New Roman" w:eastAsia="楷体_GB2312" w:cs="Times New Roman"/>
          <w:b/>
          <w:bCs/>
          <w:color w:val="000000"/>
          <w:kern w:val="0"/>
          <w:szCs w:val="32"/>
          <w:shd w:val="clear" w:color="auto" w:fill="FFFFFF"/>
          <w:lang w:val="zh-CN"/>
        </w:rPr>
        <w:t>（二）机构职能</w:t>
      </w:r>
      <w:bookmarkEnd w:id="17"/>
    </w:p>
    <w:p w14:paraId="338B83DE">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szCs w:val="32"/>
          <w:highlight w:val="none"/>
          <w:lang w:val="en-US" w:eastAsia="zh-CN"/>
        </w:rPr>
      </w:pPr>
      <w:r>
        <w:rPr>
          <w:rFonts w:hint="default" w:ascii="Times New Roman" w:hAnsi="Times New Roman" w:cs="Times New Roman"/>
          <w:caps w:val="0"/>
          <w:sz w:val="32"/>
          <w:szCs w:val="32"/>
          <w:highlight w:val="none"/>
          <w:lang w:val="en-US" w:eastAsia="zh-CN"/>
        </w:rPr>
        <w:t>我单位主要</w:t>
      </w:r>
      <w:r>
        <w:rPr>
          <w:rFonts w:hint="default" w:ascii="Times New Roman" w:hAnsi="Times New Roman" w:cs="Times New Roman"/>
          <w:caps w:val="0"/>
          <w:szCs w:val="32"/>
          <w:highlight w:val="none"/>
          <w:lang w:val="en-US" w:eastAsia="zh-CN"/>
        </w:rPr>
        <w:t>承担以下职责和功能：</w:t>
      </w:r>
    </w:p>
    <w:p w14:paraId="1D56151C">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sz w:val="32"/>
          <w:szCs w:val="32"/>
          <w:highlight w:val="none"/>
          <w:lang w:val="en-US" w:eastAsia="zh-CN"/>
        </w:rPr>
      </w:pPr>
      <w:r>
        <w:rPr>
          <w:rFonts w:hint="default" w:ascii="Times New Roman" w:hAnsi="Times New Roman" w:cs="Times New Roman"/>
          <w:caps w:val="0"/>
          <w:sz w:val="32"/>
          <w:szCs w:val="32"/>
          <w:highlight w:val="none"/>
          <w:lang w:val="en-US" w:eastAsia="zh-CN"/>
        </w:rPr>
        <w:t>1.拟订并组织实施卫生健康基本公共卫生服务均等化、普惠化、便捷化和公共资源向基层延伸等政策措施。拟订并组织实施全州卫生健康、中（藏羌）医发展政策。制定并组织实施全州卫生健康、中（藏羌）医技术规范、实施方案。统筹规划全州卫生健康、中（藏羌）医服务资源配置。</w:t>
      </w:r>
    </w:p>
    <w:p w14:paraId="398CC8A3">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eastAsia="仿宋_GB2312" w:cs="Times New Roman"/>
          <w:caps w:val="0"/>
          <w:kern w:val="2"/>
          <w:sz w:val="32"/>
          <w:szCs w:val="32"/>
          <w:lang w:val="en-US" w:eastAsia="zh-CN" w:bidi="ar-SA"/>
        </w:rPr>
        <w:t>2</w:t>
      </w:r>
      <w:r>
        <w:rPr>
          <w:rFonts w:hint="default" w:ascii="Times New Roman" w:hAnsi="Times New Roman" w:cs="Times New Roman"/>
          <w:caps w:val="0"/>
          <w:kern w:val="2"/>
          <w:sz w:val="32"/>
          <w:szCs w:val="32"/>
          <w:lang w:val="en-US" w:eastAsia="zh-CN" w:bidi="ar-SA"/>
        </w:rPr>
        <w:t>.牵头推进全州深化医药卫生体制改革。研究提出深化改革重大政策和措施的建议。牵头负责全州分级诊疗、现代医院管理、全民医保、药品供应保障、综合监管5项基本医疗卫生制度建设。拟订并组织实施卫生健康公共服务提供主体多元化、提供方式多样化的政策措施。</w:t>
      </w:r>
    </w:p>
    <w:p w14:paraId="731608F3">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3.负责制定并推动落实全州疾病预防控制规划、免疫规划以及严重危害人民健康的艾滋病等重大传染病、地方病等公共卫生问题的干预措施。负责全州医疗卫生应急工作，组织和指导全州突发公共卫生事件预防控制和各类突发公共事件的医疗卫生救援，报告传染病疫情信息、突发公共卫生事件应急处置信息。</w:t>
      </w:r>
    </w:p>
    <w:p w14:paraId="694348A9">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4.负责拟订并组织实施医养结合政策，建立和完善老年健康服务体系，推进老年健康管理与服务。</w:t>
      </w:r>
    </w:p>
    <w:p w14:paraId="526A780C">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5.贯彻落实国家药物政策和国家基本药物制度。开展药械使用监测、临床综合评价和短缺药品预警，组织执行国家药典和国家基本药物目录，拟订基本药物采取的政策措施。按照国家和省相关要求会同有关部门制定并实施食品安全风险监测计划。依法开展食品安全企业标准备案。</w:t>
      </w:r>
    </w:p>
    <w:p w14:paraId="2331ADD5">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6.负责职责范围内的职业卫生、放射卫生、环境卫生、学校卫生、公共场所卫生、饮用水卫生等公共卫生的监督管理。负责传染病防治监督，健全卫生健康综合监管体系。</w:t>
      </w:r>
    </w:p>
    <w:p w14:paraId="74149E9E">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7.拟订全州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29231629">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8.负责承担全州人口监测预警工作并提出人口与家庭发展相关健康政策建议。监督实施计划生育家庭扶助政策和计划生育特殊家庭扶助关怀制度。</w:t>
      </w:r>
    </w:p>
    <w:p w14:paraId="04EBCC66">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9.指导县（市）卫生健康工作。指导基层医疗卫生、妇幼健康服务体系和基层卫生队伍建设。推进卫生健康科技创新发展。</w:t>
      </w:r>
    </w:p>
    <w:p w14:paraId="728ED07E">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10.贯彻落实干部医疗保健政策措施，负责州级保健对象的医疗保健工作。负责州级部门有关干部医疗服务工作。负责重要会议与重大活动的医疗卫生保障工作。</w:t>
      </w:r>
    </w:p>
    <w:p w14:paraId="1F951882">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cs="Times New Roman"/>
          <w:caps w:val="0"/>
          <w:kern w:val="2"/>
          <w:sz w:val="32"/>
          <w:szCs w:val="32"/>
          <w:lang w:val="en-US" w:eastAsia="zh-CN" w:bidi="ar-SA"/>
        </w:rPr>
      </w:pPr>
      <w:r>
        <w:rPr>
          <w:rFonts w:hint="default" w:ascii="Times New Roman" w:hAnsi="Times New Roman" w:cs="Times New Roman"/>
          <w:caps w:val="0"/>
          <w:kern w:val="2"/>
          <w:sz w:val="32"/>
          <w:szCs w:val="32"/>
          <w:lang w:val="en-US" w:eastAsia="zh-CN" w:bidi="ar-SA"/>
        </w:rPr>
        <w:t>11.依法依规履行卫生健康行业安全生产监管职责。负责职责范围内的生态环境保护、审批服务便民化等工作。负责全州职业病防治工作。负责本级系统内公共机构节能工作。</w:t>
      </w:r>
    </w:p>
    <w:p w14:paraId="38C57571">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eastAsia="楷体_GB2312" w:cs="Times New Roman"/>
          <w:b/>
          <w:bCs/>
          <w:color w:val="000000"/>
          <w:kern w:val="0"/>
          <w:szCs w:val="32"/>
          <w:shd w:val="clear" w:color="auto" w:fill="FFFFFF"/>
          <w:lang w:val="zh-CN"/>
        </w:rPr>
      </w:pPr>
      <w:r>
        <w:rPr>
          <w:rFonts w:hint="default" w:ascii="Times New Roman" w:hAnsi="Times New Roman" w:cs="Times New Roman"/>
          <w:caps w:val="0"/>
          <w:kern w:val="2"/>
          <w:sz w:val="32"/>
          <w:szCs w:val="32"/>
          <w:lang w:val="en-US" w:eastAsia="zh-CN" w:bidi="ar-SA"/>
        </w:rPr>
        <w:t>12.完成州委、州政府交办的其他任务。</w:t>
      </w:r>
    </w:p>
    <w:p w14:paraId="618ED31C">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18" w:name="_Toc2721"/>
      <w:r>
        <w:rPr>
          <w:rFonts w:hint="default" w:ascii="Times New Roman" w:hAnsi="Times New Roman" w:eastAsia="楷体_GB2312" w:cs="Times New Roman"/>
          <w:b/>
          <w:bCs/>
          <w:color w:val="000000"/>
          <w:kern w:val="0"/>
          <w:szCs w:val="32"/>
          <w:shd w:val="clear" w:color="auto" w:fill="FFFFFF"/>
          <w:lang w:val="zh-CN"/>
        </w:rPr>
        <w:t>（三）人员概况</w:t>
      </w:r>
      <w:bookmarkEnd w:id="18"/>
    </w:p>
    <w:p w14:paraId="3F1B798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截至2025年12月31日，我单位年末编制内在职人员1051人，其中公务员25人，参照公务员法管理人员9人，事业管理人员和专业技术人员765人，机关和事业工人22人，经费自理人员230人，年末编制内在职人员较上年增加31人。</w:t>
      </w:r>
    </w:p>
    <w:p w14:paraId="27822A9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0"/>
        <w:rPr>
          <w:rFonts w:hint="default" w:ascii="Times New Roman" w:hAnsi="Times New Roman" w:eastAsia="黑体" w:cs="Times New Roman"/>
          <w:color w:val="000000"/>
          <w:kern w:val="0"/>
          <w:szCs w:val="32"/>
          <w:shd w:val="clear" w:color="auto" w:fill="FFFFFF"/>
        </w:rPr>
      </w:pPr>
      <w:bookmarkStart w:id="19" w:name="_Toc6025"/>
      <w:r>
        <w:rPr>
          <w:rFonts w:hint="default" w:ascii="Times New Roman" w:hAnsi="Times New Roman" w:eastAsia="黑体" w:cs="Times New Roman"/>
          <w:color w:val="000000"/>
          <w:kern w:val="0"/>
          <w:szCs w:val="32"/>
          <w:shd w:val="clear" w:color="auto" w:fill="FFFFFF"/>
        </w:rPr>
        <w:t>二、部门资金收支情况</w:t>
      </w:r>
      <w:bookmarkEnd w:id="19"/>
    </w:p>
    <w:p w14:paraId="4D1A73D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20" w:name="_Toc20360"/>
      <w:r>
        <w:rPr>
          <w:rFonts w:hint="default" w:ascii="Times New Roman" w:hAnsi="Times New Roman" w:eastAsia="楷体_GB2312" w:cs="Times New Roman"/>
          <w:b/>
          <w:bCs/>
          <w:color w:val="000000"/>
          <w:kern w:val="0"/>
          <w:szCs w:val="32"/>
          <w:shd w:val="clear" w:color="auto" w:fill="FFFFFF"/>
          <w:lang w:val="zh-CN"/>
        </w:rPr>
        <w:t>（一）收入情况</w:t>
      </w:r>
      <w:bookmarkEnd w:id="20"/>
    </w:p>
    <w:p w14:paraId="5A333F87">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我单位</w:t>
      </w:r>
      <w:r>
        <w:rPr>
          <w:rFonts w:hint="default" w:ascii="Times New Roman" w:hAnsi="Times New Roman" w:eastAsia="仿宋_GB2312" w:cs="Times New Roman"/>
          <w:kern w:val="2"/>
          <w:sz w:val="32"/>
          <w:szCs w:val="24"/>
          <w:highlight w:val="none"/>
          <w:lang w:val="en-US" w:eastAsia="zh-CN" w:bidi="ar-SA"/>
        </w:rPr>
        <w:t>202</w:t>
      </w:r>
      <w:r>
        <w:rPr>
          <w:rFonts w:hint="default" w:ascii="Times New Roman" w:hAnsi="Times New Roman" w:cs="Times New Roman"/>
          <w:kern w:val="2"/>
          <w:sz w:val="32"/>
          <w:szCs w:val="24"/>
          <w:highlight w:val="none"/>
          <w:lang w:val="en-US" w:eastAsia="zh-CN" w:bidi="ar-SA"/>
        </w:rPr>
        <w:t>5</w:t>
      </w:r>
      <w:r>
        <w:rPr>
          <w:rFonts w:hint="default" w:ascii="Times New Roman" w:hAnsi="Times New Roman" w:eastAsia="仿宋_GB2312" w:cs="Times New Roman"/>
          <w:sz w:val="32"/>
          <w:highlight w:val="none"/>
          <w:lang w:val="en-US"/>
        </w:rPr>
        <w:t>年年初收入预算数为</w:t>
      </w:r>
      <w:r>
        <w:rPr>
          <w:rFonts w:hint="default" w:ascii="Times New Roman" w:hAnsi="Times New Roman" w:cs="Times New Roman"/>
          <w:kern w:val="2"/>
          <w:sz w:val="32"/>
          <w:szCs w:val="24"/>
          <w:highlight w:val="none"/>
          <w:lang w:val="en-US" w:eastAsia="zh-CN" w:bidi="ar-SA"/>
        </w:rPr>
        <w:t>47,505.73</w:t>
      </w:r>
      <w:r>
        <w:rPr>
          <w:rFonts w:hint="default" w:ascii="Times New Roman" w:hAnsi="Times New Roman" w:eastAsia="仿宋_GB2312" w:cs="Times New Roman"/>
          <w:sz w:val="32"/>
          <w:highlight w:val="none"/>
          <w:lang w:val="en-US"/>
        </w:rPr>
        <w:t>万元，</w:t>
      </w:r>
      <w:r>
        <w:rPr>
          <w:rFonts w:hint="default"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default" w:ascii="Times New Roman" w:hAnsi="Times New Roman" w:cs="Times New Roman"/>
          <w:kern w:val="2"/>
          <w:sz w:val="32"/>
          <w:szCs w:val="24"/>
          <w:highlight w:val="none"/>
          <w:lang w:val="en-US" w:eastAsia="zh-CN" w:bidi="ar-SA"/>
        </w:rPr>
        <w:t>18,185.37</w:t>
      </w:r>
      <w:r>
        <w:rPr>
          <w:rFonts w:hint="default" w:ascii="Times New Roman" w:hAnsi="Times New Roman" w:eastAsia="仿宋_GB2312" w:cs="Times New Roman"/>
          <w:sz w:val="32"/>
          <w:highlight w:val="none"/>
          <w:lang w:val="en-US" w:eastAsia="zh-CN"/>
        </w:rPr>
        <w:t>万元，占总预算的</w:t>
      </w:r>
      <w:r>
        <w:rPr>
          <w:rFonts w:hint="default" w:ascii="Times New Roman" w:hAnsi="Times New Roman" w:cs="Times New Roman"/>
          <w:kern w:val="2"/>
          <w:sz w:val="32"/>
          <w:szCs w:val="24"/>
          <w:highlight w:val="none"/>
          <w:lang w:val="en-US" w:eastAsia="zh-CN" w:bidi="ar-SA"/>
        </w:rPr>
        <w:t>38.28</w:t>
      </w:r>
      <w:r>
        <w:rPr>
          <w:rFonts w:hint="default" w:ascii="Times New Roman" w:hAnsi="Times New Roman" w:eastAsia="仿宋_GB2312" w:cs="Times New Roman"/>
          <w:sz w:val="32"/>
          <w:highlight w:val="none"/>
          <w:lang w:val="en-US" w:eastAsia="zh-CN"/>
        </w:rPr>
        <w:t>%；</w:t>
      </w:r>
      <w:r>
        <w:rPr>
          <w:rFonts w:hint="default" w:ascii="Times New Roman" w:hAnsi="Times New Roman" w:cs="Times New Roman"/>
          <w:color w:val="auto"/>
          <w:sz w:val="32"/>
          <w:highlight w:val="none"/>
          <w:lang w:val="en-US" w:eastAsia="zh-CN"/>
        </w:rPr>
        <w:t>事业收入</w:t>
      </w:r>
      <w:r>
        <w:rPr>
          <w:rFonts w:hint="default" w:ascii="Times New Roman" w:hAnsi="Times New Roman" w:cs="Times New Roman"/>
          <w:color w:val="auto"/>
          <w:kern w:val="2"/>
          <w:sz w:val="32"/>
          <w:szCs w:val="24"/>
          <w:highlight w:val="none"/>
          <w:lang w:val="en-US" w:eastAsia="zh-CN" w:bidi="ar-SA"/>
        </w:rPr>
        <w:t>29,302.68</w:t>
      </w:r>
      <w:r>
        <w:rPr>
          <w:rFonts w:hint="default" w:ascii="Times New Roman" w:hAnsi="Times New Roman" w:eastAsia="仿宋_GB2312" w:cs="Times New Roman"/>
          <w:color w:val="auto"/>
          <w:kern w:val="2"/>
          <w:sz w:val="32"/>
          <w:szCs w:val="24"/>
          <w:highlight w:val="none"/>
          <w:lang w:val="en-US" w:eastAsia="zh-CN" w:bidi="ar-SA"/>
        </w:rPr>
        <w:t>万元，</w:t>
      </w:r>
      <w:r>
        <w:rPr>
          <w:rFonts w:hint="default" w:ascii="Times New Roman" w:hAnsi="Times New Roman" w:eastAsia="仿宋_GB2312" w:cs="Times New Roman"/>
          <w:color w:val="auto"/>
          <w:sz w:val="32"/>
          <w:highlight w:val="none"/>
          <w:lang w:val="en-US" w:eastAsia="zh-CN"/>
        </w:rPr>
        <w:t>占总预算的</w:t>
      </w:r>
      <w:r>
        <w:rPr>
          <w:rFonts w:hint="default" w:ascii="Times New Roman" w:hAnsi="Times New Roman" w:cs="Times New Roman"/>
          <w:color w:val="auto"/>
          <w:kern w:val="2"/>
          <w:sz w:val="32"/>
          <w:szCs w:val="24"/>
          <w:highlight w:val="none"/>
          <w:lang w:val="en-US" w:eastAsia="zh-CN" w:bidi="ar-SA"/>
        </w:rPr>
        <w:t>61.68</w:t>
      </w:r>
      <w:r>
        <w:rPr>
          <w:rFonts w:hint="default" w:ascii="Times New Roman" w:hAnsi="Times New Roman" w:eastAsia="仿宋_GB2312" w:cs="Times New Roman"/>
          <w:color w:val="auto"/>
          <w:sz w:val="32"/>
          <w:highlight w:val="none"/>
          <w:lang w:val="en-US" w:eastAsia="zh-CN"/>
        </w:rPr>
        <w:t>%</w:t>
      </w:r>
      <w:r>
        <w:rPr>
          <w:rFonts w:hint="default" w:ascii="Times New Roman" w:hAnsi="Times New Roman" w:cs="Times New Roman"/>
          <w:color w:val="auto"/>
          <w:sz w:val="32"/>
          <w:highlight w:val="none"/>
          <w:lang w:val="en-US" w:eastAsia="zh-CN"/>
        </w:rPr>
        <w:t>；</w:t>
      </w:r>
      <w:r>
        <w:rPr>
          <w:rFonts w:hint="default" w:ascii="Times New Roman" w:hAnsi="Times New Roman" w:cs="Times New Roman"/>
          <w:sz w:val="32"/>
          <w:highlight w:val="none"/>
          <w:lang w:val="en-US" w:eastAsia="zh-CN"/>
        </w:rPr>
        <w:t>其他收入</w:t>
      </w:r>
      <w:r>
        <w:rPr>
          <w:rFonts w:hint="default" w:ascii="Times New Roman" w:hAnsi="Times New Roman" w:cs="Times New Roman"/>
          <w:kern w:val="2"/>
          <w:sz w:val="32"/>
          <w:szCs w:val="24"/>
          <w:highlight w:val="none"/>
          <w:lang w:val="en-US" w:eastAsia="zh-CN" w:bidi="ar-SA"/>
        </w:rPr>
        <w:t>17.68</w:t>
      </w:r>
      <w:r>
        <w:rPr>
          <w:rFonts w:hint="default" w:ascii="Times New Roman" w:hAnsi="Times New Roman" w:eastAsia="仿宋_GB2312" w:cs="Times New Roman"/>
          <w:kern w:val="2"/>
          <w:sz w:val="32"/>
          <w:szCs w:val="24"/>
          <w:highlight w:val="none"/>
          <w:lang w:val="en-US" w:eastAsia="zh-CN" w:bidi="ar-SA"/>
        </w:rPr>
        <w:t>万元，</w:t>
      </w:r>
      <w:r>
        <w:rPr>
          <w:rFonts w:hint="default" w:ascii="Times New Roman" w:hAnsi="Times New Roman" w:eastAsia="仿宋_GB2312" w:cs="Times New Roman"/>
          <w:sz w:val="32"/>
          <w:highlight w:val="none"/>
          <w:lang w:val="en-US" w:eastAsia="zh-CN"/>
        </w:rPr>
        <w:t>占总预算的</w:t>
      </w:r>
      <w:r>
        <w:rPr>
          <w:rFonts w:hint="default" w:ascii="Times New Roman" w:hAnsi="Times New Roman" w:eastAsia="仿宋_GB2312" w:cs="Times New Roman"/>
          <w:kern w:val="2"/>
          <w:sz w:val="32"/>
          <w:szCs w:val="24"/>
          <w:highlight w:val="none"/>
          <w:lang w:val="en-US" w:eastAsia="zh-CN" w:bidi="ar-SA"/>
        </w:rPr>
        <w:t>0.</w:t>
      </w:r>
      <w:r>
        <w:rPr>
          <w:rFonts w:hint="default" w:ascii="Times New Roman" w:hAnsi="Times New Roman" w:cs="Times New Roman"/>
          <w:kern w:val="2"/>
          <w:sz w:val="32"/>
          <w:szCs w:val="24"/>
          <w:highlight w:val="none"/>
          <w:lang w:val="en-US" w:eastAsia="zh-CN" w:bidi="ar-SA"/>
        </w:rPr>
        <w:t>04</w:t>
      </w:r>
      <w:r>
        <w:rPr>
          <w:rFonts w:hint="default" w:ascii="Times New Roman" w:hAnsi="Times New Roman" w:eastAsia="仿宋_GB2312" w:cs="Times New Roman"/>
          <w:sz w:val="32"/>
          <w:highlight w:val="none"/>
          <w:lang w:val="en-US" w:eastAsia="zh-CN"/>
        </w:rPr>
        <w:t>%。</w:t>
      </w:r>
    </w:p>
    <w:p w14:paraId="722C6FD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b/>
          <w:bCs/>
          <w:color w:val="000000"/>
          <w:kern w:val="0"/>
          <w:szCs w:val="32"/>
          <w:shd w:val="clear" w:color="auto" w:fill="FFFFFF"/>
        </w:rPr>
      </w:pPr>
      <w:r>
        <w:rPr>
          <w:rFonts w:hint="default" w:ascii="Times New Roman" w:hAnsi="Times New Roman" w:eastAsia="仿宋_GB2312" w:cs="Times New Roman"/>
          <w:sz w:val="32"/>
          <w:highlight w:val="none"/>
          <w:lang w:val="en-US" w:eastAsia="zh-CN"/>
        </w:rPr>
        <w:t>我单位</w:t>
      </w:r>
      <w:r>
        <w:rPr>
          <w:rFonts w:hint="default" w:ascii="Times New Roman" w:hAnsi="Times New Roman" w:eastAsia="仿宋_GB2312" w:cs="Times New Roman"/>
          <w:kern w:val="2"/>
          <w:sz w:val="32"/>
          <w:szCs w:val="24"/>
          <w:highlight w:val="none"/>
          <w:lang w:val="en-US" w:eastAsia="zh-CN" w:bidi="ar-SA"/>
        </w:rPr>
        <w:t>202</w:t>
      </w:r>
      <w:r>
        <w:rPr>
          <w:rFonts w:hint="default" w:ascii="Times New Roman" w:hAnsi="Times New Roman" w:cs="Times New Roman"/>
          <w:kern w:val="2"/>
          <w:sz w:val="32"/>
          <w:szCs w:val="24"/>
          <w:highlight w:val="none"/>
          <w:lang w:val="en-US" w:eastAsia="zh-CN" w:bidi="ar-SA"/>
        </w:rPr>
        <w:t>5</w:t>
      </w:r>
      <w:r>
        <w:rPr>
          <w:rFonts w:hint="default" w:ascii="Times New Roman" w:hAnsi="Times New Roman" w:eastAsia="仿宋_GB2312" w:cs="Times New Roman"/>
          <w:sz w:val="32"/>
          <w:highlight w:val="none"/>
          <w:lang w:val="en-US"/>
        </w:rPr>
        <w:t>年收入决算数为</w:t>
      </w:r>
      <w:r>
        <w:rPr>
          <w:rFonts w:hint="default" w:ascii="Times New Roman" w:hAnsi="Times New Roman" w:eastAsia="仿宋_GB2312" w:cs="Times New Roman"/>
          <w:kern w:val="2"/>
          <w:sz w:val="32"/>
          <w:szCs w:val="24"/>
          <w:highlight w:val="none"/>
          <w:lang w:val="en-US" w:eastAsia="zh-CN" w:bidi="ar-SA"/>
        </w:rPr>
        <w:t>5</w:t>
      </w:r>
      <w:r>
        <w:rPr>
          <w:rFonts w:hint="default" w:ascii="Times New Roman" w:hAnsi="Times New Roman" w:cs="Times New Roman"/>
          <w:kern w:val="2"/>
          <w:sz w:val="32"/>
          <w:szCs w:val="24"/>
          <w:highlight w:val="none"/>
          <w:lang w:val="en-US" w:eastAsia="zh-CN" w:bidi="ar-SA"/>
        </w:rPr>
        <w:t>5,430.53</w:t>
      </w:r>
      <w:r>
        <w:rPr>
          <w:rFonts w:hint="default" w:ascii="Times New Roman" w:hAnsi="Times New Roman" w:eastAsia="仿宋_GB2312" w:cs="Times New Roman"/>
          <w:sz w:val="32"/>
          <w:highlight w:val="none"/>
          <w:lang w:val="en-US"/>
        </w:rPr>
        <w:t>万元，</w:t>
      </w:r>
      <w:r>
        <w:rPr>
          <w:rFonts w:hint="default"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default" w:ascii="Times New Roman" w:hAnsi="Times New Roman" w:eastAsia="仿宋_GB2312" w:cs="Times New Roman"/>
          <w:kern w:val="2"/>
          <w:sz w:val="32"/>
          <w:szCs w:val="24"/>
          <w:highlight w:val="none"/>
          <w:lang w:val="en-US" w:eastAsia="zh-CN" w:bidi="ar-SA"/>
        </w:rPr>
        <w:t>2</w:t>
      </w:r>
      <w:r>
        <w:rPr>
          <w:rFonts w:hint="default" w:ascii="Times New Roman" w:hAnsi="Times New Roman" w:cs="Times New Roman"/>
          <w:kern w:val="2"/>
          <w:sz w:val="32"/>
          <w:szCs w:val="24"/>
          <w:highlight w:val="none"/>
          <w:lang w:val="en-US" w:eastAsia="zh-CN" w:bidi="ar-SA"/>
        </w:rPr>
        <w:t>5,040.70</w:t>
      </w:r>
      <w:r>
        <w:rPr>
          <w:rFonts w:hint="default" w:ascii="Times New Roman" w:hAnsi="Times New Roman" w:eastAsia="仿宋_GB2312" w:cs="Times New Roman"/>
          <w:sz w:val="32"/>
          <w:highlight w:val="none"/>
          <w:lang w:val="en-US" w:eastAsia="zh-CN"/>
        </w:rPr>
        <w:t>万元，占总决算的</w:t>
      </w:r>
      <w:r>
        <w:rPr>
          <w:rFonts w:hint="default" w:ascii="Times New Roman" w:hAnsi="Times New Roman" w:eastAsia="仿宋_GB2312" w:cs="Times New Roman"/>
          <w:kern w:val="2"/>
          <w:sz w:val="32"/>
          <w:szCs w:val="24"/>
          <w:highlight w:val="none"/>
          <w:lang w:val="en-US" w:eastAsia="zh-CN" w:bidi="ar-SA"/>
        </w:rPr>
        <w:t>45.</w:t>
      </w:r>
      <w:r>
        <w:rPr>
          <w:rFonts w:hint="default" w:ascii="Times New Roman" w:hAnsi="Times New Roman" w:cs="Times New Roman"/>
          <w:kern w:val="2"/>
          <w:sz w:val="32"/>
          <w:szCs w:val="24"/>
          <w:highlight w:val="none"/>
          <w:lang w:val="en-US" w:eastAsia="zh-CN" w:bidi="ar-SA"/>
        </w:rPr>
        <w:t>17</w:t>
      </w:r>
      <w:r>
        <w:rPr>
          <w:rFonts w:hint="default" w:ascii="Times New Roman" w:hAnsi="Times New Roman" w:eastAsia="仿宋_GB2312" w:cs="Times New Roman"/>
          <w:sz w:val="32"/>
          <w:highlight w:val="none"/>
          <w:lang w:val="en-US" w:eastAsia="zh-CN"/>
        </w:rPr>
        <w:t>%；事业收入</w:t>
      </w:r>
      <w:r>
        <w:rPr>
          <w:rFonts w:hint="default" w:ascii="Times New Roman" w:hAnsi="Times New Roman" w:eastAsia="仿宋_GB2312" w:cs="Times New Roman"/>
          <w:kern w:val="2"/>
          <w:sz w:val="32"/>
          <w:szCs w:val="24"/>
          <w:highlight w:val="none"/>
          <w:lang w:val="en-US" w:eastAsia="zh-CN" w:bidi="ar-SA"/>
        </w:rPr>
        <w:t>2</w:t>
      </w:r>
      <w:r>
        <w:rPr>
          <w:rFonts w:hint="default" w:ascii="Times New Roman" w:hAnsi="Times New Roman" w:cs="Times New Roman"/>
          <w:kern w:val="2"/>
          <w:sz w:val="32"/>
          <w:szCs w:val="24"/>
          <w:highlight w:val="none"/>
          <w:lang w:val="en-US" w:eastAsia="zh-CN" w:bidi="ar-SA"/>
        </w:rPr>
        <w:t>8,111.05</w:t>
      </w:r>
      <w:r>
        <w:rPr>
          <w:rFonts w:hint="default" w:ascii="Times New Roman" w:hAnsi="Times New Roman" w:eastAsia="仿宋_GB2312" w:cs="Times New Roman"/>
          <w:kern w:val="2"/>
          <w:sz w:val="32"/>
          <w:szCs w:val="24"/>
          <w:highlight w:val="none"/>
          <w:lang w:val="en-US" w:eastAsia="zh-CN" w:bidi="ar-SA"/>
        </w:rPr>
        <w:t>万元，</w:t>
      </w:r>
      <w:r>
        <w:rPr>
          <w:rFonts w:hint="default" w:ascii="Times New Roman" w:hAnsi="Times New Roman" w:eastAsia="仿宋_GB2312" w:cs="Times New Roman"/>
          <w:sz w:val="32"/>
          <w:highlight w:val="none"/>
          <w:lang w:val="en-US" w:eastAsia="zh-CN"/>
        </w:rPr>
        <w:t>占总决算的</w:t>
      </w:r>
      <w:r>
        <w:rPr>
          <w:rFonts w:hint="default" w:ascii="Times New Roman" w:hAnsi="Times New Roman" w:eastAsia="仿宋_GB2312" w:cs="Times New Roman"/>
          <w:kern w:val="2"/>
          <w:sz w:val="32"/>
          <w:szCs w:val="24"/>
          <w:highlight w:val="none"/>
          <w:lang w:val="en-US" w:eastAsia="zh-CN" w:bidi="ar-SA"/>
        </w:rPr>
        <w:t>5</w:t>
      </w:r>
      <w:r>
        <w:rPr>
          <w:rFonts w:hint="default" w:ascii="Times New Roman" w:hAnsi="Times New Roman" w:cs="Times New Roman"/>
          <w:kern w:val="2"/>
          <w:sz w:val="32"/>
          <w:szCs w:val="24"/>
          <w:highlight w:val="none"/>
          <w:lang w:val="en-US" w:eastAsia="zh-CN" w:bidi="ar-SA"/>
        </w:rPr>
        <w:t>0.71</w:t>
      </w:r>
      <w:r>
        <w:rPr>
          <w:rFonts w:hint="default" w:ascii="Times New Roman" w:hAnsi="Times New Roman" w:eastAsia="仿宋_GB2312" w:cs="Times New Roman"/>
          <w:sz w:val="32"/>
          <w:highlight w:val="none"/>
          <w:lang w:val="en-US" w:eastAsia="zh-CN"/>
        </w:rPr>
        <w:t>%；其他收入</w:t>
      </w:r>
      <w:r>
        <w:rPr>
          <w:rFonts w:hint="default" w:ascii="Times New Roman" w:hAnsi="Times New Roman" w:cs="Times New Roman"/>
          <w:kern w:val="2"/>
          <w:sz w:val="32"/>
          <w:szCs w:val="24"/>
          <w:highlight w:val="none"/>
          <w:lang w:val="en-US" w:eastAsia="zh-CN" w:bidi="ar-SA"/>
        </w:rPr>
        <w:t>303.57</w:t>
      </w:r>
      <w:r>
        <w:rPr>
          <w:rFonts w:hint="default" w:ascii="Times New Roman" w:hAnsi="Times New Roman" w:eastAsia="仿宋_GB2312" w:cs="Times New Roman"/>
          <w:kern w:val="2"/>
          <w:sz w:val="32"/>
          <w:szCs w:val="24"/>
          <w:highlight w:val="none"/>
          <w:lang w:val="en-US" w:eastAsia="zh-CN" w:bidi="ar-SA"/>
        </w:rPr>
        <w:t>万元，</w:t>
      </w:r>
      <w:r>
        <w:rPr>
          <w:rFonts w:hint="default" w:ascii="Times New Roman" w:hAnsi="Times New Roman" w:eastAsia="仿宋_GB2312" w:cs="Times New Roman"/>
          <w:sz w:val="32"/>
          <w:highlight w:val="none"/>
          <w:lang w:val="en-US" w:eastAsia="zh-CN"/>
        </w:rPr>
        <w:t>占总决算的</w:t>
      </w:r>
      <w:r>
        <w:rPr>
          <w:rFonts w:hint="default" w:ascii="Times New Roman" w:hAnsi="Times New Roman" w:eastAsia="仿宋_GB2312" w:cs="Times New Roman"/>
          <w:kern w:val="2"/>
          <w:sz w:val="32"/>
          <w:szCs w:val="24"/>
          <w:highlight w:val="none"/>
          <w:lang w:val="en-US" w:eastAsia="zh-CN" w:bidi="ar-SA"/>
        </w:rPr>
        <w:t>0.</w:t>
      </w:r>
      <w:r>
        <w:rPr>
          <w:rFonts w:hint="default" w:ascii="Times New Roman" w:hAnsi="Times New Roman" w:cs="Times New Roman"/>
          <w:kern w:val="2"/>
          <w:sz w:val="32"/>
          <w:szCs w:val="24"/>
          <w:highlight w:val="none"/>
          <w:lang w:val="en-US" w:eastAsia="zh-CN" w:bidi="ar-SA"/>
        </w:rPr>
        <w:t>55</w:t>
      </w:r>
      <w:r>
        <w:rPr>
          <w:rFonts w:hint="default" w:ascii="Times New Roman" w:hAnsi="Times New Roman" w:eastAsia="仿宋_GB2312" w:cs="Times New Roman"/>
          <w:sz w:val="32"/>
          <w:highlight w:val="none"/>
          <w:lang w:val="en-US" w:eastAsia="zh-CN"/>
        </w:rPr>
        <w:t>%</w:t>
      </w:r>
      <w:r>
        <w:rPr>
          <w:rFonts w:hint="default" w:ascii="Times New Roman" w:hAnsi="Times New Roman" w:cs="Times New Roman"/>
          <w:sz w:val="32"/>
          <w:highlight w:val="none"/>
          <w:lang w:val="en-US" w:eastAsia="zh-CN"/>
        </w:rPr>
        <w:t>，年初结转和结余1,975.21万元，占总决算的</w:t>
      </w:r>
      <w:r>
        <w:rPr>
          <w:rFonts w:hint="default" w:ascii="Times New Roman" w:hAnsi="Times New Roman" w:cs="Times New Roman"/>
          <w:kern w:val="2"/>
          <w:sz w:val="32"/>
          <w:szCs w:val="24"/>
          <w:highlight w:val="none"/>
          <w:lang w:val="en-US" w:eastAsia="zh-CN" w:bidi="ar-SA"/>
        </w:rPr>
        <w:t>3.56</w:t>
      </w:r>
      <w:r>
        <w:rPr>
          <w:rFonts w:hint="default" w:ascii="Times New Roman" w:hAnsi="Times New Roman" w:eastAsia="仿宋_GB2312" w:cs="Times New Roman"/>
          <w:sz w:val="32"/>
          <w:highlight w:val="none"/>
          <w:lang w:val="en-US" w:eastAsia="zh-CN"/>
        </w:rPr>
        <w:t>%。</w:t>
      </w:r>
    </w:p>
    <w:p w14:paraId="39BE4D5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21" w:name="_Toc26"/>
      <w:r>
        <w:rPr>
          <w:rFonts w:hint="default" w:ascii="Times New Roman" w:hAnsi="Times New Roman" w:eastAsia="楷体_GB2312" w:cs="Times New Roman"/>
          <w:b/>
          <w:bCs/>
          <w:color w:val="000000"/>
          <w:kern w:val="0"/>
          <w:szCs w:val="32"/>
          <w:shd w:val="clear" w:color="auto" w:fill="FFFFFF"/>
          <w:lang w:val="zh-CN"/>
        </w:rPr>
        <w:t>（二）支出情况</w:t>
      </w:r>
      <w:bookmarkEnd w:id="21"/>
    </w:p>
    <w:p w14:paraId="2AD899A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我单位</w:t>
      </w:r>
      <w:r>
        <w:rPr>
          <w:rFonts w:hint="default" w:ascii="Times New Roman" w:hAnsi="Times New Roman" w:eastAsia="仿宋_GB2312" w:cs="Times New Roman"/>
          <w:kern w:val="2"/>
          <w:sz w:val="32"/>
          <w:szCs w:val="24"/>
          <w:highlight w:val="none"/>
          <w:lang w:val="en-US" w:eastAsia="zh-CN" w:bidi="ar-SA"/>
        </w:rPr>
        <w:t>202</w:t>
      </w:r>
      <w:r>
        <w:rPr>
          <w:rFonts w:hint="default" w:ascii="Times New Roman" w:hAnsi="Times New Roman" w:cs="Times New Roman"/>
          <w:kern w:val="2"/>
          <w:sz w:val="32"/>
          <w:szCs w:val="24"/>
          <w:highlight w:val="none"/>
          <w:lang w:val="en-US" w:eastAsia="zh-CN" w:bidi="ar-SA"/>
        </w:rPr>
        <w:t>5</w:t>
      </w:r>
      <w:r>
        <w:rPr>
          <w:rFonts w:hint="default" w:ascii="Times New Roman" w:hAnsi="Times New Roman" w:eastAsia="仿宋_GB2312" w:cs="Times New Roman"/>
          <w:sz w:val="32"/>
          <w:szCs w:val="32"/>
          <w:highlight w:val="none"/>
          <w:lang w:val="en-US" w:eastAsia="zh-CN"/>
        </w:rPr>
        <w:t>年年初支出预算数为</w:t>
      </w:r>
      <w:r>
        <w:rPr>
          <w:rFonts w:hint="default" w:ascii="Times New Roman" w:hAnsi="Times New Roman" w:cs="Times New Roman"/>
          <w:kern w:val="2"/>
          <w:sz w:val="32"/>
          <w:szCs w:val="24"/>
          <w:highlight w:val="none"/>
          <w:lang w:val="en-US" w:eastAsia="zh-CN" w:bidi="ar-SA"/>
        </w:rPr>
        <w:t>47,505.73</w:t>
      </w:r>
      <w:r>
        <w:rPr>
          <w:rFonts w:hint="default" w:ascii="Times New Roman" w:hAnsi="Times New Roman" w:eastAsia="仿宋_GB2312" w:cs="Times New Roman"/>
          <w:sz w:val="32"/>
          <w:szCs w:val="32"/>
          <w:highlight w:val="none"/>
          <w:lang w:val="en-US" w:eastAsia="zh-CN"/>
        </w:rPr>
        <w:t>万元，其中：基本支出</w:t>
      </w:r>
      <w:r>
        <w:rPr>
          <w:rFonts w:hint="default" w:ascii="Times New Roman" w:hAnsi="Times New Roman" w:eastAsia="仿宋_GB2312" w:cs="Times New Roman"/>
          <w:kern w:val="2"/>
          <w:sz w:val="32"/>
          <w:szCs w:val="24"/>
          <w:highlight w:val="none"/>
          <w:lang w:val="en-US" w:eastAsia="zh-CN" w:bidi="ar-SA"/>
        </w:rPr>
        <w:t>4</w:t>
      </w:r>
      <w:r>
        <w:rPr>
          <w:rFonts w:hint="default" w:ascii="Times New Roman" w:hAnsi="Times New Roman" w:cs="Times New Roman"/>
          <w:kern w:val="2"/>
          <w:sz w:val="32"/>
          <w:szCs w:val="24"/>
          <w:highlight w:val="none"/>
          <w:lang w:val="en-US" w:eastAsia="zh-CN" w:bidi="ar-SA"/>
        </w:rPr>
        <w:t>4,821.85</w:t>
      </w:r>
      <w:r>
        <w:rPr>
          <w:rFonts w:hint="default" w:ascii="Times New Roman" w:hAnsi="Times New Roman" w:eastAsia="仿宋_GB2312" w:cs="Times New Roman"/>
          <w:sz w:val="32"/>
          <w:szCs w:val="32"/>
          <w:highlight w:val="none"/>
          <w:lang w:val="en-US" w:eastAsia="zh-CN"/>
        </w:rPr>
        <w:t>万元，占支出总额的</w:t>
      </w:r>
      <w:r>
        <w:rPr>
          <w:rFonts w:hint="default" w:ascii="Times New Roman" w:hAnsi="Times New Roman" w:eastAsia="仿宋_GB2312" w:cs="Times New Roman"/>
          <w:kern w:val="2"/>
          <w:sz w:val="32"/>
          <w:szCs w:val="24"/>
          <w:highlight w:val="none"/>
          <w:lang w:val="en-US" w:eastAsia="zh-CN" w:bidi="ar-SA"/>
        </w:rPr>
        <w:t>9</w:t>
      </w:r>
      <w:r>
        <w:rPr>
          <w:rFonts w:hint="default" w:ascii="Times New Roman" w:hAnsi="Times New Roman" w:cs="Times New Roman"/>
          <w:kern w:val="2"/>
          <w:sz w:val="32"/>
          <w:szCs w:val="24"/>
          <w:highlight w:val="none"/>
          <w:lang w:val="en-US" w:eastAsia="zh-CN" w:bidi="ar-SA"/>
        </w:rPr>
        <w:t>4.35</w:t>
      </w:r>
      <w:r>
        <w:rPr>
          <w:rFonts w:hint="default" w:ascii="Times New Roman" w:hAnsi="Times New Roman" w:eastAsia="仿宋_GB2312" w:cs="Times New Roman"/>
          <w:sz w:val="32"/>
          <w:szCs w:val="32"/>
          <w:highlight w:val="none"/>
          <w:lang w:val="en-US" w:eastAsia="zh-CN"/>
        </w:rPr>
        <w:t>%；项目支出</w:t>
      </w:r>
      <w:r>
        <w:rPr>
          <w:rFonts w:hint="default" w:ascii="Times New Roman" w:hAnsi="Times New Roman" w:cs="Times New Roman"/>
          <w:kern w:val="2"/>
          <w:sz w:val="32"/>
          <w:szCs w:val="24"/>
          <w:highlight w:val="none"/>
          <w:lang w:val="en-US" w:eastAsia="zh-CN" w:bidi="ar-SA"/>
        </w:rPr>
        <w:t>2,683.88</w:t>
      </w:r>
      <w:r>
        <w:rPr>
          <w:rFonts w:hint="default" w:ascii="Times New Roman" w:hAnsi="Times New Roman" w:eastAsia="仿宋_GB2312" w:cs="Times New Roman"/>
          <w:sz w:val="32"/>
          <w:szCs w:val="32"/>
          <w:highlight w:val="none"/>
          <w:lang w:val="en-US" w:eastAsia="zh-CN"/>
        </w:rPr>
        <w:t>万元，占支出总额的</w:t>
      </w:r>
      <w:r>
        <w:rPr>
          <w:rFonts w:hint="default" w:ascii="Times New Roman" w:hAnsi="Times New Roman" w:cs="Times New Roman"/>
          <w:kern w:val="2"/>
          <w:sz w:val="32"/>
          <w:szCs w:val="24"/>
          <w:highlight w:val="none"/>
          <w:lang w:val="en-US" w:eastAsia="zh-CN" w:bidi="ar-SA"/>
        </w:rPr>
        <w:t>5.65</w:t>
      </w:r>
      <w:r>
        <w:rPr>
          <w:rFonts w:hint="default" w:ascii="Times New Roman" w:hAnsi="Times New Roman" w:eastAsia="仿宋_GB2312" w:cs="Times New Roman"/>
          <w:sz w:val="32"/>
          <w:szCs w:val="32"/>
          <w:highlight w:val="none"/>
          <w:lang w:val="en-US" w:eastAsia="zh-CN"/>
        </w:rPr>
        <w:t>%。</w:t>
      </w:r>
    </w:p>
    <w:p w14:paraId="2BF6061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仿宋_GB2312" w:cs="Times New Roman"/>
          <w:szCs w:val="32"/>
          <w:highlight w:val="none"/>
          <w:lang w:val="en-US" w:eastAsia="zh-CN"/>
        </w:rPr>
      </w:pPr>
      <w:r>
        <w:rPr>
          <w:rFonts w:hint="default" w:ascii="Times New Roman" w:hAnsi="Times New Roman" w:eastAsia="仿宋_GB2312" w:cs="Times New Roman"/>
          <w:sz w:val="32"/>
          <w:szCs w:val="32"/>
          <w:highlight w:val="none"/>
          <w:lang w:val="en-US" w:eastAsia="zh-CN"/>
        </w:rPr>
        <w:t>我单位</w:t>
      </w:r>
      <w:r>
        <w:rPr>
          <w:rFonts w:hint="default" w:ascii="Times New Roman" w:hAnsi="Times New Roman" w:eastAsia="仿宋_GB2312" w:cs="Times New Roman"/>
          <w:kern w:val="2"/>
          <w:sz w:val="32"/>
          <w:szCs w:val="24"/>
          <w:highlight w:val="none"/>
          <w:lang w:val="en-US" w:eastAsia="zh-CN" w:bidi="ar-SA"/>
        </w:rPr>
        <w:t>202</w:t>
      </w:r>
      <w:r>
        <w:rPr>
          <w:rFonts w:hint="default" w:ascii="Times New Roman" w:hAnsi="Times New Roman" w:cs="Times New Roman"/>
          <w:kern w:val="2"/>
          <w:sz w:val="32"/>
          <w:szCs w:val="24"/>
          <w:highlight w:val="none"/>
          <w:lang w:val="en-US" w:eastAsia="zh-CN" w:bidi="ar-SA"/>
        </w:rPr>
        <w:t>5</w:t>
      </w:r>
      <w:r>
        <w:rPr>
          <w:rFonts w:hint="default" w:ascii="Times New Roman" w:hAnsi="Times New Roman" w:eastAsia="仿宋_GB2312" w:cs="Times New Roman"/>
          <w:sz w:val="32"/>
          <w:szCs w:val="32"/>
          <w:highlight w:val="none"/>
          <w:lang w:val="en-US" w:eastAsia="zh-CN"/>
        </w:rPr>
        <w:t>年支出决算数为</w:t>
      </w:r>
      <w:r>
        <w:rPr>
          <w:rFonts w:hint="default" w:ascii="Times New Roman" w:hAnsi="Times New Roman" w:eastAsia="仿宋_GB2312" w:cs="Times New Roman"/>
          <w:kern w:val="2"/>
          <w:sz w:val="32"/>
          <w:szCs w:val="24"/>
          <w:highlight w:val="none"/>
          <w:lang w:val="en-US" w:eastAsia="zh-CN" w:bidi="ar-SA"/>
        </w:rPr>
        <w:t>5</w:t>
      </w:r>
      <w:r>
        <w:rPr>
          <w:rFonts w:hint="default" w:ascii="Times New Roman" w:hAnsi="Times New Roman" w:cs="Times New Roman"/>
          <w:kern w:val="2"/>
          <w:sz w:val="32"/>
          <w:szCs w:val="24"/>
          <w:highlight w:val="none"/>
          <w:lang w:val="en-US" w:eastAsia="zh-CN" w:bidi="ar-SA"/>
        </w:rPr>
        <w:t>3,750.33</w:t>
      </w:r>
      <w:r>
        <w:rPr>
          <w:rFonts w:hint="default" w:ascii="Times New Roman" w:hAnsi="Times New Roman" w:eastAsia="仿宋_GB2312" w:cs="Times New Roman"/>
          <w:sz w:val="32"/>
          <w:szCs w:val="32"/>
          <w:highlight w:val="none"/>
          <w:lang w:val="en-US" w:eastAsia="zh-CN"/>
        </w:rPr>
        <w:t>万元，其中：基本支出</w:t>
      </w:r>
      <w:r>
        <w:rPr>
          <w:rFonts w:hint="default" w:ascii="Times New Roman" w:hAnsi="Times New Roman" w:cs="Times New Roman"/>
          <w:kern w:val="2"/>
          <w:sz w:val="32"/>
          <w:szCs w:val="24"/>
          <w:highlight w:val="none"/>
          <w:lang w:val="en-US" w:eastAsia="zh-CN" w:bidi="ar-SA"/>
        </w:rPr>
        <w:t>47,394.09</w:t>
      </w:r>
      <w:r>
        <w:rPr>
          <w:rFonts w:hint="default" w:ascii="Times New Roman" w:hAnsi="Times New Roman" w:eastAsia="仿宋_GB2312" w:cs="Times New Roman"/>
          <w:sz w:val="32"/>
          <w:szCs w:val="32"/>
          <w:highlight w:val="none"/>
          <w:lang w:val="en-US" w:eastAsia="zh-CN"/>
        </w:rPr>
        <w:t>万元，占支出总额的</w:t>
      </w:r>
      <w:r>
        <w:rPr>
          <w:rFonts w:hint="default" w:ascii="Times New Roman" w:hAnsi="Times New Roman" w:eastAsia="仿宋_GB2312" w:cs="Times New Roman"/>
          <w:kern w:val="2"/>
          <w:sz w:val="32"/>
          <w:szCs w:val="24"/>
          <w:highlight w:val="none"/>
          <w:lang w:val="en-US" w:eastAsia="zh-CN" w:bidi="ar-SA"/>
        </w:rPr>
        <w:t>8</w:t>
      </w:r>
      <w:r>
        <w:rPr>
          <w:rFonts w:hint="default" w:ascii="Times New Roman" w:hAnsi="Times New Roman" w:cs="Times New Roman"/>
          <w:kern w:val="2"/>
          <w:sz w:val="32"/>
          <w:szCs w:val="24"/>
          <w:highlight w:val="none"/>
          <w:lang w:val="en-US" w:eastAsia="zh-CN" w:bidi="ar-SA"/>
        </w:rPr>
        <w:t>8.17</w:t>
      </w:r>
      <w:r>
        <w:rPr>
          <w:rFonts w:hint="default" w:ascii="Times New Roman" w:hAnsi="Times New Roman" w:eastAsia="仿宋_GB2312" w:cs="Times New Roman"/>
          <w:sz w:val="32"/>
          <w:szCs w:val="32"/>
          <w:highlight w:val="none"/>
          <w:lang w:val="en-US" w:eastAsia="zh-CN"/>
        </w:rPr>
        <w:t>%；项目支出</w:t>
      </w:r>
      <w:r>
        <w:rPr>
          <w:rFonts w:hint="default" w:ascii="Times New Roman" w:hAnsi="Times New Roman" w:cs="Times New Roman"/>
          <w:kern w:val="2"/>
          <w:sz w:val="32"/>
          <w:szCs w:val="24"/>
          <w:highlight w:val="none"/>
          <w:lang w:val="en-US" w:eastAsia="zh-CN" w:bidi="ar-SA"/>
        </w:rPr>
        <w:t>6,356.24</w:t>
      </w:r>
      <w:r>
        <w:rPr>
          <w:rFonts w:hint="default" w:ascii="Times New Roman" w:hAnsi="Times New Roman" w:eastAsia="仿宋_GB2312" w:cs="Times New Roman"/>
          <w:sz w:val="32"/>
          <w:szCs w:val="32"/>
          <w:highlight w:val="none"/>
          <w:lang w:val="en-US" w:eastAsia="zh-CN"/>
        </w:rPr>
        <w:t>万元，占支出总额的</w:t>
      </w:r>
      <w:r>
        <w:rPr>
          <w:rFonts w:hint="default" w:ascii="Times New Roman" w:hAnsi="Times New Roman" w:eastAsia="仿宋_GB2312" w:cs="Times New Roman"/>
          <w:kern w:val="2"/>
          <w:sz w:val="32"/>
          <w:szCs w:val="24"/>
          <w:highlight w:val="none"/>
          <w:lang w:val="en-US" w:eastAsia="zh-CN" w:bidi="ar-SA"/>
        </w:rPr>
        <w:t>1</w:t>
      </w:r>
      <w:r>
        <w:rPr>
          <w:rFonts w:hint="default" w:ascii="Times New Roman" w:hAnsi="Times New Roman" w:cs="Times New Roman"/>
          <w:kern w:val="2"/>
          <w:sz w:val="32"/>
          <w:szCs w:val="24"/>
          <w:highlight w:val="none"/>
          <w:lang w:val="en-US" w:eastAsia="zh-CN" w:bidi="ar-SA"/>
        </w:rPr>
        <w:t>1.83</w:t>
      </w:r>
      <w:r>
        <w:rPr>
          <w:rFonts w:hint="default" w:ascii="Times New Roman" w:hAnsi="Times New Roman" w:eastAsia="仿宋_GB2312" w:cs="Times New Roman"/>
          <w:sz w:val="32"/>
          <w:szCs w:val="32"/>
          <w:highlight w:val="none"/>
          <w:lang w:val="en-US" w:eastAsia="zh-CN"/>
        </w:rPr>
        <w:t>%。</w:t>
      </w:r>
    </w:p>
    <w:p w14:paraId="709B561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szCs w:val="32"/>
          <w:highlight w:val="none"/>
          <w:lang w:val="zh-CN"/>
        </w:rPr>
      </w:pPr>
      <w:r>
        <w:rPr>
          <w:rFonts w:hint="default" w:ascii="Times New Roman" w:hAnsi="Times New Roman" w:cs="Times New Roman"/>
          <w:szCs w:val="32"/>
          <w:highlight w:val="none"/>
          <w:lang w:val="zh-CN" w:eastAsia="zh-CN"/>
        </w:rPr>
        <w:t>2025年，我单位紧扣“十四五”规划收官要求和“攻坚年、创新年、强基年”主题，在州委、州政府领导和省卫健委指导下，圆满完成各项工作任务。聚焦区域医疗高地建设，高原病防治研究基地稳步推进，6个在建卫生项目开工率100%、投资完成率81.28%，建设进度连续3季度居全省红榜，新增11个州级重点专科，4家智慧医院创建成功，区域医疗能级显著提升。深入开展“石榴籽”工程健康保障行动，统筹46.2万人次医疗力量提供682.9万人次服务，减免费用2.06亿元，72万人免费体检、体检率98.26%，群众健康福祉持续增强。推进健康阿坝建设，成功救治95例危重孕产妇，新增100个托位，组建61支卫生应急队伍，筑牢健康保障防线。深化医改获评全国A级，实现13个县（市）紧密型县域医共体全覆盖，每万人全科医生数居全省第一。推动中（藏羌）医药传承创新，7个专科入选省级优势专科，基层中医药服务量稳定在40%以上。筑牢公共卫生防线，传染病发病率低于全省平均，疫苗接种率刷新建州新高。强化行业治理，办结414件“新生儿出生一件事”和817件行政审批，无重大安全事故，圆满为“十四五”卫生健康发展收官。</w:t>
      </w:r>
    </w:p>
    <w:p w14:paraId="1920A26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szCs w:val="32"/>
        </w:rPr>
      </w:pPr>
      <w:bookmarkStart w:id="22" w:name="_Toc18083"/>
      <w:r>
        <w:rPr>
          <w:rFonts w:hint="default"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szCs w:val="32"/>
          <w:highlight w:val="none"/>
        </w:rPr>
        <w:t>结余分配和结转结余情</w:t>
      </w:r>
      <w:r>
        <w:rPr>
          <w:rFonts w:hint="default" w:ascii="Times New Roman" w:hAnsi="Times New Roman" w:eastAsia="楷体_GB2312" w:cs="Times New Roman"/>
          <w:b/>
          <w:szCs w:val="32"/>
        </w:rPr>
        <w:t>况</w:t>
      </w:r>
      <w:bookmarkEnd w:id="22"/>
    </w:p>
    <w:p w14:paraId="0999EC1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szCs w:val="32"/>
          <w:lang w:val="en-US" w:eastAsia="zh-CN"/>
        </w:rPr>
        <w:t>我单位</w:t>
      </w:r>
      <w:r>
        <w:rPr>
          <w:rFonts w:hint="default" w:ascii="Times New Roman" w:hAnsi="Times New Roman" w:cs="Times New Roman"/>
          <w:szCs w:val="32"/>
        </w:rPr>
        <w:t>2025年</w:t>
      </w:r>
      <w:r>
        <w:rPr>
          <w:rFonts w:hint="default" w:ascii="Times New Roman" w:hAnsi="Times New Roman" w:cs="Times New Roman"/>
          <w:color w:val="000000"/>
          <w:kern w:val="0"/>
          <w:szCs w:val="32"/>
          <w:shd w:val="clear" w:color="auto" w:fill="FFFFFF"/>
        </w:rPr>
        <w:t>结余</w:t>
      </w:r>
      <w:r>
        <w:rPr>
          <w:rFonts w:hint="default" w:ascii="Times New Roman" w:hAnsi="Times New Roman" w:cs="Times New Roman"/>
          <w:color w:val="000000"/>
          <w:kern w:val="0"/>
          <w:szCs w:val="32"/>
          <w:shd w:val="clear" w:color="auto" w:fill="FFFFFF"/>
          <w:lang w:val="en-US" w:eastAsia="zh-CN"/>
        </w:rPr>
        <w:t>分配17.27万元，年末结转和结余1,662.92万元</w:t>
      </w:r>
      <w:r>
        <w:rPr>
          <w:rFonts w:hint="default" w:ascii="Times New Roman" w:hAnsi="Times New Roman" w:cs="Times New Roman"/>
          <w:color w:val="000000"/>
          <w:kern w:val="0"/>
          <w:szCs w:val="32"/>
          <w:shd w:val="clear" w:color="auto" w:fill="FFFFFF"/>
        </w:rPr>
        <w:t>。</w:t>
      </w:r>
    </w:p>
    <w:p w14:paraId="7AC9164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0"/>
        <w:rPr>
          <w:rFonts w:hint="default" w:ascii="Times New Roman" w:hAnsi="Times New Roman" w:eastAsia="黑体" w:cs="Times New Roman"/>
          <w:color w:val="000000" w:themeColor="text1"/>
          <w:kern w:val="0"/>
          <w:szCs w:val="32"/>
          <w:shd w:val="clear" w:color="auto" w:fill="FFFFFF"/>
          <w14:textFill>
            <w14:solidFill>
              <w14:schemeClr w14:val="tx1"/>
            </w14:solidFill>
          </w14:textFill>
        </w:rPr>
      </w:pPr>
      <w:bookmarkStart w:id="23" w:name="_Toc1142"/>
      <w:r>
        <w:rPr>
          <w:rFonts w:hint="default" w:ascii="Times New Roman" w:hAnsi="Times New Roman" w:eastAsia="黑体" w:cs="Times New Roman"/>
          <w:color w:val="000000"/>
          <w:kern w:val="0"/>
          <w:szCs w:val="32"/>
          <w:shd w:val="clear" w:color="auto" w:fill="FFFFFF"/>
        </w:rPr>
        <w:t>三、部门预算绩效分析</w:t>
      </w:r>
      <w:bookmarkEnd w:id="23"/>
    </w:p>
    <w:p w14:paraId="55CFC1F4">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cs="Times New Roman"/>
          <w:color w:val="000000"/>
          <w:kern w:val="0"/>
          <w:szCs w:val="32"/>
          <w:highlight w:val="none"/>
          <w:shd w:val="clear" w:color="auto" w:fill="FFFFFF"/>
          <w:lang w:val="zh-CN"/>
        </w:rPr>
      </w:pPr>
      <w:bookmarkStart w:id="24" w:name="_Toc2085"/>
      <w:r>
        <w:rPr>
          <w:rFonts w:hint="default" w:ascii="Times New Roman" w:hAnsi="Times New Roman" w:eastAsia="楷体_GB2312" w:cs="Times New Roman"/>
          <w:b/>
          <w:bCs/>
          <w:color w:val="000000"/>
          <w:kern w:val="0"/>
          <w:szCs w:val="32"/>
          <w:shd w:val="clear" w:color="auto" w:fill="FFFFFF"/>
          <w:lang w:val="zh-CN"/>
        </w:rPr>
        <w:t>（</w:t>
      </w:r>
      <w:r>
        <w:rPr>
          <w:rFonts w:hint="default" w:ascii="Times New Roman" w:hAnsi="Times New Roman" w:eastAsia="楷体_GB2312" w:cs="Times New Roman"/>
          <w:b/>
          <w:bCs/>
          <w:color w:val="000000"/>
          <w:kern w:val="0"/>
          <w:szCs w:val="32"/>
          <w:highlight w:val="none"/>
          <w:shd w:val="clear" w:color="auto" w:fill="FFFFFF"/>
          <w:lang w:val="zh-CN"/>
        </w:rPr>
        <w:t>一）部门预算总体绩效分析</w:t>
      </w:r>
      <w:bookmarkEnd w:id="24"/>
    </w:p>
    <w:p w14:paraId="3AA1D53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rPr>
        <w:t>1.</w:t>
      </w:r>
      <w:r>
        <w:rPr>
          <w:rFonts w:hint="default" w:ascii="Times New Roman" w:hAnsi="Times New Roman" w:eastAsia="楷体_GB2312" w:cs="Times New Roman"/>
          <w:color w:val="000000"/>
          <w:kern w:val="0"/>
          <w:szCs w:val="32"/>
          <w:highlight w:val="none"/>
          <w:shd w:val="clear" w:color="auto" w:fill="FFFFFF"/>
          <w:lang w:val="zh-CN"/>
        </w:rPr>
        <w:t>履职效能</w:t>
      </w:r>
    </w:p>
    <w:p w14:paraId="5839209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为充分反映我单位2025年度部门职能履行成效，本次绩效自评根据要求，结合部门职能职责和2025年度重点工作任务，选取了“培训场次、加强人才队伍建设、提升基层医疗机构服务能力”3个绩效指标作为核心职能目标，各职能目标具体完成情况如下：</w:t>
      </w:r>
    </w:p>
    <w:p w14:paraId="436B5C6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en-US" w:eastAsia="zh-CN"/>
        </w:rPr>
        <w:t>1）培训场次</w:t>
      </w:r>
    </w:p>
    <w:p w14:paraId="554911E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全年开展各类医务人员培训1.8万人次，依托“传帮带”“组团式”帮扶等机制，开展中（藏羌）医药巡诊培训讲座189场，广泛提升基层医务人员专业技术能力和业务水平，有效补齐基层医疗人才技术短板，夯实了卫生健康事业发展根基。</w:t>
      </w:r>
    </w:p>
    <w:p w14:paraId="5A92649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根据评分标准，该项指标不扣分，得5分。</w:t>
      </w:r>
    </w:p>
    <w:p w14:paraId="20EB8EE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（2）加强人才队伍建设</w:t>
      </w:r>
    </w:p>
    <w:p w14:paraId="58BFA3F0">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全年引进培养骨干人才233名，结成“师带徒”434对，引进开展新技术378项，选派37人赴四川大学华西医院深造，遴选100名优秀人才赴外脱产进修，完成全科医生转岗培训17名，累计培养全科医生610名，每万人全科医生数达7.39人，位居全省第一；新增3人获评“四川省名中医”，20人入选省民族地区基层卫生优秀人才，人才结构持续优化，有效强化了卫生健康事业发展的人才支撑。</w:t>
      </w:r>
    </w:p>
    <w:p w14:paraId="44F87A8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根据评分标准，该项指标不扣分，得5分。</w:t>
      </w:r>
    </w:p>
    <w:p w14:paraId="347CFDE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（3）提升基层医疗机构服务能力</w:t>
      </w:r>
    </w:p>
    <w:p w14:paraId="690624D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扎实推进基层医疗机构标准化建设，阿坝、壤塘等4县人民医院、6县中（藏）医院顺利通过“二甲”“二乙”复审，持续巩固基层服务网络；建成13个血透中心、45个州级医疗质控中心等各类服务中心，基层医疗机构AI辅助诊疗在3县成功试点，基层中医药服务量稳定保持在40%以上，群众在家门口就能享受优质、便捷的医疗卫生服务，基层医疗服务水平显著提升。</w:t>
      </w:r>
    </w:p>
    <w:p w14:paraId="0A19AF4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根据评分标准，该项指标不扣分，得5分。</w:t>
      </w:r>
    </w:p>
    <w:p w14:paraId="0152F53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综上，根据评分标准，我单位履职效能指标不扣分，得15分</w:t>
      </w:r>
      <w:r>
        <w:rPr>
          <w:rFonts w:hint="default" w:ascii="Times New Roman" w:hAnsi="Times New Roman" w:cs="Times New Roman"/>
          <w:color w:val="000000"/>
          <w:kern w:val="0"/>
          <w:szCs w:val="32"/>
          <w:highlight w:val="none"/>
          <w:shd w:val="clear" w:color="auto" w:fill="FFFFFF"/>
          <w:lang w:val="zh-CN"/>
        </w:rPr>
        <w:t>。</w:t>
      </w:r>
    </w:p>
    <w:p w14:paraId="26FD6BF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rPr>
        <w:t>2.</w:t>
      </w:r>
      <w:r>
        <w:rPr>
          <w:rFonts w:hint="default" w:ascii="Times New Roman" w:hAnsi="Times New Roman" w:eastAsia="楷体_GB2312" w:cs="Times New Roman"/>
          <w:color w:val="000000"/>
          <w:kern w:val="0"/>
          <w:szCs w:val="32"/>
          <w:highlight w:val="none"/>
          <w:shd w:val="clear" w:color="auto" w:fill="FFFFFF"/>
          <w:lang w:val="zh-CN"/>
        </w:rPr>
        <w:t>预算管理</w:t>
      </w:r>
    </w:p>
    <w:p w14:paraId="4EE15B3C">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1）</w:t>
      </w:r>
      <w:r>
        <w:rPr>
          <w:rFonts w:hint="default" w:ascii="Times New Roman" w:hAnsi="Times New Roman" w:cs="Times New Roman"/>
          <w:color w:val="000000"/>
          <w:kern w:val="0"/>
          <w:szCs w:val="32"/>
          <w:shd w:val="clear" w:color="auto" w:fill="FFFFFF"/>
          <w:lang w:val="zh-CN"/>
        </w:rPr>
        <w:t>预算编制质量</w:t>
      </w:r>
    </w:p>
    <w:p w14:paraId="5A925F42">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en-US" w:eastAsia="zh-CN"/>
        </w:rPr>
        <w:t>我单位</w:t>
      </w:r>
      <w:r>
        <w:rPr>
          <w:rFonts w:hint="default" w:ascii="Times New Roman" w:hAnsi="Times New Roman" w:cs="Times New Roman"/>
          <w:color w:val="000000"/>
          <w:kern w:val="0"/>
          <w:szCs w:val="32"/>
          <w:shd w:val="clear" w:color="auto" w:fill="FFFFFF"/>
          <w:lang w:val="zh-CN"/>
        </w:rPr>
        <w:t>财政拨款预算执行数为</w:t>
      </w:r>
      <w:r>
        <w:rPr>
          <w:rFonts w:hint="default" w:ascii="Times New Roman" w:hAnsi="Times New Roman" w:cs="Times New Roman"/>
          <w:color w:val="000000"/>
          <w:kern w:val="0"/>
          <w:szCs w:val="32"/>
          <w:shd w:val="clear" w:color="auto" w:fill="FFFFFF"/>
          <w:lang w:val="en-US" w:eastAsia="zh-CN"/>
        </w:rPr>
        <w:t>25,040.70</w:t>
      </w:r>
      <w:r>
        <w:rPr>
          <w:rFonts w:hint="default" w:ascii="Times New Roman" w:hAnsi="Times New Roman" w:cs="Times New Roman"/>
          <w:color w:val="000000"/>
          <w:kern w:val="0"/>
          <w:szCs w:val="32"/>
          <w:shd w:val="clear" w:color="auto" w:fill="FFFFFF"/>
          <w:lang w:val="zh-CN"/>
        </w:rPr>
        <w:t>万元，财政拨款年初预算数为</w:t>
      </w:r>
      <w:r>
        <w:rPr>
          <w:rFonts w:hint="default" w:ascii="Times New Roman" w:hAnsi="Times New Roman" w:cs="Times New Roman"/>
          <w:color w:val="000000"/>
          <w:kern w:val="0"/>
          <w:szCs w:val="32"/>
          <w:shd w:val="clear" w:color="auto" w:fill="FFFFFF"/>
          <w:lang w:val="en-US" w:eastAsia="zh-CN"/>
        </w:rPr>
        <w:t>18,185.37</w:t>
      </w:r>
      <w:r>
        <w:rPr>
          <w:rFonts w:hint="default" w:ascii="Times New Roman" w:hAnsi="Times New Roman" w:cs="Times New Roman"/>
          <w:color w:val="000000"/>
          <w:kern w:val="0"/>
          <w:szCs w:val="32"/>
          <w:shd w:val="clear" w:color="auto" w:fill="FFFFFF"/>
          <w:lang w:val="zh-CN"/>
        </w:rPr>
        <w:t>万元，财政拨款预算偏离度</w:t>
      </w:r>
      <w:r>
        <w:rPr>
          <w:rFonts w:hint="default" w:ascii="Times New Roman" w:hAnsi="Times New Roman" w:cs="Times New Roman"/>
          <w:color w:val="000000"/>
          <w:kern w:val="0"/>
          <w:szCs w:val="32"/>
          <w:shd w:val="clear" w:color="auto" w:fill="FFFFFF"/>
          <w:lang w:val="en-US" w:eastAsia="zh-CN"/>
        </w:rPr>
        <w:t>为37.70</w:t>
      </w:r>
      <w:r>
        <w:rPr>
          <w:rFonts w:hint="default" w:ascii="Times New Roman" w:hAnsi="Times New Roman" w:cs="Times New Roman"/>
          <w:color w:val="000000"/>
          <w:kern w:val="0"/>
          <w:szCs w:val="32"/>
          <w:shd w:val="clear" w:color="auto" w:fill="FFFFFF"/>
          <w:lang w:val="zh-CN" w:eastAsia="zh-CN"/>
        </w:rPr>
        <w:t>%</w:t>
      </w:r>
      <w:r>
        <w:rPr>
          <w:rFonts w:hint="default" w:ascii="Times New Roman" w:hAnsi="Times New Roman" w:cs="Times New Roman"/>
          <w:color w:val="000000"/>
          <w:kern w:val="0"/>
          <w:szCs w:val="32"/>
          <w:shd w:val="clear" w:color="auto" w:fill="FFFFFF"/>
          <w:lang w:val="zh-CN"/>
        </w:rPr>
        <w:t>。</w:t>
      </w:r>
    </w:p>
    <w:p w14:paraId="0811E34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shd w:val="clear" w:color="auto" w:fill="FFFFFF"/>
          <w:lang w:val="en-US" w:eastAsia="zh-CN"/>
        </w:rPr>
        <w:t>我单位</w:t>
      </w:r>
      <w:r>
        <w:rPr>
          <w:rFonts w:hint="default" w:ascii="Times New Roman" w:hAnsi="Times New Roman" w:cs="Times New Roman"/>
          <w:color w:val="000000"/>
          <w:kern w:val="0"/>
          <w:szCs w:val="32"/>
          <w:shd w:val="clear" w:color="auto" w:fill="FFFFFF"/>
          <w:lang w:val="zh-CN"/>
        </w:rPr>
        <w:t>资产配置预算执行</w:t>
      </w:r>
      <w:r>
        <w:rPr>
          <w:rFonts w:hint="default" w:ascii="Times New Roman" w:hAnsi="Times New Roman" w:cs="Times New Roman"/>
          <w:color w:val="000000"/>
          <w:kern w:val="0"/>
          <w:szCs w:val="32"/>
          <w:highlight w:val="none"/>
          <w:shd w:val="clear" w:color="auto" w:fill="FFFFFF"/>
          <w:lang w:val="zh-CN"/>
        </w:rPr>
        <w:t>数为</w:t>
      </w:r>
      <w:r>
        <w:rPr>
          <w:rFonts w:hint="default" w:ascii="Times New Roman" w:hAnsi="Times New Roman" w:cs="Times New Roman"/>
          <w:color w:val="000000"/>
          <w:kern w:val="0"/>
          <w:szCs w:val="32"/>
          <w:highlight w:val="none"/>
          <w:shd w:val="clear" w:color="auto" w:fill="FFFFFF"/>
          <w:lang w:val="en-US" w:eastAsia="zh-CN"/>
        </w:rPr>
        <w:t>1,966.67</w:t>
      </w:r>
      <w:r>
        <w:rPr>
          <w:rFonts w:hint="default" w:ascii="Times New Roman" w:hAnsi="Times New Roman" w:cs="Times New Roman"/>
          <w:color w:val="000000"/>
          <w:kern w:val="0"/>
          <w:szCs w:val="32"/>
          <w:highlight w:val="none"/>
          <w:shd w:val="clear" w:color="auto" w:fill="FFFFFF"/>
          <w:lang w:val="zh-CN"/>
        </w:rPr>
        <w:t>万元，资产配置年初预算数为</w:t>
      </w:r>
      <w:r>
        <w:rPr>
          <w:rFonts w:hint="default" w:ascii="Times New Roman" w:hAnsi="Times New Roman" w:cs="Times New Roman"/>
          <w:color w:val="000000"/>
          <w:kern w:val="0"/>
          <w:szCs w:val="32"/>
          <w:highlight w:val="none"/>
          <w:shd w:val="clear" w:color="auto" w:fill="FFFFFF"/>
          <w:lang w:val="en-US" w:eastAsia="zh-CN"/>
        </w:rPr>
        <w:t>167.45</w:t>
      </w:r>
      <w:r>
        <w:rPr>
          <w:rFonts w:hint="default" w:ascii="Times New Roman" w:hAnsi="Times New Roman" w:cs="Times New Roman"/>
          <w:color w:val="000000"/>
          <w:kern w:val="0"/>
          <w:szCs w:val="32"/>
          <w:highlight w:val="none"/>
          <w:shd w:val="clear" w:color="auto" w:fill="FFFFFF"/>
          <w:lang w:val="zh-CN"/>
        </w:rPr>
        <w:t>万元，资产配置预算偏离度</w:t>
      </w:r>
      <w:r>
        <w:rPr>
          <w:rFonts w:hint="default" w:ascii="Times New Roman" w:hAnsi="Times New Roman" w:cs="Times New Roman"/>
          <w:color w:val="000000"/>
          <w:kern w:val="0"/>
          <w:szCs w:val="32"/>
          <w:highlight w:val="none"/>
          <w:shd w:val="clear" w:color="auto" w:fill="FFFFFF"/>
          <w:lang w:val="zh-CN" w:eastAsia="zh-CN"/>
        </w:rPr>
        <w:t>为</w:t>
      </w:r>
      <w:r>
        <w:rPr>
          <w:rFonts w:hint="default" w:ascii="Times New Roman" w:hAnsi="Times New Roman" w:cs="Times New Roman"/>
          <w:color w:val="000000"/>
          <w:kern w:val="0"/>
          <w:szCs w:val="32"/>
          <w:highlight w:val="none"/>
          <w:shd w:val="clear" w:color="auto" w:fill="FFFFFF"/>
          <w:lang w:val="en-US" w:eastAsia="zh-CN"/>
        </w:rPr>
        <w:t>1074.48%</w:t>
      </w:r>
      <w:r>
        <w:rPr>
          <w:rFonts w:hint="default" w:ascii="Times New Roman" w:hAnsi="Times New Roman" w:cs="Times New Roman"/>
          <w:color w:val="000000"/>
          <w:kern w:val="0"/>
          <w:szCs w:val="32"/>
          <w:highlight w:val="none"/>
          <w:shd w:val="clear" w:color="auto" w:fill="FFFFFF"/>
          <w:lang w:val="zh-CN"/>
        </w:rPr>
        <w:t>。</w:t>
      </w:r>
    </w:p>
    <w:p w14:paraId="0473F099">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highlight w:val="none"/>
          <w:shd w:val="clear" w:color="auto" w:fill="FFFFFF"/>
          <w:lang w:val="en-US" w:eastAsia="zh-CN"/>
        </w:rPr>
        <w:t>我单位</w:t>
      </w:r>
      <w:r>
        <w:rPr>
          <w:rFonts w:hint="default" w:ascii="Times New Roman" w:hAnsi="Times New Roman" w:cs="Times New Roman"/>
          <w:color w:val="000000"/>
          <w:kern w:val="0"/>
          <w:szCs w:val="32"/>
          <w:highlight w:val="none"/>
          <w:shd w:val="clear" w:color="auto" w:fill="FFFFFF"/>
          <w:lang w:val="zh-CN"/>
        </w:rPr>
        <w:t>政府采购预算执行数为</w:t>
      </w:r>
      <w:r>
        <w:rPr>
          <w:rFonts w:hint="default" w:ascii="Times New Roman" w:hAnsi="Times New Roman" w:cs="Times New Roman"/>
          <w:color w:val="000000"/>
          <w:kern w:val="0"/>
          <w:szCs w:val="32"/>
          <w:highlight w:val="none"/>
          <w:shd w:val="clear" w:color="auto" w:fill="FFFFFF"/>
          <w:lang w:val="en-US" w:eastAsia="zh-CN"/>
        </w:rPr>
        <w:t>955.96</w:t>
      </w:r>
      <w:r>
        <w:rPr>
          <w:rFonts w:hint="default" w:ascii="Times New Roman" w:hAnsi="Times New Roman" w:cs="Times New Roman"/>
          <w:color w:val="000000"/>
          <w:kern w:val="0"/>
          <w:szCs w:val="32"/>
          <w:highlight w:val="none"/>
          <w:shd w:val="clear" w:color="auto" w:fill="FFFFFF"/>
          <w:lang w:val="zh-CN"/>
        </w:rPr>
        <w:t>万元，政府</w:t>
      </w:r>
      <w:r>
        <w:rPr>
          <w:rFonts w:hint="default" w:ascii="Times New Roman" w:hAnsi="Times New Roman" w:cs="Times New Roman"/>
          <w:color w:val="000000"/>
          <w:kern w:val="0"/>
          <w:szCs w:val="32"/>
          <w:shd w:val="clear" w:color="auto" w:fill="FFFFFF"/>
          <w:lang w:val="zh-CN"/>
        </w:rPr>
        <w:t>采购年初预算数为</w:t>
      </w:r>
      <w:r>
        <w:rPr>
          <w:rFonts w:hint="default" w:ascii="Times New Roman" w:hAnsi="Times New Roman" w:cs="Times New Roman"/>
          <w:color w:val="000000"/>
          <w:kern w:val="0"/>
          <w:szCs w:val="32"/>
          <w:shd w:val="clear" w:color="auto" w:fill="FFFFFF"/>
          <w:lang w:val="en-US" w:eastAsia="zh-CN"/>
        </w:rPr>
        <w:t>441.37</w:t>
      </w:r>
      <w:r>
        <w:rPr>
          <w:rFonts w:hint="default" w:ascii="Times New Roman" w:hAnsi="Times New Roman" w:cs="Times New Roman"/>
          <w:color w:val="000000"/>
          <w:kern w:val="0"/>
          <w:szCs w:val="32"/>
          <w:shd w:val="clear" w:color="auto" w:fill="FFFFFF"/>
          <w:lang w:val="zh-CN"/>
        </w:rPr>
        <w:t>万元，政府采购预算偏离度</w:t>
      </w:r>
      <w:r>
        <w:rPr>
          <w:rFonts w:hint="default" w:ascii="Times New Roman" w:hAnsi="Times New Roman" w:cs="Times New Roman"/>
          <w:color w:val="000000"/>
          <w:kern w:val="0"/>
          <w:szCs w:val="32"/>
          <w:shd w:val="clear" w:color="auto" w:fill="FFFFFF"/>
          <w:lang w:val="en-US" w:eastAsia="zh-CN"/>
        </w:rPr>
        <w:t>为116.59%</w:t>
      </w:r>
      <w:r>
        <w:rPr>
          <w:rFonts w:hint="default" w:ascii="Times New Roman" w:hAnsi="Times New Roman" w:cs="Times New Roman"/>
          <w:color w:val="000000"/>
          <w:kern w:val="0"/>
          <w:szCs w:val="32"/>
          <w:shd w:val="clear" w:color="auto" w:fill="FFFFFF"/>
          <w:lang w:val="zh-CN"/>
        </w:rPr>
        <w:t>。</w:t>
      </w:r>
    </w:p>
    <w:p w14:paraId="45404420">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综上，根据评分标准，该项</w:t>
      </w:r>
      <w:r>
        <w:rPr>
          <w:rFonts w:hint="default" w:ascii="Times New Roman" w:hAnsi="Times New Roman" w:cs="Times New Roman"/>
          <w:color w:val="000000"/>
          <w:kern w:val="0"/>
          <w:szCs w:val="32"/>
          <w:highlight w:val="none"/>
          <w:shd w:val="clear" w:color="auto" w:fill="FFFFFF"/>
          <w:lang w:val="zh-CN"/>
        </w:rPr>
        <w:t>指标扣</w:t>
      </w:r>
      <w:r>
        <w:rPr>
          <w:rFonts w:hint="default" w:ascii="Times New Roman" w:hAnsi="Times New Roman" w:cs="Times New Roman"/>
          <w:color w:val="000000"/>
          <w:kern w:val="0"/>
          <w:szCs w:val="32"/>
          <w:highlight w:val="none"/>
          <w:shd w:val="clear" w:color="auto" w:fill="FFFFFF"/>
          <w:lang w:val="en-US" w:eastAsia="zh-CN"/>
        </w:rPr>
        <w:t>5.51</w:t>
      </w:r>
      <w:r>
        <w:rPr>
          <w:rFonts w:hint="default" w:ascii="Times New Roman" w:hAnsi="Times New Roman" w:cs="Times New Roman"/>
          <w:color w:val="000000"/>
          <w:kern w:val="0"/>
          <w:szCs w:val="32"/>
          <w:highlight w:val="none"/>
          <w:shd w:val="clear" w:color="auto" w:fill="FFFFFF"/>
          <w:lang w:val="zh-CN"/>
        </w:rPr>
        <w:t>分，得</w:t>
      </w:r>
      <w:r>
        <w:rPr>
          <w:rFonts w:hint="default" w:ascii="Times New Roman" w:hAnsi="Times New Roman" w:cs="Times New Roman"/>
          <w:color w:val="000000"/>
          <w:kern w:val="0"/>
          <w:szCs w:val="32"/>
          <w:highlight w:val="none"/>
          <w:shd w:val="clear" w:color="auto" w:fill="FFFFFF"/>
          <w:lang w:val="en-US" w:eastAsia="zh-CN"/>
        </w:rPr>
        <w:t>2.49</w:t>
      </w:r>
      <w:r>
        <w:rPr>
          <w:rFonts w:hint="default" w:ascii="Times New Roman" w:hAnsi="Times New Roman" w:cs="Times New Roman"/>
          <w:color w:val="000000"/>
          <w:kern w:val="0"/>
          <w:szCs w:val="32"/>
          <w:highlight w:val="none"/>
          <w:shd w:val="clear" w:color="auto" w:fill="FFFFFF"/>
          <w:lang w:val="zh-CN"/>
        </w:rPr>
        <w:t>分。</w:t>
      </w:r>
    </w:p>
    <w:p w14:paraId="2500DB5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2）</w:t>
      </w:r>
      <w:r>
        <w:rPr>
          <w:rFonts w:hint="default" w:ascii="Times New Roman" w:hAnsi="Times New Roman" w:cs="Times New Roman"/>
          <w:color w:val="000000"/>
          <w:kern w:val="0"/>
          <w:szCs w:val="32"/>
          <w:shd w:val="clear" w:color="auto" w:fill="FFFFFF"/>
          <w:lang w:val="zh-CN"/>
        </w:rPr>
        <w:t>单位收入统筹</w:t>
      </w:r>
    </w:p>
    <w:p w14:paraId="64E353E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我单位自有收入年初预算数</w:t>
      </w:r>
      <w:r>
        <w:rPr>
          <w:rFonts w:hint="default" w:ascii="Times New Roman" w:hAnsi="Times New Roman" w:cs="Times New Roman"/>
          <w:color w:val="000000"/>
          <w:kern w:val="0"/>
          <w:szCs w:val="32"/>
          <w:highlight w:val="none"/>
          <w:shd w:val="clear" w:color="auto" w:fill="FFFFFF"/>
          <w:lang w:val="en-US" w:eastAsia="zh-CN"/>
        </w:rPr>
        <w:t>29,320.36</w:t>
      </w:r>
      <w:r>
        <w:rPr>
          <w:rFonts w:hint="default" w:ascii="Times New Roman" w:hAnsi="Times New Roman" w:cs="Times New Roman"/>
          <w:color w:val="000000"/>
          <w:kern w:val="0"/>
          <w:szCs w:val="32"/>
          <w:highlight w:val="none"/>
          <w:shd w:val="clear" w:color="auto" w:fill="FFFFFF"/>
          <w:lang w:val="zh-CN" w:eastAsia="zh-CN"/>
        </w:rPr>
        <w:t>万元，预算执行数</w:t>
      </w:r>
      <w:r>
        <w:rPr>
          <w:rFonts w:hint="default" w:ascii="Times New Roman" w:hAnsi="Times New Roman" w:cs="Times New Roman"/>
          <w:color w:val="000000"/>
          <w:kern w:val="0"/>
          <w:szCs w:val="32"/>
          <w:highlight w:val="none"/>
          <w:shd w:val="clear" w:color="auto" w:fill="FFFFFF"/>
          <w:lang w:val="en-US" w:eastAsia="zh-CN"/>
        </w:rPr>
        <w:t>28,414.62</w:t>
      </w:r>
      <w:r>
        <w:rPr>
          <w:rFonts w:hint="default" w:ascii="Times New Roman" w:hAnsi="Times New Roman" w:cs="Times New Roman"/>
          <w:color w:val="000000"/>
          <w:kern w:val="0"/>
          <w:szCs w:val="32"/>
          <w:highlight w:val="none"/>
          <w:shd w:val="clear" w:color="auto" w:fill="FFFFFF"/>
          <w:lang w:val="zh-CN" w:eastAsia="zh-CN"/>
        </w:rPr>
        <w:t>万元，执行率</w:t>
      </w:r>
      <w:r>
        <w:rPr>
          <w:rFonts w:hint="default" w:ascii="Times New Roman" w:hAnsi="Times New Roman" w:cs="Times New Roman"/>
          <w:color w:val="000000"/>
          <w:kern w:val="0"/>
          <w:szCs w:val="32"/>
          <w:highlight w:val="none"/>
          <w:shd w:val="clear" w:color="auto" w:fill="FFFFFF"/>
          <w:lang w:val="en-US" w:eastAsia="zh-CN"/>
        </w:rPr>
        <w:t>96.91</w:t>
      </w:r>
      <w:r>
        <w:rPr>
          <w:rFonts w:hint="default" w:ascii="Times New Roman" w:hAnsi="Times New Roman" w:cs="Times New Roman"/>
          <w:color w:val="000000"/>
          <w:kern w:val="0"/>
          <w:szCs w:val="32"/>
          <w:highlight w:val="none"/>
          <w:shd w:val="clear" w:color="auto" w:fill="FFFFFF"/>
          <w:lang w:val="zh-CN" w:eastAsia="zh-CN"/>
        </w:rPr>
        <w:t>%；但不涉及财政核定的综合补助比例。</w:t>
      </w:r>
    </w:p>
    <w:p w14:paraId="6E9DF3B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eastAsia="zh-CN"/>
        </w:rPr>
        <w:t>根据评分标准，该项指标扣</w:t>
      </w:r>
      <w:r>
        <w:rPr>
          <w:rFonts w:hint="default" w:ascii="Times New Roman" w:hAnsi="Times New Roman" w:cs="Times New Roman"/>
          <w:color w:val="000000"/>
          <w:kern w:val="0"/>
          <w:szCs w:val="32"/>
          <w:shd w:val="clear" w:color="auto" w:fill="FFFFFF"/>
          <w:lang w:val="en-US" w:eastAsia="zh-CN"/>
        </w:rPr>
        <w:t>0.06</w:t>
      </w:r>
      <w:r>
        <w:rPr>
          <w:rFonts w:hint="default" w:ascii="Times New Roman" w:hAnsi="Times New Roman" w:cs="Times New Roman"/>
          <w:color w:val="000000"/>
          <w:kern w:val="0"/>
          <w:szCs w:val="32"/>
          <w:shd w:val="clear" w:color="auto" w:fill="FFFFFF"/>
          <w:lang w:val="zh-CN" w:eastAsia="zh-CN"/>
        </w:rPr>
        <w:t>分，得</w:t>
      </w:r>
      <w:r>
        <w:rPr>
          <w:rFonts w:hint="default" w:ascii="Times New Roman" w:hAnsi="Times New Roman" w:cs="Times New Roman"/>
          <w:color w:val="000000"/>
          <w:kern w:val="0"/>
          <w:szCs w:val="32"/>
          <w:shd w:val="clear" w:color="auto" w:fill="FFFFFF"/>
          <w:lang w:val="en-US" w:eastAsia="zh-CN"/>
        </w:rPr>
        <w:t>3.94</w:t>
      </w:r>
      <w:r>
        <w:rPr>
          <w:rFonts w:hint="default" w:ascii="Times New Roman" w:hAnsi="Times New Roman" w:cs="Times New Roman"/>
          <w:color w:val="000000"/>
          <w:kern w:val="0"/>
          <w:szCs w:val="32"/>
          <w:shd w:val="clear" w:color="auto" w:fill="FFFFFF"/>
          <w:lang w:val="zh-CN" w:eastAsia="zh-CN"/>
        </w:rPr>
        <w:t>分。</w:t>
      </w:r>
    </w:p>
    <w:p w14:paraId="0639615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rPr>
        <w:t>支出执行管理</w:t>
      </w:r>
    </w:p>
    <w:p w14:paraId="67BAF0AA">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eastAsia="zh-CN"/>
        </w:rPr>
      </w:pPr>
      <w:r>
        <w:rPr>
          <w:rFonts w:hint="default" w:ascii="Times New Roman" w:hAnsi="Times New Roman" w:cs="Times New Roman"/>
          <w:color w:val="000000"/>
          <w:kern w:val="0"/>
          <w:szCs w:val="32"/>
          <w:shd w:val="clear" w:color="auto" w:fill="FFFFFF"/>
          <w:lang w:val="zh-CN" w:eastAsia="zh-CN"/>
        </w:rPr>
        <w:t>202</w:t>
      </w:r>
      <w:r>
        <w:rPr>
          <w:rFonts w:hint="default" w:ascii="Times New Roman" w:hAnsi="Times New Roman" w:cs="Times New Roman"/>
          <w:color w:val="000000"/>
          <w:kern w:val="0"/>
          <w:szCs w:val="32"/>
          <w:shd w:val="clear" w:color="auto" w:fill="FFFFFF"/>
          <w:lang w:val="en-US" w:eastAsia="zh-CN"/>
        </w:rPr>
        <w:t>5</w:t>
      </w:r>
      <w:r>
        <w:rPr>
          <w:rFonts w:hint="default" w:ascii="Times New Roman" w:hAnsi="Times New Roman" w:cs="Times New Roman"/>
          <w:color w:val="000000"/>
          <w:kern w:val="0"/>
          <w:szCs w:val="32"/>
          <w:shd w:val="clear" w:color="auto" w:fill="FFFFFF"/>
          <w:lang w:val="zh-CN" w:eastAsia="zh-CN"/>
        </w:rPr>
        <w:t>年我单位全年预算数为55</w:t>
      </w:r>
      <w:r>
        <w:rPr>
          <w:rFonts w:hint="default" w:ascii="Times New Roman" w:hAnsi="Times New Roman" w:cs="Times New Roman"/>
          <w:color w:val="000000"/>
          <w:kern w:val="0"/>
          <w:szCs w:val="32"/>
          <w:shd w:val="clear" w:color="auto" w:fill="FFFFFF"/>
          <w:lang w:val="en-US" w:eastAsia="zh-CN"/>
        </w:rPr>
        <w:t>,</w:t>
      </w:r>
      <w:r>
        <w:rPr>
          <w:rFonts w:hint="default" w:ascii="Times New Roman" w:hAnsi="Times New Roman" w:cs="Times New Roman"/>
          <w:color w:val="000000"/>
          <w:kern w:val="0"/>
          <w:szCs w:val="32"/>
          <w:shd w:val="clear" w:color="auto" w:fill="FFFFFF"/>
          <w:lang w:val="zh-CN" w:eastAsia="zh-CN"/>
        </w:rPr>
        <w:t>430</w:t>
      </w:r>
      <w:r>
        <w:rPr>
          <w:rFonts w:hint="default" w:ascii="Times New Roman" w:hAnsi="Times New Roman" w:cs="Times New Roman"/>
          <w:color w:val="000000"/>
          <w:kern w:val="0"/>
          <w:szCs w:val="32"/>
          <w:shd w:val="clear" w:color="auto" w:fill="FFFFFF"/>
          <w:lang w:val="en-US" w:eastAsia="zh-CN"/>
        </w:rPr>
        <w:t>.</w:t>
      </w:r>
      <w:r>
        <w:rPr>
          <w:rFonts w:hint="default" w:ascii="Times New Roman" w:hAnsi="Times New Roman" w:cs="Times New Roman"/>
          <w:color w:val="000000"/>
          <w:kern w:val="0"/>
          <w:szCs w:val="32"/>
          <w:shd w:val="clear" w:color="auto" w:fill="FFFFFF"/>
          <w:lang w:val="zh-CN" w:eastAsia="zh-CN"/>
        </w:rPr>
        <w:t>5</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eastAsia="zh-CN"/>
        </w:rPr>
        <w:t>万元，1至6月预算执行数为</w:t>
      </w:r>
      <w:r>
        <w:rPr>
          <w:rFonts w:hint="default" w:ascii="Times New Roman" w:hAnsi="Times New Roman" w:cs="Times New Roman"/>
          <w:color w:val="000000"/>
          <w:kern w:val="0"/>
          <w:szCs w:val="32"/>
          <w:shd w:val="clear" w:color="auto" w:fill="FFFFFF"/>
          <w:lang w:val="en-US" w:eastAsia="zh-CN"/>
        </w:rPr>
        <w:t>11,679.67</w:t>
      </w:r>
      <w:r>
        <w:rPr>
          <w:rFonts w:hint="default" w:ascii="Times New Roman" w:hAnsi="Times New Roman" w:cs="Times New Roman"/>
          <w:color w:val="000000"/>
          <w:kern w:val="0"/>
          <w:szCs w:val="32"/>
          <w:shd w:val="clear" w:color="auto" w:fill="FFFFFF"/>
          <w:lang w:val="zh-CN" w:eastAsia="zh-CN"/>
        </w:rPr>
        <w:t>万元，支出预警金额为0万元，支出预警金额占比为0%，支出违规金额为0万元，支出违规金额占比为0%。</w:t>
      </w:r>
    </w:p>
    <w:p w14:paraId="32853957">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shd w:val="clear" w:color="auto" w:fill="FFFFFF"/>
          <w:lang w:val="zh-CN" w:eastAsia="zh-CN"/>
        </w:rPr>
        <w:t>1至10月预算执</w:t>
      </w:r>
      <w:r>
        <w:rPr>
          <w:rFonts w:hint="default" w:ascii="Times New Roman" w:hAnsi="Times New Roman" w:cs="Times New Roman"/>
          <w:color w:val="000000"/>
          <w:kern w:val="0"/>
          <w:szCs w:val="32"/>
          <w:highlight w:val="none"/>
          <w:shd w:val="clear" w:color="auto" w:fill="FFFFFF"/>
          <w:lang w:val="zh-CN" w:eastAsia="zh-CN"/>
        </w:rPr>
        <w:t>行数为</w:t>
      </w:r>
      <w:r>
        <w:rPr>
          <w:rFonts w:hint="default" w:ascii="Times New Roman" w:hAnsi="Times New Roman" w:cs="Times New Roman"/>
          <w:color w:val="000000"/>
          <w:kern w:val="0"/>
          <w:szCs w:val="32"/>
          <w:highlight w:val="none"/>
          <w:shd w:val="clear" w:color="auto" w:fill="FFFFFF"/>
          <w:lang w:val="en-US" w:eastAsia="zh-CN"/>
        </w:rPr>
        <w:t>19,342.19</w:t>
      </w:r>
      <w:r>
        <w:rPr>
          <w:rFonts w:hint="default" w:ascii="Times New Roman" w:hAnsi="Times New Roman" w:cs="Times New Roman"/>
          <w:color w:val="000000"/>
          <w:kern w:val="0"/>
          <w:szCs w:val="32"/>
          <w:highlight w:val="none"/>
          <w:shd w:val="clear" w:color="auto" w:fill="FFFFFF"/>
          <w:lang w:val="zh-CN" w:eastAsia="zh-CN"/>
        </w:rPr>
        <w:t>万元，支出预警金额为</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万元，支出预警金额占比为</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%，支出违规金额为0万元，支出违规金额占比为0%。</w:t>
      </w:r>
    </w:p>
    <w:p w14:paraId="0C5E866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rPr>
      </w:pPr>
      <w:r>
        <w:rPr>
          <w:rFonts w:hint="default" w:ascii="Times New Roman" w:hAnsi="Times New Roman" w:cs="Times New Roman"/>
          <w:color w:val="000000"/>
          <w:kern w:val="0"/>
          <w:szCs w:val="32"/>
          <w:highlight w:val="none"/>
          <w:shd w:val="clear" w:color="auto" w:fill="FFFFFF"/>
          <w:lang w:val="zh-CN" w:eastAsia="zh-CN"/>
        </w:rPr>
        <w:t>综上，根据评分标准，</w:t>
      </w:r>
      <w:r>
        <w:rPr>
          <w:rFonts w:hint="default" w:ascii="Times New Roman" w:hAnsi="Times New Roman" w:cs="Times New Roman"/>
          <w:color w:val="000000"/>
          <w:kern w:val="0"/>
          <w:szCs w:val="32"/>
          <w:highlight w:val="none"/>
          <w:shd w:val="clear" w:color="auto" w:fill="FFFFFF"/>
          <w:lang w:val="zh-CN"/>
        </w:rPr>
        <w:t>该项指标扣</w:t>
      </w:r>
      <w:r>
        <w:rPr>
          <w:rFonts w:hint="default" w:ascii="Times New Roman" w:hAnsi="Times New Roman" w:cs="Times New Roman"/>
          <w:color w:val="000000"/>
          <w:kern w:val="0"/>
          <w:szCs w:val="32"/>
          <w:highlight w:val="none"/>
          <w:shd w:val="clear" w:color="auto" w:fill="FFFFFF"/>
          <w:lang w:val="en-US" w:eastAsia="zh-CN"/>
        </w:rPr>
        <w:t>2.32</w:t>
      </w:r>
      <w:r>
        <w:rPr>
          <w:rFonts w:hint="default" w:ascii="Times New Roman" w:hAnsi="Times New Roman" w:cs="Times New Roman"/>
          <w:color w:val="000000"/>
          <w:kern w:val="0"/>
          <w:szCs w:val="32"/>
          <w:highlight w:val="none"/>
          <w:shd w:val="clear" w:color="auto" w:fill="FFFFFF"/>
          <w:lang w:val="zh-CN"/>
        </w:rPr>
        <w:t>分，</w:t>
      </w:r>
      <w:r>
        <w:rPr>
          <w:rFonts w:hint="default" w:ascii="Times New Roman" w:hAnsi="Times New Roman" w:cs="Times New Roman"/>
          <w:color w:val="000000"/>
          <w:kern w:val="0"/>
          <w:szCs w:val="32"/>
          <w:highlight w:val="none"/>
          <w:shd w:val="clear" w:color="auto" w:fill="FFFFFF"/>
          <w:lang w:val="zh-CN" w:eastAsia="zh-CN"/>
        </w:rPr>
        <w:t>得</w:t>
      </w:r>
      <w:r>
        <w:rPr>
          <w:rFonts w:hint="default" w:ascii="Times New Roman" w:hAnsi="Times New Roman" w:cs="Times New Roman"/>
          <w:color w:val="000000"/>
          <w:kern w:val="0"/>
          <w:szCs w:val="32"/>
          <w:highlight w:val="none"/>
          <w:shd w:val="clear" w:color="auto" w:fill="FFFFFF"/>
          <w:lang w:val="en-US" w:eastAsia="zh-CN"/>
        </w:rPr>
        <w:t>3.68</w:t>
      </w:r>
      <w:r>
        <w:rPr>
          <w:rFonts w:hint="default" w:ascii="Times New Roman" w:hAnsi="Times New Roman" w:cs="Times New Roman"/>
          <w:color w:val="000000"/>
          <w:kern w:val="0"/>
          <w:szCs w:val="32"/>
          <w:highlight w:val="none"/>
          <w:shd w:val="clear" w:color="auto" w:fill="FFFFFF"/>
          <w:lang w:val="zh-CN" w:eastAsia="zh-CN"/>
        </w:rPr>
        <w:t>分。</w:t>
      </w:r>
    </w:p>
    <w:p w14:paraId="7E4D4D3A">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4）</w:t>
      </w:r>
      <w:r>
        <w:rPr>
          <w:rFonts w:hint="default" w:ascii="Times New Roman" w:hAnsi="Times New Roman" w:cs="Times New Roman"/>
          <w:color w:val="000000"/>
          <w:kern w:val="0"/>
          <w:szCs w:val="32"/>
          <w:highlight w:val="none"/>
          <w:shd w:val="clear" w:color="auto" w:fill="FFFFFF"/>
          <w:lang w:val="zh-CN"/>
        </w:rPr>
        <w:t>预算年终结余</w:t>
      </w:r>
    </w:p>
    <w:p w14:paraId="0FCC2D51">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highlight w:val="none"/>
          <w:lang w:val="en-US" w:eastAsia="zh-CN"/>
        </w:rPr>
      </w:pPr>
      <w:r>
        <w:rPr>
          <w:rFonts w:hint="default" w:ascii="Times New Roman" w:hAnsi="Times New Roman" w:cs="Times New Roman"/>
          <w:color w:val="000000"/>
          <w:kern w:val="0"/>
          <w:szCs w:val="32"/>
          <w:shd w:val="clear" w:color="auto" w:fill="FFFFFF"/>
          <w:lang w:val="en-US" w:eastAsia="zh-CN"/>
        </w:rPr>
        <w:t>2025年我单位预算注销金额和结转金</w:t>
      </w:r>
      <w:r>
        <w:rPr>
          <w:rFonts w:hint="default" w:ascii="Times New Roman" w:hAnsi="Times New Roman" w:cs="Times New Roman"/>
          <w:color w:val="000000"/>
          <w:kern w:val="0"/>
          <w:szCs w:val="32"/>
          <w:highlight w:val="none"/>
          <w:shd w:val="clear" w:color="auto" w:fill="FFFFFF"/>
          <w:lang w:val="en-US" w:eastAsia="zh-CN"/>
        </w:rPr>
        <w:t>额1,680.20万元，</w:t>
      </w:r>
      <w:r>
        <w:rPr>
          <w:rFonts w:hint="default" w:ascii="Times New Roman" w:hAnsi="Times New Roman" w:cs="Times New Roman"/>
          <w:color w:val="000000"/>
          <w:kern w:val="0"/>
          <w:szCs w:val="32"/>
          <w:shd w:val="clear" w:color="auto" w:fill="FFFFFF"/>
          <w:lang w:val="zh-CN" w:eastAsia="zh-CN"/>
        </w:rPr>
        <w:t>全年预算数为55</w:t>
      </w:r>
      <w:r>
        <w:rPr>
          <w:rFonts w:hint="default" w:ascii="Times New Roman" w:hAnsi="Times New Roman" w:cs="Times New Roman"/>
          <w:color w:val="000000"/>
          <w:kern w:val="0"/>
          <w:szCs w:val="32"/>
          <w:shd w:val="clear" w:color="auto" w:fill="FFFFFF"/>
          <w:lang w:val="en-US" w:eastAsia="zh-CN"/>
        </w:rPr>
        <w:t>,</w:t>
      </w:r>
      <w:r>
        <w:rPr>
          <w:rFonts w:hint="default" w:ascii="Times New Roman" w:hAnsi="Times New Roman" w:cs="Times New Roman"/>
          <w:color w:val="000000"/>
          <w:kern w:val="0"/>
          <w:szCs w:val="32"/>
          <w:shd w:val="clear" w:color="auto" w:fill="FFFFFF"/>
          <w:lang w:val="zh-CN" w:eastAsia="zh-CN"/>
        </w:rPr>
        <w:t>430</w:t>
      </w:r>
      <w:r>
        <w:rPr>
          <w:rFonts w:hint="default" w:ascii="Times New Roman" w:hAnsi="Times New Roman" w:cs="Times New Roman"/>
          <w:color w:val="000000"/>
          <w:kern w:val="0"/>
          <w:szCs w:val="32"/>
          <w:shd w:val="clear" w:color="auto" w:fill="FFFFFF"/>
          <w:lang w:val="en-US" w:eastAsia="zh-CN"/>
        </w:rPr>
        <w:t>.</w:t>
      </w:r>
      <w:r>
        <w:rPr>
          <w:rFonts w:hint="default" w:ascii="Times New Roman" w:hAnsi="Times New Roman" w:cs="Times New Roman"/>
          <w:color w:val="000000"/>
          <w:kern w:val="0"/>
          <w:szCs w:val="32"/>
          <w:shd w:val="clear" w:color="auto" w:fill="FFFFFF"/>
          <w:lang w:val="zh-CN" w:eastAsia="zh-CN"/>
        </w:rPr>
        <w:t>5</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eastAsia="zh-CN"/>
        </w:rPr>
        <w:t>万元，</w:t>
      </w:r>
      <w:r>
        <w:rPr>
          <w:rFonts w:hint="default" w:ascii="Times New Roman" w:hAnsi="Times New Roman" w:cs="Times New Roman"/>
          <w:color w:val="000000"/>
          <w:kern w:val="0"/>
          <w:szCs w:val="32"/>
          <w:highlight w:val="none"/>
          <w:shd w:val="clear" w:color="auto" w:fill="FFFFFF"/>
          <w:lang w:val="en-US" w:eastAsia="zh-CN"/>
        </w:rPr>
        <w:t>预算结余率为3.03%。</w:t>
      </w:r>
    </w:p>
    <w:p w14:paraId="349A2D1A">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en-US"/>
        </w:rPr>
      </w:pPr>
      <w:r>
        <w:rPr>
          <w:rFonts w:hint="default" w:ascii="Times New Roman" w:hAnsi="Times New Roman" w:cs="Times New Roman"/>
          <w:color w:val="000000"/>
          <w:kern w:val="0"/>
          <w:szCs w:val="32"/>
          <w:shd w:val="clear" w:color="auto" w:fill="FFFFFF"/>
          <w:lang w:val="zh-CN" w:eastAsia="zh-CN"/>
        </w:rPr>
        <w:t>根据评分标准，</w:t>
      </w:r>
      <w:r>
        <w:rPr>
          <w:rFonts w:hint="default" w:ascii="Times New Roman" w:hAnsi="Times New Roman" w:cs="Times New Roman"/>
          <w:color w:val="000000"/>
          <w:kern w:val="0"/>
          <w:szCs w:val="32"/>
          <w:shd w:val="clear" w:color="auto" w:fill="FFFFFF"/>
          <w:lang w:val="zh-CN"/>
        </w:rPr>
        <w:t>该项</w:t>
      </w:r>
      <w:r>
        <w:rPr>
          <w:rFonts w:hint="default" w:ascii="Times New Roman" w:hAnsi="Times New Roman" w:cs="Times New Roman"/>
          <w:color w:val="000000"/>
          <w:kern w:val="0"/>
          <w:szCs w:val="32"/>
          <w:shd w:val="clear" w:color="auto" w:fill="FFFFFF"/>
          <w:lang w:val="en-US" w:eastAsia="zh-CN"/>
        </w:rPr>
        <w:t>指标扣0.06</w:t>
      </w:r>
      <w:r>
        <w:rPr>
          <w:rFonts w:hint="default" w:ascii="Times New Roman" w:hAnsi="Times New Roman" w:cs="Times New Roman"/>
          <w:color w:val="000000"/>
          <w:kern w:val="0"/>
          <w:szCs w:val="32"/>
          <w:shd w:val="clear" w:color="auto" w:fill="FFFFFF"/>
          <w:lang w:val="zh-CN"/>
        </w:rPr>
        <w:t>分，</w:t>
      </w:r>
      <w:r>
        <w:rPr>
          <w:rFonts w:hint="default" w:ascii="Times New Roman" w:hAnsi="Times New Roman" w:cs="Times New Roman"/>
          <w:color w:val="000000"/>
          <w:kern w:val="0"/>
          <w:szCs w:val="32"/>
          <w:shd w:val="clear" w:color="auto" w:fill="FFFFFF"/>
          <w:lang w:val="zh-CN" w:eastAsia="zh-CN"/>
        </w:rPr>
        <w:t>得</w:t>
      </w:r>
      <w:r>
        <w:rPr>
          <w:rFonts w:hint="default" w:ascii="Times New Roman" w:hAnsi="Times New Roman" w:cs="Times New Roman"/>
          <w:color w:val="000000"/>
          <w:kern w:val="0"/>
          <w:szCs w:val="32"/>
          <w:shd w:val="clear" w:color="auto" w:fill="FFFFFF"/>
          <w:lang w:val="en-US" w:eastAsia="zh-CN"/>
        </w:rPr>
        <w:t>1.94</w:t>
      </w:r>
      <w:r>
        <w:rPr>
          <w:rFonts w:hint="default" w:ascii="Times New Roman" w:hAnsi="Times New Roman" w:cs="Times New Roman"/>
          <w:color w:val="000000"/>
          <w:kern w:val="0"/>
          <w:szCs w:val="32"/>
          <w:shd w:val="clear" w:color="auto" w:fill="FFFFFF"/>
          <w:lang w:val="zh-CN" w:eastAsia="zh-CN"/>
        </w:rPr>
        <w:t>分。</w:t>
      </w:r>
    </w:p>
    <w:p w14:paraId="4740F731">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5）</w:t>
      </w:r>
      <w:r>
        <w:rPr>
          <w:rFonts w:hint="default" w:ascii="Times New Roman" w:hAnsi="Times New Roman" w:cs="Times New Roman"/>
          <w:color w:val="000000"/>
          <w:kern w:val="0"/>
          <w:szCs w:val="32"/>
          <w:shd w:val="clear" w:color="auto" w:fill="FFFFFF"/>
          <w:lang w:val="zh-CN"/>
        </w:rPr>
        <w:t>严控一般性支出</w:t>
      </w:r>
    </w:p>
    <w:p w14:paraId="0F5F6D6F">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b/>
          <w:bCs/>
          <w:color w:val="000000"/>
          <w:kern w:val="60"/>
          <w:sz w:val="28"/>
          <w:szCs w:val="28"/>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我单位</w:t>
      </w:r>
      <w:r>
        <w:rPr>
          <w:rFonts w:hint="default" w:ascii="Times New Roman" w:hAnsi="Times New Roman" w:cs="Times New Roman"/>
          <w:color w:val="000000"/>
          <w:kern w:val="0"/>
          <w:szCs w:val="32"/>
          <w:highlight w:val="none"/>
          <w:shd w:val="clear" w:color="auto" w:fill="FFFFFF"/>
          <w:lang w:val="zh-CN" w:eastAsia="zh-CN"/>
        </w:rPr>
        <w:t>“三公”经费、会议、培训、差旅、办节办展、办公设备购置、信息网络及软件购置更新经费、课题经费等</w:t>
      </w:r>
      <w:r>
        <w:rPr>
          <w:rFonts w:hint="default" w:ascii="Times New Roman" w:hAnsi="Times New Roman" w:cs="Times New Roman"/>
          <w:color w:val="000000"/>
          <w:kern w:val="0"/>
          <w:szCs w:val="32"/>
          <w:highlight w:val="none"/>
          <w:shd w:val="clear" w:color="auto" w:fill="FFFFFF"/>
          <w:lang w:val="en-US" w:eastAsia="zh-CN"/>
        </w:rPr>
        <w:t>8</w:t>
      </w:r>
      <w:r>
        <w:rPr>
          <w:rFonts w:hint="default" w:ascii="Times New Roman" w:hAnsi="Times New Roman" w:cs="Times New Roman"/>
          <w:color w:val="000000"/>
          <w:kern w:val="0"/>
          <w:szCs w:val="32"/>
          <w:highlight w:val="none"/>
          <w:shd w:val="clear" w:color="auto" w:fill="FFFFFF"/>
          <w:lang w:val="zh-CN" w:eastAsia="zh-CN"/>
        </w:rPr>
        <w:t>项一般性支出情况</w:t>
      </w:r>
      <w:r>
        <w:rPr>
          <w:rFonts w:hint="default" w:ascii="Times New Roman" w:hAnsi="Times New Roman" w:cs="Times New Roman"/>
          <w:color w:val="000000"/>
          <w:kern w:val="0"/>
          <w:szCs w:val="32"/>
          <w:highlight w:val="none"/>
          <w:shd w:val="clear" w:color="auto" w:fill="FFFFFF"/>
          <w:lang w:val="en-US" w:eastAsia="zh-CN"/>
        </w:rPr>
        <w:t>详见下表31。</w:t>
      </w:r>
    </w:p>
    <w:p w14:paraId="3E858A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562" w:firstLineChars="200"/>
        <w:contextualSpacing/>
        <w:jc w:val="center"/>
        <w:textAlignment w:val="auto"/>
        <w:outlineLvl w:val="9"/>
        <w:rPr>
          <w:rFonts w:hint="default" w:ascii="Times New Roman" w:hAnsi="Times New Roman" w:cs="Times New Roman"/>
          <w:b/>
          <w:bCs/>
          <w:color w:val="000000"/>
          <w:kern w:val="60"/>
          <w:sz w:val="28"/>
          <w:szCs w:val="28"/>
          <w:highlight w:val="none"/>
          <w:shd w:val="clear" w:color="auto" w:fill="FFFFFF"/>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 xml:space="preserve">表31 </w:t>
      </w:r>
      <w:r>
        <w:rPr>
          <w:rFonts w:hint="default" w:ascii="Times New Roman" w:hAnsi="Times New Roman" w:cs="Times New Roman"/>
          <w:b/>
          <w:bCs/>
          <w:color w:val="000000"/>
          <w:kern w:val="60"/>
          <w:sz w:val="28"/>
          <w:szCs w:val="28"/>
          <w:highlight w:val="none"/>
          <w:shd w:val="clear" w:color="auto" w:fill="FFFFFF"/>
          <w:lang w:val="zh-CN"/>
        </w:rPr>
        <w:t>一般性支出情况</w:t>
      </w:r>
      <w:r>
        <w:rPr>
          <w:rFonts w:hint="default" w:ascii="Times New Roman" w:hAnsi="Times New Roman" w:cs="Times New Roman"/>
          <w:b/>
          <w:bCs/>
          <w:color w:val="000000"/>
          <w:kern w:val="60"/>
          <w:sz w:val="28"/>
          <w:szCs w:val="28"/>
          <w:highlight w:val="none"/>
          <w:shd w:val="clear" w:color="auto" w:fill="FFFFFF"/>
          <w:lang w:val="en-US" w:eastAsia="zh-CN"/>
        </w:rPr>
        <w:t>表</w:t>
      </w:r>
    </w:p>
    <w:p w14:paraId="62CF010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right"/>
        <w:textAlignment w:val="auto"/>
        <w:outlineLvl w:val="9"/>
        <w:rPr>
          <w:rFonts w:hint="default" w:ascii="Times New Roman" w:hAnsi="Times New Roman" w:eastAsia="楷体_GB2312" w:cs="Times New Roman"/>
          <w:color w:val="000000"/>
          <w:kern w:val="60"/>
          <w:szCs w:val="32"/>
          <w:highlight w:val="none"/>
          <w:shd w:val="clear" w:color="auto" w:fill="FFFFFF"/>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单位：万元</w:t>
      </w:r>
    </w:p>
    <w:tbl>
      <w:tblPr>
        <w:tblStyle w:val="39"/>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515"/>
        <w:gridCol w:w="1428"/>
        <w:gridCol w:w="1476"/>
        <w:gridCol w:w="1068"/>
        <w:gridCol w:w="1392"/>
        <w:gridCol w:w="1344"/>
        <w:gridCol w:w="1208"/>
      </w:tblGrid>
      <w:tr w14:paraId="3769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2" w:type="dxa"/>
            <w:vMerge w:val="restart"/>
            <w:shd w:val="clear" w:color="auto" w:fill="D7D7D7" w:themeFill="background1" w:themeFillShade="D8"/>
            <w:vAlign w:val="center"/>
          </w:tcPr>
          <w:p w14:paraId="55227B5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序号</w:t>
            </w:r>
          </w:p>
        </w:tc>
        <w:tc>
          <w:tcPr>
            <w:tcW w:w="1515" w:type="dxa"/>
            <w:vMerge w:val="restart"/>
            <w:shd w:val="clear" w:color="auto" w:fill="D7D7D7" w:themeFill="background1" w:themeFillShade="D8"/>
            <w:vAlign w:val="center"/>
          </w:tcPr>
          <w:p w14:paraId="42E0CC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项目名称</w:t>
            </w:r>
          </w:p>
        </w:tc>
        <w:tc>
          <w:tcPr>
            <w:tcW w:w="1428" w:type="dxa"/>
            <w:shd w:val="clear" w:color="auto" w:fill="D7D7D7" w:themeFill="background1" w:themeFillShade="D8"/>
            <w:vAlign w:val="center"/>
          </w:tcPr>
          <w:p w14:paraId="3E8B96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2024年</w:t>
            </w:r>
          </w:p>
        </w:tc>
        <w:tc>
          <w:tcPr>
            <w:tcW w:w="1476" w:type="dxa"/>
            <w:shd w:val="clear" w:color="auto" w:fill="D7D7D7" w:themeFill="background1" w:themeFillShade="D8"/>
            <w:vAlign w:val="center"/>
          </w:tcPr>
          <w:p w14:paraId="635281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2025年</w:t>
            </w:r>
          </w:p>
        </w:tc>
        <w:tc>
          <w:tcPr>
            <w:tcW w:w="1068" w:type="dxa"/>
            <w:vMerge w:val="restart"/>
            <w:shd w:val="clear" w:color="auto" w:fill="D7D7D7" w:themeFill="background1" w:themeFillShade="D8"/>
            <w:vAlign w:val="center"/>
          </w:tcPr>
          <w:p w14:paraId="5F300CE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变动情况</w:t>
            </w:r>
          </w:p>
        </w:tc>
        <w:tc>
          <w:tcPr>
            <w:tcW w:w="1392" w:type="dxa"/>
            <w:shd w:val="clear" w:color="auto" w:fill="D7D7D7" w:themeFill="background1" w:themeFillShade="D8"/>
            <w:vAlign w:val="center"/>
          </w:tcPr>
          <w:p w14:paraId="5319BD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2024年</w:t>
            </w:r>
          </w:p>
        </w:tc>
        <w:tc>
          <w:tcPr>
            <w:tcW w:w="1344" w:type="dxa"/>
            <w:shd w:val="clear" w:color="auto" w:fill="D7D7D7" w:themeFill="background1" w:themeFillShade="D8"/>
            <w:vAlign w:val="center"/>
          </w:tcPr>
          <w:p w14:paraId="40BBD4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2025年</w:t>
            </w:r>
          </w:p>
        </w:tc>
        <w:tc>
          <w:tcPr>
            <w:tcW w:w="1208" w:type="dxa"/>
            <w:vMerge w:val="restart"/>
            <w:shd w:val="clear" w:color="auto" w:fill="D7D7D7" w:themeFill="background1" w:themeFillShade="D8"/>
            <w:vAlign w:val="center"/>
          </w:tcPr>
          <w:p w14:paraId="03E6F8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变动情况</w:t>
            </w:r>
          </w:p>
        </w:tc>
      </w:tr>
      <w:tr w14:paraId="5BAF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12" w:type="dxa"/>
            <w:vMerge w:val="continue"/>
            <w:shd w:val="clear" w:color="auto" w:fill="D7D7D7" w:themeFill="background1" w:themeFillShade="D8"/>
            <w:vAlign w:val="center"/>
          </w:tcPr>
          <w:p w14:paraId="560159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4"/>
                <w:szCs w:val="24"/>
              </w:rPr>
            </w:pPr>
          </w:p>
        </w:tc>
        <w:tc>
          <w:tcPr>
            <w:tcW w:w="1515" w:type="dxa"/>
            <w:vMerge w:val="continue"/>
            <w:shd w:val="clear" w:color="auto" w:fill="D7D7D7" w:themeFill="background1" w:themeFillShade="D8"/>
            <w:vAlign w:val="center"/>
          </w:tcPr>
          <w:p w14:paraId="07FCED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4"/>
                <w:szCs w:val="24"/>
              </w:rPr>
            </w:pPr>
          </w:p>
        </w:tc>
        <w:tc>
          <w:tcPr>
            <w:tcW w:w="1428" w:type="dxa"/>
            <w:shd w:val="clear" w:color="auto" w:fill="D7D7D7" w:themeFill="background1" w:themeFillShade="D8"/>
            <w:vAlign w:val="center"/>
          </w:tcPr>
          <w:p w14:paraId="6AE02F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财政拨款年初预算数</w:t>
            </w:r>
          </w:p>
        </w:tc>
        <w:tc>
          <w:tcPr>
            <w:tcW w:w="1476" w:type="dxa"/>
            <w:shd w:val="clear" w:color="auto" w:fill="D7D7D7" w:themeFill="background1" w:themeFillShade="D8"/>
            <w:vAlign w:val="center"/>
          </w:tcPr>
          <w:p w14:paraId="7C8D7A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财政拨款年初预算数</w:t>
            </w:r>
          </w:p>
        </w:tc>
        <w:tc>
          <w:tcPr>
            <w:tcW w:w="1068" w:type="dxa"/>
            <w:vMerge w:val="continue"/>
            <w:shd w:val="clear" w:color="auto" w:fill="D7D7D7" w:themeFill="background1" w:themeFillShade="D8"/>
            <w:vAlign w:val="center"/>
          </w:tcPr>
          <w:p w14:paraId="0DA5F5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p>
        </w:tc>
        <w:tc>
          <w:tcPr>
            <w:tcW w:w="1392" w:type="dxa"/>
            <w:shd w:val="clear" w:color="auto" w:fill="D7D7D7" w:themeFill="background1" w:themeFillShade="D8"/>
            <w:vAlign w:val="center"/>
          </w:tcPr>
          <w:p w14:paraId="083E469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财政拨款预算执行数</w:t>
            </w:r>
          </w:p>
        </w:tc>
        <w:tc>
          <w:tcPr>
            <w:tcW w:w="1344" w:type="dxa"/>
            <w:shd w:val="clear" w:color="auto" w:fill="D7D7D7" w:themeFill="background1" w:themeFillShade="D8"/>
            <w:vAlign w:val="center"/>
          </w:tcPr>
          <w:p w14:paraId="025112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r>
              <w:rPr>
                <w:rFonts w:hint="default" w:ascii="Times New Roman" w:hAnsi="Times New Roman" w:cs="Times New Roman"/>
                <w:b/>
                <w:color w:val="000000"/>
                <w:kern w:val="60"/>
                <w:sz w:val="24"/>
                <w:szCs w:val="24"/>
                <w:highlight w:val="none"/>
                <w:shd w:val="clear" w:color="auto" w:fill="FFFFFF"/>
                <w:vertAlign w:val="baseline"/>
                <w:lang w:val="en-US" w:eastAsia="zh-CN"/>
              </w:rPr>
              <w:t>财政拨款预算执行数</w:t>
            </w:r>
          </w:p>
        </w:tc>
        <w:tc>
          <w:tcPr>
            <w:tcW w:w="1208" w:type="dxa"/>
            <w:vMerge w:val="continue"/>
            <w:vAlign w:val="center"/>
          </w:tcPr>
          <w:p w14:paraId="438F53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4"/>
                <w:szCs w:val="24"/>
                <w:highlight w:val="none"/>
                <w:shd w:val="clear" w:color="auto" w:fill="FFFFFF"/>
                <w:vertAlign w:val="baseline"/>
                <w:lang w:val="en-US" w:eastAsia="zh-CN"/>
              </w:rPr>
            </w:pPr>
          </w:p>
        </w:tc>
      </w:tr>
      <w:tr w14:paraId="2AFB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12" w:type="dxa"/>
            <w:vAlign w:val="center"/>
          </w:tcPr>
          <w:p w14:paraId="392127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1</w:t>
            </w:r>
          </w:p>
        </w:tc>
        <w:tc>
          <w:tcPr>
            <w:tcW w:w="1515" w:type="dxa"/>
            <w:vAlign w:val="center"/>
          </w:tcPr>
          <w:p w14:paraId="48A1F8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“三公”经费</w:t>
            </w:r>
          </w:p>
        </w:tc>
        <w:tc>
          <w:tcPr>
            <w:tcW w:w="1428" w:type="dxa"/>
            <w:vAlign w:val="center"/>
          </w:tcPr>
          <w:p w14:paraId="6C8B62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313.53</w:t>
            </w:r>
          </w:p>
        </w:tc>
        <w:tc>
          <w:tcPr>
            <w:tcW w:w="1476" w:type="dxa"/>
            <w:vAlign w:val="center"/>
          </w:tcPr>
          <w:p w14:paraId="464CD80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368.86</w:t>
            </w:r>
          </w:p>
        </w:tc>
        <w:tc>
          <w:tcPr>
            <w:tcW w:w="1068" w:type="dxa"/>
            <w:vAlign w:val="center"/>
          </w:tcPr>
          <w:p w14:paraId="38EE0C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增加</w:t>
            </w:r>
          </w:p>
        </w:tc>
        <w:tc>
          <w:tcPr>
            <w:tcW w:w="1392" w:type="dxa"/>
            <w:vAlign w:val="center"/>
          </w:tcPr>
          <w:p w14:paraId="4E5BDD4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207.71</w:t>
            </w:r>
          </w:p>
        </w:tc>
        <w:tc>
          <w:tcPr>
            <w:tcW w:w="1344" w:type="dxa"/>
            <w:vAlign w:val="center"/>
          </w:tcPr>
          <w:p w14:paraId="701D86F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253.05</w:t>
            </w:r>
          </w:p>
        </w:tc>
        <w:tc>
          <w:tcPr>
            <w:tcW w:w="1208" w:type="dxa"/>
            <w:vAlign w:val="center"/>
          </w:tcPr>
          <w:p w14:paraId="206175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增加</w:t>
            </w:r>
          </w:p>
        </w:tc>
      </w:tr>
      <w:tr w14:paraId="561C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dxa"/>
            <w:vAlign w:val="center"/>
          </w:tcPr>
          <w:p w14:paraId="268C05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w:t>
            </w:r>
          </w:p>
        </w:tc>
        <w:tc>
          <w:tcPr>
            <w:tcW w:w="1515" w:type="dxa"/>
            <w:vAlign w:val="center"/>
          </w:tcPr>
          <w:p w14:paraId="51A2D0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会议经费</w:t>
            </w:r>
          </w:p>
        </w:tc>
        <w:tc>
          <w:tcPr>
            <w:tcW w:w="1428" w:type="dxa"/>
            <w:vAlign w:val="center"/>
          </w:tcPr>
          <w:p w14:paraId="3D4F24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30.00</w:t>
            </w:r>
          </w:p>
        </w:tc>
        <w:tc>
          <w:tcPr>
            <w:tcW w:w="1476" w:type="dxa"/>
            <w:vAlign w:val="center"/>
          </w:tcPr>
          <w:p w14:paraId="368A93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068" w:type="dxa"/>
            <w:vAlign w:val="center"/>
          </w:tcPr>
          <w:p w14:paraId="098816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c>
          <w:tcPr>
            <w:tcW w:w="1392" w:type="dxa"/>
            <w:vAlign w:val="center"/>
          </w:tcPr>
          <w:p w14:paraId="3F52E8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42.65</w:t>
            </w:r>
          </w:p>
        </w:tc>
        <w:tc>
          <w:tcPr>
            <w:tcW w:w="1344" w:type="dxa"/>
            <w:vAlign w:val="center"/>
          </w:tcPr>
          <w:p w14:paraId="0D685D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2.21</w:t>
            </w:r>
          </w:p>
        </w:tc>
        <w:tc>
          <w:tcPr>
            <w:tcW w:w="1208" w:type="dxa"/>
            <w:vAlign w:val="center"/>
          </w:tcPr>
          <w:p w14:paraId="593D9B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r>
      <w:tr w14:paraId="41A1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vAlign w:val="center"/>
          </w:tcPr>
          <w:p w14:paraId="5CD332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3</w:t>
            </w:r>
          </w:p>
        </w:tc>
        <w:tc>
          <w:tcPr>
            <w:tcW w:w="1515" w:type="dxa"/>
            <w:vAlign w:val="center"/>
          </w:tcPr>
          <w:p w14:paraId="482F57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培训经费</w:t>
            </w:r>
          </w:p>
        </w:tc>
        <w:tc>
          <w:tcPr>
            <w:tcW w:w="1428" w:type="dxa"/>
            <w:vAlign w:val="center"/>
          </w:tcPr>
          <w:p w14:paraId="0C0F66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263.63</w:t>
            </w:r>
          </w:p>
        </w:tc>
        <w:tc>
          <w:tcPr>
            <w:tcW w:w="1476" w:type="dxa"/>
            <w:vAlign w:val="center"/>
          </w:tcPr>
          <w:p w14:paraId="55A918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240.72</w:t>
            </w:r>
          </w:p>
        </w:tc>
        <w:tc>
          <w:tcPr>
            <w:tcW w:w="1068" w:type="dxa"/>
            <w:vAlign w:val="center"/>
          </w:tcPr>
          <w:p w14:paraId="172BE6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c>
          <w:tcPr>
            <w:tcW w:w="1392" w:type="dxa"/>
            <w:vAlign w:val="center"/>
          </w:tcPr>
          <w:p w14:paraId="7284128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399.52</w:t>
            </w:r>
          </w:p>
        </w:tc>
        <w:tc>
          <w:tcPr>
            <w:tcW w:w="1344" w:type="dxa"/>
            <w:vAlign w:val="center"/>
          </w:tcPr>
          <w:p w14:paraId="2924F38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406.02</w:t>
            </w:r>
          </w:p>
        </w:tc>
        <w:tc>
          <w:tcPr>
            <w:tcW w:w="1208" w:type="dxa"/>
            <w:vAlign w:val="center"/>
          </w:tcPr>
          <w:p w14:paraId="13C5EC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增加</w:t>
            </w:r>
          </w:p>
        </w:tc>
      </w:tr>
      <w:tr w14:paraId="154D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vAlign w:val="center"/>
          </w:tcPr>
          <w:p w14:paraId="6DF0D6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w:t>
            </w:r>
          </w:p>
        </w:tc>
        <w:tc>
          <w:tcPr>
            <w:tcW w:w="1515" w:type="dxa"/>
            <w:vAlign w:val="center"/>
          </w:tcPr>
          <w:p w14:paraId="6DB56A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差旅经费</w:t>
            </w:r>
          </w:p>
        </w:tc>
        <w:tc>
          <w:tcPr>
            <w:tcW w:w="1428" w:type="dxa"/>
            <w:vAlign w:val="center"/>
          </w:tcPr>
          <w:p w14:paraId="18FB2D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442.22</w:t>
            </w:r>
          </w:p>
        </w:tc>
        <w:tc>
          <w:tcPr>
            <w:tcW w:w="1476" w:type="dxa"/>
            <w:vAlign w:val="center"/>
          </w:tcPr>
          <w:p w14:paraId="6D83EB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457.26</w:t>
            </w:r>
          </w:p>
        </w:tc>
        <w:tc>
          <w:tcPr>
            <w:tcW w:w="1068" w:type="dxa"/>
            <w:vAlign w:val="center"/>
          </w:tcPr>
          <w:p w14:paraId="7BAA985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增加</w:t>
            </w:r>
          </w:p>
        </w:tc>
        <w:tc>
          <w:tcPr>
            <w:tcW w:w="1392" w:type="dxa"/>
            <w:vAlign w:val="center"/>
          </w:tcPr>
          <w:p w14:paraId="37A7CC7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502.04</w:t>
            </w:r>
          </w:p>
        </w:tc>
        <w:tc>
          <w:tcPr>
            <w:tcW w:w="1344" w:type="dxa"/>
            <w:vAlign w:val="center"/>
          </w:tcPr>
          <w:p w14:paraId="08AB10D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474.37</w:t>
            </w:r>
          </w:p>
        </w:tc>
        <w:tc>
          <w:tcPr>
            <w:tcW w:w="1208" w:type="dxa"/>
            <w:vAlign w:val="center"/>
          </w:tcPr>
          <w:p w14:paraId="14A314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r>
      <w:tr w14:paraId="4DEB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dxa"/>
            <w:vAlign w:val="center"/>
          </w:tcPr>
          <w:p w14:paraId="7F36C3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5</w:t>
            </w:r>
          </w:p>
        </w:tc>
        <w:tc>
          <w:tcPr>
            <w:tcW w:w="1515" w:type="dxa"/>
            <w:vAlign w:val="center"/>
          </w:tcPr>
          <w:p w14:paraId="6747557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办节办展</w:t>
            </w:r>
          </w:p>
          <w:p w14:paraId="2F8036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经费</w:t>
            </w:r>
          </w:p>
        </w:tc>
        <w:tc>
          <w:tcPr>
            <w:tcW w:w="1428" w:type="dxa"/>
            <w:vAlign w:val="center"/>
          </w:tcPr>
          <w:p w14:paraId="4212DD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476" w:type="dxa"/>
            <w:shd w:val="clear" w:color="auto" w:fill="auto"/>
            <w:vAlign w:val="center"/>
          </w:tcPr>
          <w:p w14:paraId="180371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068" w:type="dxa"/>
            <w:vAlign w:val="center"/>
          </w:tcPr>
          <w:p w14:paraId="051101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持平</w:t>
            </w:r>
          </w:p>
        </w:tc>
        <w:tc>
          <w:tcPr>
            <w:tcW w:w="1392" w:type="dxa"/>
            <w:vAlign w:val="center"/>
          </w:tcPr>
          <w:p w14:paraId="4457E2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344" w:type="dxa"/>
            <w:shd w:val="clear" w:color="auto" w:fill="auto"/>
            <w:vAlign w:val="center"/>
          </w:tcPr>
          <w:p w14:paraId="16C29E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208" w:type="dxa"/>
            <w:vAlign w:val="center"/>
          </w:tcPr>
          <w:p w14:paraId="04512B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持平</w:t>
            </w:r>
          </w:p>
        </w:tc>
      </w:tr>
      <w:tr w14:paraId="45AB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dxa"/>
            <w:vAlign w:val="center"/>
          </w:tcPr>
          <w:p w14:paraId="63762D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6</w:t>
            </w:r>
          </w:p>
        </w:tc>
        <w:tc>
          <w:tcPr>
            <w:tcW w:w="1515" w:type="dxa"/>
            <w:vAlign w:val="center"/>
          </w:tcPr>
          <w:p w14:paraId="6E5BC9F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办公设备</w:t>
            </w:r>
          </w:p>
          <w:p w14:paraId="25D445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购置经费</w:t>
            </w:r>
          </w:p>
        </w:tc>
        <w:tc>
          <w:tcPr>
            <w:tcW w:w="1428" w:type="dxa"/>
            <w:vAlign w:val="center"/>
          </w:tcPr>
          <w:p w14:paraId="30489A8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22.38</w:t>
            </w:r>
          </w:p>
        </w:tc>
        <w:tc>
          <w:tcPr>
            <w:tcW w:w="1476" w:type="dxa"/>
            <w:vAlign w:val="center"/>
          </w:tcPr>
          <w:p w14:paraId="2E2D4D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5.50</w:t>
            </w:r>
          </w:p>
        </w:tc>
        <w:tc>
          <w:tcPr>
            <w:tcW w:w="1068" w:type="dxa"/>
            <w:vAlign w:val="center"/>
          </w:tcPr>
          <w:p w14:paraId="7CA370B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c>
          <w:tcPr>
            <w:tcW w:w="1392" w:type="dxa"/>
            <w:vAlign w:val="center"/>
          </w:tcPr>
          <w:p w14:paraId="03570C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48.86</w:t>
            </w:r>
          </w:p>
        </w:tc>
        <w:tc>
          <w:tcPr>
            <w:tcW w:w="1344" w:type="dxa"/>
            <w:vAlign w:val="center"/>
          </w:tcPr>
          <w:p w14:paraId="1D06C5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12.84</w:t>
            </w:r>
          </w:p>
        </w:tc>
        <w:tc>
          <w:tcPr>
            <w:tcW w:w="1208" w:type="dxa"/>
            <w:vAlign w:val="center"/>
          </w:tcPr>
          <w:p w14:paraId="1204396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r>
      <w:tr w14:paraId="4B40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dxa"/>
            <w:vAlign w:val="center"/>
          </w:tcPr>
          <w:p w14:paraId="573D09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7</w:t>
            </w:r>
          </w:p>
        </w:tc>
        <w:tc>
          <w:tcPr>
            <w:tcW w:w="1515" w:type="dxa"/>
            <w:vAlign w:val="center"/>
          </w:tcPr>
          <w:p w14:paraId="29FC49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信息网络及软件购置更新经费</w:t>
            </w:r>
          </w:p>
        </w:tc>
        <w:tc>
          <w:tcPr>
            <w:tcW w:w="1428" w:type="dxa"/>
            <w:vAlign w:val="center"/>
          </w:tcPr>
          <w:p w14:paraId="290E9A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476" w:type="dxa"/>
            <w:vAlign w:val="center"/>
          </w:tcPr>
          <w:p w14:paraId="7842A3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068" w:type="dxa"/>
            <w:vAlign w:val="center"/>
          </w:tcPr>
          <w:p w14:paraId="0AF538B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持平</w:t>
            </w:r>
          </w:p>
        </w:tc>
        <w:tc>
          <w:tcPr>
            <w:tcW w:w="1392" w:type="dxa"/>
            <w:vAlign w:val="center"/>
          </w:tcPr>
          <w:p w14:paraId="63821D0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756.03</w:t>
            </w:r>
          </w:p>
        </w:tc>
        <w:tc>
          <w:tcPr>
            <w:tcW w:w="1344" w:type="dxa"/>
            <w:vAlign w:val="center"/>
          </w:tcPr>
          <w:p w14:paraId="31F97EC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271.34</w:t>
            </w:r>
          </w:p>
        </w:tc>
        <w:tc>
          <w:tcPr>
            <w:tcW w:w="1208" w:type="dxa"/>
            <w:vAlign w:val="center"/>
          </w:tcPr>
          <w:p w14:paraId="17CCA58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r>
      <w:tr w14:paraId="2A3F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12" w:type="dxa"/>
            <w:vAlign w:val="center"/>
          </w:tcPr>
          <w:p w14:paraId="79FE7F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8</w:t>
            </w:r>
          </w:p>
        </w:tc>
        <w:tc>
          <w:tcPr>
            <w:tcW w:w="1515" w:type="dxa"/>
            <w:vAlign w:val="center"/>
          </w:tcPr>
          <w:p w14:paraId="7AC6DF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课题经费</w:t>
            </w:r>
          </w:p>
        </w:tc>
        <w:tc>
          <w:tcPr>
            <w:tcW w:w="1428" w:type="dxa"/>
            <w:vAlign w:val="center"/>
          </w:tcPr>
          <w:p w14:paraId="6688D8D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476" w:type="dxa"/>
            <w:shd w:val="clear" w:color="auto" w:fill="auto"/>
            <w:vAlign w:val="center"/>
          </w:tcPr>
          <w:p w14:paraId="0840C6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068" w:type="dxa"/>
            <w:vAlign w:val="center"/>
          </w:tcPr>
          <w:p w14:paraId="65D64ED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持平</w:t>
            </w:r>
          </w:p>
        </w:tc>
        <w:tc>
          <w:tcPr>
            <w:tcW w:w="1392" w:type="dxa"/>
            <w:vAlign w:val="center"/>
          </w:tcPr>
          <w:p w14:paraId="403153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344" w:type="dxa"/>
            <w:shd w:val="clear" w:color="auto" w:fill="auto"/>
            <w:vAlign w:val="center"/>
          </w:tcPr>
          <w:p w14:paraId="6B39A7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0.00</w:t>
            </w:r>
          </w:p>
        </w:tc>
        <w:tc>
          <w:tcPr>
            <w:tcW w:w="1208" w:type="dxa"/>
            <w:vAlign w:val="center"/>
          </w:tcPr>
          <w:p w14:paraId="15778D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color w:val="000000"/>
                <w:kern w:val="60"/>
                <w:sz w:val="24"/>
                <w:szCs w:val="24"/>
                <w:highlight w:val="none"/>
                <w:shd w:val="clear" w:color="auto" w:fill="FFFFFF"/>
                <w:vertAlign w:val="baseline"/>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rPr>
              <w:t>持平</w:t>
            </w:r>
          </w:p>
        </w:tc>
      </w:tr>
      <w:tr w14:paraId="216A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27" w:type="dxa"/>
            <w:gridSpan w:val="2"/>
            <w:vAlign w:val="center"/>
          </w:tcPr>
          <w:p w14:paraId="74054E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合计</w:t>
            </w:r>
          </w:p>
        </w:tc>
        <w:tc>
          <w:tcPr>
            <w:tcW w:w="1428" w:type="dxa"/>
            <w:shd w:val="clear" w:color="auto" w:fill="auto"/>
            <w:vAlign w:val="center"/>
          </w:tcPr>
          <w:p w14:paraId="0D8649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1,071.76</w:t>
            </w:r>
          </w:p>
        </w:tc>
        <w:tc>
          <w:tcPr>
            <w:tcW w:w="1476" w:type="dxa"/>
            <w:shd w:val="clear" w:color="auto" w:fill="auto"/>
            <w:vAlign w:val="center"/>
          </w:tcPr>
          <w:p w14:paraId="1BD4AC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1,072.34</w:t>
            </w:r>
          </w:p>
        </w:tc>
        <w:tc>
          <w:tcPr>
            <w:tcW w:w="1068" w:type="dxa"/>
            <w:shd w:val="clear" w:color="auto" w:fill="auto"/>
            <w:vAlign w:val="center"/>
          </w:tcPr>
          <w:p w14:paraId="1BE941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增加</w:t>
            </w:r>
          </w:p>
        </w:tc>
        <w:tc>
          <w:tcPr>
            <w:tcW w:w="1392" w:type="dxa"/>
            <w:shd w:val="clear" w:color="auto" w:fill="auto"/>
            <w:vAlign w:val="center"/>
          </w:tcPr>
          <w:p w14:paraId="16D066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1,956.81</w:t>
            </w:r>
          </w:p>
        </w:tc>
        <w:tc>
          <w:tcPr>
            <w:tcW w:w="1344" w:type="dxa"/>
            <w:shd w:val="clear" w:color="auto" w:fill="auto"/>
            <w:vAlign w:val="center"/>
          </w:tcPr>
          <w:p w14:paraId="0A04E22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bidi="ar-SA"/>
              </w:rPr>
              <w:t>1,419.83</w:t>
            </w:r>
          </w:p>
        </w:tc>
        <w:tc>
          <w:tcPr>
            <w:tcW w:w="1208" w:type="dxa"/>
            <w:shd w:val="clear" w:color="auto" w:fill="auto"/>
            <w:vAlign w:val="center"/>
          </w:tcPr>
          <w:p w14:paraId="70F64B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contextualSpacing/>
              <w:jc w:val="center"/>
              <w:textAlignment w:val="auto"/>
              <w:outlineLvl w:val="9"/>
              <w:rPr>
                <w:rFonts w:hint="default" w:ascii="Times New Roman" w:hAnsi="Times New Roman" w:eastAsia="仿宋_GB2312" w:cs="Times New Roman"/>
                <w:color w:val="000000"/>
                <w:kern w:val="60"/>
                <w:sz w:val="24"/>
                <w:szCs w:val="24"/>
                <w:highlight w:val="none"/>
                <w:shd w:val="clear" w:color="auto" w:fill="FFFFFF"/>
                <w:vertAlign w:val="baseline"/>
                <w:lang w:val="en-US" w:eastAsia="zh-CN" w:bidi="ar-SA"/>
              </w:rPr>
            </w:pPr>
            <w:r>
              <w:rPr>
                <w:rFonts w:hint="default" w:ascii="Times New Roman" w:hAnsi="Times New Roman" w:cs="Times New Roman"/>
                <w:color w:val="000000"/>
                <w:kern w:val="60"/>
                <w:sz w:val="24"/>
                <w:szCs w:val="24"/>
                <w:highlight w:val="none"/>
                <w:shd w:val="clear" w:color="auto" w:fill="FFFFFF"/>
                <w:vertAlign w:val="baseline"/>
                <w:lang w:val="en-US" w:eastAsia="zh-CN"/>
              </w:rPr>
              <w:t>减少</w:t>
            </w:r>
          </w:p>
        </w:tc>
      </w:tr>
    </w:tbl>
    <w:p w14:paraId="60ED91BA">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en-US" w:eastAsia="zh-CN"/>
        </w:rPr>
      </w:pPr>
      <w:r>
        <w:rPr>
          <w:rFonts w:hint="default" w:ascii="Times New Roman" w:hAnsi="Times New Roman" w:cs="Times New Roman"/>
          <w:kern w:val="60"/>
          <w:szCs w:val="32"/>
          <w:highlight w:val="none"/>
          <w:lang w:val="en-US" w:eastAsia="zh-CN"/>
        </w:rPr>
        <w:t>我单位2025年一般性支出财政拨款年初预算较2024年一般性支出财政拨款年初预算未实现压减；2025年一般性支出财政拨款预算执行较2024年一般性支出财政拨款预算执行实现压减，压减率27.44%。</w:t>
      </w:r>
    </w:p>
    <w:p w14:paraId="26DD4DE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eastAsia="zh-CN"/>
        </w:rPr>
      </w:pPr>
      <w:r>
        <w:rPr>
          <w:rFonts w:hint="default" w:ascii="Times New Roman" w:hAnsi="Times New Roman" w:cs="Times New Roman"/>
          <w:color w:val="000000"/>
          <w:kern w:val="0"/>
          <w:szCs w:val="32"/>
          <w:shd w:val="clear" w:color="auto" w:fill="FFFFFF"/>
          <w:lang w:val="zh-CN" w:eastAsia="zh-CN"/>
        </w:rPr>
        <w:t>综上，根据评分标准，该项指标扣</w:t>
      </w:r>
      <w:r>
        <w:rPr>
          <w:rFonts w:hint="default" w:ascii="Times New Roman" w:hAnsi="Times New Roman" w:cs="Times New Roman"/>
          <w:color w:val="000000"/>
          <w:kern w:val="0"/>
          <w:szCs w:val="32"/>
          <w:shd w:val="clear" w:color="auto" w:fill="FFFFFF"/>
          <w:lang w:val="en-US" w:eastAsia="zh-CN"/>
        </w:rPr>
        <w:t>2</w:t>
      </w:r>
      <w:r>
        <w:rPr>
          <w:rFonts w:hint="default" w:ascii="Times New Roman" w:hAnsi="Times New Roman" w:cs="Times New Roman"/>
          <w:color w:val="000000"/>
          <w:kern w:val="0"/>
          <w:szCs w:val="32"/>
          <w:shd w:val="clear" w:color="auto" w:fill="FFFFFF"/>
          <w:lang w:val="zh-CN" w:eastAsia="zh-CN"/>
        </w:rPr>
        <w:t>分，得</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eastAsia="zh-CN"/>
        </w:rPr>
        <w:t>分。</w:t>
      </w:r>
    </w:p>
    <w:p w14:paraId="100924F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zh-CN"/>
        </w:rPr>
      </w:pPr>
      <w:r>
        <w:rPr>
          <w:rFonts w:hint="default" w:ascii="Times New Roman" w:hAnsi="Times New Roman" w:eastAsia="楷体_GB2312" w:cs="Times New Roman"/>
          <w:color w:val="000000"/>
          <w:kern w:val="0"/>
          <w:szCs w:val="32"/>
          <w:shd w:val="clear" w:color="auto" w:fill="FFFFFF"/>
        </w:rPr>
        <w:t>3.</w:t>
      </w:r>
      <w:r>
        <w:rPr>
          <w:rFonts w:hint="default" w:ascii="Times New Roman" w:hAnsi="Times New Roman" w:eastAsia="楷体_GB2312" w:cs="Times New Roman"/>
          <w:color w:val="000000"/>
          <w:kern w:val="0"/>
          <w:szCs w:val="32"/>
          <w:shd w:val="clear" w:color="auto" w:fill="FFFFFF"/>
          <w:lang w:val="zh-CN"/>
        </w:rPr>
        <w:t>财务管理</w:t>
      </w:r>
    </w:p>
    <w:p w14:paraId="3796DAD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1）</w:t>
      </w:r>
      <w:r>
        <w:rPr>
          <w:rFonts w:hint="default" w:ascii="Times New Roman" w:hAnsi="Times New Roman" w:cs="Times New Roman"/>
          <w:color w:val="000000"/>
          <w:kern w:val="0"/>
          <w:szCs w:val="32"/>
          <w:shd w:val="clear" w:color="auto" w:fill="FFFFFF"/>
          <w:lang w:val="zh-CN"/>
        </w:rPr>
        <w:t>财务管理制度</w:t>
      </w:r>
    </w:p>
    <w:p w14:paraId="22CB422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kern w:val="60"/>
          <w:szCs w:val="32"/>
          <w:highlight w:val="none"/>
          <w:lang w:val="en-US" w:eastAsia="zh-CN"/>
        </w:rPr>
        <w:t>我单位为进一步规范机关财务运行，加强财务管理，提高财务经费使用效益，根据财政部《行政单位财务规则》及相关财经法规制度，结合我单位实际，制订了</w:t>
      </w:r>
      <w:r>
        <w:rPr>
          <w:rFonts w:hint="default" w:ascii="Times New Roman" w:hAnsi="Times New Roman" w:cs="Times New Roman"/>
          <w:highlight w:val="none"/>
          <w:lang w:val="zh-CN" w:eastAsia="zh-CN"/>
        </w:rPr>
        <w:t>《阿坝州卫生健康委员会机关财务管理办法》《阿坝州卫生健康委员会专项资金管理办法》</w:t>
      </w:r>
      <w:r>
        <w:rPr>
          <w:rFonts w:hint="default" w:ascii="Times New Roman" w:hAnsi="Times New Roman" w:cs="Times New Roman"/>
          <w:highlight w:val="none"/>
          <w:lang w:val="en-US" w:eastAsia="zh-CN"/>
        </w:rPr>
        <w:t>等</w:t>
      </w:r>
      <w:r>
        <w:rPr>
          <w:rFonts w:hint="default" w:ascii="Times New Roman" w:hAnsi="Times New Roman" w:cs="Times New Roman"/>
          <w:kern w:val="60"/>
          <w:szCs w:val="32"/>
          <w:highlight w:val="none"/>
          <w:lang w:val="en-US" w:eastAsia="zh-CN"/>
        </w:rPr>
        <w:t>，细化财务管理规范、开支报销规范、经费支出管理、会计档案管理等，并将制度严格落到实处。</w:t>
      </w:r>
    </w:p>
    <w:p w14:paraId="2AD2D0F2">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仿宋_GB2312" w:cs="Times New Roman"/>
          <w:color w:val="000000"/>
          <w:kern w:val="0"/>
          <w:szCs w:val="32"/>
          <w:shd w:val="clear" w:color="auto" w:fill="FFFFFF"/>
          <w:lang w:val="en-US" w:eastAsia="zh-CN"/>
        </w:rPr>
      </w:pPr>
      <w:r>
        <w:rPr>
          <w:rFonts w:hint="default" w:ascii="Times New Roman" w:hAnsi="Times New Roman" w:cs="Times New Roman"/>
          <w:color w:val="000000"/>
          <w:kern w:val="0"/>
          <w:szCs w:val="32"/>
          <w:shd w:val="clear" w:color="auto" w:fill="FFFFFF"/>
          <w:lang w:val="zh-CN" w:eastAsia="zh-CN"/>
        </w:rPr>
        <w:t>根据评分标准，</w:t>
      </w:r>
      <w:r>
        <w:rPr>
          <w:rFonts w:hint="default" w:ascii="Times New Roman" w:hAnsi="Times New Roman" w:cs="Times New Roman"/>
          <w:color w:val="000000"/>
          <w:kern w:val="0"/>
          <w:szCs w:val="32"/>
          <w:shd w:val="clear" w:color="auto" w:fill="FFFFFF"/>
          <w:lang w:val="zh-CN"/>
        </w:rPr>
        <w:t>该项</w:t>
      </w:r>
      <w:r>
        <w:rPr>
          <w:rFonts w:hint="default" w:ascii="Times New Roman" w:hAnsi="Times New Roman" w:cs="Times New Roman"/>
          <w:color w:val="000000"/>
          <w:kern w:val="0"/>
          <w:szCs w:val="32"/>
          <w:shd w:val="clear" w:color="auto" w:fill="FFFFFF"/>
          <w:lang w:val="en-US" w:eastAsia="zh-CN"/>
        </w:rPr>
        <w:t>指标不扣</w:t>
      </w:r>
      <w:r>
        <w:rPr>
          <w:rFonts w:hint="default" w:ascii="Times New Roman" w:hAnsi="Times New Roman" w:cs="Times New Roman"/>
          <w:color w:val="000000"/>
          <w:kern w:val="0"/>
          <w:szCs w:val="32"/>
          <w:shd w:val="clear" w:color="auto" w:fill="FFFFFF"/>
          <w:lang w:val="zh-CN"/>
        </w:rPr>
        <w:t>分，</w:t>
      </w:r>
      <w:r>
        <w:rPr>
          <w:rFonts w:hint="default" w:ascii="Times New Roman" w:hAnsi="Times New Roman" w:cs="Times New Roman"/>
          <w:color w:val="000000"/>
          <w:kern w:val="0"/>
          <w:szCs w:val="32"/>
          <w:shd w:val="clear" w:color="auto" w:fill="FFFFFF"/>
          <w:lang w:val="zh-CN" w:eastAsia="zh-CN"/>
        </w:rPr>
        <w:t>得</w:t>
      </w:r>
      <w:r>
        <w:rPr>
          <w:rFonts w:hint="default" w:ascii="Times New Roman" w:hAnsi="Times New Roman" w:cs="Times New Roman"/>
          <w:color w:val="000000"/>
          <w:kern w:val="0"/>
          <w:szCs w:val="32"/>
          <w:shd w:val="clear" w:color="auto" w:fill="FFFFFF"/>
          <w:lang w:val="en-US" w:eastAsia="zh-CN"/>
        </w:rPr>
        <w:t>4</w:t>
      </w:r>
      <w:r>
        <w:rPr>
          <w:rFonts w:hint="default" w:ascii="Times New Roman" w:hAnsi="Times New Roman" w:cs="Times New Roman"/>
          <w:color w:val="000000"/>
          <w:kern w:val="0"/>
          <w:szCs w:val="32"/>
          <w:shd w:val="clear" w:color="auto" w:fill="FFFFFF"/>
          <w:lang w:val="zh-CN" w:eastAsia="zh-CN"/>
        </w:rPr>
        <w:t>分。</w:t>
      </w:r>
    </w:p>
    <w:p w14:paraId="61632883">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2）</w:t>
      </w:r>
      <w:r>
        <w:rPr>
          <w:rFonts w:hint="default" w:ascii="Times New Roman" w:hAnsi="Times New Roman" w:cs="Times New Roman"/>
          <w:color w:val="000000"/>
          <w:kern w:val="0"/>
          <w:szCs w:val="32"/>
          <w:shd w:val="clear" w:color="auto" w:fill="FFFFFF"/>
          <w:lang w:val="zh-CN"/>
        </w:rPr>
        <w:t>财务岗位设置</w:t>
      </w:r>
    </w:p>
    <w:p w14:paraId="69B3AED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cs="Times New Roman"/>
          <w:caps w:val="0"/>
          <w:highlight w:val="none"/>
          <w:lang w:val="zh-CN" w:eastAsia="zh-CN"/>
        </w:rPr>
      </w:pPr>
      <w:r>
        <w:rPr>
          <w:rFonts w:hint="default" w:ascii="Times New Roman" w:hAnsi="Times New Roman" w:cs="Times New Roman"/>
          <w:caps w:val="0"/>
          <w:highlight w:val="none"/>
          <w:lang w:val="zh-CN" w:eastAsia="zh-CN"/>
        </w:rPr>
        <w:t>我单位合理设置了财务工作岗位，明确了各岗位的职责权限，并严格实行不相容岗位分离，确保财务收支统一核算管理，会计与出纳岗位分设，出纳人员不得兼管审核、会计档案保管等工作，做到了会计与出纳、审核与执行等岗位有效分离。</w:t>
      </w:r>
    </w:p>
    <w:p w14:paraId="5D1BD587">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aps w:val="0"/>
          <w:highlight w:val="none"/>
          <w:lang w:val="zh-CN" w:eastAsia="zh-CN"/>
        </w:rPr>
        <w:t>根据评分标准，该项指标不扣分，得2分。</w:t>
      </w:r>
    </w:p>
    <w:p w14:paraId="4283CBE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rPr>
        <w:t>资金使用规范</w:t>
      </w:r>
    </w:p>
    <w:p w14:paraId="432EE780">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eastAsia="zh-CN"/>
        </w:rPr>
        <w:t>我单位严格按照相关财务管理制度使用资金，坚持量入为出、确保重点、厉行节约、注重实效的原则，重大经济事项支出由集体决策研究决定，各级领导严把经费审批关，对无预算、超预算开支、开支不明、手续不全、虚列开支等情况不予审批，资金使用合法合规。</w:t>
      </w:r>
    </w:p>
    <w:p w14:paraId="306B6F1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en-US" w:eastAsia="zh-CN"/>
        </w:rPr>
      </w:pPr>
      <w:r>
        <w:rPr>
          <w:rFonts w:hint="default" w:ascii="Times New Roman" w:hAnsi="Times New Roman" w:cs="Times New Roman"/>
          <w:caps w:val="0"/>
          <w:highlight w:val="none"/>
          <w:lang w:val="zh-CN" w:eastAsia="zh-CN"/>
        </w:rPr>
        <w:t>根据评分标准，该项指标不扣分，得</w:t>
      </w:r>
      <w:r>
        <w:rPr>
          <w:rFonts w:hint="default" w:ascii="Times New Roman" w:hAnsi="Times New Roman" w:cs="Times New Roman"/>
          <w:caps w:val="0"/>
          <w:highlight w:val="none"/>
          <w:lang w:val="en-US" w:eastAsia="zh-CN"/>
        </w:rPr>
        <w:t>4</w:t>
      </w:r>
      <w:r>
        <w:rPr>
          <w:rFonts w:hint="default" w:ascii="Times New Roman" w:hAnsi="Times New Roman" w:cs="Times New Roman"/>
          <w:caps w:val="0"/>
          <w:highlight w:val="none"/>
          <w:lang w:val="zh-CN" w:eastAsia="zh-CN"/>
        </w:rPr>
        <w:t>分。</w:t>
      </w:r>
    </w:p>
    <w:p w14:paraId="62D254D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zh-CN"/>
        </w:rPr>
      </w:pPr>
      <w:r>
        <w:rPr>
          <w:rFonts w:hint="default" w:ascii="Times New Roman" w:hAnsi="Times New Roman" w:eastAsia="楷体_GB2312" w:cs="Times New Roman"/>
          <w:color w:val="000000"/>
          <w:kern w:val="0"/>
          <w:szCs w:val="32"/>
          <w:shd w:val="clear" w:color="auto" w:fill="FFFFFF"/>
        </w:rPr>
        <w:t>4.</w:t>
      </w:r>
      <w:r>
        <w:rPr>
          <w:rFonts w:hint="default" w:ascii="Times New Roman" w:hAnsi="Times New Roman" w:eastAsia="楷体_GB2312" w:cs="Times New Roman"/>
          <w:color w:val="000000"/>
          <w:kern w:val="0"/>
          <w:szCs w:val="32"/>
          <w:shd w:val="clear" w:color="auto" w:fill="FFFFFF"/>
          <w:lang w:val="zh-CN"/>
        </w:rPr>
        <w:t>资产管理</w:t>
      </w:r>
    </w:p>
    <w:p w14:paraId="645EF18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1）</w:t>
      </w:r>
      <w:r>
        <w:rPr>
          <w:rFonts w:hint="default" w:ascii="Times New Roman" w:hAnsi="Times New Roman" w:cs="Times New Roman"/>
          <w:color w:val="000000"/>
          <w:kern w:val="0"/>
          <w:szCs w:val="32"/>
          <w:shd w:val="clear" w:color="auto" w:fill="FFFFFF"/>
          <w:lang w:val="zh-CN"/>
        </w:rPr>
        <w:t>人均资产变化率</w:t>
      </w:r>
    </w:p>
    <w:p w14:paraId="73141BCB">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shd w:val="clear" w:color="auto" w:fill="FFFFFF"/>
          <w:lang w:val="zh-CN" w:eastAsia="zh-CN"/>
        </w:rPr>
        <w:t>我单位202</w:t>
      </w:r>
      <w:r>
        <w:rPr>
          <w:rFonts w:hint="default" w:ascii="Times New Roman" w:hAnsi="Times New Roman" w:cs="Times New Roman"/>
          <w:color w:val="000000"/>
          <w:kern w:val="0"/>
          <w:szCs w:val="32"/>
          <w:shd w:val="clear" w:color="auto" w:fill="FFFFFF"/>
          <w:lang w:val="en-US" w:eastAsia="zh-CN"/>
        </w:rPr>
        <w:t>4</w:t>
      </w:r>
      <w:r>
        <w:rPr>
          <w:rFonts w:hint="default" w:ascii="Times New Roman" w:hAnsi="Times New Roman" w:cs="Times New Roman"/>
          <w:color w:val="000000"/>
          <w:kern w:val="0"/>
          <w:szCs w:val="32"/>
          <w:shd w:val="clear" w:color="auto" w:fill="FFFFFF"/>
          <w:lang w:val="zh-CN" w:eastAsia="zh-CN"/>
        </w:rPr>
        <w:t>年末实有在编在职人数为</w:t>
      </w:r>
      <w:r>
        <w:rPr>
          <w:rFonts w:hint="default" w:ascii="Times New Roman" w:hAnsi="Times New Roman" w:cs="Times New Roman"/>
          <w:color w:val="000000"/>
          <w:kern w:val="0"/>
          <w:szCs w:val="32"/>
          <w:shd w:val="clear" w:color="auto" w:fill="FFFFFF"/>
          <w:lang w:val="en-US" w:eastAsia="zh-CN"/>
        </w:rPr>
        <w:t>1020</w:t>
      </w:r>
      <w:r>
        <w:rPr>
          <w:rFonts w:hint="default" w:ascii="Times New Roman" w:hAnsi="Times New Roman" w:cs="Times New Roman"/>
          <w:color w:val="000000"/>
          <w:kern w:val="0"/>
          <w:szCs w:val="32"/>
          <w:shd w:val="clear" w:color="auto" w:fill="FFFFFF"/>
          <w:lang w:val="zh-CN" w:eastAsia="zh-CN"/>
        </w:rPr>
        <w:t>人，</w:t>
      </w:r>
      <w:r>
        <w:rPr>
          <w:rFonts w:hint="default" w:ascii="Times New Roman" w:hAnsi="Times New Roman" w:cs="Times New Roman"/>
          <w:color w:val="000000"/>
          <w:kern w:val="0"/>
          <w:szCs w:val="32"/>
          <w:highlight w:val="none"/>
          <w:shd w:val="clear" w:color="auto" w:fill="FFFFFF"/>
          <w:lang w:val="zh-CN" w:eastAsia="zh-CN"/>
        </w:rPr>
        <w:t>固定资产和无形资产期末账面值净值合计</w:t>
      </w:r>
      <w:r>
        <w:rPr>
          <w:rFonts w:hint="default" w:ascii="Times New Roman" w:hAnsi="Times New Roman" w:cs="Times New Roman"/>
          <w:color w:val="000000"/>
          <w:kern w:val="0"/>
          <w:szCs w:val="32"/>
          <w:highlight w:val="none"/>
          <w:shd w:val="clear" w:color="auto" w:fill="FFFFFF"/>
          <w:lang w:val="en-US" w:eastAsia="zh-CN"/>
        </w:rPr>
        <w:t>1,813.08</w:t>
      </w:r>
      <w:r>
        <w:rPr>
          <w:rFonts w:hint="default" w:ascii="Times New Roman" w:hAnsi="Times New Roman" w:cs="Times New Roman"/>
          <w:color w:val="000000"/>
          <w:kern w:val="0"/>
          <w:szCs w:val="32"/>
          <w:highlight w:val="none"/>
          <w:shd w:val="clear" w:color="auto" w:fill="FFFFFF"/>
          <w:lang w:val="zh-CN" w:eastAsia="zh-CN"/>
        </w:rPr>
        <w:t>万元，人均占有资产</w:t>
      </w:r>
      <w:r>
        <w:rPr>
          <w:rFonts w:hint="default" w:ascii="Times New Roman" w:hAnsi="Times New Roman" w:cs="Times New Roman"/>
          <w:color w:val="000000"/>
          <w:kern w:val="0"/>
          <w:szCs w:val="32"/>
          <w:highlight w:val="none"/>
          <w:shd w:val="clear" w:color="auto" w:fill="FFFFFF"/>
          <w:lang w:val="en-US" w:eastAsia="zh-CN"/>
        </w:rPr>
        <w:t>为1.78</w:t>
      </w:r>
      <w:r>
        <w:rPr>
          <w:rFonts w:hint="default" w:ascii="Times New Roman" w:hAnsi="Times New Roman" w:cs="Times New Roman"/>
          <w:color w:val="000000"/>
          <w:kern w:val="0"/>
          <w:szCs w:val="32"/>
          <w:highlight w:val="none"/>
          <w:shd w:val="clear" w:color="auto" w:fill="FFFFFF"/>
          <w:lang w:val="zh-CN" w:eastAsia="zh-CN"/>
        </w:rPr>
        <w:t>万元/人。</w:t>
      </w:r>
    </w:p>
    <w:p w14:paraId="007B603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我单位202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年末实有在职在编人数为</w:t>
      </w:r>
      <w:r>
        <w:rPr>
          <w:rFonts w:hint="default" w:ascii="Times New Roman" w:hAnsi="Times New Roman" w:cs="Times New Roman"/>
          <w:color w:val="000000"/>
          <w:kern w:val="0"/>
          <w:szCs w:val="32"/>
          <w:shd w:val="clear" w:color="auto" w:fill="FFFFFF"/>
          <w:lang w:val="en-US" w:eastAsia="zh-CN"/>
        </w:rPr>
        <w:t>1051</w:t>
      </w:r>
      <w:r>
        <w:rPr>
          <w:rFonts w:hint="default" w:ascii="Times New Roman" w:hAnsi="Times New Roman" w:cs="Times New Roman"/>
          <w:color w:val="000000"/>
          <w:kern w:val="0"/>
          <w:szCs w:val="32"/>
          <w:highlight w:val="none"/>
          <w:shd w:val="clear" w:color="auto" w:fill="FFFFFF"/>
          <w:lang w:val="zh-CN" w:eastAsia="zh-CN"/>
        </w:rPr>
        <w:t>人，固定资产和无形资产净值合计</w:t>
      </w:r>
      <w:r>
        <w:rPr>
          <w:rFonts w:hint="default" w:ascii="Times New Roman" w:hAnsi="Times New Roman" w:cs="Times New Roman"/>
          <w:color w:val="000000"/>
          <w:kern w:val="0"/>
          <w:szCs w:val="32"/>
          <w:highlight w:val="none"/>
          <w:shd w:val="clear" w:color="auto" w:fill="FFFFFF"/>
          <w:lang w:val="en-US" w:eastAsia="zh-CN"/>
        </w:rPr>
        <w:t>4,388.21</w:t>
      </w:r>
      <w:r>
        <w:rPr>
          <w:rFonts w:hint="default" w:ascii="Times New Roman" w:hAnsi="Times New Roman" w:cs="Times New Roman"/>
          <w:color w:val="000000"/>
          <w:kern w:val="0"/>
          <w:szCs w:val="32"/>
          <w:highlight w:val="none"/>
          <w:shd w:val="clear" w:color="auto" w:fill="FFFFFF"/>
          <w:lang w:val="zh-CN" w:eastAsia="zh-CN"/>
        </w:rPr>
        <w:t>万元，人均占有资产</w:t>
      </w:r>
      <w:r>
        <w:rPr>
          <w:rFonts w:hint="default" w:ascii="Times New Roman" w:hAnsi="Times New Roman" w:cs="Times New Roman"/>
          <w:color w:val="000000"/>
          <w:kern w:val="0"/>
          <w:szCs w:val="32"/>
          <w:highlight w:val="none"/>
          <w:shd w:val="clear" w:color="auto" w:fill="FFFFFF"/>
          <w:lang w:val="en-US" w:eastAsia="zh-CN"/>
        </w:rPr>
        <w:t>为4.18</w:t>
      </w:r>
      <w:r>
        <w:rPr>
          <w:rFonts w:hint="default" w:ascii="Times New Roman" w:hAnsi="Times New Roman" w:cs="Times New Roman"/>
          <w:color w:val="000000"/>
          <w:kern w:val="0"/>
          <w:szCs w:val="32"/>
          <w:highlight w:val="none"/>
          <w:shd w:val="clear" w:color="auto" w:fill="FFFFFF"/>
          <w:lang w:val="zh-CN" w:eastAsia="zh-CN"/>
        </w:rPr>
        <w:t>万元/人</w:t>
      </w:r>
      <w:r>
        <w:rPr>
          <w:rFonts w:hint="default" w:ascii="Times New Roman" w:hAnsi="Times New Roman" w:cs="Times New Roman"/>
          <w:color w:val="000000"/>
          <w:kern w:val="0"/>
          <w:szCs w:val="32"/>
          <w:shd w:val="clear" w:color="auto" w:fill="FFFFFF"/>
          <w:lang w:val="zh-CN" w:eastAsia="zh-CN"/>
        </w:rPr>
        <w:t>。</w:t>
      </w:r>
    </w:p>
    <w:p w14:paraId="47E08A79">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yellow"/>
          <w:shd w:val="clear" w:color="auto" w:fill="FFFFFF"/>
          <w:lang w:val="zh-CN" w:eastAsia="zh-CN"/>
        </w:rPr>
      </w:pPr>
      <w:r>
        <w:rPr>
          <w:rFonts w:hint="default" w:ascii="Times New Roman" w:hAnsi="Times New Roman" w:cs="Times New Roman"/>
          <w:color w:val="000000"/>
          <w:kern w:val="0"/>
          <w:szCs w:val="32"/>
          <w:shd w:val="clear" w:color="auto" w:fill="FFFFFF"/>
          <w:lang w:val="zh-CN" w:eastAsia="zh-CN"/>
        </w:rPr>
        <w:t>综上，202</w:t>
      </w:r>
      <w:r>
        <w:rPr>
          <w:rFonts w:hint="default" w:ascii="Times New Roman" w:hAnsi="Times New Roman" w:cs="Times New Roman"/>
          <w:color w:val="000000"/>
          <w:kern w:val="0"/>
          <w:szCs w:val="32"/>
          <w:shd w:val="clear" w:color="auto" w:fill="FFFFFF"/>
          <w:lang w:val="en-US" w:eastAsia="zh-CN"/>
        </w:rPr>
        <w:t>5</w:t>
      </w:r>
      <w:r>
        <w:rPr>
          <w:rFonts w:hint="default" w:ascii="Times New Roman" w:hAnsi="Times New Roman" w:cs="Times New Roman"/>
          <w:color w:val="000000"/>
          <w:kern w:val="0"/>
          <w:szCs w:val="32"/>
          <w:shd w:val="clear" w:color="auto" w:fill="FFFFFF"/>
          <w:lang w:val="zh-CN" w:eastAsia="zh-CN"/>
        </w:rPr>
        <w:t>年我单位人均资产变化率</w:t>
      </w:r>
      <w:r>
        <w:rPr>
          <w:rFonts w:hint="default" w:ascii="Times New Roman" w:hAnsi="Times New Roman" w:cs="Times New Roman"/>
          <w:color w:val="000000"/>
          <w:kern w:val="0"/>
          <w:szCs w:val="32"/>
          <w:shd w:val="clear" w:color="auto" w:fill="FFFFFF"/>
          <w:lang w:val="en-US" w:eastAsia="zh-CN"/>
        </w:rPr>
        <w:t>和人均资产增长率</w:t>
      </w:r>
      <w:r>
        <w:rPr>
          <w:rFonts w:hint="default" w:ascii="Times New Roman" w:hAnsi="Times New Roman" w:cs="Times New Roman"/>
          <w:color w:val="000000"/>
          <w:kern w:val="0"/>
          <w:szCs w:val="32"/>
          <w:shd w:val="clear" w:color="auto" w:fill="FFFFFF"/>
          <w:lang w:val="zh-CN" w:eastAsia="zh-CN"/>
        </w:rPr>
        <w:t>为</w:t>
      </w:r>
      <w:r>
        <w:rPr>
          <w:rFonts w:hint="default" w:ascii="Times New Roman" w:hAnsi="Times New Roman" w:cs="Times New Roman"/>
          <w:color w:val="000000"/>
          <w:kern w:val="0"/>
          <w:szCs w:val="32"/>
          <w:shd w:val="clear" w:color="auto" w:fill="FFFFFF"/>
          <w:lang w:val="en-US" w:eastAsia="zh-CN"/>
        </w:rPr>
        <w:t>134.83</w:t>
      </w:r>
      <w:r>
        <w:rPr>
          <w:rFonts w:hint="default" w:ascii="Times New Roman" w:hAnsi="Times New Roman" w:cs="Times New Roman"/>
          <w:color w:val="000000"/>
          <w:kern w:val="0"/>
          <w:szCs w:val="32"/>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eastAsia="zh-CN"/>
        </w:rPr>
        <w:t>阿坝州州直行政事业单位202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年人均资产变化率</w:t>
      </w:r>
      <w:r>
        <w:rPr>
          <w:rFonts w:hint="default" w:ascii="Times New Roman" w:hAnsi="Times New Roman" w:cs="Times New Roman"/>
          <w:color w:val="000000"/>
          <w:kern w:val="0"/>
          <w:szCs w:val="32"/>
          <w:highlight w:val="none"/>
          <w:shd w:val="clear" w:color="auto" w:fill="FFFFFF"/>
          <w:lang w:val="en-US" w:eastAsia="zh-CN"/>
        </w:rPr>
        <w:t>3.49%</w:t>
      </w:r>
      <w:r>
        <w:rPr>
          <w:rFonts w:hint="default" w:ascii="Times New Roman" w:hAnsi="Times New Roman" w:cs="Times New Roman"/>
          <w:color w:val="000000"/>
          <w:kern w:val="0"/>
          <w:szCs w:val="32"/>
          <w:highlight w:val="none"/>
          <w:shd w:val="clear" w:color="auto" w:fill="FFFFFF"/>
          <w:lang w:val="zh-CN" w:eastAsia="zh-CN"/>
        </w:rPr>
        <w:t>，202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年我单位人均资产变化率</w:t>
      </w:r>
      <w:r>
        <w:rPr>
          <w:rFonts w:hint="default" w:ascii="Times New Roman" w:hAnsi="Times New Roman" w:cs="Times New Roman"/>
          <w:color w:val="000000"/>
          <w:kern w:val="0"/>
          <w:szCs w:val="32"/>
          <w:highlight w:val="none"/>
          <w:shd w:val="clear" w:color="auto" w:fill="FFFFFF"/>
          <w:lang w:val="en-US" w:eastAsia="zh-CN"/>
        </w:rPr>
        <w:t>大</w:t>
      </w:r>
      <w:r>
        <w:rPr>
          <w:rFonts w:hint="default" w:ascii="Times New Roman" w:hAnsi="Times New Roman" w:cs="Times New Roman"/>
          <w:color w:val="000000"/>
          <w:kern w:val="0"/>
          <w:szCs w:val="32"/>
          <w:highlight w:val="none"/>
          <w:shd w:val="clear" w:color="auto" w:fill="FFFFFF"/>
          <w:lang w:val="zh-CN" w:eastAsia="zh-CN"/>
        </w:rPr>
        <w:t>于</w:t>
      </w:r>
      <w:r>
        <w:rPr>
          <w:rFonts w:hint="default" w:ascii="Times New Roman" w:hAnsi="Times New Roman" w:cs="Times New Roman"/>
          <w:color w:val="000000"/>
          <w:kern w:val="0"/>
          <w:szCs w:val="32"/>
          <w:highlight w:val="none"/>
          <w:shd w:val="clear" w:color="auto" w:fill="FFFFFF"/>
          <w:lang w:val="en-US" w:eastAsia="zh-CN"/>
        </w:rPr>
        <w:t>1.4倍</w:t>
      </w:r>
      <w:r>
        <w:rPr>
          <w:rFonts w:hint="default" w:ascii="Times New Roman" w:hAnsi="Times New Roman" w:cs="Times New Roman"/>
          <w:color w:val="000000"/>
          <w:kern w:val="0"/>
          <w:szCs w:val="32"/>
          <w:highlight w:val="none"/>
          <w:shd w:val="clear" w:color="auto" w:fill="FFFFFF"/>
          <w:lang w:val="zh-CN" w:eastAsia="zh-CN"/>
        </w:rPr>
        <w:t>州直行政事业单位人均资产变化率；阿坝州州级202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年财政收入增长率为17.1</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%，我单位人均资产变化率大于2倍州级202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年财政收入增长率。</w:t>
      </w:r>
    </w:p>
    <w:p w14:paraId="63BF71DC">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en-US"/>
        </w:rPr>
      </w:pPr>
      <w:r>
        <w:rPr>
          <w:rFonts w:hint="default" w:ascii="Times New Roman" w:hAnsi="Times New Roman" w:cs="Times New Roman"/>
          <w:color w:val="000000"/>
          <w:kern w:val="0"/>
          <w:szCs w:val="32"/>
          <w:shd w:val="clear" w:color="auto" w:fill="FFFFFF"/>
          <w:lang w:val="zh-CN" w:eastAsia="zh-CN"/>
        </w:rPr>
        <w:t>根据评分标准，</w:t>
      </w:r>
      <w:r>
        <w:rPr>
          <w:rFonts w:hint="default" w:ascii="Times New Roman" w:hAnsi="Times New Roman" w:cs="Times New Roman"/>
          <w:color w:val="000000"/>
          <w:kern w:val="0"/>
          <w:szCs w:val="32"/>
          <w:highlight w:val="none"/>
          <w:shd w:val="clear" w:color="auto" w:fill="FFFFFF"/>
          <w:lang w:val="zh-CN" w:eastAsia="zh-CN"/>
        </w:rPr>
        <w:t>该项指标扣</w:t>
      </w:r>
      <w:r>
        <w:rPr>
          <w:rFonts w:hint="default" w:ascii="Times New Roman" w:hAnsi="Times New Roman" w:cs="Times New Roman"/>
          <w:color w:val="000000"/>
          <w:kern w:val="0"/>
          <w:szCs w:val="32"/>
          <w:highlight w:val="none"/>
          <w:shd w:val="clear" w:color="auto" w:fill="FFFFFF"/>
          <w:lang w:val="en-US" w:eastAsia="zh-CN"/>
        </w:rPr>
        <w:t>2.7</w:t>
      </w:r>
      <w:r>
        <w:rPr>
          <w:rFonts w:hint="default" w:ascii="Times New Roman" w:hAnsi="Times New Roman" w:cs="Times New Roman"/>
          <w:color w:val="000000"/>
          <w:kern w:val="0"/>
          <w:szCs w:val="32"/>
          <w:highlight w:val="none"/>
          <w:shd w:val="clear" w:color="auto" w:fill="FFFFFF"/>
          <w:lang w:val="zh-CN" w:eastAsia="zh-CN"/>
        </w:rPr>
        <w:t>分，得</w:t>
      </w:r>
      <w:r>
        <w:rPr>
          <w:rFonts w:hint="default" w:ascii="Times New Roman" w:hAnsi="Times New Roman" w:cs="Times New Roman"/>
          <w:color w:val="000000"/>
          <w:kern w:val="0"/>
          <w:szCs w:val="32"/>
          <w:highlight w:val="none"/>
          <w:shd w:val="clear" w:color="auto" w:fill="FFFFFF"/>
          <w:lang w:val="en-US" w:eastAsia="zh-CN"/>
        </w:rPr>
        <w:t>0.3</w:t>
      </w:r>
      <w:r>
        <w:rPr>
          <w:rFonts w:hint="default" w:ascii="Times New Roman" w:hAnsi="Times New Roman" w:cs="Times New Roman"/>
          <w:color w:val="000000"/>
          <w:kern w:val="0"/>
          <w:szCs w:val="32"/>
          <w:highlight w:val="none"/>
          <w:shd w:val="clear" w:color="auto" w:fill="FFFFFF"/>
          <w:lang w:val="zh-CN" w:eastAsia="zh-CN"/>
        </w:rPr>
        <w:t>分。</w:t>
      </w:r>
    </w:p>
    <w:p w14:paraId="07D97B0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2）</w:t>
      </w:r>
      <w:r>
        <w:rPr>
          <w:rFonts w:hint="default" w:ascii="Times New Roman" w:hAnsi="Times New Roman" w:cs="Times New Roman"/>
          <w:color w:val="000000"/>
          <w:kern w:val="0"/>
          <w:szCs w:val="32"/>
          <w:shd w:val="clear" w:color="auto" w:fill="FFFFFF"/>
          <w:lang w:val="zh-CN"/>
        </w:rPr>
        <w:t>资产利用率</w:t>
      </w:r>
    </w:p>
    <w:p w14:paraId="78497E0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cs="Times New Roman"/>
          <w:caps w:val="0"/>
          <w:color w:val="auto"/>
          <w:highlight w:val="none"/>
          <w:lang w:val="en-US" w:eastAsia="zh-CN"/>
        </w:rPr>
      </w:pPr>
      <w:r>
        <w:rPr>
          <w:rFonts w:hint="default" w:ascii="Times New Roman" w:hAnsi="Times New Roman" w:cs="Times New Roman"/>
          <w:caps w:val="0"/>
          <w:color w:val="auto"/>
          <w:highlight w:val="none"/>
          <w:lang w:val="en-US" w:eastAsia="zh-CN"/>
        </w:rPr>
        <w:t>我单位2025年办公家具账面价值为280.70万元，超最低使用年限的办公家具账面价值为28.08万元，故办公家具超最低使用年限资产利用率=超最低使用年限的办公家具账面价值÷办公家具账面价值×100%=10.00%，州属行政事业单位办公家具资产利用率平均值为12.93%。</w:t>
      </w:r>
    </w:p>
    <w:p w14:paraId="7ECB219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cs="Times New Roman"/>
          <w:caps w:val="0"/>
          <w:color w:val="auto"/>
          <w:highlight w:val="none"/>
          <w:lang w:val="en-US" w:eastAsia="zh-CN"/>
        </w:rPr>
      </w:pPr>
      <w:r>
        <w:rPr>
          <w:rFonts w:hint="default" w:ascii="Times New Roman" w:hAnsi="Times New Roman" w:cs="Times New Roman"/>
          <w:caps w:val="0"/>
          <w:color w:val="auto"/>
          <w:highlight w:val="none"/>
          <w:lang w:val="en-US" w:eastAsia="zh-CN"/>
        </w:rPr>
        <w:t>2025年办公设备账面价值为3,451.81万元，超最低使用年限的办公设备账面价值为1,183.62万元，故办公设备超最低使用年限资产利用率=超最低使用年限的办公设备账面价值÷办公设备账面价值×100%=34.29%，州属行政事业单位办公设备资产利用率平均值为53.14%。</w:t>
      </w:r>
    </w:p>
    <w:p w14:paraId="0E3A4CDC">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aps w:val="0"/>
          <w:color w:val="auto"/>
          <w:highlight w:val="none"/>
          <w:lang w:val="en-US" w:eastAsia="zh-CN"/>
        </w:rPr>
        <w:t>综上，根据评分标准，该项指标扣1.8分，得1.2分。</w:t>
      </w:r>
    </w:p>
    <w:p w14:paraId="45D25239">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3）</w:t>
      </w:r>
      <w:r>
        <w:rPr>
          <w:rFonts w:hint="default" w:ascii="Times New Roman" w:hAnsi="Times New Roman" w:cs="Times New Roman"/>
          <w:color w:val="000000"/>
          <w:kern w:val="0"/>
          <w:szCs w:val="32"/>
          <w:shd w:val="clear" w:color="auto" w:fill="FFFFFF"/>
          <w:lang w:val="zh-CN"/>
        </w:rPr>
        <w:t>资产盘活率</w:t>
      </w:r>
    </w:p>
    <w:p w14:paraId="463E4232">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eastAsia="zh-CN"/>
        </w:rPr>
      </w:pPr>
      <w:r>
        <w:rPr>
          <w:rFonts w:hint="default" w:ascii="Times New Roman" w:hAnsi="Times New Roman" w:cs="Times New Roman"/>
          <w:color w:val="000000"/>
          <w:kern w:val="0"/>
          <w:szCs w:val="32"/>
          <w:shd w:val="clear" w:color="auto" w:fill="FFFFFF"/>
          <w:lang w:val="zh-CN" w:eastAsia="zh-CN"/>
        </w:rPr>
        <w:t>我单位202</w:t>
      </w:r>
      <w:r>
        <w:rPr>
          <w:rFonts w:hint="default" w:ascii="Times New Roman" w:hAnsi="Times New Roman" w:cs="Times New Roman"/>
          <w:color w:val="000000"/>
          <w:kern w:val="0"/>
          <w:szCs w:val="32"/>
          <w:shd w:val="clear" w:color="auto" w:fill="FFFFFF"/>
          <w:lang w:val="en-US" w:eastAsia="zh-CN"/>
        </w:rPr>
        <w:t>4</w:t>
      </w:r>
      <w:r>
        <w:rPr>
          <w:rFonts w:hint="default" w:ascii="Times New Roman" w:hAnsi="Times New Roman" w:cs="Times New Roman"/>
          <w:color w:val="000000"/>
          <w:kern w:val="0"/>
          <w:szCs w:val="32"/>
          <w:shd w:val="clear" w:color="auto" w:fill="FFFFFF"/>
          <w:lang w:val="zh-CN" w:eastAsia="zh-CN"/>
        </w:rPr>
        <w:t>年、202</w:t>
      </w:r>
      <w:r>
        <w:rPr>
          <w:rFonts w:hint="default" w:ascii="Times New Roman" w:hAnsi="Times New Roman" w:cs="Times New Roman"/>
          <w:color w:val="000000"/>
          <w:kern w:val="0"/>
          <w:szCs w:val="32"/>
          <w:shd w:val="clear" w:color="auto" w:fill="FFFFFF"/>
          <w:lang w:val="en-US" w:eastAsia="zh-CN"/>
        </w:rPr>
        <w:t>5</w:t>
      </w:r>
      <w:r>
        <w:rPr>
          <w:rFonts w:hint="default" w:ascii="Times New Roman" w:hAnsi="Times New Roman" w:cs="Times New Roman"/>
          <w:color w:val="000000"/>
          <w:kern w:val="0"/>
          <w:szCs w:val="32"/>
          <w:shd w:val="clear" w:color="auto" w:fill="FFFFFF"/>
          <w:lang w:val="zh-CN" w:eastAsia="zh-CN"/>
        </w:rPr>
        <w:t>年均无闲置资产。自评年度我单位部门闲置资产占比变化率为0%。</w:t>
      </w:r>
    </w:p>
    <w:p w14:paraId="56AFB5D8">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eastAsia="zh-CN"/>
        </w:rPr>
        <w:t>根据评分标准，该项指标不扣分，得3分。</w:t>
      </w:r>
    </w:p>
    <w:p w14:paraId="72397B3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zh-CN"/>
        </w:rPr>
      </w:pPr>
      <w:r>
        <w:rPr>
          <w:rFonts w:hint="default" w:ascii="Times New Roman" w:hAnsi="Times New Roman" w:eastAsia="楷体_GB2312" w:cs="Times New Roman"/>
          <w:color w:val="000000"/>
          <w:kern w:val="0"/>
          <w:szCs w:val="32"/>
          <w:shd w:val="clear" w:color="auto" w:fill="FFFFFF"/>
        </w:rPr>
        <w:t>5.</w:t>
      </w:r>
      <w:r>
        <w:rPr>
          <w:rFonts w:hint="default" w:ascii="Times New Roman" w:hAnsi="Times New Roman" w:eastAsia="楷体_GB2312" w:cs="Times New Roman"/>
          <w:color w:val="000000"/>
          <w:kern w:val="0"/>
          <w:szCs w:val="32"/>
          <w:shd w:val="clear" w:color="auto" w:fill="FFFFFF"/>
          <w:lang w:val="zh-CN"/>
        </w:rPr>
        <w:t>采购管理</w:t>
      </w:r>
    </w:p>
    <w:p w14:paraId="3888C8B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zh-CN"/>
        </w:rPr>
      </w:pPr>
      <w:r>
        <w:rPr>
          <w:rFonts w:hint="default" w:ascii="Times New Roman" w:hAnsi="Times New Roman" w:cs="Times New Roman"/>
          <w:color w:val="000000"/>
          <w:kern w:val="0"/>
          <w:szCs w:val="32"/>
          <w:shd w:val="clear" w:color="auto" w:fill="FFFFFF"/>
          <w:lang w:val="zh-CN"/>
        </w:rPr>
        <w:t>（</w:t>
      </w:r>
      <w:r>
        <w:rPr>
          <w:rFonts w:hint="default" w:ascii="Times New Roman" w:hAnsi="Times New Roman" w:cs="Times New Roman"/>
          <w:color w:val="000000"/>
          <w:kern w:val="0"/>
          <w:szCs w:val="32"/>
          <w:shd w:val="clear" w:color="auto" w:fill="FFFFFF"/>
          <w:lang w:val="en-US" w:eastAsia="zh-CN"/>
        </w:rPr>
        <w:t>1）</w:t>
      </w:r>
      <w:r>
        <w:rPr>
          <w:rFonts w:hint="default" w:ascii="Times New Roman" w:hAnsi="Times New Roman" w:cs="Times New Roman"/>
          <w:color w:val="000000"/>
          <w:kern w:val="0"/>
          <w:szCs w:val="32"/>
          <w:shd w:val="clear" w:color="auto" w:fill="FFFFFF"/>
          <w:lang w:val="zh-CN"/>
        </w:rPr>
        <w:t>支持中小企业发展</w:t>
      </w:r>
    </w:p>
    <w:p w14:paraId="46F03C8F">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仿宋_GB2312" w:cs="Times New Roman"/>
          <w:color w:val="000000"/>
          <w:kern w:val="0"/>
          <w:szCs w:val="32"/>
          <w:shd w:val="clear" w:color="auto" w:fill="FFFFFF"/>
          <w:lang w:val="en-US" w:eastAsia="zh-CN"/>
        </w:rPr>
      </w:pPr>
      <w:r>
        <w:rPr>
          <w:rFonts w:hint="default" w:ascii="Times New Roman" w:hAnsi="Times New Roman" w:cs="Times New Roman"/>
          <w:color w:val="auto"/>
          <w:highlight w:val="none"/>
          <w:lang w:val="en-US" w:eastAsia="zh-CN"/>
        </w:rPr>
        <w:t>我单位严格执行政府采购促进中小企业发展相关管理办法，对适宜由中小企业提供的采购项目和采购包，预留了采购份额专门面向中小企业采购，并在采购预算中单独列示。2025年，我单位政府采购授予中小企业合同金额为539.80万元。</w:t>
      </w:r>
    </w:p>
    <w:p w14:paraId="2D32447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shd w:val="clear" w:color="auto" w:fill="FFFFFF"/>
          <w:lang w:val="zh-CN" w:eastAsia="zh-CN"/>
        </w:rPr>
        <w:t>根据评分</w:t>
      </w:r>
      <w:r>
        <w:rPr>
          <w:rFonts w:hint="default" w:ascii="Times New Roman" w:hAnsi="Times New Roman" w:cs="Times New Roman"/>
          <w:color w:val="000000"/>
          <w:kern w:val="0"/>
          <w:szCs w:val="32"/>
          <w:highlight w:val="none"/>
          <w:shd w:val="clear" w:color="auto" w:fill="FFFFFF"/>
          <w:lang w:val="zh-CN" w:eastAsia="zh-CN"/>
        </w:rPr>
        <w:t>标准，该项指标不扣分，得3分。</w:t>
      </w:r>
    </w:p>
    <w:p w14:paraId="02A7E9A8">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采购执行率</w:t>
      </w:r>
    </w:p>
    <w:p w14:paraId="1D6FF82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我单位202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年度的政府采购总预算数为</w:t>
      </w:r>
      <w:r>
        <w:rPr>
          <w:rFonts w:hint="default" w:ascii="Times New Roman" w:hAnsi="Times New Roman" w:cs="Times New Roman"/>
          <w:color w:val="000000"/>
          <w:kern w:val="0"/>
          <w:szCs w:val="32"/>
          <w:highlight w:val="none"/>
          <w:shd w:val="clear" w:color="auto" w:fill="FFFFFF"/>
          <w:lang w:val="en-US" w:eastAsia="zh-CN"/>
        </w:rPr>
        <w:t>955.56</w:t>
      </w:r>
      <w:r>
        <w:rPr>
          <w:rFonts w:hint="default" w:ascii="Times New Roman" w:hAnsi="Times New Roman" w:cs="Times New Roman"/>
          <w:color w:val="000000"/>
          <w:kern w:val="0"/>
          <w:szCs w:val="32"/>
          <w:highlight w:val="none"/>
          <w:shd w:val="clear" w:color="auto" w:fill="FFFFFF"/>
          <w:lang w:val="zh-CN" w:eastAsia="zh-CN"/>
        </w:rPr>
        <w:t>万元，当年政府采购预算执行数为</w:t>
      </w:r>
      <w:r>
        <w:rPr>
          <w:rFonts w:hint="default" w:ascii="Times New Roman" w:hAnsi="Times New Roman" w:cs="Times New Roman"/>
          <w:color w:val="000000"/>
          <w:kern w:val="0"/>
          <w:szCs w:val="32"/>
          <w:highlight w:val="none"/>
          <w:shd w:val="clear" w:color="auto" w:fill="FFFFFF"/>
          <w:lang w:val="en-US" w:eastAsia="zh-CN"/>
        </w:rPr>
        <w:t>955.56</w:t>
      </w:r>
      <w:r>
        <w:rPr>
          <w:rFonts w:hint="default" w:ascii="Times New Roman" w:hAnsi="Times New Roman" w:cs="Times New Roman"/>
          <w:color w:val="000000"/>
          <w:kern w:val="0"/>
          <w:szCs w:val="32"/>
          <w:highlight w:val="none"/>
          <w:shd w:val="clear" w:color="auto" w:fill="FFFFFF"/>
          <w:lang w:val="zh-CN" w:eastAsia="zh-CN"/>
        </w:rPr>
        <w:t>万元，已完成采购项目节约金额为</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万元，采购执行率为</w:t>
      </w:r>
      <w:r>
        <w:rPr>
          <w:rFonts w:hint="default" w:ascii="Times New Roman" w:hAnsi="Times New Roman"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eastAsia="zh-CN"/>
        </w:rPr>
        <w:t>%。</w:t>
      </w:r>
    </w:p>
    <w:p w14:paraId="431DA05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w:t>
      </w:r>
      <w:r>
        <w:rPr>
          <w:rFonts w:hint="default" w:ascii="Times New Roman" w:hAnsi="Times New Roman" w:cs="Times New Roman"/>
          <w:color w:val="000000"/>
          <w:kern w:val="0"/>
          <w:szCs w:val="32"/>
          <w:highlight w:val="none"/>
          <w:shd w:val="clear" w:color="auto" w:fill="FFFFFF"/>
          <w:lang w:val="en-US" w:eastAsia="zh-CN"/>
        </w:rPr>
        <w:t>不</w:t>
      </w:r>
      <w:r>
        <w:rPr>
          <w:rFonts w:hint="default" w:ascii="Times New Roman" w:hAnsi="Times New Roman" w:cs="Times New Roman"/>
          <w:color w:val="000000"/>
          <w:kern w:val="0"/>
          <w:szCs w:val="32"/>
          <w:highlight w:val="none"/>
          <w:shd w:val="clear" w:color="auto" w:fill="FFFFFF"/>
          <w:lang w:val="zh-CN" w:eastAsia="zh-CN"/>
        </w:rPr>
        <w:t>扣分，得</w:t>
      </w:r>
      <w:r>
        <w:rPr>
          <w:rFonts w:hint="default" w:ascii="Times New Roman" w:hAnsi="Times New Roman"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zh-CN" w:eastAsia="zh-CN"/>
        </w:rPr>
        <w:t>分。</w:t>
      </w:r>
    </w:p>
    <w:p w14:paraId="13D321A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cs="Times New Roman"/>
          <w:color w:val="000000"/>
          <w:kern w:val="0"/>
          <w:szCs w:val="32"/>
          <w:highlight w:val="none"/>
          <w:shd w:val="clear" w:color="auto" w:fill="FFFFFF"/>
        </w:rPr>
      </w:pPr>
      <w:bookmarkStart w:id="25" w:name="_Toc12628"/>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bookmarkEnd w:id="25"/>
    </w:p>
    <w:p w14:paraId="1A5C5EC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rPr>
        <w:t>常年项目绩效分析。</w:t>
      </w:r>
      <w:r>
        <w:rPr>
          <w:rFonts w:hint="default" w:ascii="Times New Roman" w:hAnsi="Times New Roman" w:cs="Times New Roman"/>
          <w:color w:val="000000"/>
          <w:kern w:val="0"/>
          <w:szCs w:val="32"/>
          <w:highlight w:val="none"/>
          <w:shd w:val="clear" w:color="auto" w:fill="FFFFFF"/>
          <w:lang w:val="zh-CN"/>
        </w:rPr>
        <w:t>该类项目总数</w:t>
      </w:r>
      <w:r>
        <w:rPr>
          <w:rFonts w:hint="default" w:ascii="Times New Roman" w:hAnsi="Times New Roman" w:cs="Times New Roman"/>
          <w:color w:val="000000"/>
          <w:kern w:val="0"/>
          <w:szCs w:val="32"/>
          <w:highlight w:val="none"/>
          <w:shd w:val="clear" w:color="auto" w:fill="FFFFFF"/>
          <w:lang w:val="en-US" w:eastAsia="zh-CN"/>
        </w:rPr>
        <w:t>101</w:t>
      </w:r>
      <w:r>
        <w:rPr>
          <w:rFonts w:hint="default" w:ascii="Times New Roman" w:hAnsi="Times New Roman" w:cs="Times New Roman"/>
          <w:color w:val="000000"/>
          <w:kern w:val="0"/>
          <w:szCs w:val="32"/>
          <w:highlight w:val="none"/>
          <w:shd w:val="clear" w:color="auto" w:fill="FFFFFF"/>
          <w:lang w:val="zh-CN"/>
        </w:rPr>
        <w:t>个，涉及预算总金额21</w:t>
      </w:r>
      <w:r>
        <w:rPr>
          <w:rFonts w:hint="default" w:ascii="Times New Roman" w:hAnsi="Times New Roman" w:cs="Times New Roman"/>
          <w:color w:val="000000"/>
          <w:kern w:val="0"/>
          <w:szCs w:val="32"/>
          <w:highlight w:val="none"/>
          <w:shd w:val="clear" w:color="auto" w:fill="FFFFFF"/>
          <w:lang w:val="en-US" w:eastAsia="zh-CN"/>
        </w:rPr>
        <w:t>,</w:t>
      </w:r>
      <w:r>
        <w:rPr>
          <w:rFonts w:hint="default" w:ascii="Times New Roman" w:hAnsi="Times New Roman" w:cs="Times New Roman"/>
          <w:color w:val="000000"/>
          <w:kern w:val="0"/>
          <w:szCs w:val="32"/>
          <w:highlight w:val="none"/>
          <w:shd w:val="clear" w:color="auto" w:fill="FFFFFF"/>
          <w:lang w:val="zh-CN"/>
        </w:rPr>
        <w:t>638.22万元，1—1</w:t>
      </w:r>
      <w:r>
        <w:rPr>
          <w:rFonts w:hint="default" w:ascii="Times New Roman" w:hAnsi="Times New Roman" w:cs="Times New Roman"/>
          <w:color w:val="000000"/>
          <w:kern w:val="0"/>
          <w:szCs w:val="32"/>
          <w:highlight w:val="none"/>
          <w:shd w:val="clear" w:color="auto" w:fill="FFFFFF"/>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default" w:ascii="Times New Roman" w:hAnsi="Times New Roman"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%，其中：预算结余率大于</w:t>
      </w:r>
      <w:r>
        <w:rPr>
          <w:rFonts w:hint="default" w:ascii="Times New Roman" w:hAnsi="Times New Roman" w:cs="Times New Roman"/>
          <w:color w:val="000000"/>
          <w:kern w:val="0"/>
          <w:szCs w:val="32"/>
          <w:highlight w:val="none"/>
          <w:shd w:val="clear" w:color="auto" w:fill="FFFFFF"/>
        </w:rPr>
        <w:t>10%</w:t>
      </w:r>
      <w:r>
        <w:rPr>
          <w:rFonts w:hint="default" w:ascii="Times New Roman" w:hAnsi="Times New Roman" w:cs="Times New Roman"/>
          <w:color w:val="000000"/>
          <w:kern w:val="0"/>
          <w:szCs w:val="32"/>
          <w:highlight w:val="none"/>
          <w:shd w:val="clear" w:color="auto" w:fill="FFFFFF"/>
          <w:lang w:val="zh-CN"/>
        </w:rPr>
        <w:t>的项目共计</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rPr>
        <w:t>个。</w:t>
      </w:r>
    </w:p>
    <w:p w14:paraId="06476D9D">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rPr>
        <w:t>阶段（含一次性）项目绩效分析。</w:t>
      </w:r>
      <w:r>
        <w:rPr>
          <w:rFonts w:hint="default" w:ascii="Times New Roman" w:hAnsi="Times New Roman" w:cs="Times New Roman"/>
          <w:color w:val="000000"/>
          <w:kern w:val="0"/>
          <w:szCs w:val="32"/>
          <w:highlight w:val="none"/>
          <w:shd w:val="clear" w:color="auto" w:fill="FFFFFF"/>
          <w:lang w:val="zh-CN"/>
        </w:rPr>
        <w:t>该类项目总数</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rPr>
        <w:t>个，涉及预算总金额</w:t>
      </w:r>
      <w:r>
        <w:rPr>
          <w:rFonts w:hint="default" w:ascii="Times New Roman" w:hAnsi="Times New Roman" w:cs="Times New Roman"/>
          <w:color w:val="000000"/>
          <w:kern w:val="0"/>
          <w:szCs w:val="32"/>
          <w:highlight w:val="none"/>
          <w:shd w:val="clear" w:color="auto" w:fill="FFFFFF"/>
          <w:lang w:val="en-US" w:eastAsia="zh-CN"/>
        </w:rPr>
        <w:t>5,122.37</w:t>
      </w:r>
      <w:r>
        <w:rPr>
          <w:rFonts w:hint="default" w:ascii="Times New Roman" w:hAnsi="Times New Roman" w:cs="Times New Roman"/>
          <w:color w:val="000000"/>
          <w:kern w:val="0"/>
          <w:szCs w:val="32"/>
          <w:highlight w:val="none"/>
          <w:shd w:val="clear" w:color="auto" w:fill="FFFFFF"/>
          <w:lang w:val="zh-CN"/>
        </w:rPr>
        <w:t>万元，1—1</w:t>
      </w:r>
      <w:r>
        <w:rPr>
          <w:rFonts w:hint="default" w:ascii="Times New Roman" w:hAnsi="Times New Roman" w:cs="Times New Roman"/>
          <w:color w:val="000000"/>
          <w:kern w:val="0"/>
          <w:szCs w:val="32"/>
          <w:highlight w:val="none"/>
          <w:shd w:val="clear" w:color="auto" w:fill="FFFFFF"/>
        </w:rPr>
        <w:t>2</w:t>
      </w:r>
      <w:r>
        <w:rPr>
          <w:rFonts w:hint="default" w:ascii="Times New Roman" w:hAnsi="Times New Roman" w:cs="Times New Roman"/>
          <w:color w:val="000000"/>
          <w:kern w:val="0"/>
          <w:szCs w:val="32"/>
          <w:highlight w:val="none"/>
          <w:shd w:val="clear" w:color="auto" w:fill="FFFFFF"/>
          <w:lang w:val="zh-CN"/>
        </w:rPr>
        <w:t>月预算执行总体进度为</w:t>
      </w:r>
      <w:r>
        <w:rPr>
          <w:rFonts w:hint="default" w:ascii="Times New Roman" w:hAnsi="Times New Roman" w:cs="Times New Roman"/>
          <w:color w:val="000000"/>
          <w:kern w:val="0"/>
          <w:szCs w:val="32"/>
          <w:highlight w:val="none"/>
          <w:shd w:val="clear" w:color="auto" w:fill="FFFFFF"/>
          <w:lang w:val="en-US" w:eastAsia="zh-CN"/>
        </w:rPr>
        <w:t>100</w:t>
      </w:r>
      <w:r>
        <w:rPr>
          <w:rFonts w:hint="default" w:ascii="Times New Roman" w:hAnsi="Times New Roman" w:cs="Times New Roman"/>
          <w:color w:val="000000"/>
          <w:kern w:val="0"/>
          <w:szCs w:val="32"/>
          <w:highlight w:val="none"/>
          <w:shd w:val="clear" w:color="auto" w:fill="FFFFFF"/>
          <w:lang w:val="zh-CN"/>
        </w:rPr>
        <w:t>%，其中：预算结余率大于</w:t>
      </w:r>
      <w:r>
        <w:rPr>
          <w:rFonts w:hint="default" w:ascii="Times New Roman" w:hAnsi="Times New Roman" w:cs="Times New Roman"/>
          <w:color w:val="000000"/>
          <w:kern w:val="0"/>
          <w:szCs w:val="32"/>
          <w:highlight w:val="none"/>
          <w:shd w:val="clear" w:color="auto" w:fill="FFFFFF"/>
        </w:rPr>
        <w:t>10%</w:t>
      </w:r>
      <w:r>
        <w:rPr>
          <w:rFonts w:hint="default" w:ascii="Times New Roman" w:hAnsi="Times New Roman" w:cs="Times New Roman"/>
          <w:color w:val="000000"/>
          <w:kern w:val="0"/>
          <w:szCs w:val="32"/>
          <w:highlight w:val="none"/>
          <w:shd w:val="clear" w:color="auto" w:fill="FFFFFF"/>
          <w:lang w:val="zh-CN"/>
        </w:rPr>
        <w:t>的项目共计</w:t>
      </w:r>
      <w:r>
        <w:rPr>
          <w:rFonts w:hint="default"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rPr>
        <w:t>个。</w:t>
      </w:r>
    </w:p>
    <w:p w14:paraId="272A3F0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rPr>
        <w:t>1.</w:t>
      </w:r>
      <w:r>
        <w:rPr>
          <w:rFonts w:hint="default" w:ascii="Times New Roman" w:hAnsi="Times New Roman" w:eastAsia="楷体_GB2312" w:cs="Times New Roman"/>
          <w:color w:val="000000"/>
          <w:kern w:val="0"/>
          <w:szCs w:val="32"/>
          <w:highlight w:val="none"/>
          <w:shd w:val="clear" w:color="auto" w:fill="FFFFFF"/>
          <w:lang w:val="zh-CN"/>
        </w:rPr>
        <w:t>项目决策</w:t>
      </w:r>
    </w:p>
    <w:p w14:paraId="742375ED">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1）</w:t>
      </w:r>
      <w:r>
        <w:rPr>
          <w:rFonts w:hint="default" w:ascii="Times New Roman" w:hAnsi="Times New Roman" w:cs="Times New Roman"/>
          <w:color w:val="000000"/>
          <w:kern w:val="0"/>
          <w:szCs w:val="32"/>
          <w:highlight w:val="none"/>
          <w:shd w:val="clear" w:color="auto" w:fill="FFFFFF"/>
          <w:lang w:val="zh-CN"/>
        </w:rPr>
        <w:t>决策程序</w:t>
      </w:r>
    </w:p>
    <w:p w14:paraId="0287C3F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我单位预算阶段项目（含一次性项目）总数为</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eastAsia="zh-CN"/>
        </w:rPr>
        <w:t>个，无未履行事前评估程序的部门预算阶段项目。</w:t>
      </w:r>
    </w:p>
    <w:p w14:paraId="59D1E17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en-US"/>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w:t>
      </w:r>
      <w:r>
        <w:rPr>
          <w:rFonts w:hint="default" w:ascii="Times New Roman" w:hAnsi="Times New Roman" w:cs="Times New Roman"/>
          <w:color w:val="000000"/>
          <w:kern w:val="0"/>
          <w:szCs w:val="32"/>
          <w:highlight w:val="none"/>
          <w:shd w:val="clear" w:color="auto" w:fill="FFFFFF"/>
          <w:lang w:val="en-US" w:eastAsia="zh-CN"/>
        </w:rPr>
        <w:t>4</w:t>
      </w:r>
      <w:r>
        <w:rPr>
          <w:rFonts w:hint="default" w:ascii="Times New Roman" w:hAnsi="Times New Roman" w:cs="Times New Roman"/>
          <w:color w:val="000000"/>
          <w:kern w:val="0"/>
          <w:szCs w:val="32"/>
          <w:highlight w:val="none"/>
          <w:shd w:val="clear" w:color="auto" w:fill="FFFFFF"/>
          <w:lang w:val="zh-CN" w:eastAsia="zh-CN"/>
        </w:rPr>
        <w:t>分。</w:t>
      </w:r>
    </w:p>
    <w:p w14:paraId="719CFF51">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目标设置</w:t>
      </w:r>
    </w:p>
    <w:p w14:paraId="3BE028F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2025年，我单位在编制部门预算阶段项目（含一次性项目）绩效目标时，紧紧围绕计划期内的任务量进行统筹规划，确保绩效目标与预算安排的资金量相匹配。各项目标设置科学合理、规范完整，做到了量化细化，既明确了预期产出和效果，也与财政预算安排紧密衔接，为预算执行和绩效监控提供了清晰依据。</w:t>
      </w:r>
    </w:p>
    <w:p w14:paraId="3A8F7F01">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w:t>
      </w:r>
      <w:r>
        <w:rPr>
          <w:rFonts w:hint="default" w:ascii="Times New Roman" w:hAnsi="Times New Roman" w:cs="Times New Roman"/>
          <w:color w:val="000000"/>
          <w:kern w:val="0"/>
          <w:szCs w:val="32"/>
          <w:highlight w:val="none"/>
          <w:shd w:val="clear" w:color="auto" w:fill="FFFFFF"/>
          <w:lang w:val="en-US" w:eastAsia="zh-CN"/>
        </w:rPr>
        <w:t>4</w:t>
      </w:r>
      <w:r>
        <w:rPr>
          <w:rFonts w:hint="default" w:ascii="Times New Roman" w:hAnsi="Times New Roman" w:cs="Times New Roman"/>
          <w:color w:val="000000"/>
          <w:kern w:val="0"/>
          <w:szCs w:val="32"/>
          <w:highlight w:val="none"/>
          <w:shd w:val="clear" w:color="auto" w:fill="FFFFFF"/>
          <w:lang w:val="zh-CN" w:eastAsia="zh-CN"/>
        </w:rPr>
        <w:t>分。</w:t>
      </w:r>
    </w:p>
    <w:p w14:paraId="3210CFBD">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zh-CN"/>
        </w:rPr>
        <w:t>项目入库</w:t>
      </w:r>
    </w:p>
    <w:p w14:paraId="7B4E56CA">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rPr>
        <w:t>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rPr>
        <w:t>年我单位需在</w:t>
      </w:r>
      <w:r>
        <w:rPr>
          <w:rFonts w:hint="default" w:ascii="Times New Roman" w:hAnsi="Times New Roman" w:cs="Times New Roman"/>
          <w:color w:val="000000"/>
          <w:kern w:val="0"/>
          <w:szCs w:val="32"/>
          <w:highlight w:val="none"/>
          <w:shd w:val="clear" w:color="auto" w:fill="FFFFFF"/>
          <w:lang w:val="zh-CN" w:eastAsia="zh-CN"/>
        </w:rPr>
        <w:t>规定时间内进行入库的</w:t>
      </w:r>
      <w:r>
        <w:rPr>
          <w:rFonts w:hint="default" w:ascii="Times New Roman" w:hAnsi="Times New Roman" w:cs="Times New Roman"/>
          <w:color w:val="000000"/>
          <w:kern w:val="0"/>
          <w:szCs w:val="32"/>
          <w:highlight w:val="none"/>
          <w:shd w:val="clear" w:color="auto" w:fill="FFFFFF"/>
          <w:lang w:val="zh-CN"/>
        </w:rPr>
        <w:t>部门预算阶段项目（含一次性项目）共有</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rPr>
        <w:t>个，</w:t>
      </w:r>
      <w:r>
        <w:rPr>
          <w:rFonts w:hint="default" w:ascii="Times New Roman" w:hAnsi="Times New Roman" w:cs="Times New Roman"/>
          <w:color w:val="000000"/>
          <w:kern w:val="0"/>
          <w:szCs w:val="32"/>
          <w:highlight w:val="none"/>
          <w:shd w:val="clear" w:color="auto" w:fill="FFFFFF"/>
          <w:lang w:val="zh-CN" w:eastAsia="zh-CN"/>
        </w:rPr>
        <w:t>均在规定时间内完成了项目入库。</w:t>
      </w:r>
    </w:p>
    <w:p w14:paraId="0FCB185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根据评分标准，该项指标不扣分，得4分。</w:t>
      </w:r>
    </w:p>
    <w:p w14:paraId="34280B3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rPr>
      </w:pPr>
      <w:r>
        <w:rPr>
          <w:rFonts w:hint="default" w:ascii="Times New Roman" w:hAnsi="Times New Roman" w:eastAsia="楷体_GB2312" w:cs="Times New Roman"/>
          <w:color w:val="000000"/>
          <w:kern w:val="0"/>
          <w:szCs w:val="32"/>
          <w:highlight w:val="none"/>
          <w:shd w:val="clear" w:color="auto" w:fill="FFFFFF"/>
        </w:rPr>
        <w:t>2.项目执行</w:t>
      </w:r>
    </w:p>
    <w:p w14:paraId="0CAE265B">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1）</w:t>
      </w:r>
      <w:r>
        <w:rPr>
          <w:rFonts w:hint="default" w:ascii="Times New Roman" w:hAnsi="Times New Roman" w:cs="Times New Roman"/>
          <w:color w:val="000000"/>
          <w:kern w:val="0"/>
          <w:szCs w:val="32"/>
          <w:highlight w:val="none"/>
          <w:shd w:val="clear" w:color="auto" w:fill="FFFFFF"/>
          <w:lang w:val="zh-CN"/>
        </w:rPr>
        <w:t>资金执行同向</w:t>
      </w:r>
    </w:p>
    <w:p w14:paraId="79C764C1">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我单位严格按照部门预算批复内容组织实施，部门预算阶段项目（含一次性项目）资金使用符合预算批复用途，与项目总体绩效目标设置方向保持一致，无相悖或不合理之处。</w:t>
      </w:r>
    </w:p>
    <w:p w14:paraId="756D4CEC">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根据评分标准，该项指标不扣分，得4分。</w:t>
      </w:r>
    </w:p>
    <w:p w14:paraId="4ECDA5C7">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项目调整</w:t>
      </w:r>
    </w:p>
    <w:p w14:paraId="3BADF118">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2025年，我单位严格按照预算绩效管理要求，对部门预算阶段项目（含一次性项目）实施动态监控，针对应采取收回预算、调整目标等处置措施的项目，及时按规定履行程序并落实相应调整。经统计，我单位应采取处置措施的部门预算阶段项目（含一次性项目）均已按要求完成调整，未出现“应采取未采取”的情形。</w:t>
      </w:r>
    </w:p>
    <w:p w14:paraId="50D8111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根据评分标准，该项指标不扣分，得4分。</w:t>
      </w:r>
    </w:p>
    <w:p w14:paraId="3E99C3FF">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zh-CN"/>
        </w:rPr>
        <w:t>执行结果</w:t>
      </w:r>
    </w:p>
    <w:p w14:paraId="1D4B05F0">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2025年我单位</w:t>
      </w:r>
      <w:r>
        <w:rPr>
          <w:rFonts w:hint="default" w:ascii="Times New Roman" w:hAnsi="Times New Roman" w:cs="Times New Roman"/>
          <w:color w:val="000000"/>
          <w:kern w:val="0"/>
          <w:szCs w:val="32"/>
          <w:highlight w:val="none"/>
          <w:shd w:val="clear" w:color="auto" w:fill="FFFFFF"/>
          <w:lang w:val="zh-CN"/>
        </w:rPr>
        <w:t>常年项目</w:t>
      </w:r>
      <w:r>
        <w:rPr>
          <w:rFonts w:hint="default" w:ascii="Times New Roman" w:hAnsi="Times New Roman" w:cs="Times New Roman"/>
          <w:color w:val="000000"/>
          <w:kern w:val="0"/>
          <w:szCs w:val="32"/>
          <w:highlight w:val="none"/>
          <w:shd w:val="clear" w:color="auto" w:fill="FFFFFF"/>
          <w:lang w:val="zh-CN" w:eastAsia="zh-CN"/>
        </w:rPr>
        <w:t>共计</w:t>
      </w:r>
      <w:r>
        <w:rPr>
          <w:rFonts w:hint="default" w:ascii="Times New Roman" w:hAnsi="Times New Roman" w:cs="Times New Roman"/>
          <w:color w:val="000000"/>
          <w:kern w:val="0"/>
          <w:szCs w:val="32"/>
          <w:highlight w:val="none"/>
          <w:shd w:val="clear" w:color="auto" w:fill="FFFFFF"/>
          <w:lang w:val="en-US" w:eastAsia="zh-CN"/>
        </w:rPr>
        <w:t>101</w:t>
      </w:r>
      <w:r>
        <w:rPr>
          <w:rFonts w:hint="default" w:ascii="Times New Roman" w:hAnsi="Times New Roman" w:cs="Times New Roman"/>
          <w:color w:val="000000"/>
          <w:kern w:val="0"/>
          <w:szCs w:val="32"/>
          <w:highlight w:val="none"/>
          <w:shd w:val="clear" w:color="auto" w:fill="FFFFFF"/>
          <w:lang w:val="zh-CN"/>
        </w:rPr>
        <w:t>个，预算结余率</w:t>
      </w:r>
      <w:r>
        <w:rPr>
          <w:rFonts w:hint="default" w:ascii="Times New Roman" w:hAnsi="Times New Roman" w:cs="Times New Roman"/>
          <w:color w:val="000000"/>
          <w:kern w:val="0"/>
          <w:szCs w:val="32"/>
          <w:highlight w:val="none"/>
          <w:shd w:val="clear" w:color="auto" w:fill="FFFFFF"/>
          <w:lang w:val="zh-CN" w:eastAsia="zh-CN"/>
        </w:rPr>
        <w:t>小</w:t>
      </w:r>
      <w:r>
        <w:rPr>
          <w:rFonts w:hint="default" w:ascii="Times New Roman" w:hAnsi="Times New Roman" w:cs="Times New Roman"/>
          <w:color w:val="000000"/>
          <w:kern w:val="0"/>
          <w:szCs w:val="32"/>
          <w:highlight w:val="none"/>
          <w:shd w:val="clear" w:color="auto" w:fill="FFFFFF"/>
          <w:lang w:val="zh-CN"/>
        </w:rPr>
        <w:t>于10%</w:t>
      </w:r>
      <w:r>
        <w:rPr>
          <w:rFonts w:hint="default" w:ascii="Times New Roman" w:hAnsi="Times New Roman" w:cs="Times New Roman"/>
          <w:color w:val="000000"/>
          <w:kern w:val="0"/>
          <w:szCs w:val="32"/>
          <w:highlight w:val="none"/>
          <w:shd w:val="clear" w:color="auto" w:fill="FFFFFF"/>
          <w:lang w:val="zh-CN" w:eastAsia="zh-CN"/>
        </w:rPr>
        <w:t>的常年项目数量为</w:t>
      </w:r>
      <w:r>
        <w:rPr>
          <w:rFonts w:hint="default" w:ascii="Times New Roman" w:hAnsi="Times New Roman" w:cs="Times New Roman"/>
          <w:color w:val="000000"/>
          <w:kern w:val="0"/>
          <w:szCs w:val="32"/>
          <w:highlight w:val="none"/>
          <w:shd w:val="clear" w:color="auto" w:fill="FFFFFF"/>
          <w:lang w:val="en-US" w:eastAsia="zh-CN"/>
        </w:rPr>
        <w:t>101</w:t>
      </w:r>
      <w:r>
        <w:rPr>
          <w:rFonts w:hint="default" w:ascii="Times New Roman" w:hAnsi="Times New Roman" w:cs="Times New Roman"/>
          <w:color w:val="000000"/>
          <w:kern w:val="0"/>
          <w:szCs w:val="32"/>
          <w:highlight w:val="none"/>
          <w:shd w:val="clear" w:color="auto" w:fill="FFFFFF"/>
          <w:lang w:val="zh-CN" w:eastAsia="zh-CN"/>
        </w:rPr>
        <w:t>个</w:t>
      </w:r>
      <w:r>
        <w:rPr>
          <w:rFonts w:hint="default" w:ascii="Times New Roman" w:hAnsi="Times New Roman" w:cs="Times New Roman"/>
          <w:color w:val="000000"/>
          <w:kern w:val="0"/>
          <w:szCs w:val="32"/>
          <w:highlight w:val="none"/>
          <w:shd w:val="clear" w:color="auto" w:fill="FFFFFF"/>
          <w:lang w:val="zh-CN"/>
        </w:rPr>
        <w:t>；一次性项目和阶段项目</w:t>
      </w:r>
      <w:r>
        <w:rPr>
          <w:rFonts w:hint="default" w:ascii="Times New Roman" w:hAnsi="Times New Roman" w:cs="Times New Roman"/>
          <w:color w:val="000000"/>
          <w:kern w:val="0"/>
          <w:szCs w:val="32"/>
          <w:highlight w:val="none"/>
          <w:shd w:val="clear" w:color="auto" w:fill="FFFFFF"/>
          <w:lang w:val="zh-CN" w:eastAsia="zh-CN"/>
        </w:rPr>
        <w:t>共计</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rPr>
        <w:t>个，</w:t>
      </w:r>
      <w:r>
        <w:rPr>
          <w:rFonts w:hint="default" w:ascii="Times New Roman" w:hAnsi="Times New Roman" w:cs="Times New Roman"/>
          <w:color w:val="000000"/>
          <w:kern w:val="0"/>
          <w:szCs w:val="32"/>
          <w:highlight w:val="none"/>
          <w:shd w:val="clear" w:color="auto" w:fill="FFFFFF"/>
          <w:lang w:val="zh-CN" w:eastAsia="zh-CN"/>
        </w:rPr>
        <w:t>预算结余率小于10%的一次性项目和阶段项目数量为</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eastAsia="zh-CN"/>
        </w:rPr>
        <w:t>个。</w:t>
      </w:r>
    </w:p>
    <w:p w14:paraId="228CAC35">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w:t>
      </w:r>
      <w:r>
        <w:rPr>
          <w:rFonts w:hint="default" w:ascii="Times New Roman" w:hAnsi="Times New Roman" w:cs="Times New Roman"/>
          <w:color w:val="000000"/>
          <w:kern w:val="0"/>
          <w:szCs w:val="32"/>
          <w:highlight w:val="none"/>
          <w:shd w:val="clear" w:color="auto" w:fill="FFFFFF"/>
          <w:lang w:val="en-US" w:eastAsia="zh-CN"/>
        </w:rPr>
        <w:t>不扣</w:t>
      </w:r>
      <w:r>
        <w:rPr>
          <w:rFonts w:hint="default" w:ascii="Times New Roman" w:hAnsi="Times New Roman" w:cs="Times New Roman"/>
          <w:color w:val="000000"/>
          <w:kern w:val="0"/>
          <w:szCs w:val="32"/>
          <w:highlight w:val="none"/>
          <w:shd w:val="clear" w:color="auto" w:fill="FFFFFF"/>
          <w:lang w:val="zh-CN" w:eastAsia="zh-CN"/>
        </w:rPr>
        <w:t>分，得</w:t>
      </w:r>
      <w:r>
        <w:rPr>
          <w:rFonts w:hint="default" w:ascii="Times New Roman" w:hAnsi="Times New Roman" w:cs="Times New Roman"/>
          <w:color w:val="000000"/>
          <w:kern w:val="0"/>
          <w:szCs w:val="32"/>
          <w:highlight w:val="none"/>
          <w:shd w:val="clear" w:color="auto" w:fill="FFFFFF"/>
          <w:lang w:val="en-US" w:eastAsia="zh-CN"/>
        </w:rPr>
        <w:t>4</w:t>
      </w:r>
      <w:r>
        <w:rPr>
          <w:rFonts w:hint="default" w:ascii="Times New Roman" w:hAnsi="Times New Roman" w:cs="Times New Roman"/>
          <w:color w:val="000000"/>
          <w:kern w:val="0"/>
          <w:szCs w:val="32"/>
          <w:highlight w:val="none"/>
          <w:shd w:val="clear" w:color="auto" w:fill="FFFFFF"/>
          <w:lang w:val="zh-CN" w:eastAsia="zh-CN"/>
        </w:rPr>
        <w:t>分。</w:t>
      </w:r>
    </w:p>
    <w:p w14:paraId="197A843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rPr>
        <w:t>3.</w:t>
      </w:r>
      <w:r>
        <w:rPr>
          <w:rFonts w:hint="default" w:ascii="Times New Roman" w:hAnsi="Times New Roman" w:eastAsia="楷体_GB2312" w:cs="Times New Roman"/>
          <w:color w:val="000000"/>
          <w:kern w:val="0"/>
          <w:szCs w:val="32"/>
          <w:highlight w:val="none"/>
          <w:shd w:val="clear" w:color="auto" w:fill="FFFFFF"/>
          <w:lang w:val="zh-CN"/>
        </w:rPr>
        <w:t>目标实现</w:t>
      </w:r>
    </w:p>
    <w:p w14:paraId="6FF0CDA7">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1）</w:t>
      </w:r>
      <w:r>
        <w:rPr>
          <w:rFonts w:hint="default" w:ascii="Times New Roman" w:hAnsi="Times New Roman" w:cs="Times New Roman"/>
          <w:color w:val="000000"/>
          <w:kern w:val="0"/>
          <w:szCs w:val="32"/>
          <w:highlight w:val="none"/>
          <w:shd w:val="clear" w:color="auto" w:fill="FFFFFF"/>
          <w:lang w:val="zh-CN"/>
        </w:rPr>
        <w:t>目标完成</w:t>
      </w:r>
    </w:p>
    <w:p w14:paraId="353BB009">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w:t>
      </w:r>
      <w:r>
        <w:rPr>
          <w:rFonts w:hint="default" w:ascii="Times New Roman" w:hAnsi="Times New Roman" w:cs="Times New Roman"/>
          <w:color w:val="000000"/>
          <w:kern w:val="0"/>
          <w:szCs w:val="32"/>
          <w:highlight w:val="none"/>
          <w:shd w:val="clear" w:color="auto" w:fill="FFFFFF"/>
          <w:lang w:val="en-US" w:eastAsia="zh-CN"/>
        </w:rPr>
        <w:t>我单位</w:t>
      </w:r>
      <w:r>
        <w:rPr>
          <w:rFonts w:hint="default" w:ascii="Times New Roman" w:hAnsi="Times New Roman" w:cs="Times New Roman"/>
          <w:color w:val="000000"/>
          <w:kern w:val="0"/>
          <w:szCs w:val="32"/>
          <w:highlight w:val="none"/>
          <w:shd w:val="clear" w:color="auto" w:fill="FFFFFF"/>
          <w:lang w:val="zh-CN" w:eastAsia="zh-CN"/>
        </w:rPr>
        <w:t>部门预算阶段项目（含一次性项目）共有</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eastAsia="zh-CN"/>
        </w:rPr>
        <w:t>个，结合项目实施情况，我单位所涉及的部门预算阶段项目（含一次性项目）各项数量指标全部完成。</w:t>
      </w:r>
    </w:p>
    <w:p w14:paraId="298C98EF">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根据评分标准，该项指标不扣分，得4分。</w:t>
      </w:r>
    </w:p>
    <w:p w14:paraId="35188CB2">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rPr>
        <w:t>目标偏离</w:t>
      </w:r>
    </w:p>
    <w:p w14:paraId="60027174">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t>202</w:t>
      </w:r>
      <w:r>
        <w:rPr>
          <w:rFonts w:hint="default" w:ascii="Times New Roman" w:hAnsi="Times New Roman" w:cs="Times New Roman"/>
          <w:color w:val="000000"/>
          <w:kern w:val="0"/>
          <w:szCs w:val="32"/>
          <w:highlight w:val="none"/>
          <w:shd w:val="clear" w:color="auto" w:fill="FFFFFF"/>
          <w:lang w:val="en-US" w:eastAsia="zh-CN"/>
        </w:rPr>
        <w:t>5</w:t>
      </w:r>
      <w:r>
        <w:rPr>
          <w:rFonts w:hint="default" w:ascii="Times New Roman" w:hAnsi="Times New Roman" w:cs="Times New Roman"/>
          <w:color w:val="000000"/>
          <w:kern w:val="0"/>
          <w:szCs w:val="32"/>
          <w:highlight w:val="none"/>
          <w:shd w:val="clear" w:color="auto" w:fill="FFFFFF"/>
          <w:lang w:val="zh-CN" w:eastAsia="zh-CN"/>
        </w:rPr>
        <w:t>年我单位部门预算阶段项目（含一次性项目）共有</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olor w:val="000000"/>
          <w:kern w:val="0"/>
          <w:szCs w:val="32"/>
          <w:highlight w:val="none"/>
          <w:shd w:val="clear" w:color="auto" w:fill="FFFFFF"/>
          <w:lang w:val="zh-CN" w:eastAsia="zh-CN"/>
        </w:rPr>
        <w:t>个，所有项目的数量指标完成情况良好，与预期</w:t>
      </w:r>
      <w:r>
        <w:rPr>
          <w:rFonts w:hint="default" w:ascii="Times New Roman" w:hAnsi="Times New Roman" w:cs="Times New Roman"/>
          <w:color w:val="000000"/>
          <w:kern w:val="0"/>
          <w:szCs w:val="32"/>
          <w:highlight w:val="none"/>
          <w:shd w:val="clear" w:color="auto" w:fill="FFFFFF"/>
          <w:lang w:val="en-US" w:eastAsia="zh-CN"/>
        </w:rPr>
        <w:t>目标</w:t>
      </w:r>
      <w:r>
        <w:rPr>
          <w:rFonts w:hint="default" w:ascii="Times New Roman" w:hAnsi="Times New Roman" w:cs="Times New Roman"/>
          <w:color w:val="000000"/>
          <w:kern w:val="0"/>
          <w:szCs w:val="32"/>
          <w:highlight w:val="none"/>
          <w:shd w:val="clear" w:color="auto" w:fill="FFFFFF"/>
          <w:lang w:val="zh-CN" w:eastAsia="zh-CN"/>
        </w:rPr>
        <w:t>的偏离度均未超过30%。</w:t>
      </w:r>
    </w:p>
    <w:p w14:paraId="5C86424E">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eastAsia="zh-CN"/>
        </w:rPr>
        <w:t>根据评分标准，该项指标不扣分，得4分。</w:t>
      </w:r>
    </w:p>
    <w:p w14:paraId="4F8EA906">
      <w:pPr>
        <w:keepNext w:val="0"/>
        <w:keepLines w:val="0"/>
        <w:pageBreakBefore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color w:val="000000"/>
          <w:kern w:val="0"/>
          <w:szCs w:val="32"/>
          <w:highlight w:val="none"/>
          <w:shd w:val="clear" w:color="auto" w:fill="FFFFFF"/>
          <w:lang w:val="zh-CN"/>
        </w:rPr>
      </w:pPr>
      <w:r>
        <w:rPr>
          <w:rFonts w:hint="default" w:ascii="Times New Roman" w:hAnsi="Times New Roman" w:cs="Times New Roman"/>
          <w:color w:val="000000"/>
          <w:kern w:val="0"/>
          <w:szCs w:val="32"/>
          <w:highlight w:val="none"/>
          <w:shd w:val="clear" w:color="auto" w:fill="FFFFFF"/>
          <w:lang w:val="zh-CN"/>
        </w:rPr>
        <w:t>（</w:t>
      </w:r>
      <w:r>
        <w:rPr>
          <w:rFonts w:hint="default" w:ascii="Times New Roman" w:hAnsi="Times New Roman"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zh-CN"/>
        </w:rPr>
        <w:t>实现效果</w:t>
      </w:r>
    </w:p>
    <w:p w14:paraId="5F5CF7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caps w:val="0"/>
          <w:highlight w:val="none"/>
          <w:lang w:val="en-US" w:eastAsia="zh-CN"/>
        </w:rPr>
      </w:pPr>
      <w:r>
        <w:rPr>
          <w:rFonts w:hint="default" w:ascii="Times New Roman" w:hAnsi="Times New Roman" w:cs="Times New Roman"/>
          <w:caps w:val="0"/>
          <w:highlight w:val="none"/>
          <w:lang w:eastAsia="zh-CN"/>
        </w:rPr>
        <w:t>202</w:t>
      </w:r>
      <w:r>
        <w:rPr>
          <w:rFonts w:hint="default" w:ascii="Times New Roman" w:hAnsi="Times New Roman" w:cs="Times New Roman"/>
          <w:caps w:val="0"/>
          <w:highlight w:val="none"/>
          <w:lang w:val="en-US" w:eastAsia="zh-CN"/>
        </w:rPr>
        <w:t>5</w:t>
      </w:r>
      <w:r>
        <w:rPr>
          <w:rFonts w:hint="default" w:ascii="Times New Roman" w:hAnsi="Times New Roman" w:cs="Times New Roman"/>
          <w:caps w:val="0"/>
          <w:highlight w:val="none"/>
          <w:lang w:eastAsia="zh-CN"/>
        </w:rPr>
        <w:t>年我单位纳入绩效目标管理的部门预算阶段项目（含一次性项目）共计</w:t>
      </w:r>
      <w:r>
        <w:rPr>
          <w:rFonts w:hint="default" w:ascii="Times New Roman" w:hAnsi="Times New Roman" w:cs="Times New Roman"/>
          <w:color w:val="000000"/>
          <w:kern w:val="0"/>
          <w:szCs w:val="32"/>
          <w:highlight w:val="none"/>
          <w:shd w:val="clear" w:color="auto" w:fill="FFFFFF"/>
          <w:lang w:val="en-US" w:eastAsia="zh-CN"/>
        </w:rPr>
        <w:t>56</w:t>
      </w:r>
      <w:r>
        <w:rPr>
          <w:rFonts w:hint="default" w:ascii="Times New Roman" w:hAnsi="Times New Roman" w:cs="Times New Roman"/>
          <w:caps w:val="0"/>
          <w:highlight w:val="none"/>
          <w:lang w:eastAsia="zh-CN"/>
        </w:rPr>
        <w:t>个</w:t>
      </w:r>
      <w:r>
        <w:rPr>
          <w:rFonts w:hint="default" w:ascii="Times New Roman" w:hAnsi="Times New Roman" w:cs="Times New Roman"/>
          <w:caps w:val="0"/>
          <w:highlight w:val="none"/>
          <w:lang w:val="en-US" w:eastAsia="zh-CN"/>
        </w:rPr>
        <w:t>，项目均已完成预期设定的效益指标。</w:t>
      </w:r>
    </w:p>
    <w:p w14:paraId="494458FC">
      <w:pPr>
        <w:keepNext w:val="0"/>
        <w:keepLines w:val="0"/>
        <w:pageBreakBefore w:val="0"/>
        <w:kinsoku/>
        <w:wordWrap/>
        <w:overflowPunct/>
        <w:topLinePunct w:val="0"/>
        <w:autoSpaceDE/>
        <w:autoSpaceDN/>
        <w:bidi w:val="0"/>
        <w:spacing w:line="578" w:lineRule="exact"/>
        <w:ind w:firstLine="640" w:firstLineChars="200"/>
        <w:jc w:val="both"/>
        <w:textAlignment w:val="auto"/>
        <w:rPr>
          <w:rFonts w:hint="default" w:ascii="Times New Roman" w:hAnsi="Times New Roman" w:cs="Times New Roman"/>
          <w:szCs w:val="32"/>
          <w:highlight w:val="none"/>
        </w:rPr>
      </w:pPr>
      <w:r>
        <w:rPr>
          <w:rFonts w:hint="default" w:ascii="Times New Roman" w:hAnsi="Times New Roman" w:cs="Times New Roman"/>
          <w:caps w:val="0"/>
          <w:highlight w:val="none"/>
          <w:lang w:val="en-US" w:eastAsia="zh-CN"/>
        </w:rPr>
        <w:t>根据评分标准，该项指标不扣分，得3分。</w:t>
      </w:r>
    </w:p>
    <w:p w14:paraId="4CB26195">
      <w:pPr>
        <w:keepNext w:val="0"/>
        <w:keepLines w:val="0"/>
        <w:pageBreakBefore w:val="0"/>
        <w:widowControl w:val="0"/>
        <w:kinsoku/>
        <w:wordWrap/>
        <w:overflowPunct/>
        <w:topLinePunct w:val="0"/>
        <w:autoSpaceDE/>
        <w:autoSpaceDN/>
        <w:bidi w:val="0"/>
        <w:adjustRightInd/>
        <w:snapToGrid w:val="0"/>
        <w:spacing w:line="578" w:lineRule="exact"/>
        <w:ind w:firstLine="643" w:firstLineChars="200"/>
        <w:jc w:val="both"/>
        <w:textAlignment w:val="auto"/>
        <w:outlineLvl w:val="1"/>
        <w:rPr>
          <w:rFonts w:hint="default" w:ascii="Times New Roman" w:hAnsi="Times New Roman" w:eastAsia="楷体_GB2312" w:cs="Times New Roman"/>
          <w:b/>
          <w:bCs/>
          <w:szCs w:val="32"/>
          <w:lang w:val="zh-CN"/>
        </w:rPr>
      </w:pPr>
      <w:bookmarkStart w:id="26" w:name="_Toc5639"/>
      <w:r>
        <w:rPr>
          <w:rFonts w:hint="default" w:ascii="Times New Roman" w:hAnsi="Times New Roman" w:eastAsia="楷体_GB2312" w:cs="Times New Roman"/>
          <w:b/>
          <w:bCs/>
          <w:color w:val="000000"/>
          <w:kern w:val="0"/>
          <w:szCs w:val="32"/>
          <w:shd w:val="clear" w:color="auto" w:fill="FFFFFF"/>
          <w:lang w:val="zh-CN"/>
        </w:rPr>
        <w:t>（三）</w:t>
      </w:r>
      <w:r>
        <w:rPr>
          <w:rFonts w:hint="default" w:ascii="Times New Roman" w:hAnsi="Times New Roman" w:eastAsia="楷体_GB2312" w:cs="Times New Roman"/>
          <w:b/>
          <w:bCs/>
          <w:szCs w:val="32"/>
          <w:lang w:val="zh-CN"/>
        </w:rPr>
        <w:t>绩效结果应用情况</w:t>
      </w:r>
      <w:bookmarkEnd w:id="26"/>
    </w:p>
    <w:p w14:paraId="2C7A39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caps w:val="0"/>
          <w:highlight w:val="none"/>
          <w:lang w:eastAsia="zh-CN"/>
        </w:rPr>
      </w:pPr>
      <w:r>
        <w:rPr>
          <w:rFonts w:hint="default" w:ascii="Times New Roman" w:hAnsi="Times New Roman" w:cs="Times New Roman"/>
          <w:caps w:val="0"/>
          <w:highlight w:val="none"/>
          <w:lang w:val="zh-CN" w:eastAsia="zh-CN"/>
        </w:rPr>
        <w:t>我单位严格按照要求，自觉接受财政、审计等监督部门开展的重点绩效评价，评价结果作为以后年度重点项目资金预算安排的参考依据。</w:t>
      </w:r>
      <w:r>
        <w:rPr>
          <w:rFonts w:hint="default" w:ascii="Times New Roman" w:hAnsi="Times New Roman" w:cs="Times New Roman"/>
          <w:caps w:val="0"/>
          <w:highlight w:val="none"/>
          <w:lang w:val="en-US" w:eastAsia="zh-CN"/>
        </w:rPr>
        <w:t>将</w:t>
      </w:r>
      <w:r>
        <w:rPr>
          <w:rFonts w:hint="default" w:ascii="Times New Roman" w:hAnsi="Times New Roman" w:cs="Times New Roman"/>
          <w:caps w:val="0"/>
          <w:highlight w:val="none"/>
          <w:lang w:val="zh-CN" w:eastAsia="zh-CN"/>
        </w:rPr>
        <w:t>项目绩效与预算资金安排挂钩。项目实施效果不佳、预算执行进度不符合要求的，进行通报并作为年度评优时的参考依据；对于造成财政资金损失的，按照有关规定追究责任。</w:t>
      </w:r>
      <w:r>
        <w:rPr>
          <w:rFonts w:hint="default" w:ascii="Times New Roman" w:hAnsi="Times New Roman" w:cs="Times New Roman"/>
          <w:caps w:val="0"/>
          <w:highlight w:val="none"/>
          <w:lang w:val="en-US" w:eastAsia="zh-CN"/>
        </w:rPr>
        <w:t>明确预算编制、预算分解、预算执行与分析、预算调整、决算管理、预算绩效管理及预决算信息公开管理等业务环节的管理要求，加强预算业务各环节的风险管控。</w:t>
      </w:r>
    </w:p>
    <w:p w14:paraId="20A2198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0"/>
        <w:rPr>
          <w:rFonts w:hint="default" w:ascii="Times New Roman" w:hAnsi="Times New Roman" w:eastAsia="黑体" w:cs="Times New Roman"/>
          <w:color w:val="000000"/>
          <w:kern w:val="0"/>
          <w:szCs w:val="32"/>
          <w:shd w:val="clear" w:color="auto" w:fill="FFFFFF"/>
        </w:rPr>
      </w:pPr>
      <w:bookmarkStart w:id="27" w:name="_Toc4188"/>
      <w:r>
        <w:rPr>
          <w:rFonts w:hint="default" w:ascii="Times New Roman" w:hAnsi="Times New Roman" w:eastAsia="黑体" w:cs="Times New Roman"/>
          <w:color w:val="000000"/>
          <w:kern w:val="0"/>
          <w:szCs w:val="32"/>
          <w:shd w:val="clear" w:color="auto" w:fill="FFFFFF"/>
        </w:rPr>
        <w:t>四、评价结论及建议</w:t>
      </w:r>
      <w:bookmarkEnd w:id="27"/>
    </w:p>
    <w:p w14:paraId="3FD35B1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28" w:name="_Toc3202"/>
      <w:r>
        <w:rPr>
          <w:rFonts w:hint="default" w:ascii="Times New Roman" w:hAnsi="Times New Roman" w:eastAsia="楷体_GB2312" w:cs="Times New Roman"/>
          <w:b/>
          <w:bCs/>
          <w:color w:val="000000"/>
          <w:kern w:val="0"/>
          <w:szCs w:val="32"/>
          <w:shd w:val="clear" w:color="auto" w:fill="FFFFFF"/>
          <w:lang w:val="zh-CN"/>
        </w:rPr>
        <w:t>（一）评价结论</w:t>
      </w:r>
      <w:bookmarkEnd w:id="28"/>
    </w:p>
    <w:p w14:paraId="54756AC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eastAsia="楷体_GB2312" w:cs="Times New Roman"/>
          <w:b/>
          <w:bCs/>
          <w:color w:val="000000"/>
          <w:kern w:val="0"/>
          <w:szCs w:val="32"/>
          <w:shd w:val="clear" w:color="auto" w:fill="FFFFFF"/>
        </w:rPr>
      </w:pPr>
      <w:r>
        <w:rPr>
          <w:rFonts w:hint="default" w:ascii="Times New Roman" w:hAnsi="Times New Roman" w:cs="Times New Roman"/>
          <w:kern w:val="0"/>
          <w:szCs w:val="32"/>
          <w:lang w:val="en-US" w:eastAsia="zh-CN"/>
        </w:rPr>
        <w:t>在2025年度财政预算绩效自评工作中，我单位严格按照《部门预算绩效评价指标体系》进行逐项打分。总体来看，年度内我单位切实履行部门职责，预算执行情况良好，财务管理与采购管理规范有序，决策程序合规，绩效目标设置合理，各项指标实现情况良好，整体绩效水平稳步提升，绩效评价综合得分</w:t>
      </w:r>
      <w:r>
        <w:rPr>
          <w:rFonts w:hint="default" w:ascii="Times New Roman" w:hAnsi="Times New Roman" w:cs="Times New Roman"/>
          <w:kern w:val="0"/>
          <w:szCs w:val="32"/>
          <w:highlight w:val="none"/>
          <w:lang w:val="en-US" w:eastAsia="zh-CN"/>
        </w:rPr>
        <w:t>85.55分</w:t>
      </w:r>
      <w:r>
        <w:rPr>
          <w:rFonts w:hint="default" w:ascii="Times New Roman" w:hAnsi="Times New Roman" w:cs="Times New Roman"/>
          <w:kern w:val="0"/>
          <w:szCs w:val="32"/>
        </w:rPr>
        <w:t>。</w:t>
      </w:r>
    </w:p>
    <w:p w14:paraId="1877C76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shd w:val="clear" w:color="auto" w:fill="FFFFFF"/>
          <w:lang w:val="zh-CN"/>
        </w:rPr>
      </w:pPr>
      <w:bookmarkStart w:id="29" w:name="_Toc26960"/>
      <w:r>
        <w:rPr>
          <w:rFonts w:hint="default" w:ascii="Times New Roman" w:hAnsi="Times New Roman" w:eastAsia="楷体_GB2312" w:cs="Times New Roman"/>
          <w:b/>
          <w:bCs/>
          <w:color w:val="000000"/>
          <w:kern w:val="0"/>
          <w:szCs w:val="32"/>
          <w:shd w:val="clear" w:color="auto" w:fill="FFFFFF"/>
          <w:lang w:val="zh-CN"/>
        </w:rPr>
        <w:t>（二）存在问题</w:t>
      </w:r>
      <w:bookmarkEnd w:id="29"/>
    </w:p>
    <w:p w14:paraId="44D8B59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color w:val="000000"/>
          <w:kern w:val="0"/>
          <w:szCs w:val="32"/>
          <w:highlight w:val="none"/>
          <w:shd w:val="clear" w:color="auto" w:fill="FFFFFF"/>
          <w:lang w:val="en-US" w:eastAsia="zh-CN"/>
        </w:rPr>
        <w:t>1.预算执行偏离度较高</w:t>
      </w:r>
    </w:p>
    <w:p w14:paraId="02E9EC6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kern w:val="0"/>
          <w:szCs w:val="32"/>
          <w:highlight w:val="none"/>
          <w:lang w:val="en-US" w:eastAsia="zh-CN"/>
        </w:rPr>
      </w:pPr>
      <w:r>
        <w:rPr>
          <w:rFonts w:hint="default" w:ascii="Times New Roman" w:hAnsi="Times New Roman" w:cs="Times New Roman"/>
          <w:kern w:val="0"/>
          <w:szCs w:val="32"/>
          <w:highlight w:val="none"/>
          <w:lang w:val="en-US" w:eastAsia="zh-CN"/>
        </w:rPr>
        <w:t>2025年我单位财政拨款预算执行偏离度为37.70%，资产配置预算执行偏离度为1074.48%，政府采购预算执行偏离度为116.59%，预算编制精准性不足，执行偏离度较高。</w:t>
      </w:r>
    </w:p>
    <w:p w14:paraId="672B47C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en-US" w:eastAsia="zh-CN"/>
        </w:rPr>
      </w:pPr>
      <w:r>
        <w:rPr>
          <w:rFonts w:hint="default" w:ascii="Times New Roman" w:hAnsi="Times New Roman" w:eastAsia="楷体_GB2312" w:cs="Times New Roman"/>
          <w:color w:val="000000"/>
          <w:kern w:val="0"/>
          <w:szCs w:val="32"/>
          <w:highlight w:val="none"/>
          <w:shd w:val="clear" w:color="auto" w:fill="FFFFFF"/>
          <w:lang w:val="en-US" w:eastAsia="zh-CN"/>
        </w:rPr>
        <w:t>2.预算执行进度未达序时进度要求</w:t>
      </w:r>
    </w:p>
    <w:p w14:paraId="1AED1E4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kern w:val="0"/>
          <w:szCs w:val="32"/>
          <w:highlight w:val="none"/>
          <w:lang w:val="en-US" w:eastAsia="zh-CN"/>
        </w:rPr>
      </w:pPr>
      <w:r>
        <w:rPr>
          <w:rFonts w:hint="default" w:ascii="Times New Roman" w:hAnsi="Times New Roman" w:cs="Times New Roman"/>
          <w:kern w:val="0"/>
          <w:szCs w:val="32"/>
          <w:highlight w:val="none"/>
          <w:lang w:val="en-US" w:eastAsia="zh-CN"/>
        </w:rPr>
        <w:t>2025年我单位1至6月预算执行数11,679.67万元，执行率为21.07%，未达到序时进度50%的要求；1至10月预算执行数19,342.19万元，执行率为34.89%，未达到序时进度83.33%的要求。</w:t>
      </w:r>
    </w:p>
    <w:p w14:paraId="5B81128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en-US" w:eastAsia="zh-CN"/>
        </w:rPr>
      </w:pPr>
      <w:r>
        <w:rPr>
          <w:rFonts w:hint="default" w:ascii="Times New Roman" w:hAnsi="Times New Roman" w:cs="Times New Roman"/>
          <w:kern w:val="0"/>
          <w:szCs w:val="32"/>
          <w:highlight w:val="none"/>
          <w:lang w:val="en-US" w:eastAsia="zh-CN"/>
        </w:rPr>
        <w:t>3.</w:t>
      </w:r>
      <w:r>
        <w:rPr>
          <w:rFonts w:hint="default" w:ascii="Times New Roman" w:hAnsi="Times New Roman" w:eastAsia="楷体_GB2312" w:cs="Times New Roman"/>
          <w:color w:val="000000"/>
          <w:kern w:val="0"/>
          <w:szCs w:val="32"/>
          <w:highlight w:val="none"/>
          <w:shd w:val="clear" w:color="auto" w:fill="FFFFFF"/>
          <w:lang w:val="en-US" w:eastAsia="zh-CN"/>
        </w:rPr>
        <w:t>一般性支出控制有待加强</w:t>
      </w:r>
    </w:p>
    <w:p w14:paraId="30AA4E8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000000"/>
          <w:kern w:val="0"/>
          <w:szCs w:val="32"/>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我单位2025年一般性支出财政拨款年初预算较2024年一般性支出财政拨款年初预算未实现压减</w:t>
      </w:r>
      <w:r>
        <w:rPr>
          <w:rFonts w:hint="default" w:ascii="Times New Roman" w:hAnsi="Times New Roman" w:cs="Times New Roman"/>
          <w:color w:val="000000"/>
          <w:kern w:val="0"/>
          <w:szCs w:val="32"/>
          <w:shd w:val="clear" w:color="auto" w:fill="FFFFFF"/>
          <w:lang w:val="en-US" w:eastAsia="zh-CN"/>
        </w:rPr>
        <w:t>。</w:t>
      </w:r>
    </w:p>
    <w:p w14:paraId="3B02405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cs="Times New Roman"/>
          <w:kern w:val="0"/>
          <w:szCs w:val="32"/>
          <w:highlight w:val="none"/>
          <w:lang w:val="en-US" w:eastAsia="zh-CN"/>
        </w:rPr>
        <w:t>4.</w:t>
      </w:r>
      <w:r>
        <w:rPr>
          <w:rFonts w:hint="default" w:ascii="Times New Roman" w:hAnsi="Times New Roman" w:eastAsia="楷体_GB2312" w:cs="Times New Roman"/>
          <w:color w:val="000000"/>
          <w:kern w:val="0"/>
          <w:szCs w:val="32"/>
          <w:highlight w:val="none"/>
          <w:shd w:val="clear" w:color="auto" w:fill="FFFFFF"/>
          <w:lang w:val="en-US" w:eastAsia="zh-CN"/>
        </w:rPr>
        <w:t>人均资产变化率较高</w:t>
      </w:r>
    </w:p>
    <w:p w14:paraId="3815045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cs="Times New Roman"/>
          <w:kern w:val="0"/>
          <w:szCs w:val="32"/>
          <w:highlight w:val="none"/>
          <w:lang w:val="en-US" w:eastAsia="zh-CN"/>
        </w:rPr>
      </w:pPr>
      <w:r>
        <w:rPr>
          <w:rFonts w:hint="default" w:ascii="Times New Roman" w:hAnsi="Times New Roman" w:cs="Times New Roman"/>
          <w:color w:val="auto"/>
          <w:kern w:val="2"/>
          <w:sz w:val="32"/>
          <w:szCs w:val="32"/>
          <w:highlight w:val="none"/>
          <w:lang w:val="zh-CN" w:eastAsia="zh-CN" w:bidi="ar-SA"/>
        </w:rPr>
        <w:t>202</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cs="Times New Roman"/>
          <w:color w:val="auto"/>
          <w:kern w:val="2"/>
          <w:sz w:val="32"/>
          <w:szCs w:val="32"/>
          <w:highlight w:val="none"/>
          <w:lang w:val="zh-CN" w:eastAsia="zh-CN" w:bidi="ar-SA"/>
        </w:rPr>
        <w:t>年我单位人均资产变化率为</w:t>
      </w:r>
      <w:r>
        <w:rPr>
          <w:rFonts w:hint="default" w:ascii="Times New Roman" w:hAnsi="Times New Roman" w:cs="Times New Roman"/>
          <w:color w:val="auto"/>
          <w:kern w:val="2"/>
          <w:sz w:val="32"/>
          <w:szCs w:val="32"/>
          <w:highlight w:val="none"/>
          <w:lang w:val="en-US" w:eastAsia="zh-CN" w:bidi="ar-SA"/>
        </w:rPr>
        <w:t>134.83%</w:t>
      </w:r>
      <w:r>
        <w:rPr>
          <w:rFonts w:hint="default" w:ascii="Times New Roman" w:hAnsi="Times New Roman" w:cs="Times New Roman"/>
          <w:color w:val="auto"/>
          <w:kern w:val="2"/>
          <w:sz w:val="32"/>
          <w:szCs w:val="32"/>
          <w:highlight w:val="none"/>
          <w:lang w:val="zh-CN" w:eastAsia="zh-CN" w:bidi="ar-SA"/>
        </w:rPr>
        <w:t>，阿坝州州直行政事业单位202</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cs="Times New Roman"/>
          <w:color w:val="auto"/>
          <w:kern w:val="2"/>
          <w:sz w:val="32"/>
          <w:szCs w:val="32"/>
          <w:highlight w:val="none"/>
          <w:lang w:val="zh-CN" w:eastAsia="zh-CN" w:bidi="ar-SA"/>
        </w:rPr>
        <w:t>年人均资产变化率</w:t>
      </w:r>
      <w:r>
        <w:rPr>
          <w:rFonts w:hint="default" w:ascii="Times New Roman" w:hAnsi="Times New Roman" w:cs="Times New Roman"/>
          <w:color w:val="auto"/>
          <w:kern w:val="2"/>
          <w:sz w:val="32"/>
          <w:szCs w:val="32"/>
          <w:highlight w:val="none"/>
          <w:lang w:val="en-US" w:eastAsia="zh-CN" w:bidi="ar-SA"/>
        </w:rPr>
        <w:t>3.49%</w:t>
      </w:r>
      <w:r>
        <w:rPr>
          <w:rFonts w:hint="default" w:ascii="Times New Roman" w:hAnsi="Times New Roman" w:cs="Times New Roman"/>
          <w:color w:val="auto"/>
          <w:kern w:val="2"/>
          <w:sz w:val="32"/>
          <w:szCs w:val="32"/>
          <w:highlight w:val="none"/>
          <w:lang w:val="zh-CN" w:eastAsia="zh-CN" w:bidi="ar-SA"/>
        </w:rPr>
        <w:t>，202</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cs="Times New Roman"/>
          <w:color w:val="auto"/>
          <w:kern w:val="2"/>
          <w:sz w:val="32"/>
          <w:szCs w:val="32"/>
          <w:highlight w:val="none"/>
          <w:lang w:val="zh-CN" w:eastAsia="zh-CN" w:bidi="ar-SA"/>
        </w:rPr>
        <w:t>年我单位人均资产变化率</w:t>
      </w:r>
      <w:r>
        <w:rPr>
          <w:rFonts w:hint="default" w:ascii="Times New Roman" w:hAnsi="Times New Roman" w:cs="Times New Roman"/>
          <w:color w:val="auto"/>
          <w:kern w:val="2"/>
          <w:sz w:val="32"/>
          <w:szCs w:val="32"/>
          <w:highlight w:val="none"/>
          <w:lang w:val="en-US" w:eastAsia="zh-CN" w:bidi="ar-SA"/>
        </w:rPr>
        <w:t>大</w:t>
      </w:r>
      <w:r>
        <w:rPr>
          <w:rFonts w:hint="default" w:ascii="Times New Roman" w:hAnsi="Times New Roman" w:cs="Times New Roman"/>
          <w:color w:val="auto"/>
          <w:kern w:val="2"/>
          <w:sz w:val="32"/>
          <w:szCs w:val="32"/>
          <w:highlight w:val="none"/>
          <w:lang w:val="zh-CN" w:eastAsia="zh-CN" w:bidi="ar-SA"/>
        </w:rPr>
        <w:t>于</w:t>
      </w:r>
      <w:r>
        <w:rPr>
          <w:rFonts w:hint="default" w:ascii="Times New Roman" w:hAnsi="Times New Roman" w:cs="Times New Roman"/>
          <w:color w:val="auto"/>
          <w:kern w:val="2"/>
          <w:sz w:val="32"/>
          <w:szCs w:val="32"/>
          <w:highlight w:val="none"/>
          <w:lang w:val="en-US" w:eastAsia="zh-CN" w:bidi="ar-SA"/>
        </w:rPr>
        <w:t>1.4倍</w:t>
      </w:r>
      <w:r>
        <w:rPr>
          <w:rFonts w:hint="default" w:ascii="Times New Roman" w:hAnsi="Times New Roman" w:cs="Times New Roman"/>
          <w:color w:val="auto"/>
          <w:kern w:val="2"/>
          <w:sz w:val="32"/>
          <w:szCs w:val="32"/>
          <w:highlight w:val="none"/>
          <w:lang w:val="zh-CN" w:eastAsia="zh-CN" w:bidi="ar-SA"/>
        </w:rPr>
        <w:t>州直行政事业单位人均资产变化率；阿坝州州级202</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cs="Times New Roman"/>
          <w:color w:val="auto"/>
          <w:kern w:val="2"/>
          <w:sz w:val="32"/>
          <w:szCs w:val="32"/>
          <w:highlight w:val="none"/>
          <w:lang w:val="zh-CN" w:eastAsia="zh-CN" w:bidi="ar-SA"/>
        </w:rPr>
        <w:t>年财政收入增长率为17.1</w:t>
      </w:r>
      <w:r>
        <w:rPr>
          <w:rFonts w:hint="default" w:ascii="Times New Roman" w:hAnsi="Times New Roman" w:cs="Times New Roman"/>
          <w:color w:val="auto"/>
          <w:kern w:val="2"/>
          <w:sz w:val="32"/>
          <w:szCs w:val="32"/>
          <w:highlight w:val="none"/>
          <w:lang w:val="en-US" w:eastAsia="zh-CN" w:bidi="ar-SA"/>
        </w:rPr>
        <w:t>0</w:t>
      </w:r>
      <w:r>
        <w:rPr>
          <w:rFonts w:hint="default" w:ascii="Times New Roman" w:hAnsi="Times New Roman" w:cs="Times New Roman"/>
          <w:color w:val="auto"/>
          <w:kern w:val="2"/>
          <w:sz w:val="32"/>
          <w:szCs w:val="32"/>
          <w:highlight w:val="none"/>
          <w:lang w:val="zh-CN" w:eastAsia="zh-CN" w:bidi="ar-SA"/>
        </w:rPr>
        <w:t>%，我单位人均资产变化率大于2倍州级202</w:t>
      </w:r>
      <w:r>
        <w:rPr>
          <w:rFonts w:hint="default" w:ascii="Times New Roman" w:hAnsi="Times New Roman" w:cs="Times New Roman"/>
          <w:color w:val="auto"/>
          <w:kern w:val="2"/>
          <w:sz w:val="32"/>
          <w:szCs w:val="32"/>
          <w:highlight w:val="none"/>
          <w:lang w:val="en-US" w:eastAsia="zh-CN" w:bidi="ar-SA"/>
        </w:rPr>
        <w:t>5</w:t>
      </w:r>
      <w:r>
        <w:rPr>
          <w:rFonts w:hint="default" w:ascii="Times New Roman" w:hAnsi="Times New Roman" w:cs="Times New Roman"/>
          <w:color w:val="auto"/>
          <w:kern w:val="2"/>
          <w:sz w:val="32"/>
          <w:szCs w:val="32"/>
          <w:highlight w:val="none"/>
          <w:lang w:val="zh-CN" w:eastAsia="zh-CN" w:bidi="ar-SA"/>
        </w:rPr>
        <w:t>年财政收入增长率。</w:t>
      </w:r>
    </w:p>
    <w:p w14:paraId="7C90DB6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en-US" w:eastAsia="zh-CN"/>
        </w:rPr>
      </w:pPr>
      <w:r>
        <w:rPr>
          <w:rFonts w:hint="default" w:ascii="Times New Roman" w:hAnsi="Times New Roman" w:eastAsia="楷体_GB2312" w:cs="Times New Roman"/>
          <w:color w:val="000000"/>
          <w:kern w:val="0"/>
          <w:szCs w:val="32"/>
          <w:shd w:val="clear" w:color="auto" w:fill="FFFFFF"/>
          <w:lang w:val="en-US" w:eastAsia="zh-CN"/>
        </w:rPr>
        <w:t>5.部门资产超最低使用年限资产利用率较低</w:t>
      </w:r>
    </w:p>
    <w:p w14:paraId="5913364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auto"/>
          <w:kern w:val="2"/>
          <w:sz w:val="32"/>
          <w:szCs w:val="32"/>
          <w:highlight w:val="none"/>
          <w:lang w:val="en-US" w:eastAsia="zh-CN" w:bidi="ar-SA"/>
        </w:rPr>
      </w:pPr>
      <w:r>
        <w:rPr>
          <w:rFonts w:hint="default" w:ascii="Times New Roman" w:hAnsi="Times New Roman" w:cs="Times New Roman"/>
          <w:color w:val="auto"/>
          <w:kern w:val="2"/>
          <w:sz w:val="32"/>
          <w:szCs w:val="32"/>
          <w:highlight w:val="none"/>
          <w:lang w:val="en-US" w:eastAsia="zh-CN" w:bidi="ar-SA"/>
        </w:rPr>
        <w:t>2025年我单位办公家具超最低使用年限资产利用率为10.00%，低于州属行政事业单位办公家具资产利用率平均值12.93%；我单位办公设备超最低使用年限资产利用率为34.29%，低于州属行政事业单位办公设备资产利用率平均值53.14%。</w:t>
      </w:r>
    </w:p>
    <w:p w14:paraId="3EDDA22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both"/>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bookmarkStart w:id="30" w:name="_Toc26387"/>
      <w:r>
        <w:rPr>
          <w:rFonts w:hint="default" w:ascii="Times New Roman" w:hAnsi="Times New Roman" w:eastAsia="楷体_GB2312" w:cs="Times New Roman"/>
          <w:b/>
          <w:bCs/>
          <w:color w:val="000000"/>
          <w:kern w:val="0"/>
          <w:szCs w:val="32"/>
          <w:highlight w:val="none"/>
          <w:shd w:val="clear" w:color="auto" w:fill="FFFFFF"/>
          <w:lang w:val="zh-CN"/>
        </w:rPr>
        <w:t>（三）改进建议</w:t>
      </w:r>
      <w:bookmarkEnd w:id="30"/>
    </w:p>
    <w:p w14:paraId="5054043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en-US" w:eastAsia="zh-CN"/>
        </w:rPr>
      </w:pPr>
      <w:bookmarkStart w:id="31" w:name="_Hlk110546638"/>
      <w:r>
        <w:rPr>
          <w:rFonts w:hint="default" w:ascii="Times New Roman" w:hAnsi="Times New Roman" w:eastAsia="楷体_GB2312" w:cs="Times New Roman"/>
          <w:color w:val="000000"/>
          <w:kern w:val="0"/>
          <w:szCs w:val="32"/>
          <w:highlight w:val="none"/>
          <w:shd w:val="clear" w:color="auto" w:fill="FFFFFF"/>
          <w:lang w:val="en-US" w:eastAsia="zh-CN"/>
        </w:rPr>
        <w:t>1.提高预算编制精准度</w:t>
      </w:r>
    </w:p>
    <w:bookmarkEnd w:id="31"/>
    <w:p w14:paraId="066A75D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rPr>
          <w:rFonts w:hint="default" w:ascii="Times New Roman" w:hAnsi="Times New Roman" w:cs="Times New Roman"/>
          <w:color w:val="auto"/>
          <w:kern w:val="2"/>
          <w:sz w:val="32"/>
          <w:szCs w:val="32"/>
          <w:highlight w:val="none"/>
          <w:lang w:val="en-US" w:eastAsia="zh-CN" w:bidi="ar-SA"/>
        </w:rPr>
      </w:pPr>
      <w:r>
        <w:rPr>
          <w:rFonts w:hint="default" w:ascii="Times New Roman" w:hAnsi="Times New Roman" w:cs="Times New Roman"/>
          <w:color w:val="auto"/>
          <w:kern w:val="2"/>
          <w:sz w:val="32"/>
          <w:szCs w:val="32"/>
          <w:highlight w:val="none"/>
          <w:lang w:val="en-US" w:eastAsia="zh-CN" w:bidi="ar-SA"/>
        </w:rPr>
        <w:t>一是我单位在今后预算编制中强化前期论证与需求测算，紧密结合司法行政工作实际，提升预算精准性；二是加强对资产配置和政府采购项目的统筹规划，提前明确采购需求，确保预算与执行有效衔接；三是建立健全预算执行动态监控机制，定期分析偏差并及时调整，切实提高财政资金使用效益和预算执行效率。</w:t>
      </w:r>
    </w:p>
    <w:p w14:paraId="760928E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en-US" w:eastAsia="zh-CN"/>
        </w:rPr>
      </w:pPr>
      <w:r>
        <w:rPr>
          <w:rFonts w:hint="default" w:ascii="Times New Roman" w:hAnsi="Times New Roman" w:eastAsia="楷体_GB2312" w:cs="Times New Roman"/>
          <w:color w:val="000000"/>
          <w:kern w:val="0"/>
          <w:szCs w:val="32"/>
          <w:shd w:val="clear" w:color="auto" w:fill="FFFFFF"/>
          <w:lang w:val="en-US" w:eastAsia="zh-CN"/>
        </w:rPr>
        <w:t>2.严格把控预算执行进度</w:t>
      </w:r>
    </w:p>
    <w:p w14:paraId="4DEA1A8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cs="Times New Roman"/>
          <w:color w:val="000000"/>
          <w:kern w:val="0"/>
          <w:szCs w:val="32"/>
          <w:shd w:val="clear" w:color="auto" w:fill="FFFFFF"/>
          <w:lang w:val="en-US" w:eastAsia="zh-CN"/>
        </w:rPr>
      </w:pPr>
      <w:r>
        <w:rPr>
          <w:rFonts w:hint="default" w:ascii="Times New Roman" w:hAnsi="Times New Roman" w:cs="Times New Roman"/>
          <w:color w:val="000000"/>
          <w:kern w:val="0"/>
          <w:szCs w:val="32"/>
          <w:shd w:val="clear" w:color="auto" w:fill="FFFFFF"/>
          <w:lang w:val="en-US" w:eastAsia="zh-CN"/>
        </w:rPr>
        <w:t>我单位将加强资金调度与支出管理，提前研判影响执行进度的因素，及时协调解决堵点难点；同时推动预算执行与业务开展深度融合，确保全年支出达到目标进度要求。</w:t>
      </w:r>
    </w:p>
    <w:p w14:paraId="0FDF5122">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en-US" w:eastAsia="zh-CN"/>
        </w:rPr>
      </w:pPr>
      <w:r>
        <w:rPr>
          <w:rFonts w:hint="default" w:ascii="Times New Roman" w:hAnsi="Times New Roman" w:eastAsia="楷体_GB2312" w:cs="Times New Roman"/>
          <w:color w:val="000000"/>
          <w:kern w:val="0"/>
          <w:szCs w:val="32"/>
          <w:highlight w:val="none"/>
          <w:shd w:val="clear" w:color="auto" w:fill="FFFFFF"/>
          <w:lang w:val="en-US" w:eastAsia="zh-CN"/>
        </w:rPr>
        <w:t>3.加强一般性支出控制</w:t>
      </w:r>
    </w:p>
    <w:p w14:paraId="117431E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en-US" w:eastAsia="zh-CN"/>
        </w:rPr>
      </w:pPr>
      <w:r>
        <w:rPr>
          <w:rFonts w:hint="default" w:ascii="Times New Roman" w:hAnsi="Times New Roman" w:cs="Times New Roman"/>
          <w:b w:val="0"/>
          <w:bCs w:val="0"/>
          <w:kern w:val="0"/>
          <w:position w:val="0"/>
          <w:sz w:val="32"/>
          <w:szCs w:val="32"/>
          <w:highlight w:val="none"/>
          <w:lang w:val="en-US" w:eastAsia="zh-CN" w:bidi="ar-SA"/>
        </w:rPr>
        <w:t>我单位将严格执行一般性支出有关政策与制度要求，有效落实中央八项规定及其“过紧日子”的要求，强化纪律约束和内外部监督；同时严格执行各项经费开支标准，按照务实节俭原则，从严审核会议费、培训费、差旅费、“三公”经费等一般性支出，严禁超标准、超范围列支经费。</w:t>
      </w:r>
    </w:p>
    <w:p w14:paraId="0FCF370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highlight w:val="none"/>
          <w:shd w:val="clear" w:color="auto" w:fill="FFFFFF"/>
          <w:lang w:val="en-US" w:eastAsia="zh-CN"/>
        </w:rPr>
      </w:pPr>
      <w:r>
        <w:rPr>
          <w:rFonts w:hint="default" w:ascii="Times New Roman" w:hAnsi="Times New Roman" w:eastAsia="楷体_GB2312" w:cs="Times New Roman"/>
          <w:color w:val="000000"/>
          <w:kern w:val="0"/>
          <w:szCs w:val="32"/>
          <w:shd w:val="clear" w:color="auto" w:fill="FFFFFF"/>
          <w:lang w:val="en-US" w:eastAsia="zh-CN"/>
        </w:rPr>
        <w:t>4.</w:t>
      </w:r>
      <w:r>
        <w:rPr>
          <w:rFonts w:hint="default" w:ascii="Times New Roman" w:hAnsi="Times New Roman" w:eastAsia="楷体_GB2312" w:cs="Times New Roman"/>
          <w:color w:val="000000"/>
          <w:kern w:val="0"/>
          <w:szCs w:val="32"/>
          <w:highlight w:val="none"/>
          <w:shd w:val="clear" w:color="auto" w:fill="FFFFFF"/>
          <w:lang w:val="en-US" w:eastAsia="zh-CN"/>
        </w:rPr>
        <w:t>加强资产绩效管理</w:t>
      </w:r>
    </w:p>
    <w:p w14:paraId="46C1794E">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cs="Times New Roman"/>
          <w:color w:val="000000"/>
          <w:kern w:val="0"/>
          <w:szCs w:val="32"/>
          <w:shd w:val="clear" w:color="auto" w:fill="FFFFFF"/>
        </w:rPr>
      </w:pPr>
      <w:r>
        <w:rPr>
          <w:rFonts w:hint="default" w:ascii="Times New Roman" w:hAnsi="Times New Roman" w:cs="Times New Roman"/>
          <w:color w:val="000000"/>
          <w:kern w:val="0"/>
          <w:szCs w:val="32"/>
          <w:highlight w:val="none"/>
          <w:shd w:val="clear" w:color="auto" w:fill="FFFFFF"/>
          <w:lang w:val="en-US" w:eastAsia="zh-CN"/>
        </w:rPr>
        <w:t>我单位</w:t>
      </w:r>
      <w:r>
        <w:rPr>
          <w:rFonts w:hint="default" w:ascii="Times New Roman" w:hAnsi="Times New Roman" w:cs="Times New Roman"/>
          <w:color w:val="000000"/>
          <w:kern w:val="0"/>
          <w:szCs w:val="32"/>
          <w:shd w:val="clear" w:color="auto" w:fill="FFFFFF"/>
          <w:lang w:val="en-US" w:eastAsia="zh-CN"/>
        </w:rPr>
        <w:t>后续将加强资产配置的预算约束和绩效管理，严格审核新增资产的必要性和合理性，避免盲目购置或重复建设；同时开展全面的资产清查，核实资产净值大幅增长的具体原因，确保数据真实准确，并建立动态监控机制，将人均资产变化率纳入考核指标，促进资产合理配置与高效使用，防止资产过度膨胀</w:t>
      </w:r>
      <w:r>
        <w:rPr>
          <w:rFonts w:hint="default" w:ascii="Times New Roman" w:hAnsi="Times New Roman" w:cs="Times New Roman"/>
          <w:color w:val="000000"/>
          <w:kern w:val="0"/>
          <w:szCs w:val="32"/>
          <w:shd w:val="clear" w:color="auto" w:fill="FFFFFF"/>
        </w:rPr>
        <w:t>。</w:t>
      </w:r>
    </w:p>
    <w:p w14:paraId="0B9E0D1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both"/>
        <w:textAlignment w:val="auto"/>
        <w:outlineLvl w:val="2"/>
        <w:rPr>
          <w:rFonts w:hint="default" w:ascii="Times New Roman" w:hAnsi="Times New Roman" w:eastAsia="楷体_GB2312" w:cs="Times New Roman"/>
          <w:color w:val="000000"/>
          <w:kern w:val="0"/>
          <w:szCs w:val="32"/>
          <w:shd w:val="clear" w:color="auto" w:fill="FFFFFF"/>
          <w:lang w:val="en-US" w:eastAsia="zh-CN"/>
        </w:rPr>
      </w:pPr>
      <w:r>
        <w:rPr>
          <w:rFonts w:hint="default" w:ascii="Times New Roman" w:hAnsi="Times New Roman" w:eastAsia="楷体_GB2312" w:cs="Times New Roman"/>
          <w:color w:val="000000"/>
          <w:kern w:val="0"/>
          <w:szCs w:val="32"/>
          <w:shd w:val="clear" w:color="auto" w:fill="FFFFFF"/>
          <w:lang w:val="en-US" w:eastAsia="zh-CN"/>
        </w:rPr>
        <w:t>5.提高资产使用效率</w:t>
      </w:r>
    </w:p>
    <w:p w14:paraId="7EF77EE7">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shd w:val="clear" w:color="auto" w:fill="FFFFFF"/>
          <w:lang w:val="en-US" w:eastAsia="zh-CN"/>
        </w:rPr>
        <w:t>我单位将全面开展超年限办公家具、办公设备清查盘点，建立专项台账并区分资产使用状态，对仍具有使用价值的资产加强维护并通过内部调剂实现资源共享，对确需报废的资产按规定规范处置，同时健全资产配置与使用衔接机制，强化使用管控，着力提升资产周转效率、降低闲置率，切实改善资产利用率偏低的现状</w:t>
      </w:r>
      <w:r>
        <w:rPr>
          <w:rFonts w:hint="default" w:ascii="Times New Roman" w:hAnsi="Times New Roman" w:cs="Times New Roman"/>
          <w:color w:val="000000"/>
          <w:kern w:val="0"/>
          <w:szCs w:val="32"/>
          <w:highlight w:val="none"/>
          <w:shd w:val="clear" w:color="auto" w:fill="FFFFFF"/>
          <w:lang w:val="en-US" w:eastAsia="zh-CN"/>
        </w:rPr>
        <w:t>。</w:t>
      </w:r>
    </w:p>
    <w:p w14:paraId="003D7388">
      <w:pPr>
        <w:pStyle w:val="2"/>
        <w:rPr>
          <w:rFonts w:hint="default" w:ascii="Times New Roman" w:hAnsi="Times New Roman" w:cs="Times New Roman"/>
        </w:rPr>
      </w:pPr>
    </w:p>
    <w:p w14:paraId="1B07B09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Times New Roman" w:hAnsi="Times New Roman" w:cs="Times New Roman"/>
          <w:szCs w:val="32"/>
        </w:rPr>
      </w:pPr>
      <w:r>
        <w:rPr>
          <w:rFonts w:hint="default" w:ascii="Times New Roman" w:hAnsi="Times New Roman" w:cs="Times New Roman"/>
          <w:color w:val="000000"/>
          <w:kern w:val="0"/>
          <w:szCs w:val="32"/>
          <w:shd w:val="clear" w:color="auto" w:fill="FFFFFF"/>
        </w:rPr>
        <w:t>附表：1.</w:t>
      </w:r>
      <w:r>
        <w:rPr>
          <w:rFonts w:hint="default" w:ascii="Times New Roman" w:hAnsi="Times New Roman" w:cs="Times New Roman"/>
          <w:szCs w:val="32"/>
        </w:rPr>
        <w:t>部门预算绩效自评打分表</w:t>
      </w:r>
    </w:p>
    <w:p w14:paraId="5514FD10">
      <w:pPr>
        <w:spacing w:line="578" w:lineRule="exact"/>
        <w:ind w:firstLine="1600" w:firstLineChars="500"/>
        <w:jc w:val="left"/>
        <w:rPr>
          <w:rFonts w:hint="default" w:ascii="Times New Roman" w:hAnsi="Times New Roman" w:cs="Times New Roman"/>
          <w:color w:val="000000"/>
          <w:kern w:val="0"/>
          <w:szCs w:val="32"/>
          <w:shd w:val="clear" w:color="auto" w:fill="FFFFFF"/>
        </w:rPr>
      </w:pPr>
      <w:r>
        <w:rPr>
          <w:rFonts w:hint="default" w:ascii="Times New Roman" w:hAnsi="Times New Roman" w:cs="Times New Roman"/>
          <w:szCs w:val="32"/>
        </w:rPr>
        <w:t>2.</w:t>
      </w:r>
      <w:r>
        <w:rPr>
          <w:rFonts w:hint="default" w:ascii="Times New Roman" w:hAnsi="Times New Roman" w:cs="Times New Roman"/>
          <w:color w:val="000000"/>
          <w:kern w:val="0"/>
          <w:szCs w:val="32"/>
          <w:shd w:val="clear" w:color="auto" w:fill="FFFFFF"/>
        </w:rPr>
        <w:t>部门整体支出绩效目标完成情况自评表</w:t>
      </w:r>
    </w:p>
    <w:p w14:paraId="375CCC47">
      <w:pPr>
        <w:spacing w:line="578" w:lineRule="exact"/>
        <w:jc w:val="left"/>
        <w:rPr>
          <w:rFonts w:hint="default" w:ascii="Times New Roman" w:hAnsi="Times New Roman" w:eastAsia="黑体" w:cs="Times New Roman"/>
        </w:rPr>
      </w:pPr>
      <w:r>
        <w:rPr>
          <w:rFonts w:hint="default" w:ascii="Times New Roman" w:hAnsi="Times New Roman" w:cs="Times New Roman"/>
          <w:color w:val="000000"/>
          <w:kern w:val="0"/>
          <w:szCs w:val="32"/>
          <w:shd w:val="clear" w:color="auto" w:fill="FFFFFF"/>
        </w:rPr>
        <w:br w:type="page"/>
      </w:r>
      <w:r>
        <w:rPr>
          <w:rFonts w:hint="default" w:ascii="Times New Roman" w:hAnsi="Times New Roman" w:eastAsia="黑体" w:cs="Times New Roman"/>
        </w:rPr>
        <w:t>附表1</w:t>
      </w:r>
    </w:p>
    <w:p w14:paraId="2A5A2009">
      <w:pPr>
        <w:widowControl/>
        <w:spacing w:line="600"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38"/>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9394B08">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F9DFC2">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w:t>
            </w:r>
            <w:r>
              <w:rPr>
                <w:rFonts w:hint="default" w:ascii="Times New Roman" w:hAnsi="Times New Roman" w:eastAsia="黑体" w:cs="Times New Roman"/>
                <w:color w:val="000000"/>
                <w:kern w:val="0"/>
                <w:sz w:val="24"/>
                <w:lang w:eastAsia="zh-CN"/>
              </w:rPr>
              <w:t>指标</w:t>
            </w:r>
            <w:r>
              <w:rPr>
                <w:rFonts w:hint="default" w:ascii="Times New Roman" w:hAnsi="Times New Roman" w:eastAsia="黑体" w:cs="Times New Roman"/>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8994C">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45A0EC4A">
            <w:pPr>
              <w:widowControl/>
              <w:spacing w:line="240"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724E8A0">
            <w:pPr>
              <w:widowControl/>
              <w:spacing w:line="240" w:lineRule="exact"/>
              <w:jc w:val="center"/>
              <w:textAlignment w:val="center"/>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6BD6ED35">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06315B27">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4C5F">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4702">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DFC9">
            <w:pPr>
              <w:widowControl/>
              <w:spacing w:line="240" w:lineRule="exact"/>
              <w:jc w:val="center"/>
              <w:textAlignment w:val="center"/>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w:t>
            </w:r>
            <w:r>
              <w:rPr>
                <w:rFonts w:hint="default" w:ascii="Times New Roman" w:hAnsi="Times New Roman" w:eastAsia="黑体" w:cs="Times New Roman"/>
                <w:color w:val="000000"/>
                <w:kern w:val="0"/>
                <w:sz w:val="24"/>
              </w:rPr>
              <w:br w:type="textWrapping"/>
            </w: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DFF29">
            <w:pPr>
              <w:widowControl/>
              <w:spacing w:line="240" w:lineRule="exact"/>
              <w:jc w:val="center"/>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1FD5FDB">
            <w:pPr>
              <w:widowControl/>
              <w:spacing w:line="240" w:lineRule="exact"/>
              <w:jc w:val="center"/>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3E71D02F">
            <w:pPr>
              <w:widowControl/>
              <w:spacing w:line="240" w:lineRule="exact"/>
              <w:jc w:val="center"/>
              <w:rPr>
                <w:rFonts w:hint="default" w:ascii="Times New Roman" w:hAnsi="Times New Roman" w:eastAsia="黑体" w:cs="Times New Roman"/>
                <w:color w:val="000000"/>
                <w:sz w:val="24"/>
              </w:rPr>
            </w:pPr>
          </w:p>
        </w:tc>
      </w:tr>
      <w:tr w14:paraId="19DE8137">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EC6237">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09E8C3F1">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履职效能</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C5D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培训场次</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27F1B86E">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5</w:t>
            </w:r>
          </w:p>
        </w:tc>
        <w:tc>
          <w:tcPr>
            <w:tcW w:w="4760" w:type="dxa"/>
            <w:vMerge w:val="restart"/>
            <w:tcBorders>
              <w:top w:val="single" w:color="000000" w:sz="4" w:space="0"/>
              <w:left w:val="single" w:color="000000" w:sz="4" w:space="0"/>
              <w:right w:val="single" w:color="000000" w:sz="4" w:space="0"/>
            </w:tcBorders>
            <w:shd w:val="clear" w:color="auto" w:fill="auto"/>
            <w:vAlign w:val="center"/>
          </w:tcPr>
          <w:p w14:paraId="6B642A68">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0C32">
            <w:pPr>
              <w:widowControl/>
              <w:spacing w:line="240" w:lineRule="exact"/>
              <w:jc w:val="center"/>
              <w:textAlignment w:val="center"/>
              <w:rPr>
                <w:rFonts w:hint="default" w:ascii="Times New Roman" w:hAnsi="Times New Roman" w:eastAsia="宋体" w:cs="Times New Roman"/>
                <w:color w:val="000000"/>
                <w:kern w:val="2"/>
                <w:sz w:val="24"/>
                <w:szCs w:val="24"/>
                <w:lang w:val="en-US" w:eastAsia="zh-CN" w:bidi="ar-SA"/>
              </w:rPr>
            </w:pPr>
            <w:r>
              <w:rPr>
                <w:rFonts w:hint="default" w:ascii="Times New Roman" w:hAnsi="Times New Roman" w:eastAsia="宋体" w:cs="Times New Roman"/>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51C5">
            <w:pPr>
              <w:widowControl/>
              <w:spacing w:line="240" w:lineRule="exact"/>
              <w:jc w:val="left"/>
              <w:textAlignment w:val="center"/>
              <w:rPr>
                <w:rFonts w:hint="default" w:ascii="Times New Roman" w:hAnsi="Times New Roman" w:eastAsia="宋体" w:cs="Times New Roman"/>
                <w:color w:val="000000"/>
                <w:kern w:val="0"/>
                <w:sz w:val="24"/>
              </w:rPr>
            </w:pPr>
          </w:p>
        </w:tc>
      </w:tr>
      <w:tr w14:paraId="515717F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83A99E3">
            <w:pPr>
              <w:widowControl/>
              <w:spacing w:line="240" w:lineRule="exact"/>
              <w:jc w:val="center"/>
              <w:textAlignment w:val="center"/>
              <w:rPr>
                <w:rFonts w:hint="default" w:ascii="Times New Roman" w:hAnsi="Times New Roman" w:eastAsia="宋体" w:cs="Times New Roman"/>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3E5DA9">
            <w:pPr>
              <w:widowControl/>
              <w:spacing w:line="240" w:lineRule="exact"/>
              <w:jc w:val="center"/>
              <w:textAlignment w:val="center"/>
              <w:rPr>
                <w:rFonts w:hint="default" w:ascii="Times New Roman" w:hAnsi="Times New Roman" w:eastAsia="宋体" w:cs="Times New Roman"/>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33B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加强人才队伍建设</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3F938E3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vMerge w:val="continue"/>
            <w:tcBorders>
              <w:left w:val="single" w:color="000000" w:sz="4" w:space="0"/>
              <w:right w:val="single" w:color="000000" w:sz="4" w:space="0"/>
            </w:tcBorders>
            <w:shd w:val="clear" w:color="auto" w:fill="auto"/>
            <w:vAlign w:val="center"/>
          </w:tcPr>
          <w:p w14:paraId="4E1AFCA7">
            <w:pPr>
              <w:widowControl/>
              <w:spacing w:line="240" w:lineRule="exact"/>
              <w:jc w:val="left"/>
              <w:textAlignment w:val="center"/>
              <w:rPr>
                <w:rFonts w:hint="default" w:ascii="Times New Roman" w:hAnsi="Times New Roman" w:eastAsia="宋体" w:cs="Times New Roman"/>
                <w:color w:val="000000"/>
                <w:kern w:val="0"/>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EEC5">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3996">
            <w:pPr>
              <w:widowControl/>
              <w:spacing w:line="240" w:lineRule="exact"/>
              <w:jc w:val="left"/>
              <w:textAlignment w:val="center"/>
              <w:rPr>
                <w:rFonts w:hint="default" w:ascii="Times New Roman" w:hAnsi="Times New Roman" w:eastAsia="宋体" w:cs="Times New Roman"/>
                <w:color w:val="000000"/>
                <w:kern w:val="0"/>
                <w:sz w:val="24"/>
              </w:rPr>
            </w:pPr>
          </w:p>
        </w:tc>
      </w:tr>
      <w:tr w14:paraId="7A6B646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F2077A8">
            <w:pPr>
              <w:widowControl/>
              <w:spacing w:line="240" w:lineRule="exact"/>
              <w:jc w:val="center"/>
              <w:textAlignment w:val="center"/>
              <w:rPr>
                <w:rFonts w:hint="default" w:ascii="Times New Roman" w:hAnsi="Times New Roman" w:eastAsia="宋体" w:cs="Times New Roman"/>
                <w:b/>
                <w:color w:val="000000"/>
                <w:kern w:val="0"/>
                <w:sz w:val="24"/>
              </w:rPr>
            </w:pPr>
          </w:p>
        </w:tc>
        <w:tc>
          <w:tcPr>
            <w:tcW w:w="1201" w:type="dxa"/>
            <w:vMerge w:val="continue"/>
            <w:tcBorders>
              <w:left w:val="single" w:color="000000" w:sz="4" w:space="0"/>
              <w:bottom w:val="single" w:color="000000" w:sz="4" w:space="0"/>
              <w:right w:val="single" w:color="000000" w:sz="4" w:space="0"/>
            </w:tcBorders>
            <w:shd w:val="clear" w:color="auto" w:fill="auto"/>
            <w:vAlign w:val="center"/>
          </w:tcPr>
          <w:p w14:paraId="57377DAB">
            <w:pPr>
              <w:widowControl/>
              <w:spacing w:line="240" w:lineRule="exact"/>
              <w:jc w:val="center"/>
              <w:textAlignment w:val="center"/>
              <w:rPr>
                <w:rFonts w:hint="default" w:ascii="Times New Roman" w:hAnsi="Times New Roman" w:eastAsia="宋体" w:cs="Times New Roman"/>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8A3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提升基层医疗机构服务能力</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5A2D0838">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vMerge w:val="continue"/>
            <w:tcBorders>
              <w:left w:val="single" w:color="000000" w:sz="4" w:space="0"/>
              <w:bottom w:val="single" w:color="000000" w:sz="4" w:space="0"/>
              <w:right w:val="single" w:color="000000" w:sz="4" w:space="0"/>
            </w:tcBorders>
            <w:shd w:val="clear" w:color="auto" w:fill="auto"/>
            <w:vAlign w:val="center"/>
          </w:tcPr>
          <w:p w14:paraId="13D975AD">
            <w:pPr>
              <w:widowControl/>
              <w:spacing w:line="240" w:lineRule="exact"/>
              <w:jc w:val="left"/>
              <w:textAlignment w:val="center"/>
              <w:rPr>
                <w:rFonts w:hint="default" w:ascii="Times New Roman" w:hAnsi="Times New Roman" w:eastAsia="宋体" w:cs="Times New Roman"/>
                <w:color w:val="000000"/>
                <w:kern w:val="0"/>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7478">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5EFB">
            <w:pPr>
              <w:widowControl/>
              <w:spacing w:line="240" w:lineRule="exact"/>
              <w:jc w:val="left"/>
              <w:textAlignment w:val="center"/>
              <w:rPr>
                <w:rFonts w:hint="default" w:ascii="Times New Roman" w:hAnsi="Times New Roman" w:eastAsia="宋体" w:cs="Times New Roman"/>
                <w:color w:val="000000"/>
                <w:kern w:val="0"/>
                <w:sz w:val="24"/>
              </w:rPr>
            </w:pPr>
          </w:p>
        </w:tc>
      </w:tr>
      <w:tr w14:paraId="73DF186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EB36B90">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7E86527D">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预算管理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28DC">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DBE2">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C41C">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3315">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2.49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98A0">
            <w:pPr>
              <w:widowControl/>
              <w:spacing w:line="240" w:lineRule="exact"/>
              <w:jc w:val="left"/>
              <w:textAlignment w:val="center"/>
              <w:rPr>
                <w:rFonts w:hint="default" w:ascii="Times New Roman" w:hAnsi="Times New Roman" w:eastAsia="宋体" w:cs="Times New Roman"/>
                <w:color w:val="000000"/>
                <w:kern w:val="0"/>
                <w:sz w:val="24"/>
              </w:rPr>
            </w:pPr>
          </w:p>
        </w:tc>
      </w:tr>
      <w:tr w14:paraId="7E5905B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506998">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39E4732B">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738C">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55A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B1BF">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A2D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3.94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C1B4">
            <w:pPr>
              <w:widowControl/>
              <w:spacing w:line="240" w:lineRule="exact"/>
              <w:jc w:val="left"/>
              <w:textAlignment w:val="center"/>
              <w:rPr>
                <w:rFonts w:hint="default" w:ascii="Times New Roman" w:hAnsi="Times New Roman" w:eastAsia="宋体" w:cs="Times New Roman"/>
                <w:color w:val="000000"/>
                <w:kern w:val="0"/>
                <w:sz w:val="24"/>
              </w:rPr>
            </w:pPr>
          </w:p>
        </w:tc>
      </w:tr>
      <w:tr w14:paraId="4FD0A52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C7FE146">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BEDB5E5">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C1B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796B">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42B1">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515A">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3.68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9758">
            <w:pPr>
              <w:widowControl/>
              <w:spacing w:line="240" w:lineRule="exact"/>
              <w:jc w:val="left"/>
              <w:textAlignment w:val="center"/>
              <w:rPr>
                <w:rFonts w:hint="default" w:ascii="Times New Roman" w:hAnsi="Times New Roman" w:eastAsia="宋体" w:cs="Times New Roman"/>
                <w:color w:val="000000"/>
                <w:kern w:val="0"/>
                <w:sz w:val="24"/>
              </w:rPr>
            </w:pPr>
          </w:p>
        </w:tc>
      </w:tr>
      <w:tr w14:paraId="71E74FF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7B13B4E">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42490DE">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45B5">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EAE3">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0FC3">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9F9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1.94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416E">
            <w:pPr>
              <w:widowControl/>
              <w:spacing w:line="240" w:lineRule="exact"/>
              <w:jc w:val="left"/>
              <w:textAlignment w:val="center"/>
              <w:rPr>
                <w:rFonts w:hint="default" w:ascii="Times New Roman" w:hAnsi="Times New Roman" w:eastAsia="宋体" w:cs="Times New Roman"/>
                <w:color w:val="000000"/>
                <w:kern w:val="0"/>
                <w:sz w:val="24"/>
              </w:rPr>
            </w:pPr>
          </w:p>
        </w:tc>
      </w:tr>
      <w:tr w14:paraId="6B548584">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5B7AB8AF">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E642F17">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E62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ED1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5F50">
            <w:pPr>
              <w:widowControl/>
              <w:spacing w:line="240" w:lineRule="exact"/>
              <w:jc w:val="left"/>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部门严控“三公”经费、会议、培训、差旅、办节办展、办公设备购置、信息化建设和运维、课题经费、竞赛活动、规划编</w:t>
            </w:r>
            <w:r>
              <w:rPr>
                <w:rFonts w:hint="default" w:ascii="Times New Roman" w:hAnsi="Times New Roman" w:eastAsia="宋体" w:cs="Times New Roman"/>
                <w:color w:val="000000"/>
                <w:kern w:val="0"/>
                <w:sz w:val="24"/>
                <w:lang w:eastAsia="zh-CN"/>
              </w:rPr>
              <w:t>制等</w:t>
            </w:r>
            <w:r>
              <w:rPr>
                <w:rFonts w:hint="default" w:ascii="Times New Roman" w:hAnsi="Times New Roman" w:eastAsia="宋体" w:cs="Times New Roman"/>
                <w:color w:val="000000"/>
                <w:kern w:val="0"/>
                <w:sz w:val="24"/>
              </w:rPr>
              <w:t>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1EC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39C7">
            <w:pPr>
              <w:widowControl/>
              <w:spacing w:line="240" w:lineRule="exact"/>
              <w:jc w:val="left"/>
              <w:textAlignment w:val="center"/>
              <w:rPr>
                <w:rFonts w:hint="default" w:ascii="Times New Roman" w:hAnsi="Times New Roman" w:eastAsia="宋体" w:cs="Times New Roman"/>
                <w:color w:val="000000"/>
                <w:kern w:val="0"/>
                <w:sz w:val="24"/>
              </w:rPr>
            </w:pPr>
          </w:p>
        </w:tc>
      </w:tr>
      <w:tr w14:paraId="0D57CB9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51F2532">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317F6">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财务管理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492">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D293">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FD43">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5D7E">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C996">
            <w:pPr>
              <w:widowControl/>
              <w:spacing w:line="240" w:lineRule="exact"/>
              <w:jc w:val="left"/>
              <w:textAlignment w:val="center"/>
              <w:rPr>
                <w:rFonts w:hint="default" w:ascii="Times New Roman" w:hAnsi="Times New Roman" w:eastAsia="宋体" w:cs="Times New Roman"/>
                <w:color w:val="000000"/>
                <w:kern w:val="0"/>
                <w:sz w:val="24"/>
              </w:rPr>
            </w:pPr>
          </w:p>
        </w:tc>
      </w:tr>
      <w:tr w14:paraId="7E70699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DC1AEEB">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C1443">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612D">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67F0">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F002">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CB0B">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492F">
            <w:pPr>
              <w:widowControl/>
              <w:spacing w:line="240" w:lineRule="exact"/>
              <w:jc w:val="left"/>
              <w:textAlignment w:val="center"/>
              <w:rPr>
                <w:rFonts w:hint="default" w:ascii="Times New Roman" w:hAnsi="Times New Roman" w:eastAsia="宋体" w:cs="Times New Roman"/>
                <w:color w:val="000000"/>
                <w:kern w:val="0"/>
                <w:sz w:val="24"/>
              </w:rPr>
            </w:pPr>
          </w:p>
        </w:tc>
      </w:tr>
      <w:tr w14:paraId="02062B3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52B6D87">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12D80">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1598">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7DAD">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DEA1">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7B5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03E7">
            <w:pPr>
              <w:widowControl/>
              <w:spacing w:line="240" w:lineRule="exact"/>
              <w:jc w:val="left"/>
              <w:textAlignment w:val="center"/>
              <w:rPr>
                <w:rFonts w:hint="default" w:ascii="Times New Roman" w:hAnsi="Times New Roman" w:eastAsia="宋体" w:cs="Times New Roman"/>
                <w:color w:val="000000"/>
                <w:kern w:val="0"/>
                <w:sz w:val="24"/>
              </w:rPr>
            </w:pPr>
          </w:p>
        </w:tc>
      </w:tr>
      <w:tr w14:paraId="0E749B3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A9BF619">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CB285">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1E7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3EF8">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EBD8">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FC8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highlight w:val="none"/>
                <w:lang w:val="en-US" w:eastAsia="zh-CN"/>
              </w:rPr>
              <w:t>0.30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E9A0">
            <w:pPr>
              <w:widowControl/>
              <w:spacing w:line="240" w:lineRule="exact"/>
              <w:jc w:val="left"/>
              <w:textAlignment w:val="center"/>
              <w:rPr>
                <w:rFonts w:hint="default" w:ascii="Times New Roman" w:hAnsi="Times New Roman" w:eastAsia="宋体" w:cs="Times New Roman"/>
                <w:color w:val="000000"/>
                <w:kern w:val="0"/>
                <w:sz w:val="24"/>
              </w:rPr>
            </w:pPr>
          </w:p>
        </w:tc>
      </w:tr>
      <w:tr w14:paraId="1EB9F75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8D5A291">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C247B">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5D1C">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7F34">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7C00">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F7C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1.20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A0F3">
            <w:pPr>
              <w:widowControl/>
              <w:spacing w:line="240" w:lineRule="exact"/>
              <w:jc w:val="left"/>
              <w:textAlignment w:val="center"/>
              <w:rPr>
                <w:rFonts w:hint="default" w:ascii="Times New Roman" w:hAnsi="Times New Roman" w:eastAsia="宋体" w:cs="Times New Roman"/>
                <w:color w:val="000000"/>
                <w:kern w:val="0"/>
                <w:sz w:val="24"/>
              </w:rPr>
            </w:pPr>
          </w:p>
        </w:tc>
      </w:tr>
      <w:tr w14:paraId="43CA48A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5BBE4BF">
            <w:pPr>
              <w:widowControl/>
              <w:spacing w:line="240" w:lineRule="exact"/>
              <w:jc w:val="center"/>
              <w:textAlignment w:val="center"/>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B92A">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资产管理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9275">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267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D963">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4854">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2D86">
            <w:pPr>
              <w:widowControl/>
              <w:spacing w:line="240" w:lineRule="exact"/>
              <w:jc w:val="left"/>
              <w:textAlignment w:val="center"/>
              <w:rPr>
                <w:rFonts w:hint="default" w:ascii="Times New Roman" w:hAnsi="Times New Roman" w:eastAsia="宋体" w:cs="Times New Roman"/>
                <w:color w:val="000000"/>
                <w:kern w:val="0"/>
                <w:sz w:val="24"/>
              </w:rPr>
            </w:pPr>
          </w:p>
        </w:tc>
      </w:tr>
      <w:tr w14:paraId="696EA67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50665A8">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FA71E">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采购管理</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079F">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2F86">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D70C">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521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A46C">
            <w:pPr>
              <w:widowControl/>
              <w:spacing w:line="240" w:lineRule="exact"/>
              <w:jc w:val="left"/>
              <w:textAlignment w:val="center"/>
              <w:rPr>
                <w:rFonts w:hint="default" w:ascii="Times New Roman" w:hAnsi="Times New Roman" w:eastAsia="宋体" w:cs="Times New Roman"/>
                <w:color w:val="000000"/>
                <w:kern w:val="0"/>
                <w:sz w:val="24"/>
              </w:rPr>
            </w:pPr>
          </w:p>
        </w:tc>
      </w:tr>
      <w:tr w14:paraId="6B860271">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44AA546E">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E455">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C70B">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E96B">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4FA3">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A591">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5685">
            <w:pPr>
              <w:widowControl/>
              <w:spacing w:line="240" w:lineRule="exact"/>
              <w:jc w:val="left"/>
              <w:textAlignment w:val="center"/>
              <w:rPr>
                <w:rFonts w:hint="default" w:ascii="Times New Roman" w:hAnsi="Times New Roman" w:eastAsia="宋体" w:cs="Times New Roman"/>
                <w:color w:val="000000"/>
                <w:kern w:val="0"/>
                <w:sz w:val="24"/>
              </w:rPr>
            </w:pPr>
          </w:p>
        </w:tc>
      </w:tr>
      <w:tr w14:paraId="5DF3FCA1">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0BD56">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5E3956EF">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项目决策</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A23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6634">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F763">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AF7D">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0D49">
            <w:pPr>
              <w:widowControl/>
              <w:spacing w:line="240" w:lineRule="exact"/>
              <w:jc w:val="left"/>
              <w:textAlignment w:val="center"/>
              <w:rPr>
                <w:rFonts w:hint="default" w:ascii="Times New Roman" w:hAnsi="Times New Roman" w:eastAsia="宋体" w:cs="Times New Roman"/>
                <w:color w:val="000000"/>
                <w:kern w:val="0"/>
                <w:sz w:val="24"/>
              </w:rPr>
            </w:pPr>
          </w:p>
        </w:tc>
      </w:tr>
      <w:tr w14:paraId="08326D7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EB3C6">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9A3BA08">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B8A0">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3910">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CB19">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ED9C">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2F51">
            <w:pPr>
              <w:widowControl/>
              <w:spacing w:line="240" w:lineRule="exact"/>
              <w:jc w:val="left"/>
              <w:textAlignment w:val="center"/>
              <w:rPr>
                <w:rFonts w:hint="default" w:ascii="Times New Roman" w:hAnsi="Times New Roman" w:eastAsia="宋体" w:cs="Times New Roman"/>
                <w:color w:val="000000"/>
                <w:kern w:val="0"/>
                <w:sz w:val="24"/>
              </w:rPr>
            </w:pPr>
          </w:p>
        </w:tc>
      </w:tr>
      <w:tr w14:paraId="4FB6766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B8D67">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5D67EE4">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6F34">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C156">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8FB4">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部门预算项目是否在规定时</w:t>
            </w:r>
            <w:r>
              <w:rPr>
                <w:rFonts w:hint="default" w:ascii="Times New Roman" w:hAnsi="Times New Roman" w:eastAsia="宋体" w:cs="Times New Roman"/>
                <w:color w:val="000000"/>
                <w:kern w:val="0"/>
                <w:sz w:val="24"/>
                <w:lang w:eastAsia="zh-CN"/>
              </w:rPr>
              <w:t>间内</w:t>
            </w:r>
            <w:r>
              <w:rPr>
                <w:rFonts w:hint="default" w:ascii="Times New Roman" w:hAnsi="Times New Roman" w:eastAsia="宋体" w:cs="Times New Roman"/>
                <w:color w:val="000000"/>
                <w:kern w:val="0"/>
                <w:sz w:val="24"/>
              </w:rPr>
              <w:t>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CD92">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CC0D">
            <w:pPr>
              <w:widowControl/>
              <w:spacing w:line="240" w:lineRule="exact"/>
              <w:jc w:val="left"/>
              <w:textAlignment w:val="center"/>
              <w:rPr>
                <w:rFonts w:hint="default" w:ascii="Times New Roman" w:hAnsi="Times New Roman" w:eastAsia="宋体" w:cs="Times New Roman"/>
                <w:color w:val="000000"/>
                <w:kern w:val="0"/>
                <w:sz w:val="24"/>
              </w:rPr>
            </w:pPr>
          </w:p>
        </w:tc>
      </w:tr>
      <w:tr w14:paraId="3782A4A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1DC33">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80B996B">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项目执行</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B69C">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39B4">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2022">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C675">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E9A0">
            <w:pPr>
              <w:widowControl/>
              <w:spacing w:line="240" w:lineRule="exact"/>
              <w:jc w:val="left"/>
              <w:textAlignment w:val="center"/>
              <w:rPr>
                <w:rFonts w:hint="default" w:ascii="Times New Roman" w:hAnsi="Times New Roman" w:eastAsia="宋体" w:cs="Times New Roman"/>
                <w:color w:val="000000"/>
                <w:kern w:val="0"/>
                <w:sz w:val="24"/>
              </w:rPr>
            </w:pPr>
          </w:p>
        </w:tc>
      </w:tr>
      <w:tr w14:paraId="2B15A35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F889F">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1350E07">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5C11C21F">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FC00">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9931">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9C39">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CA9E">
            <w:pPr>
              <w:widowControl/>
              <w:spacing w:line="240" w:lineRule="exact"/>
              <w:jc w:val="left"/>
              <w:textAlignment w:val="center"/>
              <w:rPr>
                <w:rFonts w:hint="default" w:ascii="Times New Roman" w:hAnsi="Times New Roman" w:eastAsia="宋体" w:cs="Times New Roman"/>
                <w:color w:val="000000"/>
                <w:kern w:val="0"/>
                <w:sz w:val="24"/>
              </w:rPr>
            </w:pPr>
          </w:p>
        </w:tc>
      </w:tr>
      <w:tr w14:paraId="7D1DC70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DD333">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46B4C5B">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E2CF">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10DE">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8E15D">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2B16">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FF12">
            <w:pPr>
              <w:widowControl/>
              <w:spacing w:line="240" w:lineRule="exact"/>
              <w:jc w:val="left"/>
              <w:textAlignment w:val="center"/>
              <w:rPr>
                <w:rFonts w:hint="default" w:ascii="Times New Roman" w:hAnsi="Times New Roman" w:eastAsia="宋体" w:cs="Times New Roman"/>
                <w:color w:val="000000"/>
                <w:kern w:val="0"/>
                <w:sz w:val="24"/>
              </w:rPr>
            </w:pPr>
          </w:p>
        </w:tc>
      </w:tr>
      <w:tr w14:paraId="2BEC82A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290FB">
            <w:pPr>
              <w:widowControl/>
              <w:spacing w:line="240" w:lineRule="exact"/>
              <w:jc w:val="center"/>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6E159">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目标实现</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D997">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577E">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6EDC">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46A3">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D66A">
            <w:pPr>
              <w:widowControl/>
              <w:spacing w:line="240" w:lineRule="exact"/>
              <w:jc w:val="left"/>
              <w:textAlignment w:val="center"/>
              <w:rPr>
                <w:rFonts w:hint="default" w:ascii="Times New Roman" w:hAnsi="Times New Roman" w:eastAsia="宋体" w:cs="Times New Roman"/>
                <w:color w:val="000000"/>
                <w:kern w:val="0"/>
                <w:sz w:val="24"/>
              </w:rPr>
            </w:pPr>
          </w:p>
        </w:tc>
      </w:tr>
      <w:tr w14:paraId="012F899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CAF7D">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50B4">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CE92">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7DBD">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7CCC">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C450">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A2AA">
            <w:pPr>
              <w:widowControl/>
              <w:spacing w:line="240" w:lineRule="exact"/>
              <w:jc w:val="left"/>
              <w:textAlignment w:val="center"/>
              <w:rPr>
                <w:rFonts w:hint="default" w:ascii="Times New Roman" w:hAnsi="Times New Roman" w:eastAsia="宋体" w:cs="Times New Roman"/>
                <w:color w:val="000000"/>
                <w:kern w:val="0"/>
                <w:sz w:val="24"/>
              </w:rPr>
            </w:pPr>
          </w:p>
        </w:tc>
      </w:tr>
      <w:tr w14:paraId="246D3A7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DEA67">
            <w:pPr>
              <w:widowControl/>
              <w:spacing w:line="240" w:lineRule="exact"/>
              <w:jc w:val="center"/>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E69E4">
            <w:pPr>
              <w:widowControl/>
              <w:spacing w:line="240" w:lineRule="exact"/>
              <w:jc w:val="center"/>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EF4B">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FD9">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742A">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29CF">
            <w:pPr>
              <w:widowControl/>
              <w:spacing w:line="24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51F7">
            <w:pPr>
              <w:widowControl/>
              <w:spacing w:line="240" w:lineRule="exact"/>
              <w:jc w:val="left"/>
              <w:textAlignment w:val="center"/>
              <w:rPr>
                <w:rFonts w:hint="default" w:ascii="Times New Roman" w:hAnsi="Times New Roman" w:eastAsia="宋体" w:cs="Times New Roman"/>
                <w:color w:val="000000"/>
                <w:kern w:val="0"/>
                <w:sz w:val="24"/>
              </w:rPr>
            </w:pPr>
          </w:p>
        </w:tc>
      </w:tr>
      <w:tr w14:paraId="18C68169">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14F5">
            <w:pPr>
              <w:widowControl/>
              <w:spacing w:line="240" w:lineRule="exact"/>
              <w:jc w:val="center"/>
              <w:textAlignment w:val="center"/>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扣分项</w:t>
            </w:r>
            <w:r>
              <w:rPr>
                <w:rFonts w:hint="default" w:ascii="Times New Roman" w:hAnsi="Times New Roman" w:eastAsia="宋体" w:cs="Times New Roman"/>
                <w:b/>
                <w:color w:val="000000"/>
                <w:kern w:val="0"/>
                <w:sz w:val="24"/>
              </w:rPr>
              <w:br w:type="textWrapping"/>
            </w: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3346F">
            <w:pPr>
              <w:widowControl/>
              <w:spacing w:line="240" w:lineRule="exact"/>
              <w:jc w:val="center"/>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9170">
            <w:pPr>
              <w:widowControl/>
              <w:spacing w:line="240" w:lineRule="exact"/>
              <w:jc w:val="center"/>
              <w:textAlignment w:val="center"/>
              <w:rPr>
                <w:rFonts w:hint="default" w:ascii="Times New Roman" w:hAnsi="Times New Roman" w:eastAsia="宋体" w:cs="Times New Roman"/>
                <w:color w:val="000000"/>
                <w:sz w:val="24"/>
                <w:lang w:eastAsia="zh-CN"/>
              </w:rPr>
            </w:pP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623C">
            <w:pPr>
              <w:widowControl/>
              <w:spacing w:line="240" w:lineRule="exact"/>
              <w:jc w:val="left"/>
              <w:textAlignment w:val="center"/>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22BE">
            <w:pPr>
              <w:widowControl/>
              <w:spacing w:line="240" w:lineRule="exact"/>
              <w:jc w:val="center"/>
              <w:textAlignment w:val="center"/>
              <w:rPr>
                <w:rFonts w:hint="default" w:ascii="Times New Roman" w:hAnsi="Times New Roman" w:eastAsia="宋体" w:cs="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CE89">
            <w:pPr>
              <w:widowControl/>
              <w:spacing w:line="240" w:lineRule="exact"/>
              <w:jc w:val="left"/>
              <w:textAlignment w:val="center"/>
              <w:rPr>
                <w:rFonts w:hint="default" w:ascii="Times New Roman" w:hAnsi="Times New Roman" w:eastAsia="宋体" w:cs="Times New Roman"/>
                <w:color w:val="000000"/>
                <w:kern w:val="0"/>
                <w:sz w:val="24"/>
              </w:rPr>
            </w:pPr>
          </w:p>
        </w:tc>
      </w:tr>
    </w:tbl>
    <w:p w14:paraId="74F184A9">
      <w:pPr>
        <w:spacing w:line="20" w:lineRule="exact"/>
        <w:rPr>
          <w:rFonts w:hint="default" w:ascii="Times New Roman" w:hAnsi="Times New Roman" w:cs="Times New Roman"/>
        </w:rPr>
        <w:sectPr>
          <w:headerReference r:id="rId5" w:type="default"/>
          <w:footerReference r:id="rId6" w:type="default"/>
          <w:pgSz w:w="11906" w:h="16838"/>
          <w:pgMar w:top="2098" w:right="1474" w:bottom="1984" w:left="1587" w:header="851" w:footer="992" w:gutter="0"/>
          <w:pgNumType w:fmt="numberInDash" w:start="1"/>
          <w:cols w:space="425" w:num="1"/>
          <w:docGrid w:type="lines" w:linePitch="435" w:charSpace="0"/>
        </w:sectPr>
      </w:pPr>
    </w:p>
    <w:p w14:paraId="5E3B04C3">
      <w:pPr>
        <w:spacing w:line="578" w:lineRule="exact"/>
        <w:jc w:val="left"/>
        <w:rPr>
          <w:rFonts w:hint="default" w:ascii="Times New Roman" w:hAnsi="Times New Roman" w:eastAsia="黑体" w:cs="Times New Roman"/>
        </w:rPr>
      </w:pPr>
      <w:r>
        <w:rPr>
          <w:rFonts w:hint="default" w:ascii="Times New Roman" w:hAnsi="Times New Roman" w:eastAsia="黑体" w:cs="Times New Roman"/>
        </w:rPr>
        <w:t>附表2</w:t>
      </w:r>
    </w:p>
    <w:p w14:paraId="0686E6F7">
      <w:pPr>
        <w:widowControl/>
        <w:spacing w:line="578"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部门整体支出绩效目标完成情况自评表</w:t>
      </w:r>
    </w:p>
    <w:tbl>
      <w:tblPr>
        <w:tblStyle w:val="38"/>
        <w:tblW w:w="9658" w:type="dxa"/>
        <w:jc w:val="center"/>
        <w:tblLayout w:type="fixed"/>
        <w:tblCellMar>
          <w:top w:w="0" w:type="dxa"/>
          <w:left w:w="108" w:type="dxa"/>
          <w:bottom w:w="0" w:type="dxa"/>
          <w:right w:w="108" w:type="dxa"/>
        </w:tblCellMar>
      </w:tblPr>
      <w:tblGrid>
        <w:gridCol w:w="436"/>
        <w:gridCol w:w="488"/>
        <w:gridCol w:w="803"/>
        <w:gridCol w:w="1246"/>
        <w:gridCol w:w="803"/>
        <w:gridCol w:w="777"/>
        <w:gridCol w:w="1018"/>
        <w:gridCol w:w="1045"/>
        <w:gridCol w:w="1111"/>
        <w:gridCol w:w="1931"/>
      </w:tblGrid>
      <w:tr w14:paraId="78E79BAA">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63031283">
            <w:pPr>
              <w:jc w:val="center"/>
              <w:rPr>
                <w:rFonts w:hint="default" w:ascii="Times New Roman" w:hAnsi="Times New Roman" w:eastAsia="宋体" w:cs="Times New Roman"/>
                <w:color w:val="000000"/>
                <w:kern w:val="0"/>
                <w:sz w:val="24"/>
              </w:rPr>
            </w:pPr>
            <w:r>
              <w:rPr>
                <w:rFonts w:hint="default" w:ascii="Times New Roman" w:hAnsi="Times New Roman" w:eastAsia="黑体" w:cs="Times New Roman"/>
                <w:sz w:val="24"/>
              </w:rPr>
              <w:br w:type="page"/>
            </w:r>
            <w:r>
              <w:rPr>
                <w:rFonts w:hint="default" w:ascii="Times New Roman" w:hAnsi="Times New Roman" w:eastAsia="宋体" w:cs="Times New Roman"/>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5EAEA04D">
            <w:pPr>
              <w:widowControl/>
              <w:spacing w:line="240" w:lineRule="exact"/>
              <w:jc w:val="center"/>
              <w:textAlignment w:val="center"/>
              <w:rPr>
                <w:rFonts w:hint="default" w:ascii="Times New Roman" w:hAnsi="Times New Roman" w:eastAsia="宋体" w:cs="Times New Roman"/>
                <w:color w:val="000000"/>
                <w:kern w:val="0"/>
                <w:sz w:val="24"/>
                <w:lang w:eastAsia="zh-CN"/>
              </w:rPr>
            </w:pPr>
            <w:r>
              <w:rPr>
                <w:rFonts w:hint="default" w:ascii="Times New Roman" w:hAnsi="Times New Roman" w:eastAsia="宋体" w:cs="Times New Roman"/>
                <w:color w:val="000000"/>
                <w:kern w:val="0"/>
                <w:sz w:val="24"/>
                <w:lang w:eastAsia="zh-CN"/>
              </w:rPr>
              <w:t>阿坝州卫生健康委员会</w:t>
            </w:r>
          </w:p>
        </w:tc>
      </w:tr>
      <w:tr w14:paraId="389F7BBD">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AF6C5C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2DFE772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5E2BC8F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A97F89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其他资金</w:t>
            </w:r>
          </w:p>
        </w:tc>
      </w:tr>
      <w:tr w14:paraId="2BCE7062">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0E987A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0A02EEB2">
            <w:pPr>
              <w:widowControl/>
              <w:spacing w:line="240" w:lineRule="exact"/>
              <w:jc w:val="center"/>
              <w:textAlignment w:val="center"/>
              <w:rPr>
                <w:rFonts w:hint="default" w:ascii="Times New Roman" w:hAnsi="Times New Roman" w:eastAsia="宋体" w:cs="Times New Roman"/>
                <w:color w:val="000000"/>
                <w:kern w:val="0"/>
                <w:sz w:val="24"/>
                <w:highlight w:val="none"/>
                <w:lang w:val="en-US"/>
              </w:rPr>
            </w:pPr>
            <w:r>
              <w:rPr>
                <w:rFonts w:hint="default" w:ascii="Times New Roman" w:hAnsi="Times New Roman" w:eastAsia="宋体" w:cs="Times New Roman"/>
                <w:color w:val="000000"/>
                <w:kern w:val="0"/>
                <w:sz w:val="24"/>
                <w:highlight w:val="none"/>
                <w:lang w:val="en-US" w:eastAsia="zh-CN"/>
              </w:rPr>
              <w:t>47505.73</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7236B378">
            <w:pPr>
              <w:widowControl/>
              <w:spacing w:line="240" w:lineRule="exact"/>
              <w:jc w:val="center"/>
              <w:textAlignment w:val="center"/>
              <w:rPr>
                <w:rFonts w:hint="default" w:ascii="Times New Roman" w:hAnsi="Times New Roman" w:eastAsia="宋体" w:cs="Times New Roman"/>
                <w:color w:val="000000"/>
                <w:kern w:val="0"/>
                <w:sz w:val="24"/>
                <w:highlight w:val="none"/>
              </w:rPr>
            </w:pPr>
            <w:r>
              <w:rPr>
                <w:rFonts w:hint="default" w:ascii="Times New Roman" w:hAnsi="Times New Roman" w:eastAsia="宋体" w:cs="Times New Roman"/>
                <w:color w:val="000000"/>
                <w:kern w:val="0"/>
                <w:sz w:val="24"/>
                <w:highlight w:val="none"/>
                <w:lang w:val="en-US" w:eastAsia="zh-CN"/>
              </w:rPr>
              <w:t>18185.37</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24EA80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29320.36</w:t>
            </w:r>
          </w:p>
        </w:tc>
      </w:tr>
      <w:tr w14:paraId="2392EC14">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0661D7D7">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3EAC2A79">
            <w:pPr>
              <w:widowControl/>
              <w:spacing w:line="240" w:lineRule="exact"/>
              <w:jc w:val="center"/>
              <w:textAlignment w:val="center"/>
              <w:rPr>
                <w:rFonts w:hint="default" w:ascii="Times New Roman" w:hAnsi="Times New Roman" w:eastAsia="宋体" w:cs="Times New Roman"/>
                <w:color w:val="000000"/>
                <w:kern w:val="0"/>
                <w:sz w:val="24"/>
                <w:highlight w:val="none"/>
              </w:rPr>
            </w:pPr>
            <w:r>
              <w:rPr>
                <w:rFonts w:hint="default" w:ascii="Times New Roman" w:hAnsi="Times New Roman" w:eastAsia="宋体" w:cs="Times New Roman"/>
                <w:color w:val="000000"/>
                <w:kern w:val="0"/>
                <w:sz w:val="24"/>
                <w:highlight w:val="none"/>
                <w:lang w:val="en-US" w:eastAsia="zh-CN"/>
              </w:rPr>
              <w:t>47505.73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735B5D2">
            <w:pPr>
              <w:widowControl/>
              <w:spacing w:line="240" w:lineRule="exact"/>
              <w:jc w:val="center"/>
              <w:textAlignment w:val="center"/>
              <w:rPr>
                <w:rFonts w:hint="default" w:ascii="Times New Roman" w:hAnsi="Times New Roman" w:eastAsia="宋体" w:cs="Times New Roman"/>
                <w:color w:val="000000"/>
                <w:kern w:val="0"/>
                <w:sz w:val="24"/>
                <w:highlight w:val="none"/>
              </w:rPr>
            </w:pPr>
            <w:r>
              <w:rPr>
                <w:rFonts w:hint="default" w:ascii="Times New Roman" w:hAnsi="Times New Roman" w:eastAsia="宋体" w:cs="Times New Roman"/>
                <w:color w:val="000000"/>
                <w:kern w:val="0"/>
                <w:sz w:val="24"/>
                <w:highlight w:val="none"/>
                <w:lang w:val="en-US" w:eastAsia="zh-CN"/>
              </w:rPr>
              <w:t>18185.37</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240FEFB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29320.36</w:t>
            </w:r>
          </w:p>
        </w:tc>
      </w:tr>
      <w:tr w14:paraId="253D0F90">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76475DCE">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2D0C">
            <w:pPr>
              <w:keepNext w:val="0"/>
              <w:keepLines w:val="0"/>
              <w:widowControl/>
              <w:suppressLineNumbers w:val="0"/>
              <w:jc w:val="left"/>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州卫生健康部门聚焦“川甘青结合部区域医疗高地”建设目标，以推动医疗卫生质量提升“六大提升行动”和健康惠民“十大举措”为抓手，以以“十五五”规划编制为契机，不断深化改革、完善体制机制、优化功能布局、培育优质资源、提升服务效能、推动城乡一体化发展。做好辖区内的公共卫生监督管理，健全卫生健康综合监督体系；推进卫生健康基本公共服务均等化、普惠化、便捷化、公共资源向基层延伸。任务1：抓实卫生项目投资，加快提标扩能项目建设，完成“互联网+医疗健康”二期项目，加快区域龙头医院建设。任务2：加强人才队伍建设，加强定向医学生、医疗骨干人才培养，为全州基层医疗卫生机构培养优秀人才，为建设川甘青结合部区域医疗高地提供人才保障。任务3：深化医药卫生体制改革，加快紧密型县域医共体建设，加强专科联盟协作，促进“三医”协同发展，深化医疗服务价格、医保支付方式改革。任务4：加强医养结合示范，支持茂县、九寨沟县建设“医养康养示范区”，持续深化“中医药+”模式。任务5：民生保障持续夯实，农村妇女“两癌”筛查有精度。</w:t>
            </w:r>
          </w:p>
        </w:tc>
      </w:tr>
      <w:tr w14:paraId="24472362">
        <w:tblPrEx>
          <w:tblCellMar>
            <w:top w:w="0" w:type="dxa"/>
            <w:left w:w="108" w:type="dxa"/>
            <w:bottom w:w="0" w:type="dxa"/>
            <w:right w:w="108" w:type="dxa"/>
          </w:tblCellMar>
        </w:tblPrEx>
        <w:trPr>
          <w:trHeight w:val="296" w:hRule="atLeast"/>
          <w:jc w:val="center"/>
        </w:trPr>
        <w:tc>
          <w:tcPr>
            <w:tcW w:w="436" w:type="dxa"/>
            <w:vMerge w:val="restart"/>
            <w:tcBorders>
              <w:top w:val="single" w:color="000000" w:sz="4" w:space="0"/>
              <w:left w:val="single" w:color="000000" w:sz="4" w:space="0"/>
              <w:bottom w:val="single" w:color="000000" w:sz="4" w:space="0"/>
              <w:right w:val="single" w:color="000000" w:sz="4" w:space="0"/>
            </w:tcBorders>
            <w:noWrap/>
            <w:vAlign w:val="center"/>
          </w:tcPr>
          <w:p w14:paraId="33F0F22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管理效率</w:t>
            </w:r>
          </w:p>
        </w:tc>
        <w:tc>
          <w:tcPr>
            <w:tcW w:w="488" w:type="dxa"/>
            <w:vMerge w:val="restart"/>
            <w:tcBorders>
              <w:top w:val="single" w:color="000000" w:sz="4" w:space="0"/>
              <w:left w:val="single" w:color="000000" w:sz="4" w:space="0"/>
              <w:bottom w:val="single" w:color="000000" w:sz="4" w:space="0"/>
              <w:right w:val="single" w:color="000000" w:sz="4" w:space="0"/>
            </w:tcBorders>
            <w:noWrap/>
            <w:vAlign w:val="center"/>
          </w:tcPr>
          <w:p w14:paraId="16A0E43C">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E73471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DB5C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159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0CF1A77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037E212D">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指标实际完成值</w:t>
            </w:r>
          </w:p>
        </w:tc>
      </w:tr>
      <w:tr w14:paraId="51B9F84A">
        <w:tblPrEx>
          <w:tblCellMar>
            <w:top w:w="0" w:type="dxa"/>
            <w:left w:w="108" w:type="dxa"/>
            <w:bottom w:w="0" w:type="dxa"/>
            <w:right w:w="108" w:type="dxa"/>
          </w:tblCellMar>
        </w:tblPrEx>
        <w:trPr>
          <w:trHeight w:val="296" w:hRule="atLeast"/>
          <w:jc w:val="center"/>
        </w:trPr>
        <w:tc>
          <w:tcPr>
            <w:tcW w:w="436" w:type="dxa"/>
            <w:vMerge w:val="continue"/>
            <w:tcBorders>
              <w:top w:val="single" w:color="000000" w:sz="4" w:space="0"/>
              <w:left w:val="single" w:color="000000" w:sz="4" w:space="0"/>
              <w:bottom w:val="single" w:color="000000" w:sz="4" w:space="0"/>
              <w:right w:val="single" w:color="000000" w:sz="4" w:space="0"/>
            </w:tcBorders>
            <w:noWrap/>
            <w:vAlign w:val="center"/>
          </w:tcPr>
          <w:p w14:paraId="37566900">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top w:val="single" w:color="000000" w:sz="4" w:space="0"/>
              <w:left w:val="single" w:color="000000" w:sz="4" w:space="0"/>
              <w:bottom w:val="single" w:color="000000" w:sz="4" w:space="0"/>
              <w:right w:val="single" w:color="000000" w:sz="4" w:space="0"/>
            </w:tcBorders>
            <w:noWrap/>
            <w:vAlign w:val="center"/>
          </w:tcPr>
          <w:p w14:paraId="28519380">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C0564EC">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5050DE7F">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82EA64A">
            <w:pPr>
              <w:widowControl/>
              <w:spacing w:line="240" w:lineRule="exact"/>
              <w:jc w:val="center"/>
              <w:textAlignment w:val="center"/>
              <w:rPr>
                <w:rFonts w:hint="default" w:ascii="Times New Roman" w:hAnsi="Times New Roman" w:eastAsia="宋体" w:cs="Times New Roman"/>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478458B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三年</w:t>
            </w:r>
          </w:p>
          <w:p w14:paraId="6A4C2C0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F85147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2</w:t>
            </w:r>
            <w:r>
              <w:rPr>
                <w:rFonts w:hint="default" w:ascii="Times New Roman" w:hAnsi="Times New Roman" w:eastAsia="宋体" w:cs="Times New Roman"/>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19BE261">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3</w:t>
            </w:r>
            <w:r>
              <w:rPr>
                <w:rFonts w:hint="default" w:ascii="Times New Roman" w:hAnsi="Times New Roman" w:eastAsia="宋体" w:cs="Times New Roman"/>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3A15B88">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202</w:t>
            </w:r>
            <w:r>
              <w:rPr>
                <w:rFonts w:hint="default" w:ascii="Times New Roman" w:hAnsi="Times New Roman" w:eastAsia="宋体" w:cs="Times New Roman"/>
                <w:color w:val="000000"/>
                <w:kern w:val="0"/>
                <w:sz w:val="24"/>
                <w:lang w:val="en-US" w:eastAsia="zh-CN"/>
              </w:rPr>
              <w:t>4</w:t>
            </w:r>
            <w:r>
              <w:rPr>
                <w:rFonts w:hint="default" w:ascii="Times New Roman" w:hAnsi="Times New Roman" w:eastAsia="宋体" w:cs="Times New Roman"/>
                <w:color w:val="000000"/>
                <w:kern w:val="0"/>
                <w:sz w:val="24"/>
              </w:rPr>
              <w:t>年</w:t>
            </w:r>
          </w:p>
        </w:tc>
        <w:tc>
          <w:tcPr>
            <w:tcW w:w="1931" w:type="dxa"/>
            <w:vMerge w:val="continue"/>
            <w:tcBorders>
              <w:left w:val="single" w:color="000000" w:sz="4" w:space="0"/>
              <w:right w:val="single" w:color="000000" w:sz="4" w:space="0"/>
            </w:tcBorders>
            <w:noWrap/>
            <w:vAlign w:val="center"/>
          </w:tcPr>
          <w:p w14:paraId="4C029312">
            <w:pPr>
              <w:widowControl/>
              <w:spacing w:line="240" w:lineRule="exact"/>
              <w:jc w:val="center"/>
              <w:textAlignment w:val="center"/>
              <w:rPr>
                <w:rFonts w:hint="default" w:ascii="Times New Roman" w:hAnsi="Times New Roman" w:eastAsia="宋体" w:cs="Times New Roman"/>
                <w:color w:val="000000"/>
                <w:kern w:val="0"/>
                <w:sz w:val="24"/>
              </w:rPr>
            </w:pPr>
          </w:p>
        </w:tc>
      </w:tr>
      <w:tr w14:paraId="3B5548A8">
        <w:tblPrEx>
          <w:tblCellMar>
            <w:top w:w="0" w:type="dxa"/>
            <w:left w:w="108" w:type="dxa"/>
            <w:bottom w:w="0" w:type="dxa"/>
            <w:right w:w="108" w:type="dxa"/>
          </w:tblCellMar>
        </w:tblPrEx>
        <w:trPr>
          <w:trHeight w:val="90" w:hRule="atLeast"/>
          <w:jc w:val="center"/>
        </w:trPr>
        <w:tc>
          <w:tcPr>
            <w:tcW w:w="436" w:type="dxa"/>
            <w:vMerge w:val="continue"/>
            <w:tcBorders>
              <w:top w:val="single" w:color="000000" w:sz="4" w:space="0"/>
              <w:left w:val="single" w:color="000000" w:sz="4" w:space="0"/>
              <w:bottom w:val="single" w:color="000000" w:sz="4" w:space="0"/>
              <w:right w:val="single" w:color="000000" w:sz="4" w:space="0"/>
            </w:tcBorders>
            <w:noWrap/>
            <w:vAlign w:val="center"/>
          </w:tcPr>
          <w:p w14:paraId="3B24D826">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restart"/>
            <w:tcBorders>
              <w:top w:val="single" w:color="000000" w:sz="4" w:space="0"/>
              <w:left w:val="single" w:color="000000" w:sz="4" w:space="0"/>
              <w:bottom w:val="single" w:color="000000" w:sz="4" w:space="0"/>
              <w:right w:val="single" w:color="000000" w:sz="4" w:space="0"/>
            </w:tcBorders>
            <w:noWrap/>
            <w:vAlign w:val="center"/>
          </w:tcPr>
          <w:p w14:paraId="386BFD7B">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4B6D720">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7AB6CF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8BC108">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0DD2504">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43.22%</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B244C17">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57.7%</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DE3BBA4">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39.3%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3B7C7E2">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32.67%</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03440EE">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37.70%</w:t>
            </w:r>
          </w:p>
        </w:tc>
      </w:tr>
      <w:tr w14:paraId="413D4C35">
        <w:tblPrEx>
          <w:tblCellMar>
            <w:top w:w="0" w:type="dxa"/>
            <w:left w:w="108" w:type="dxa"/>
            <w:bottom w:w="0" w:type="dxa"/>
            <w:right w:w="108" w:type="dxa"/>
          </w:tblCellMar>
        </w:tblPrEx>
        <w:trPr>
          <w:trHeight w:val="90" w:hRule="atLeast"/>
          <w:jc w:val="center"/>
        </w:trPr>
        <w:tc>
          <w:tcPr>
            <w:tcW w:w="436" w:type="dxa"/>
            <w:vMerge w:val="continue"/>
            <w:tcBorders>
              <w:top w:val="single" w:color="000000" w:sz="4" w:space="0"/>
              <w:left w:val="single" w:color="000000" w:sz="4" w:space="0"/>
              <w:bottom w:val="single" w:color="000000" w:sz="4" w:space="0"/>
              <w:right w:val="single" w:color="000000" w:sz="4" w:space="0"/>
            </w:tcBorders>
            <w:noWrap/>
            <w:vAlign w:val="center"/>
          </w:tcPr>
          <w:p w14:paraId="1229A139">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top w:val="single" w:color="000000" w:sz="4" w:space="0"/>
              <w:left w:val="single" w:color="000000" w:sz="4" w:space="0"/>
              <w:bottom w:val="single" w:color="000000" w:sz="4" w:space="0"/>
              <w:right w:val="single" w:color="000000" w:sz="4" w:space="0"/>
            </w:tcBorders>
            <w:noWrap/>
            <w:vAlign w:val="center"/>
          </w:tcPr>
          <w:p w14:paraId="59F1A164">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AD36335">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426402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A3B0386">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6.65%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22DD464B">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6.67%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9808B2">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DCCDBC6">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904A6E2">
            <w:pPr>
              <w:keepNext w:val="0"/>
              <w:keepLines w:val="0"/>
              <w:widowControl/>
              <w:suppressLineNumbers w:val="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81DC25">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3.03%</w:t>
            </w:r>
          </w:p>
        </w:tc>
      </w:tr>
      <w:tr w14:paraId="0ABFD07E">
        <w:tblPrEx>
          <w:tblCellMar>
            <w:top w:w="0" w:type="dxa"/>
            <w:left w:w="108" w:type="dxa"/>
            <w:bottom w:w="0" w:type="dxa"/>
            <w:right w:w="108" w:type="dxa"/>
          </w:tblCellMar>
        </w:tblPrEx>
        <w:trPr>
          <w:trHeight w:val="90" w:hRule="atLeast"/>
          <w:jc w:val="center"/>
        </w:trPr>
        <w:tc>
          <w:tcPr>
            <w:tcW w:w="436" w:type="dxa"/>
            <w:vMerge w:val="continue"/>
            <w:tcBorders>
              <w:top w:val="single" w:color="000000" w:sz="4" w:space="0"/>
              <w:left w:val="single" w:color="000000" w:sz="4" w:space="0"/>
              <w:bottom w:val="single" w:color="000000" w:sz="4" w:space="0"/>
              <w:right w:val="single" w:color="000000" w:sz="4" w:space="0"/>
            </w:tcBorders>
            <w:noWrap/>
            <w:vAlign w:val="center"/>
          </w:tcPr>
          <w:p w14:paraId="343E3E42">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top w:val="single" w:color="000000" w:sz="4" w:space="0"/>
              <w:left w:val="single" w:color="000000" w:sz="4" w:space="0"/>
              <w:bottom w:val="single" w:color="000000" w:sz="4" w:space="0"/>
              <w:right w:val="single" w:color="000000" w:sz="4" w:space="0"/>
            </w:tcBorders>
            <w:noWrap/>
            <w:vAlign w:val="center"/>
          </w:tcPr>
          <w:p w14:paraId="0324F716">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E260CB3">
            <w:pPr>
              <w:widowControl/>
              <w:spacing w:line="240" w:lineRule="exact"/>
              <w:jc w:val="center"/>
              <w:textAlignment w:val="center"/>
              <w:rPr>
                <w:rFonts w:hint="default" w:ascii="Times New Roman" w:hAnsi="Times New Roman" w:eastAsia="宋体" w:cs="Times New Roman"/>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DA51372">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3306B65">
            <w:pPr>
              <w:widowControl/>
              <w:spacing w:line="240" w:lineRule="exact"/>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rPr>
              <w:t>12439.16</w:t>
            </w:r>
            <w:r>
              <w:rPr>
                <w:rFonts w:hint="default" w:ascii="Times New Roman" w:hAnsi="Times New Roman" w:eastAsia="宋体" w:cs="Times New Roman"/>
                <w:color w:val="000000"/>
                <w:kern w:val="0"/>
                <w:sz w:val="24"/>
                <w:szCs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2EC06DE">
            <w:pPr>
              <w:widowControl/>
              <w:spacing w:line="240" w:lineRule="exact"/>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114CAEA">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rPr>
            </w:pPr>
            <w:r>
              <w:rPr>
                <w:rFonts w:hint="default" w:ascii="Times New Roman" w:hAnsi="Times New Roman" w:cs="Times New Roman"/>
                <w:color w:val="000000"/>
                <w:kern w:val="60"/>
                <w:sz w:val="24"/>
                <w:szCs w:val="24"/>
                <w:highlight w:val="none"/>
                <w:shd w:val="clear" w:color="auto" w:fill="FFFFFF"/>
                <w:vertAlign w:val="baseline"/>
                <w:lang w:val="en-US" w:eastAsia="zh-CN" w:bidi="ar-SA"/>
              </w:rPr>
              <w:t>1,419.83</w:t>
            </w:r>
            <w:r>
              <w:rPr>
                <w:rFonts w:hint="default" w:ascii="Times New Roman" w:hAnsi="Times New Roman" w:eastAsia="宋体" w:cs="Times New Roman"/>
                <w:color w:val="000000"/>
                <w:kern w:val="0"/>
                <w:sz w:val="24"/>
                <w:szCs w:val="24"/>
                <w:lang w:val="en-US" w:eastAsia="zh-CN"/>
              </w:rPr>
              <w:t>万元</w:t>
            </w:r>
          </w:p>
        </w:tc>
      </w:tr>
      <w:tr w14:paraId="3D3C7A50">
        <w:tblPrEx>
          <w:tblCellMar>
            <w:top w:w="0" w:type="dxa"/>
            <w:left w:w="108" w:type="dxa"/>
            <w:bottom w:w="0" w:type="dxa"/>
            <w:right w:w="108" w:type="dxa"/>
          </w:tblCellMar>
        </w:tblPrEx>
        <w:trPr>
          <w:trHeight w:val="90" w:hRule="atLeast"/>
          <w:jc w:val="center"/>
        </w:trPr>
        <w:tc>
          <w:tcPr>
            <w:tcW w:w="436" w:type="dxa"/>
            <w:vMerge w:val="continue"/>
            <w:tcBorders>
              <w:top w:val="single" w:color="000000" w:sz="4" w:space="0"/>
              <w:left w:val="single" w:color="000000" w:sz="4" w:space="0"/>
              <w:bottom w:val="single" w:color="000000" w:sz="4" w:space="0"/>
              <w:right w:val="single" w:color="000000" w:sz="4" w:space="0"/>
            </w:tcBorders>
            <w:noWrap/>
            <w:vAlign w:val="center"/>
          </w:tcPr>
          <w:p w14:paraId="79647CEF">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top w:val="single" w:color="000000" w:sz="4" w:space="0"/>
              <w:left w:val="single" w:color="000000" w:sz="4" w:space="0"/>
              <w:bottom w:val="single" w:color="000000" w:sz="4" w:space="0"/>
              <w:right w:val="single" w:color="000000" w:sz="4" w:space="0"/>
            </w:tcBorders>
            <w:noWrap/>
            <w:vAlign w:val="center"/>
          </w:tcPr>
          <w:p w14:paraId="6A957450">
            <w:pPr>
              <w:widowControl/>
              <w:spacing w:line="240" w:lineRule="exact"/>
              <w:jc w:val="center"/>
              <w:textAlignment w:val="center"/>
              <w:rPr>
                <w:rFonts w:hint="default" w:ascii="Times New Roman" w:hAnsi="Times New Roman" w:eastAsia="宋体" w:cs="Times New Roman"/>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11B5AC4">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C51CC45">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7935326">
            <w:pPr>
              <w:widowControl/>
              <w:spacing w:line="240" w:lineRule="exact"/>
              <w:jc w:val="center"/>
              <w:textAlignment w:val="center"/>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4C53A459">
            <w:pPr>
              <w:widowControl/>
              <w:spacing w:line="240" w:lineRule="exact"/>
              <w:jc w:val="center"/>
              <w:textAlignment w:val="center"/>
              <w:rPr>
                <w:rFonts w:hint="default" w:ascii="Times New Roman" w:hAnsi="Times New Roman" w:eastAsia="宋体" w:cs="Times New Roman"/>
                <w:color w:val="000000"/>
                <w:kern w:val="0"/>
                <w:sz w:val="24"/>
                <w:szCs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F3924B">
            <w:pPr>
              <w:widowControl/>
              <w:spacing w:line="240" w:lineRule="exact"/>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rPr>
              <w:t>良</w:t>
            </w:r>
          </w:p>
        </w:tc>
      </w:tr>
      <w:tr w14:paraId="52078AA8">
        <w:tblPrEx>
          <w:tblCellMar>
            <w:top w:w="0" w:type="dxa"/>
            <w:left w:w="108" w:type="dxa"/>
            <w:bottom w:w="0" w:type="dxa"/>
            <w:right w:w="108" w:type="dxa"/>
          </w:tblCellMar>
        </w:tblPrEx>
        <w:trPr>
          <w:trHeight w:val="468" w:hRule="atLeast"/>
          <w:jc w:val="center"/>
        </w:trPr>
        <w:tc>
          <w:tcPr>
            <w:tcW w:w="436" w:type="dxa"/>
            <w:vMerge w:val="restart"/>
            <w:tcBorders>
              <w:top w:val="single" w:color="auto" w:sz="4" w:space="0"/>
              <w:left w:val="single" w:color="auto" w:sz="4" w:space="0"/>
              <w:bottom w:val="single" w:color="auto" w:sz="4" w:space="0"/>
              <w:right w:val="single" w:color="auto" w:sz="4" w:space="0"/>
            </w:tcBorders>
            <w:noWrap/>
            <w:vAlign w:val="center"/>
          </w:tcPr>
          <w:p w14:paraId="341533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履职效能</w:t>
            </w:r>
          </w:p>
        </w:tc>
        <w:tc>
          <w:tcPr>
            <w:tcW w:w="488" w:type="dxa"/>
            <w:tcBorders>
              <w:top w:val="single" w:color="auto" w:sz="4" w:space="0"/>
              <w:left w:val="single" w:color="auto" w:sz="4" w:space="0"/>
              <w:bottom w:val="single" w:color="auto" w:sz="4" w:space="0"/>
              <w:right w:val="single" w:color="auto" w:sz="4" w:space="0"/>
            </w:tcBorders>
            <w:noWrap/>
            <w:vAlign w:val="center"/>
          </w:tcPr>
          <w:p w14:paraId="1CC9B8C6">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一级指标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7FF9BDE9">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二级指标</w:t>
            </w:r>
          </w:p>
        </w:tc>
        <w:tc>
          <w:tcPr>
            <w:tcW w:w="1246" w:type="dxa"/>
            <w:tcBorders>
              <w:top w:val="single" w:color="000000" w:sz="4" w:space="0"/>
              <w:left w:val="single" w:color="auto" w:sz="4" w:space="0"/>
              <w:bottom w:val="single" w:color="000000" w:sz="4" w:space="0"/>
              <w:right w:val="single" w:color="000000" w:sz="4" w:space="0"/>
            </w:tcBorders>
            <w:noWrap/>
            <w:vAlign w:val="center"/>
          </w:tcPr>
          <w:p w14:paraId="10BB002F">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216CBEA">
            <w:pPr>
              <w:widowControl/>
              <w:spacing w:line="24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199ADD3">
            <w:pPr>
              <w:widowControl/>
              <w:spacing w:line="240" w:lineRule="exact"/>
              <w:jc w:val="center"/>
              <w:textAlignment w:val="center"/>
              <w:rPr>
                <w:rFonts w:hint="default" w:ascii="Times New Roman" w:hAnsi="Times New Roman" w:eastAsia="宋体" w:cs="Times New Roman"/>
                <w:color w:val="000000"/>
                <w:kern w:val="0"/>
                <w:sz w:val="24"/>
              </w:rPr>
            </w:pPr>
          </w:p>
        </w:tc>
      </w:tr>
      <w:tr w14:paraId="7B7BEF11">
        <w:tblPrEx>
          <w:tblCellMar>
            <w:top w:w="0" w:type="dxa"/>
            <w:left w:w="108" w:type="dxa"/>
            <w:bottom w:w="0" w:type="dxa"/>
            <w:right w:w="108" w:type="dxa"/>
          </w:tblCellMar>
        </w:tblPrEx>
        <w:trPr>
          <w:trHeight w:val="296"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456D6985">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restart"/>
            <w:tcBorders>
              <w:top w:val="single" w:color="auto" w:sz="4" w:space="0"/>
              <w:left w:val="single" w:color="auto" w:sz="4" w:space="0"/>
              <w:right w:val="single" w:color="auto" w:sz="4" w:space="0"/>
            </w:tcBorders>
            <w:noWrap/>
            <w:vAlign w:val="center"/>
          </w:tcPr>
          <w:p w14:paraId="0462247F">
            <w:pPr>
              <w:keepNext w:val="0"/>
              <w:keepLines w:val="0"/>
              <w:widowControl/>
              <w:suppressLineNumbers w:val="0"/>
              <w:jc w:val="center"/>
              <w:textAlignment w:val="center"/>
              <w:rPr>
                <w:rFonts w:hint="default" w:ascii="Times New Roman" w:hAnsi="Times New Roman" w:eastAsia="黑体" w:cs="Times New Roman"/>
                <w:i w:val="0"/>
                <w:iCs w:val="0"/>
                <w:color w:val="000000"/>
                <w:kern w:val="0"/>
                <w:sz w:val="18"/>
                <w:szCs w:val="18"/>
                <w:u w:val="none"/>
                <w:lang w:val="en-US" w:eastAsia="zh-CN" w:bidi="ar"/>
              </w:rPr>
            </w:pPr>
            <w:r>
              <w:rPr>
                <w:rFonts w:hint="default" w:ascii="Times New Roman" w:hAnsi="Times New Roman" w:eastAsia="黑体" w:cs="Times New Roman"/>
                <w:i w:val="0"/>
                <w:iCs w:val="0"/>
                <w:color w:val="000000"/>
                <w:kern w:val="0"/>
                <w:sz w:val="24"/>
                <w:szCs w:val="24"/>
                <w:u w:val="none"/>
                <w:lang w:val="en-US" w:eastAsia="zh-CN" w:bidi="ar"/>
              </w:rPr>
              <w:t>产出指标</w:t>
            </w:r>
          </w:p>
          <w:p w14:paraId="40B16F13">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05B8E5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时效指标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A3E6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项目完成时间</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D095">
            <w:pPr>
              <w:keepNext w:val="0"/>
              <w:keepLines w:val="0"/>
              <w:widowControl/>
              <w:suppressLineNumbers w:val="0"/>
              <w:jc w:val="center"/>
              <w:textAlignment w:val="center"/>
              <w:rPr>
                <w:rFonts w:hint="default" w:ascii="Times New Roman" w:hAnsi="Times New Roman" w:eastAsia="宋体" w:cs="Times New Roman"/>
                <w:color w:val="000000"/>
                <w:kern w:val="2"/>
                <w:sz w:val="18"/>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2025年12月底完成各类项目支付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D51F9E2">
            <w:pPr>
              <w:keepNext w:val="0"/>
              <w:keepLines w:val="0"/>
              <w:widowControl/>
              <w:suppressLineNumbers w:val="0"/>
              <w:jc w:val="center"/>
              <w:textAlignment w:val="center"/>
              <w:rPr>
                <w:rFonts w:hint="default" w:ascii="Times New Roman" w:hAnsi="Times New Roman" w:eastAsia="宋体" w:cs="Times New Roman"/>
                <w:color w:val="000000"/>
                <w:kern w:val="0"/>
                <w:sz w:val="24"/>
                <w:lang w:val="en-US"/>
              </w:rPr>
            </w:pPr>
            <w:r>
              <w:rPr>
                <w:rFonts w:hint="default" w:ascii="Times New Roman" w:hAnsi="Times New Roman" w:eastAsia="宋体" w:cs="Times New Roman"/>
                <w:i w:val="0"/>
                <w:iCs w:val="0"/>
                <w:color w:val="000000"/>
                <w:kern w:val="0"/>
                <w:sz w:val="24"/>
                <w:szCs w:val="24"/>
                <w:u w:val="none"/>
                <w:lang w:val="en-US" w:eastAsia="zh-CN" w:bidi="ar"/>
              </w:rPr>
              <w:t>2025年12月底完成各类项目支付</w:t>
            </w:r>
          </w:p>
        </w:tc>
      </w:tr>
      <w:tr w14:paraId="0422A330">
        <w:tblPrEx>
          <w:tblCellMar>
            <w:top w:w="0" w:type="dxa"/>
            <w:left w:w="108" w:type="dxa"/>
            <w:bottom w:w="0" w:type="dxa"/>
            <w:right w:w="108" w:type="dxa"/>
          </w:tblCellMar>
        </w:tblPrEx>
        <w:trPr>
          <w:trHeight w:val="296"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23F1F4FC">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left w:val="single" w:color="auto" w:sz="4" w:space="0"/>
              <w:right w:val="single" w:color="auto" w:sz="4" w:space="0"/>
            </w:tcBorders>
            <w:noWrap/>
            <w:vAlign w:val="center"/>
          </w:tcPr>
          <w:p w14:paraId="286864CB">
            <w:pPr>
              <w:keepNext w:val="0"/>
              <w:keepLines w:val="0"/>
              <w:widowControl/>
              <w:suppressLineNumbers w:val="0"/>
              <w:jc w:val="left"/>
              <w:textAlignment w:val="center"/>
              <w:rPr>
                <w:rFonts w:hint="default" w:ascii="Times New Roman" w:hAnsi="Times New Roman" w:eastAsia="宋体" w:cs="Times New Roman"/>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25F24B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86D81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考试人员</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3CE3">
            <w:pPr>
              <w:spacing w:beforeLines="0" w:afterLines="0"/>
              <w:jc w:val="center"/>
              <w:rPr>
                <w:rFonts w:hint="default" w:ascii="Times New Roman" w:hAnsi="Times New Roman" w:eastAsia="宋体" w:cs="Times New Roman"/>
                <w:color w:val="000000"/>
                <w:kern w:val="2"/>
                <w:sz w:val="18"/>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≥6000人次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401AFD8">
            <w:pPr>
              <w:keepNext w:val="0"/>
              <w:keepLines w:val="0"/>
              <w:widowControl/>
              <w:suppressLineNumbers w:val="0"/>
              <w:jc w:val="center"/>
              <w:textAlignment w:val="center"/>
              <w:rPr>
                <w:rFonts w:hint="default" w:ascii="Times New Roman" w:hAnsi="Times New Roman" w:eastAsia="宋体" w:cs="Times New Roman"/>
                <w:color w:val="000000"/>
                <w:kern w:val="0"/>
                <w:sz w:val="24"/>
                <w:lang w:val="en-US"/>
              </w:rPr>
            </w:pPr>
            <w:r>
              <w:rPr>
                <w:rFonts w:hint="default" w:ascii="Times New Roman" w:hAnsi="Times New Roman" w:eastAsia="宋体" w:cs="Times New Roman"/>
                <w:i w:val="0"/>
                <w:iCs w:val="0"/>
                <w:color w:val="000000"/>
                <w:kern w:val="0"/>
                <w:sz w:val="24"/>
                <w:szCs w:val="24"/>
                <w:u w:val="none"/>
                <w:lang w:val="en-US" w:eastAsia="zh-CN" w:bidi="ar"/>
              </w:rPr>
              <w:t>6000人次</w:t>
            </w:r>
          </w:p>
        </w:tc>
      </w:tr>
      <w:tr w14:paraId="5D7B1D82">
        <w:tblPrEx>
          <w:tblCellMar>
            <w:top w:w="0" w:type="dxa"/>
            <w:left w:w="108" w:type="dxa"/>
            <w:bottom w:w="0" w:type="dxa"/>
            <w:right w:w="108" w:type="dxa"/>
          </w:tblCellMar>
        </w:tblPrEx>
        <w:trPr>
          <w:trHeight w:val="296"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5CDC3452">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left w:val="single" w:color="auto" w:sz="4" w:space="0"/>
              <w:right w:val="single" w:color="auto" w:sz="4" w:space="0"/>
            </w:tcBorders>
            <w:noWrap/>
            <w:vAlign w:val="center"/>
          </w:tcPr>
          <w:p w14:paraId="119626C5">
            <w:pPr>
              <w:keepNext w:val="0"/>
              <w:keepLines w:val="0"/>
              <w:widowControl/>
              <w:suppressLineNumbers w:val="0"/>
              <w:jc w:val="left"/>
              <w:textAlignment w:val="center"/>
              <w:rPr>
                <w:rFonts w:hint="default" w:ascii="Times New Roman" w:hAnsi="Times New Roman" w:eastAsia="宋体" w:cs="Times New Roman"/>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3189CB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数量指标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0D5CF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培训次数</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7FAD">
            <w:pPr>
              <w:spacing w:beforeLines="0" w:afterLines="0"/>
              <w:jc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≥24次</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AE8AD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24次</w:t>
            </w:r>
          </w:p>
        </w:tc>
      </w:tr>
      <w:tr w14:paraId="40AEF514">
        <w:tblPrEx>
          <w:tblCellMar>
            <w:top w:w="0" w:type="dxa"/>
            <w:left w:w="108" w:type="dxa"/>
            <w:bottom w:w="0" w:type="dxa"/>
            <w:right w:w="108" w:type="dxa"/>
          </w:tblCellMar>
        </w:tblPrEx>
        <w:trPr>
          <w:trHeight w:val="733"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751D47BE">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left w:val="single" w:color="auto" w:sz="4" w:space="0"/>
              <w:right w:val="single" w:color="auto" w:sz="4" w:space="0"/>
            </w:tcBorders>
            <w:noWrap/>
            <w:vAlign w:val="center"/>
          </w:tcPr>
          <w:p w14:paraId="0F95EF66">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4AF2B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质量指标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0EC1F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培训合格率</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0FA5D">
            <w:pPr>
              <w:spacing w:beforeLines="0" w:afterLines="0"/>
              <w:jc w:val="center"/>
              <w:rPr>
                <w:rFonts w:hint="default" w:ascii="Times New Roman" w:hAnsi="Times New Roman" w:eastAsia="宋体" w:cs="Times New Roman"/>
                <w:color w:val="000000"/>
                <w:kern w:val="2"/>
                <w:sz w:val="18"/>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166CD34">
            <w:pPr>
              <w:keepNext w:val="0"/>
              <w:keepLines w:val="0"/>
              <w:widowControl/>
              <w:suppressLineNumbers w:val="0"/>
              <w:jc w:val="center"/>
              <w:textAlignment w:val="center"/>
              <w:rPr>
                <w:rFonts w:hint="default" w:ascii="Times New Roman" w:hAnsi="Times New Roman" w:eastAsia="黑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90%</w:t>
            </w:r>
          </w:p>
        </w:tc>
      </w:tr>
      <w:tr w14:paraId="1004DAD2">
        <w:tblPrEx>
          <w:tblCellMar>
            <w:top w:w="0" w:type="dxa"/>
            <w:left w:w="108" w:type="dxa"/>
            <w:bottom w:w="0" w:type="dxa"/>
            <w:right w:w="108" w:type="dxa"/>
          </w:tblCellMar>
        </w:tblPrEx>
        <w:trPr>
          <w:trHeight w:val="733"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6571E5F2">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left w:val="single" w:color="auto" w:sz="4" w:space="0"/>
              <w:bottom w:val="single" w:color="auto" w:sz="4" w:space="0"/>
              <w:right w:val="single" w:color="auto" w:sz="4" w:space="0"/>
            </w:tcBorders>
            <w:noWrap/>
            <w:vAlign w:val="center"/>
          </w:tcPr>
          <w:p w14:paraId="76CEA970">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520049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质量指标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06346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考试通过率</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DFA9">
            <w:pPr>
              <w:spacing w:beforeLines="0" w:afterLines="0"/>
              <w:jc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81CC6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60%</w:t>
            </w:r>
          </w:p>
        </w:tc>
      </w:tr>
      <w:tr w14:paraId="100A6E66">
        <w:tblPrEx>
          <w:tblCellMar>
            <w:top w:w="0" w:type="dxa"/>
            <w:left w:w="108" w:type="dxa"/>
            <w:bottom w:w="0" w:type="dxa"/>
            <w:right w:w="108" w:type="dxa"/>
          </w:tblCellMar>
        </w:tblPrEx>
        <w:trPr>
          <w:trHeight w:val="306"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5D053A5E">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restart"/>
            <w:tcBorders>
              <w:top w:val="single" w:color="auto" w:sz="4" w:space="0"/>
              <w:left w:val="single" w:color="auto" w:sz="4" w:space="0"/>
              <w:bottom w:val="single" w:color="auto" w:sz="4" w:space="0"/>
              <w:right w:val="single" w:color="auto" w:sz="4" w:space="0"/>
            </w:tcBorders>
            <w:noWrap/>
            <w:vAlign w:val="center"/>
          </w:tcPr>
          <w:p w14:paraId="489635A0">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24"/>
                <w:szCs w:val="24"/>
                <w:u w:val="none"/>
                <w:lang w:val="en-US" w:eastAsia="zh-CN" w:bidi="ar"/>
              </w:rPr>
            </w:pPr>
            <w:r>
              <w:rPr>
                <w:rFonts w:hint="default" w:ascii="Times New Roman" w:hAnsi="Times New Roman" w:eastAsia="黑体" w:cs="Times New Roman"/>
                <w:i w:val="0"/>
                <w:iCs w:val="0"/>
                <w:color w:val="000000"/>
                <w:kern w:val="0"/>
                <w:sz w:val="24"/>
                <w:szCs w:val="24"/>
                <w:u w:val="none"/>
                <w:lang w:val="en-US" w:eastAsia="zh-CN" w:bidi="ar"/>
              </w:rPr>
              <w:t>效益指标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268F51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社会效益指标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CFE3A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加强人才队伍建设</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0F70">
            <w:pPr>
              <w:spacing w:beforeLines="0" w:afterLines="0"/>
              <w:jc w:val="center"/>
              <w:rPr>
                <w:rFonts w:hint="default" w:ascii="Times New Roman" w:hAnsi="Times New Roman" w:eastAsia="宋体" w:cs="Times New Roman"/>
                <w:color w:val="000000"/>
                <w:kern w:val="2"/>
                <w:sz w:val="18"/>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不断加强</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C2D14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不断加强</w:t>
            </w:r>
          </w:p>
        </w:tc>
      </w:tr>
      <w:tr w14:paraId="4A98761D">
        <w:tblPrEx>
          <w:tblCellMar>
            <w:top w:w="0" w:type="dxa"/>
            <w:left w:w="108" w:type="dxa"/>
            <w:bottom w:w="0" w:type="dxa"/>
            <w:right w:w="108" w:type="dxa"/>
          </w:tblCellMar>
        </w:tblPrEx>
        <w:trPr>
          <w:trHeight w:val="306" w:hRule="atLeast"/>
          <w:jc w:val="center"/>
        </w:trPr>
        <w:tc>
          <w:tcPr>
            <w:tcW w:w="436" w:type="dxa"/>
            <w:vMerge w:val="continue"/>
            <w:tcBorders>
              <w:top w:val="single" w:color="auto" w:sz="4" w:space="0"/>
              <w:left w:val="single" w:color="auto" w:sz="4" w:space="0"/>
              <w:bottom w:val="single" w:color="auto" w:sz="4" w:space="0"/>
              <w:right w:val="single" w:color="auto" w:sz="4" w:space="0"/>
            </w:tcBorders>
            <w:noWrap/>
            <w:vAlign w:val="center"/>
          </w:tcPr>
          <w:p w14:paraId="4BA39D07">
            <w:pPr>
              <w:widowControl/>
              <w:spacing w:line="240" w:lineRule="exact"/>
              <w:jc w:val="center"/>
              <w:textAlignment w:val="center"/>
              <w:rPr>
                <w:rFonts w:hint="default" w:ascii="Times New Roman" w:hAnsi="Times New Roman" w:eastAsia="宋体" w:cs="Times New Roman"/>
                <w:color w:val="000000"/>
                <w:kern w:val="0"/>
                <w:sz w:val="24"/>
              </w:rPr>
            </w:pPr>
          </w:p>
        </w:tc>
        <w:tc>
          <w:tcPr>
            <w:tcW w:w="488" w:type="dxa"/>
            <w:vMerge w:val="continue"/>
            <w:tcBorders>
              <w:top w:val="single" w:color="auto" w:sz="4" w:space="0"/>
              <w:left w:val="single" w:color="auto" w:sz="4" w:space="0"/>
              <w:bottom w:val="single" w:color="auto" w:sz="4" w:space="0"/>
              <w:right w:val="single" w:color="auto" w:sz="4" w:space="0"/>
            </w:tcBorders>
            <w:noWrap/>
            <w:vAlign w:val="center"/>
          </w:tcPr>
          <w:p w14:paraId="0F9F3195">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48B7B4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社会效益指标</w:t>
            </w:r>
          </w:p>
        </w:tc>
        <w:tc>
          <w:tcPr>
            <w:tcW w:w="12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EC9F4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提升基层医疗机构服务能力</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8933">
            <w:pPr>
              <w:spacing w:beforeLines="0" w:afterLines="0"/>
              <w:jc w:val="center"/>
              <w:rPr>
                <w:rFonts w:hint="default" w:ascii="Times New Roman" w:hAnsi="Times New Roman" w:eastAsia="宋体" w:cs="Times New Roman"/>
                <w:color w:val="000000"/>
                <w:kern w:val="2"/>
                <w:sz w:val="18"/>
                <w:szCs w:val="24"/>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不断提升</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83010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不断提升</w:t>
            </w:r>
          </w:p>
        </w:tc>
      </w:tr>
    </w:tbl>
    <w:p w14:paraId="72EE85E9">
      <w:pPr>
        <w:spacing w:before="0" w:after="0" w:line="560" w:lineRule="exact"/>
        <w:rPr>
          <w:rFonts w:hint="default" w:ascii="Times New Roman" w:hAnsi="Times New Roman" w:cs="Times New Roman"/>
        </w:rPr>
      </w:pPr>
    </w:p>
    <w:p w14:paraId="6AAA028D">
      <w:pPr>
        <w:keepNext w:val="0"/>
        <w:keepLines w:val="0"/>
        <w:pageBreakBefore w:val="0"/>
        <w:widowControl/>
        <w:numPr>
          <w:ilvl w:val="0"/>
          <w:numId w:val="0"/>
        </w:numPr>
        <w:kinsoku/>
        <w:wordWrap/>
        <w:overflowPunct/>
        <w:topLinePunct w:val="0"/>
        <w:autoSpaceDE/>
        <w:autoSpaceDN/>
        <w:bidi w:val="0"/>
        <w:adjustRightInd/>
        <w:snapToGrid/>
        <w:spacing w:before="240" w:after="120" w:line="720" w:lineRule="exact"/>
        <w:ind w:leftChars="200" w:firstLine="1320" w:firstLineChars="300"/>
        <w:jc w:val="both"/>
        <w:textAlignment w:val="auto"/>
        <w:outlineLvl w:val="0"/>
        <w:rPr>
          <w:rFonts w:hint="default" w:ascii="Times New Roman" w:hAnsi="Times New Roman" w:eastAsia="方正小标宋简体" w:cs="Times New Roman"/>
          <w:b w:val="0"/>
          <w:bCs/>
          <w:color w:val="000000"/>
          <w:sz w:val="44"/>
        </w:rPr>
      </w:pPr>
      <w:bookmarkStart w:id="32" w:name="_Toc22900"/>
      <w:r>
        <w:rPr>
          <w:rFonts w:hint="default" w:ascii="Times New Roman" w:hAnsi="Times New Roman" w:eastAsia="方正小标宋简体" w:cs="Times New Roman"/>
          <w:b w:val="0"/>
          <w:bCs/>
          <w:color w:val="000000"/>
          <w:sz w:val="44"/>
        </w:rPr>
        <w:t>第五部分  附表</w:t>
      </w:r>
      <w:bookmarkEnd w:id="32"/>
    </w:p>
    <w:p w14:paraId="0CF20454">
      <w:pPr>
        <w:spacing w:before="0" w:after="0" w:line="560" w:lineRule="exact"/>
        <w:ind w:firstLine="640"/>
        <w:rPr>
          <w:rFonts w:hint="default" w:ascii="Times New Roman" w:hAnsi="Times New Roman" w:eastAsia="仿宋_GB2312" w:cs="Times New Roman"/>
          <w:b w:val="0"/>
          <w:sz w:val="32"/>
        </w:rPr>
      </w:pPr>
      <w:r>
        <w:rPr>
          <w:rFonts w:hint="default" w:ascii="Times New Roman" w:hAnsi="Times New Roman" w:eastAsia="仿宋_GB2312" w:cs="Times New Roman"/>
          <w:b w:val="0"/>
          <w:sz w:val="32"/>
        </w:rPr>
        <w:t>2025年度部门决算公开附表共13张（公开01表至公开13表），随本报告一并公开。</w:t>
      </w:r>
      <w:r>
        <w:rPr>
          <w:rFonts w:hint="default" w:ascii="Times New Roman" w:hAnsi="Times New Roman" w:eastAsia="仿宋_GB2312" w:cs="Times New Roman"/>
          <w:b w:val="0"/>
          <w:color w:val="000000"/>
          <w:sz w:val="32"/>
        </w:rPr>
        <w:t>附表目录如下：</w:t>
      </w:r>
    </w:p>
    <w:p w14:paraId="51FED030">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3" w:name="_Toc1728"/>
      <w:bookmarkStart w:id="34" w:name="_Toc26373"/>
      <w:r>
        <w:rPr>
          <w:rFonts w:hint="default" w:ascii="Times New Roman" w:hAnsi="Times New Roman" w:eastAsia="黑体" w:cs="Times New Roman"/>
          <w:b w:val="0"/>
          <w:bCs/>
          <w:color w:val="000000"/>
          <w:sz w:val="32"/>
        </w:rPr>
        <w:t>一、收入支出决算总表（公开01表）</w:t>
      </w:r>
      <w:bookmarkEnd w:id="33"/>
      <w:bookmarkEnd w:id="34"/>
    </w:p>
    <w:p w14:paraId="26EBAE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5" w:name="_Toc23361"/>
      <w:bookmarkStart w:id="36" w:name="_Toc14855"/>
      <w:r>
        <w:rPr>
          <w:rFonts w:hint="default" w:ascii="Times New Roman" w:hAnsi="Times New Roman" w:eastAsia="黑体" w:cs="Times New Roman"/>
          <w:b w:val="0"/>
          <w:bCs/>
          <w:color w:val="000000"/>
          <w:sz w:val="32"/>
        </w:rPr>
        <w:t>二、收入决算表（公开02表）</w:t>
      </w:r>
      <w:bookmarkEnd w:id="35"/>
      <w:bookmarkEnd w:id="36"/>
    </w:p>
    <w:p w14:paraId="7CD9748D">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7" w:name="_Toc19329"/>
      <w:bookmarkStart w:id="38" w:name="_Toc26249"/>
      <w:r>
        <w:rPr>
          <w:rFonts w:hint="default" w:ascii="Times New Roman" w:hAnsi="Times New Roman" w:eastAsia="黑体" w:cs="Times New Roman"/>
          <w:b w:val="0"/>
          <w:bCs/>
          <w:color w:val="000000"/>
          <w:sz w:val="32"/>
        </w:rPr>
        <w:t>三、支出决算表（公开03表）</w:t>
      </w:r>
      <w:bookmarkEnd w:id="37"/>
      <w:bookmarkEnd w:id="38"/>
    </w:p>
    <w:p w14:paraId="2DA69A1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39" w:name="_Toc26791"/>
      <w:bookmarkStart w:id="40" w:name="_Toc20252"/>
      <w:r>
        <w:rPr>
          <w:rFonts w:hint="default" w:ascii="Times New Roman" w:hAnsi="Times New Roman" w:eastAsia="黑体" w:cs="Times New Roman"/>
          <w:b w:val="0"/>
          <w:bCs/>
          <w:color w:val="000000"/>
          <w:sz w:val="32"/>
        </w:rPr>
        <w:t>四、财政拨款收入支出决算总表（公开04表）</w:t>
      </w:r>
      <w:bookmarkEnd w:id="39"/>
      <w:bookmarkEnd w:id="40"/>
    </w:p>
    <w:p w14:paraId="7CADF86C">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1" w:name="_Toc28427"/>
      <w:bookmarkStart w:id="42" w:name="_Toc25080"/>
      <w:r>
        <w:rPr>
          <w:rFonts w:hint="default" w:ascii="Times New Roman" w:hAnsi="Times New Roman" w:eastAsia="黑体" w:cs="Times New Roman"/>
          <w:b w:val="0"/>
          <w:bCs/>
          <w:color w:val="000000"/>
          <w:sz w:val="32"/>
        </w:rPr>
        <w:t>五、财政拨款支出决算明细表（公开05表）</w:t>
      </w:r>
      <w:bookmarkEnd w:id="41"/>
      <w:bookmarkEnd w:id="42"/>
    </w:p>
    <w:p w14:paraId="45890568">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3" w:name="_Toc22136"/>
      <w:bookmarkStart w:id="44" w:name="_Toc29801"/>
      <w:r>
        <w:rPr>
          <w:rFonts w:hint="default" w:ascii="Times New Roman" w:hAnsi="Times New Roman" w:eastAsia="黑体" w:cs="Times New Roman"/>
          <w:b w:val="0"/>
          <w:bCs/>
          <w:color w:val="000000"/>
          <w:sz w:val="32"/>
        </w:rPr>
        <w:t>六、一般公共预算财政拨款支出决算表（公开06表）</w:t>
      </w:r>
      <w:bookmarkEnd w:id="43"/>
      <w:bookmarkEnd w:id="44"/>
    </w:p>
    <w:p w14:paraId="776C2F73">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5" w:name="_Toc3570"/>
      <w:bookmarkStart w:id="46" w:name="_Toc12252"/>
      <w:r>
        <w:rPr>
          <w:rFonts w:hint="default" w:ascii="Times New Roman" w:hAnsi="Times New Roman" w:eastAsia="黑体" w:cs="Times New Roman"/>
          <w:b w:val="0"/>
          <w:bCs/>
          <w:color w:val="000000"/>
          <w:sz w:val="32"/>
        </w:rPr>
        <w:t>七、一般公共预算财政拨款支出决算明细表（公开07表）</w:t>
      </w:r>
      <w:bookmarkEnd w:id="45"/>
      <w:bookmarkEnd w:id="46"/>
    </w:p>
    <w:p w14:paraId="5EF88A41">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7" w:name="_Toc5104"/>
      <w:bookmarkStart w:id="48" w:name="_Toc7004"/>
      <w:r>
        <w:rPr>
          <w:rFonts w:hint="default" w:ascii="Times New Roman" w:hAnsi="Times New Roman" w:eastAsia="黑体" w:cs="Times New Roman"/>
          <w:b w:val="0"/>
          <w:bCs/>
          <w:color w:val="000000"/>
          <w:sz w:val="32"/>
        </w:rPr>
        <w:t>八、一般公共预算财政拨款基本支出决算明细表（公开08表）</w:t>
      </w:r>
      <w:bookmarkEnd w:id="47"/>
      <w:bookmarkEnd w:id="48"/>
    </w:p>
    <w:p w14:paraId="757D781E">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49" w:name="_Toc23462"/>
      <w:bookmarkStart w:id="50" w:name="_Toc23747"/>
      <w:r>
        <w:rPr>
          <w:rFonts w:hint="default" w:ascii="Times New Roman" w:hAnsi="Times New Roman" w:eastAsia="黑体" w:cs="Times New Roman"/>
          <w:b w:val="0"/>
          <w:bCs/>
          <w:color w:val="000000"/>
          <w:sz w:val="32"/>
        </w:rPr>
        <w:t>九、一般公共预算财政拨款项目支出决算表（公开09表）</w:t>
      </w:r>
      <w:bookmarkEnd w:id="49"/>
      <w:bookmarkEnd w:id="50"/>
    </w:p>
    <w:p w14:paraId="122D8CEF">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1" w:name="_Toc6822"/>
      <w:bookmarkStart w:id="52" w:name="_Toc13450"/>
      <w:r>
        <w:rPr>
          <w:rFonts w:hint="default" w:ascii="Times New Roman" w:hAnsi="Times New Roman" w:eastAsia="黑体" w:cs="Times New Roman"/>
          <w:b w:val="0"/>
          <w:bCs/>
          <w:color w:val="000000"/>
          <w:sz w:val="32"/>
        </w:rPr>
        <w:t>十、政府性基金预算财政拨款收入支出决算表（公开10表）</w:t>
      </w:r>
      <w:bookmarkEnd w:id="51"/>
      <w:bookmarkEnd w:id="52"/>
    </w:p>
    <w:p w14:paraId="3CEE6DA9">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3" w:name="_Toc29100"/>
      <w:bookmarkStart w:id="54" w:name="_Toc8749"/>
      <w:r>
        <w:rPr>
          <w:rFonts w:hint="default" w:ascii="Times New Roman" w:hAnsi="Times New Roman" w:eastAsia="黑体" w:cs="Times New Roman"/>
          <w:b w:val="0"/>
          <w:bCs/>
          <w:color w:val="000000"/>
          <w:sz w:val="32"/>
        </w:rPr>
        <w:t>十一、国有资本经营预算财政拨款收入支出决算表（公开11表）</w:t>
      </w:r>
      <w:bookmarkEnd w:id="53"/>
      <w:bookmarkEnd w:id="54"/>
    </w:p>
    <w:p w14:paraId="460D926A">
      <w:pPr>
        <w:keepNext w:val="0"/>
        <w:keepLines w:val="0"/>
        <w:pageBreakBefore w:val="0"/>
        <w:widowControl/>
        <w:kinsoku/>
        <w:wordWrap/>
        <w:overflowPunct/>
        <w:topLinePunct w:val="0"/>
        <w:autoSpaceDE/>
        <w:autoSpaceDN/>
        <w:bidi w:val="0"/>
        <w:adjustRightInd/>
        <w:snapToGrid/>
        <w:spacing w:before="120" w:after="60" w:line="560" w:lineRule="exact"/>
        <w:ind w:firstLine="640" w:firstLineChars="200"/>
        <w:textAlignment w:val="auto"/>
        <w:outlineLvl w:val="1"/>
        <w:rPr>
          <w:rFonts w:hint="default" w:ascii="Times New Roman" w:hAnsi="Times New Roman" w:eastAsia="黑体" w:cs="Times New Roman"/>
          <w:b w:val="0"/>
          <w:bCs/>
          <w:color w:val="000000"/>
          <w:sz w:val="32"/>
        </w:rPr>
      </w:pPr>
      <w:bookmarkStart w:id="55" w:name="_Toc27957"/>
      <w:bookmarkStart w:id="56" w:name="_Toc9472"/>
      <w:r>
        <w:rPr>
          <w:rFonts w:hint="default" w:ascii="Times New Roman" w:hAnsi="Times New Roman" w:eastAsia="黑体" w:cs="Times New Roman"/>
          <w:b w:val="0"/>
          <w:bCs/>
          <w:color w:val="000000"/>
          <w:sz w:val="32"/>
        </w:rPr>
        <w:t>十二、国有资本经营预算财政拨款支出决算表（公开12表）</w:t>
      </w:r>
      <w:bookmarkEnd w:id="55"/>
      <w:bookmarkEnd w:id="56"/>
    </w:p>
    <w:p w14:paraId="752597B1">
      <w:pPr>
        <w:pStyle w:val="32"/>
        <w:rPr>
          <w:rFonts w:hint="default" w:ascii="Times New Roman" w:hAnsi="Times New Roman" w:cs="Times New Roman"/>
        </w:rPr>
      </w:pPr>
      <w:bookmarkStart w:id="57" w:name="_Toc700"/>
      <w:r>
        <w:rPr>
          <w:rFonts w:hint="default" w:ascii="Times New Roman" w:hAnsi="Times New Roman" w:eastAsia="黑体" w:cs="Times New Roman"/>
          <w:b w:val="0"/>
          <w:bCs/>
          <w:color w:val="000000"/>
          <w:sz w:val="32"/>
        </w:rPr>
        <w:t>十三、财政拨款“三公”经费支出决算表（公开13表）</w:t>
      </w:r>
      <w:bookmarkEnd w:id="57"/>
    </w:p>
    <w:sectPr>
      <w:footerReference r:id="rId7" w:type="default"/>
      <w:pgSz w:w="11906" w:h="16838"/>
      <w:pgMar w:top="1440" w:right="1803" w:bottom="1440" w:left="1803"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510468-6520-4F8D-A115-C1627C086B2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embedRegular r:id="rId2" w:fontKey="{D5964B04-4D7D-4522-9FDE-5659667B93CE}"/>
  </w:font>
  <w:font w:name="仿宋_GB2312">
    <w:panose1 w:val="02010609030101010101"/>
    <w:charset w:val="86"/>
    <w:family w:val="auto"/>
    <w:pitch w:val="default"/>
    <w:sig w:usb0="00000001" w:usb1="080E0000" w:usb2="00000000" w:usb3="00000000" w:csb0="00040000" w:csb1="00000000"/>
    <w:embedRegular r:id="rId3" w:fontKey="{D7F902CA-FDD7-4A1F-8AD0-BD07A27D68A4}"/>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5ACB18CC-4124-47E0-A321-AA9A5E8C048A}"/>
  </w:font>
  <w:font w:name="楷体_GB2312">
    <w:panose1 w:val="02010609030101010101"/>
    <w:charset w:val="86"/>
    <w:family w:val="auto"/>
    <w:pitch w:val="default"/>
    <w:sig w:usb0="00000001" w:usb1="080E0000" w:usb2="00000000" w:usb3="00000000" w:csb0="00040000" w:csb1="00000000"/>
    <w:embedRegular r:id="rId5" w:fontKey="{4A949928-CDDB-4B33-B519-44B828197EB5}"/>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27471">
    <w:pPr>
      <w:pStyle w:val="27"/>
      <w:tabs>
        <w:tab w:val="center" w:pos="4153"/>
        <w:tab w:val="right" w:pos="8306"/>
        <w:tab w:val="clear" w:pos="4680"/>
        <w:tab w:val="clear" w:pos="9360"/>
      </w:tabs>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3A6B88">
                          <w:pPr>
                            <w:pStyle w:val="27"/>
                            <w:tabs>
                              <w:tab w:val="center" w:pos="4153"/>
                              <w:tab w:val="right" w:pos="8306"/>
                              <w:tab w:val="clear" w:pos="4680"/>
                              <w:tab w:val="clear" w:pos="9360"/>
                            </w:tabs>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14:paraId="4DF2F8F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6F3A6B88">
                    <w:pPr>
                      <w:pStyle w:val="27"/>
                      <w:tabs>
                        <w:tab w:val="center" w:pos="4153"/>
                        <w:tab w:val="right" w:pos="8306"/>
                        <w:tab w:val="clear" w:pos="4680"/>
                        <w:tab w:val="clear" w:pos="9360"/>
                      </w:tabs>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14:paraId="4DF2F8F7"/>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1ECDF">
    <w:pPr>
      <w:pStyle w:val="27"/>
    </w:pPr>
  </w:p>
  <w:p w14:paraId="1BC7F5CC">
    <w:pPr>
      <w:pStyle w:val="27"/>
    </w:pPr>
    <w:r>
      <w:rPr>
        <w:sz w:val="32"/>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7B48D">
                          <w:pPr>
                            <w:pStyle w:val="27"/>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D07B48D">
                    <w:pPr>
                      <w:pStyle w:val="2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B9DE0">
    <w:pPr>
      <w:pStyle w:val="28"/>
      <w:pBdr>
        <w:bottom w:val="none" w:color="auto" w:sz="0" w:space="0"/>
      </w:pBdr>
      <w:tabs>
        <w:tab w:val="center" w:pos="4153"/>
        <w:tab w:val="right" w:pos="8306"/>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5265A"/>
    <w:multiLevelType w:val="singleLevel"/>
    <w:tmpl w:val="DBB5265A"/>
    <w:lvl w:ilvl="0" w:tentative="0">
      <w:start w:val="1"/>
      <w:numFmt w:val="chineseCounting"/>
      <w:suff w:val="space"/>
      <w:lvlText w:val="第%1部分"/>
      <w:lvlJc w:val="left"/>
      <w:rPr>
        <w:rFonts w:hint="eastAsia"/>
      </w:rPr>
    </w:lvl>
  </w:abstractNum>
  <w:abstractNum w:abstractNumId="1">
    <w:nsid w:val="FFFFFF7E"/>
    <w:multiLevelType w:val="singleLevel"/>
    <w:tmpl w:val="FFFFFF7E"/>
    <w:lvl w:ilvl="0" w:tentative="0">
      <w:start w:val="1"/>
      <w:numFmt w:val="decimal"/>
      <w:pStyle w:val="23"/>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9857FEB"/>
    <w:rsid w:val="3B196C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4">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6"/>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6"/>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7"/>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8"/>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9"/>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6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61"/>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8">
    <w:name w:val="Default Paragraph Font"/>
    <w:semiHidden/>
    <w:unhideWhenUsed/>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uiPriority w:val="99"/>
    <w:pPr>
      <w:ind w:left="1080" w:hanging="360"/>
      <w:contextualSpacing/>
    </w:pPr>
  </w:style>
  <w:style w:type="paragraph" w:styleId="14">
    <w:name w:val="List Number 2"/>
    <w:basedOn w:val="1"/>
    <w:unhideWhenUsed/>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uiPriority w:val="99"/>
    <w:pPr>
      <w:numPr>
        <w:ilvl w:val="0"/>
        <w:numId w:val="3"/>
      </w:numPr>
      <w:contextualSpacing/>
    </w:pPr>
  </w:style>
  <w:style w:type="paragraph" w:styleId="18">
    <w:name w:val="Body Text 3"/>
    <w:basedOn w:val="1"/>
    <w:link w:val="152"/>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50"/>
    <w:unhideWhenUsed/>
    <w:uiPriority w:val="99"/>
    <w:pPr>
      <w:spacing w:after="120"/>
    </w:pPr>
  </w:style>
  <w:style w:type="paragraph" w:styleId="21">
    <w:name w:val="Body Text Indent"/>
    <w:basedOn w:val="1"/>
    <w:next w:val="22"/>
    <w:qFormat/>
    <w:uiPriority w:val="0"/>
    <w:pPr>
      <w:spacing w:after="120"/>
      <w:ind w:leftChars="200"/>
    </w:pPr>
    <w:rPr>
      <w:rFonts w:ascii="仿宋_GB2312"/>
      <w:szCs w:val="32"/>
    </w:rPr>
  </w:style>
  <w:style w:type="paragraph" w:styleId="22">
    <w:name w:val="Body Text First Indent 2"/>
    <w:basedOn w:val="21"/>
    <w:next w:val="1"/>
    <w:unhideWhenUsed/>
    <w:qFormat/>
    <w:uiPriority w:val="99"/>
    <w:pPr>
      <w:ind w:firstLine="420" w:firstLineChars="200"/>
    </w:pPr>
  </w:style>
  <w:style w:type="paragraph" w:styleId="23">
    <w:name w:val="List Number 3"/>
    <w:basedOn w:val="1"/>
    <w:unhideWhenUsed/>
    <w:uiPriority w:val="99"/>
    <w:pPr>
      <w:numPr>
        <w:ilvl w:val="0"/>
        <w:numId w:val="5"/>
      </w:numPr>
      <w:contextualSpacing/>
    </w:pPr>
  </w:style>
  <w:style w:type="paragraph" w:styleId="24">
    <w:name w:val="List 2"/>
    <w:basedOn w:val="1"/>
    <w:unhideWhenUsed/>
    <w:qFormat/>
    <w:uiPriority w:val="99"/>
    <w:pPr>
      <w:ind w:left="720" w:hanging="360"/>
      <w:contextualSpacing/>
    </w:pPr>
  </w:style>
  <w:style w:type="paragraph" w:styleId="25">
    <w:name w:val="List Continue"/>
    <w:basedOn w:val="1"/>
    <w:unhideWhenUsed/>
    <w:qFormat/>
    <w:uiPriority w:val="99"/>
    <w:pPr>
      <w:spacing w:after="120"/>
      <w:ind w:left="360"/>
      <w:contextualSpacing/>
    </w:pPr>
  </w:style>
  <w:style w:type="paragraph" w:styleId="26">
    <w:name w:val="List Bullet 2"/>
    <w:basedOn w:val="1"/>
    <w:unhideWhenUsed/>
    <w:uiPriority w:val="99"/>
    <w:pPr>
      <w:numPr>
        <w:ilvl w:val="0"/>
        <w:numId w:val="6"/>
      </w:numPr>
      <w:contextualSpacing/>
    </w:pPr>
  </w:style>
  <w:style w:type="paragraph" w:styleId="27">
    <w:name w:val="footer"/>
    <w:basedOn w:val="1"/>
    <w:link w:val="142"/>
    <w:unhideWhenUsed/>
    <w:qFormat/>
    <w:uiPriority w:val="99"/>
    <w:pPr>
      <w:tabs>
        <w:tab w:val="center" w:pos="4680"/>
        <w:tab w:val="right" w:pos="9360"/>
      </w:tabs>
      <w:spacing w:after="0" w:line="240" w:lineRule="auto"/>
    </w:pPr>
  </w:style>
  <w:style w:type="paragraph" w:styleId="28">
    <w:name w:val="header"/>
    <w:basedOn w:val="1"/>
    <w:link w:val="141"/>
    <w:unhideWhenUsed/>
    <w:qFormat/>
    <w:uiPriority w:val="99"/>
    <w:pPr>
      <w:tabs>
        <w:tab w:val="center" w:pos="4680"/>
        <w:tab w:val="right" w:pos="9360"/>
      </w:tabs>
      <w:spacing w:after="0" w:line="240" w:lineRule="auto"/>
    </w:pPr>
  </w:style>
  <w:style w:type="paragraph" w:styleId="29">
    <w:name w:val="toc 1"/>
    <w:basedOn w:val="1"/>
    <w:next w:val="1"/>
    <w:semiHidden/>
    <w:unhideWhenUsed/>
    <w:qFormat/>
    <w:uiPriority w:val="39"/>
  </w:style>
  <w:style w:type="paragraph" w:styleId="30">
    <w:name w:val="Subtitle"/>
    <w:basedOn w:val="1"/>
    <w:next w:val="1"/>
    <w:link w:val="14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footnote text"/>
    <w:basedOn w:val="1"/>
    <w:next w:val="22"/>
    <w:semiHidden/>
    <w:qFormat/>
    <w:uiPriority w:val="0"/>
    <w:pPr>
      <w:snapToGrid w:val="0"/>
      <w:jc w:val="left"/>
    </w:pPr>
    <w:rPr>
      <w:sz w:val="18"/>
      <w:szCs w:val="18"/>
    </w:rPr>
  </w:style>
  <w:style w:type="paragraph" w:styleId="33">
    <w:name w:val="toc 2"/>
    <w:basedOn w:val="1"/>
    <w:next w:val="1"/>
    <w:semiHidden/>
    <w:unhideWhenUsed/>
    <w:qFormat/>
    <w:uiPriority w:val="39"/>
    <w:pPr>
      <w:ind w:left="420" w:leftChars="200"/>
    </w:pPr>
  </w:style>
  <w:style w:type="paragraph" w:styleId="34">
    <w:name w:val="Body Text 2"/>
    <w:basedOn w:val="1"/>
    <w:link w:val="151"/>
    <w:unhideWhenUsed/>
    <w:qFormat/>
    <w:uiPriority w:val="99"/>
    <w:pPr>
      <w:spacing w:after="120" w:line="480" w:lineRule="auto"/>
    </w:pPr>
  </w:style>
  <w:style w:type="paragraph" w:styleId="35">
    <w:name w:val="List Continue 2"/>
    <w:basedOn w:val="1"/>
    <w:unhideWhenUsed/>
    <w:qFormat/>
    <w:uiPriority w:val="99"/>
    <w:pPr>
      <w:spacing w:after="120"/>
      <w:ind w:left="720"/>
      <w:contextualSpacing/>
    </w:pPr>
  </w:style>
  <w:style w:type="paragraph" w:styleId="36">
    <w:name w:val="List Continue 3"/>
    <w:basedOn w:val="1"/>
    <w:unhideWhenUsed/>
    <w:qFormat/>
    <w:uiPriority w:val="99"/>
    <w:pPr>
      <w:spacing w:after="120"/>
      <w:ind w:left="1080"/>
      <w:contextualSpacing/>
    </w:pPr>
  </w:style>
  <w:style w:type="paragraph" w:styleId="37">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Table Grid"/>
    <w:basedOn w:val="3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0">
    <w:name w:val="Light Shading"/>
    <w:basedOn w:val="3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1">
    <w:name w:val="Light Shading Accent 1"/>
    <w:basedOn w:val="38"/>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2">
    <w:name w:val="Light Shading Accent 2"/>
    <w:basedOn w:val="38"/>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3">
    <w:name w:val="Light Shading Accent 3"/>
    <w:basedOn w:val="38"/>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4">
    <w:name w:val="Light Shading Accent 4"/>
    <w:basedOn w:val="38"/>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5">
    <w:name w:val="Light Shading Accent 5"/>
    <w:basedOn w:val="38"/>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6">
    <w:name w:val="Light Shading Accent 6"/>
    <w:basedOn w:val="38"/>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7">
    <w:name w:val="Light List"/>
    <w:basedOn w:val="38"/>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8">
    <w:name w:val="Light List Accent 1"/>
    <w:basedOn w:val="38"/>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9">
    <w:name w:val="Light List Accent 2"/>
    <w:basedOn w:val="38"/>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0">
    <w:name w:val="Light List Accent 3"/>
    <w:basedOn w:val="38"/>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1">
    <w:name w:val="Light List Accent 4"/>
    <w:basedOn w:val="38"/>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2">
    <w:name w:val="Light List Accent 5"/>
    <w:basedOn w:val="38"/>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3">
    <w:name w:val="Light List Accent 6"/>
    <w:basedOn w:val="38"/>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4">
    <w:name w:val="Light Grid"/>
    <w:basedOn w:val="38"/>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5">
    <w:name w:val="Light Grid Accent 1"/>
    <w:basedOn w:val="38"/>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6">
    <w:name w:val="Light Grid Accent 2"/>
    <w:basedOn w:val="38"/>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7">
    <w:name w:val="Light Grid Accent 3"/>
    <w:basedOn w:val="38"/>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8">
    <w:name w:val="Light Grid Accent 4"/>
    <w:basedOn w:val="38"/>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9">
    <w:name w:val="Light Grid Accent 5"/>
    <w:basedOn w:val="38"/>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0">
    <w:name w:val="Light Grid Accent 6"/>
    <w:basedOn w:val="38"/>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1">
    <w:name w:val="Medium Shading 1"/>
    <w:basedOn w:val="38"/>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2">
    <w:name w:val="Medium Shading 1 Accent 1"/>
    <w:basedOn w:val="38"/>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3">
    <w:name w:val="Medium Shading 1 Accent 2"/>
    <w:basedOn w:val="38"/>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4">
    <w:name w:val="Medium Shading 1 Accent 3"/>
    <w:basedOn w:val="38"/>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5">
    <w:name w:val="Medium Shading 1 Accent 4"/>
    <w:basedOn w:val="38"/>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6">
    <w:name w:val="Medium Shading 1 Accent 5"/>
    <w:basedOn w:val="38"/>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7">
    <w:name w:val="Medium Shading 1 Accent 6"/>
    <w:basedOn w:val="38"/>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8">
    <w:name w:val="Medium Shading 2"/>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1"/>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2"/>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3"/>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4"/>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5"/>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6"/>
    <w:basedOn w:val="3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List 1"/>
    <w:basedOn w:val="38"/>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6">
    <w:name w:val="Medium List 1 Accent 1"/>
    <w:basedOn w:val="38"/>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7">
    <w:name w:val="Medium List 1 Accent 2"/>
    <w:basedOn w:val="38"/>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8">
    <w:name w:val="Medium List 1 Accent 3"/>
    <w:basedOn w:val="38"/>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9">
    <w:name w:val="Medium List 1 Accent 4"/>
    <w:basedOn w:val="38"/>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0">
    <w:name w:val="Medium List 1 Accent 5"/>
    <w:basedOn w:val="38"/>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1">
    <w:name w:val="Medium List 1 Accent 6"/>
    <w:basedOn w:val="38"/>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2">
    <w:name w:val="Medium List 2"/>
    <w:basedOn w:val="38"/>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1"/>
    <w:basedOn w:val="38"/>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2"/>
    <w:basedOn w:val="38"/>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3"/>
    <w:basedOn w:val="38"/>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4"/>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5"/>
    <w:basedOn w:val="38"/>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6"/>
    <w:basedOn w:val="3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Grid 1"/>
    <w:basedOn w:val="38"/>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0">
    <w:name w:val="Medium Grid 1 Accent 1"/>
    <w:basedOn w:val="38"/>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1">
    <w:name w:val="Medium Grid 1 Accent 2"/>
    <w:basedOn w:val="38"/>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2">
    <w:name w:val="Medium Grid 1 Accent 3"/>
    <w:basedOn w:val="38"/>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3">
    <w:name w:val="Medium Grid 1 Accent 4"/>
    <w:basedOn w:val="38"/>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4">
    <w:name w:val="Medium Grid 1 Accent 5"/>
    <w:basedOn w:val="38"/>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5">
    <w:name w:val="Medium Grid 1 Accent 6"/>
    <w:basedOn w:val="38"/>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6">
    <w:name w:val="Medium Grid 2"/>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7">
    <w:name w:val="Medium Grid 2 Accent 1"/>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8">
    <w:name w:val="Medium Grid 2 Accent 2"/>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9">
    <w:name w:val="Medium Grid 2 Accent 3"/>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0">
    <w:name w:val="Medium Grid 2 Accent 4"/>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1">
    <w:name w:val="Medium Grid 2 Accent 5"/>
    <w:basedOn w:val="3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2">
    <w:name w:val="Medium Grid 2 Accent 6"/>
    <w:basedOn w:val="38"/>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3">
    <w:name w:val="Medium Grid 3"/>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4">
    <w:name w:val="Medium Grid 3 Accent 1"/>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5">
    <w:name w:val="Medium Grid 3 Accent 2"/>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6">
    <w:name w:val="Medium Grid 3 Accent 3"/>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7">
    <w:name w:val="Medium Grid 3 Accent 4"/>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8">
    <w:name w:val="Medium Grid 3 Accent 5"/>
    <w:basedOn w:val="38"/>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9">
    <w:name w:val="Medium Grid 3 Accent 6"/>
    <w:basedOn w:val="3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0">
    <w:name w:val="Dark List"/>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2">
    <w:name w:val="Dark List Accent 2"/>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3">
    <w:name w:val="Dark List Accent 3"/>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3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38"/>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7">
    <w:name w:val="Colorful Shading"/>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1"/>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2"/>
    <w:basedOn w:val="3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3"/>
    <w:basedOn w:val="38"/>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1">
    <w:name w:val="Colorful Shading Accent 4"/>
    <w:basedOn w:val="38"/>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5"/>
    <w:basedOn w:val="38"/>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6"/>
    <w:basedOn w:val="38"/>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List"/>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5">
    <w:name w:val="Colorful List Accent 1"/>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6">
    <w:name w:val="Colorful List Accent 2"/>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7">
    <w:name w:val="Colorful List Accent 3"/>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8">
    <w:name w:val="Colorful List Accent 4"/>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9">
    <w:name w:val="Colorful List Accent 5"/>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0">
    <w:name w:val="Colorful List Accent 6"/>
    <w:basedOn w:val="3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1">
    <w:name w:val="Colorful Grid"/>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2">
    <w:name w:val="Colorful Grid Accent 1"/>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3">
    <w:name w:val="Colorful Grid Accent 2"/>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4">
    <w:name w:val="Colorful Grid Accent 3"/>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5">
    <w:name w:val="Colorful Grid Accent 4"/>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6">
    <w:name w:val="Colorful Grid Accent 5"/>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7">
    <w:name w:val="Colorful Grid Accent 6"/>
    <w:basedOn w:val="3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9">
    <w:name w:val="Strong"/>
    <w:basedOn w:val="138"/>
    <w:qFormat/>
    <w:uiPriority w:val="22"/>
    <w:rPr>
      <w:b/>
      <w:bCs/>
    </w:rPr>
  </w:style>
  <w:style w:type="character" w:styleId="140">
    <w:name w:val="Emphasis"/>
    <w:basedOn w:val="138"/>
    <w:qFormat/>
    <w:uiPriority w:val="20"/>
    <w:rPr>
      <w:i/>
      <w:iCs/>
    </w:rPr>
  </w:style>
  <w:style w:type="character" w:customStyle="1" w:styleId="141">
    <w:name w:val="Header Char"/>
    <w:basedOn w:val="138"/>
    <w:link w:val="28"/>
    <w:uiPriority w:val="99"/>
  </w:style>
  <w:style w:type="character" w:customStyle="1" w:styleId="142">
    <w:name w:val="Footer Char"/>
    <w:basedOn w:val="138"/>
    <w:link w:val="27"/>
    <w:uiPriority w:val="99"/>
  </w:style>
  <w:style w:type="paragraph" w:styleId="14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4">
    <w:name w:val="Heading 1 Char"/>
    <w:basedOn w:val="138"/>
    <w:link w:val="4"/>
    <w:uiPriority w:val="9"/>
    <w:rPr>
      <w:rFonts w:asciiTheme="majorHAnsi" w:hAnsiTheme="majorHAnsi" w:eastAsiaTheme="majorEastAsia" w:cstheme="majorBidi"/>
      <w:b/>
      <w:bCs/>
      <w:color w:val="376092" w:themeColor="accent1" w:themeShade="BF"/>
      <w:sz w:val="28"/>
      <w:szCs w:val="28"/>
    </w:rPr>
  </w:style>
  <w:style w:type="character" w:customStyle="1" w:styleId="145">
    <w:name w:val="Heading 2 Char"/>
    <w:basedOn w:val="138"/>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Heading 3 Char"/>
    <w:basedOn w:val="138"/>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7">
    <w:name w:val="Title Char"/>
    <w:basedOn w:val="138"/>
    <w:link w:val="37"/>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Subtitle Char"/>
    <w:basedOn w:val="138"/>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9">
    <w:name w:val="List Paragraph"/>
    <w:basedOn w:val="1"/>
    <w:qFormat/>
    <w:uiPriority w:val="34"/>
    <w:pPr>
      <w:ind w:left="720"/>
      <w:contextualSpacing/>
    </w:pPr>
  </w:style>
  <w:style w:type="character" w:customStyle="1" w:styleId="150">
    <w:name w:val="Body Text Char"/>
    <w:basedOn w:val="138"/>
    <w:link w:val="20"/>
    <w:uiPriority w:val="99"/>
  </w:style>
  <w:style w:type="character" w:customStyle="1" w:styleId="151">
    <w:name w:val="Body Text 2 Char"/>
    <w:basedOn w:val="138"/>
    <w:link w:val="34"/>
    <w:qFormat/>
    <w:uiPriority w:val="99"/>
  </w:style>
  <w:style w:type="character" w:customStyle="1" w:styleId="152">
    <w:name w:val="Body Text 3 Char"/>
    <w:basedOn w:val="138"/>
    <w:link w:val="18"/>
    <w:qFormat/>
    <w:uiPriority w:val="99"/>
    <w:rPr>
      <w:sz w:val="16"/>
      <w:szCs w:val="16"/>
    </w:rPr>
  </w:style>
  <w:style w:type="character" w:customStyle="1" w:styleId="153">
    <w:name w:val="Macro Text Char"/>
    <w:basedOn w:val="138"/>
    <w:link w:val="3"/>
    <w:qFormat/>
    <w:uiPriority w:val="99"/>
    <w:rPr>
      <w:rFonts w:ascii="Courier" w:hAnsi="Courier"/>
      <w:sz w:val="20"/>
      <w:szCs w:val="20"/>
    </w:rPr>
  </w:style>
  <w:style w:type="paragraph"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Quote Char"/>
    <w:basedOn w:val="138"/>
    <w:link w:val="154"/>
    <w:qFormat/>
    <w:uiPriority w:val="29"/>
    <w:rPr>
      <w:i/>
      <w:iCs/>
      <w:color w:val="000000" w:themeColor="text1"/>
      <w14:textFill>
        <w14:solidFill>
          <w14:schemeClr w14:val="tx1"/>
        </w14:solidFill>
      </w14:textFill>
    </w:rPr>
  </w:style>
  <w:style w:type="character" w:customStyle="1" w:styleId="156">
    <w:name w:val="Heading 4 Char"/>
    <w:basedOn w:val="138"/>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7">
    <w:name w:val="Heading 5 Char"/>
    <w:basedOn w:val="138"/>
    <w:link w:val="8"/>
    <w:semiHidden/>
    <w:qFormat/>
    <w:uiPriority w:val="9"/>
    <w:rPr>
      <w:rFonts w:asciiTheme="majorHAnsi" w:hAnsiTheme="majorHAnsi" w:eastAsiaTheme="majorEastAsia" w:cstheme="majorBidi"/>
      <w:color w:val="254061" w:themeColor="accent1" w:themeShade="80"/>
    </w:rPr>
  </w:style>
  <w:style w:type="character" w:customStyle="1" w:styleId="158">
    <w:name w:val="Heading 6 Char"/>
    <w:basedOn w:val="138"/>
    <w:link w:val="9"/>
    <w:semiHidden/>
    <w:qFormat/>
    <w:uiPriority w:val="9"/>
    <w:rPr>
      <w:rFonts w:asciiTheme="majorHAnsi" w:hAnsiTheme="majorHAnsi" w:eastAsiaTheme="majorEastAsia" w:cstheme="majorBidi"/>
      <w:i/>
      <w:iCs/>
      <w:color w:val="254061" w:themeColor="accent1" w:themeShade="80"/>
    </w:rPr>
  </w:style>
  <w:style w:type="character" w:customStyle="1" w:styleId="159">
    <w:name w:val="Heading 7 Char"/>
    <w:basedOn w:val="138"/>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Heading 8 Char"/>
    <w:basedOn w:val="138"/>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38"/>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Intense Quote Char"/>
    <w:basedOn w:val="138"/>
    <w:link w:val="162"/>
    <w:qFormat/>
    <w:uiPriority w:val="30"/>
    <w:rPr>
      <w:b/>
      <w:bCs/>
      <w:i/>
      <w:iCs/>
      <w:color w:val="4F81BD" w:themeColor="accent1"/>
      <w14:textFill>
        <w14:solidFill>
          <w14:schemeClr w14:val="accent1"/>
        </w14:solidFill>
      </w14:textFill>
    </w:rPr>
  </w:style>
  <w:style w:type="character" w:customStyle="1" w:styleId="164">
    <w:name w:val="Subtle Emphasis"/>
    <w:basedOn w:val="138"/>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Intense Emphasis"/>
    <w:basedOn w:val="138"/>
    <w:qFormat/>
    <w:uiPriority w:val="21"/>
    <w:rPr>
      <w:b/>
      <w:bCs/>
      <w:i/>
      <w:iCs/>
      <w:color w:val="4F81BD" w:themeColor="accent1"/>
      <w14:textFill>
        <w14:solidFill>
          <w14:schemeClr w14:val="accent1"/>
        </w14:solidFill>
      </w14:textFill>
    </w:rPr>
  </w:style>
  <w:style w:type="character" w:customStyle="1" w:styleId="166">
    <w:name w:val="Subtle Reference"/>
    <w:basedOn w:val="138"/>
    <w:qFormat/>
    <w:uiPriority w:val="31"/>
    <w:rPr>
      <w:smallCaps/>
      <w:color w:val="C0504D" w:themeColor="accent2"/>
      <w:u w:val="single"/>
      <w14:textFill>
        <w14:solidFill>
          <w14:schemeClr w14:val="accent2"/>
        </w14:solidFill>
      </w14:textFill>
    </w:rPr>
  </w:style>
  <w:style w:type="character" w:customStyle="1" w:styleId="167">
    <w:name w:val="Intense Reference"/>
    <w:basedOn w:val="138"/>
    <w:qFormat/>
    <w:uiPriority w:val="32"/>
    <w:rPr>
      <w:b/>
      <w:bCs/>
      <w:smallCaps/>
      <w:color w:val="C0504D" w:themeColor="accent2"/>
      <w:spacing w:val="5"/>
      <w:u w:val="single"/>
      <w14:textFill>
        <w14:solidFill>
          <w14:schemeClr w14:val="accent2"/>
        </w14:solidFill>
      </w14:textFill>
    </w:rPr>
  </w:style>
  <w:style w:type="character" w:customStyle="1" w:styleId="168">
    <w:name w:val="Book Title"/>
    <w:basedOn w:val="138"/>
    <w:qFormat/>
    <w:uiPriority w:val="33"/>
    <w:rPr>
      <w:b/>
      <w:bCs/>
      <w:smallCaps/>
      <w:spacing w:val="5"/>
    </w:rPr>
  </w:style>
  <w:style w:type="paragraph" w:customStyle="1" w:styleId="169">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2af4cb71-02e2-46cc-be94-a3ec14049239</errorID>
      <errorWord>于2025年度</errorWord>
      <group>L1_Word</group>
      <groupName>字词问题</groupName>
      <ability>L2_Typo</ability>
      <abilityName>字词错误</abilityName>
      <candidateList>
        <item>于2025年</item>
      </candidateList>
      <explain/>
      <paraID> 44ACA7C</paraID>
      <start>119</start>
      <end>125</end>
      <status>modified</status>
      <modifiedWord>于2025年</modifiedWord>
      <trackRevisions>false</trackRevisions>
    </reviewItem>
    <reviewItem>
      <errorID>519f59c3-6346-401e-a75f-719eca183ecd</errorID>
      <errorWord>其他卫生健康支出其他卫生健康支出</errorWord>
      <group>L1_Word</group>
      <groupName>字词问题</groupName>
      <ability>L2_Typo</ability>
      <abilityName>字词错误</abilityName>
      <candidateList>
        <item>其他卫生健康支出</item>
      </candidateList>
      <explain/>
      <paraID>61E66B0A</paraID>
      <start>231</start>
      <end>239</end>
      <status>modified</status>
      <modifiedWord>其他卫生健康支出</modifiedWord>
      <trackRevisions>false</trackRevisions>
    </reviewItem>
    <reviewItem>
      <errorID>9110662d-0ab9-4447-9411-e52859e1658f</errorID>
      <errorWord>使用</errorWord>
      <group>L1_Grammar</group>
      <groupName>语法问题</groupName>
      <ability>L2_Grammar</ability>
      <abilityName>语法错误</abilityName>
      <candidateList>
        <item>采取</item>
      </candidateList>
      <explain>“使用～措施”搭配不当，建议修改为“采取～措施”。</explain>
      <paraID>526A780C</paraID>
      <start>69</start>
      <end>71</end>
      <status>modified</status>
      <modifiedWord>采取</modifiedWord>
      <trackRevisions>false</trackRevisions>
    </reviewItem>
    <reviewItem>
      <errorID>dcf85e0b-16dc-4290-8177-d3c0d2b9007a</errorID>
      <errorWord>提高</errorWord>
      <group>L1_Punc</group>
      <groupName>标点问题</groupName>
      <ability>L2_Punc_CN</ability>
      <abilityName>标点符号问题</abilityName>
      <candidateList>
        <item>，提高</item>
      </candidateList>
      <explain/>
      <paraID>22CB4226</paraID>
      <start>22</start>
      <end>25</end>
      <status>modified</status>
      <modifiedWord>，提高</modifiedWord>
      <trackRevisions>false</trackRevisions>
    </reviewItem>
    <reviewItem>
      <errorID>7e9cce3d-6345-4b29-885d-a16d7e49d730</errorID>
      <errorWord>进行使用</errorWord>
      <group>L1_Word</group>
      <groupName>字词问题</groupName>
      <ability>L2_Typo</ability>
      <abilityName>字词错误</abilityName>
      <candidateList>
        <item>使用资金</item>
      </candidateList>
      <explain/>
      <paraID>432EE780</paraID>
      <start>15</start>
      <end>19</end>
      <status>modified</status>
      <modifiedWord>使用资金</modifiedWord>
      <trackRevisions>false</trackRevisions>
    </reviewItem>
    <reviewItem>
      <errorID>d36efae9-e8d4-4f79-944c-2305566eb5ef</errorID>
      <errorWord>、</errorWord>
      <group>L1_Grammar</group>
      <groupName>语法问题</groupName>
      <ability>L2_Grammar</ability>
      <abilityName>语法错误</abilityName>
      <candidateList>
        <item>的原则，</item>
      </candidateList>
      <explain/>
      <paraID>432EE780</paraID>
      <start>41</start>
      <end>45</end>
      <status>modified</status>
      <modifiedWord>的原则，</modifiedWord>
      <trackRevisions>false</trackRevisions>
    </reviewItem>
    <reviewItem>
      <errorID>9db59c3c-1899-45e2-b021-b20c8c71480f</errorID>
      <errorWord>决定的原则</errorWord>
      <group>L1_Grammar</group>
      <groupName>语法问题</groupName>
      <ability>L2_Grammar</ability>
      <abilityName>语法错误</abilityName>
      <candidateList>
        <item>决定</item>
      </candidateList>
      <explain/>
      <paraID>432EE780</paraID>
      <start>60</start>
      <end>62</end>
      <status>modified</status>
      <modifiedWord>决定</modifiedWord>
      <trackRevisions>false</trackRevisions>
    </reviewItem>
    <reviewItem>
      <errorID>eb3df4eb-3544-48b6-baf0-3ffc11802733</errorID>
      <errorWord>虚列</errorWord>
      <group>L1_Punc</group>
      <groupName>标点问题</groupName>
      <ability>L2_Punc_CN</ability>
      <abilityName>标点符号问题</abilityName>
      <candidateList>
        <item>、虚列</item>
      </candidateList>
      <explain/>
      <paraID>432EE780</paraID>
      <start>95</start>
      <end>98</end>
      <status>modified</status>
      <modifiedWord>、虚列</modifiedWord>
      <trackRevisions>false</trackRevisions>
    </reviewItem>
    <reviewItem>
      <errorID>19682b94-0068-4f5e-897b-322befc8be45</errorID>
      <errorWord>各</errorWord>
      <group>L1_Word</group>
      <groupName>字词问题</groupName>
      <ability>L2_Typo</ability>
      <abilityName>字词错误</abilityName>
      <candidateList>
        <item>各项</item>
      </candidateList>
      <explain/>
      <paraID>353BB009</paraID>
      <start>62</start>
      <end>64</end>
      <status>modified</status>
      <modifiedWord>各项</modifiedWord>
      <trackRevisions>false</trackRevisions>
    </reviewItem>
    <reviewItem>
      <errorID>42bb4859-d829-4668-9b95-edde9a75daa7</errorID>
      <errorWord>；</errorWord>
      <group>L1_Punc</group>
      <groupName>标点问题</groupName>
      <ability>L2_Punc_CN</ability>
      <abilityName>标点符号问题</abilityName>
      <candidateList>
        <item>。</item>
      </candidateList>
      <explain/>
      <paraID>2C7A390A</paraID>
      <start>74</start>
      <end>75</end>
      <status>modified</status>
      <modifiedWord>。</modifiedWord>
      <trackRevisions>false</trackRevisions>
    </reviewItem>
    <reviewItem>
      <errorID>dbba2088-d37c-47c6-9206-3dedcf70f63a</errorID>
      <errorWord>不及效果</errorWord>
      <group>L1_Word</group>
      <groupName>字词问题</groupName>
      <ability>L2_Typo</ability>
      <abilityName>字词错误</abilityName>
      <candidateList>
        <item>效果不佳</item>
      </candidateList>
      <explain/>
      <paraID>2C7A390A</paraID>
      <start>79</start>
      <end>83</end>
      <status>modified</status>
      <modifiedWord>效果不佳</modifiedWord>
      <trackRevisions>false</trackRevisions>
    </reviewItem>
    <reviewItem>
      <errorID>9dbd1dd0-93b6-4e00-8b17-0775134c637f</errorID>
      <errorWord>变化率和人均资产增长率</errorWord>
      <group>L1_Grammar</group>
      <groupName>语法问题</groupName>
      <ability>L2_Grammar</ability>
      <abilityName>语法错误</abilityName>
      <candidateList>
        <item>变化率</item>
      </candidateList>
      <explain/>
      <paraID>38150454</paraID>
      <start>12</start>
      <end>15</end>
      <status>modified</status>
      <modifiedWord>变化率</modifiedWord>
      <trackRevisions>false</trackRevisions>
    </reviewItem>
    <reviewItem>
      <errorID>e8f65944-f655-41c8-a355-73ee20c8d88e</errorID>
      <errorWord>八项规定及</errorWord>
      <group>L1_Word</group>
      <groupName>字词问题</groupName>
      <ability>L2_Typo</ability>
      <abilityName>字词错误</abilityName>
      <candidateList>
        <item>八项规定及其</item>
      </candidateList>
      <explain/>
      <paraID>117431E5</paraID>
      <start>29</start>
      <end>35</end>
      <status>modified</status>
      <modifiedWord>八项规定及其</modifiedWord>
      <trackRevisions>false</trackRevisions>
    </reviewItem>
    <reviewItem>
      <errorID>b4a6da5e-55d2-4c5d-82f6-21310edfc3e4</errorID>
      <errorWord>具使用价值</errorWord>
      <group>L1_Word</group>
      <groupName>字词问题</groupName>
      <ability>L2_Typo</ability>
      <abilityName>字词错误</abilityName>
      <candidateList>
        <item>具有使用价值</item>
      </candidateList>
      <explain/>
      <paraID>7EF77EE7</paraID>
      <start>43</start>
      <end>49</end>
      <status>modified</status>
      <modifiedWord>具有使用价值</modifiedWord>
      <trackRevisions>false</trackRevisions>
    </reviewItem>
    <reviewItem>
      <errorID>276d9fe7-5c4e-4721-b04a-b4c9e177db52</errorID>
      <errorWord>指标指标</errorWord>
      <group>L1_Word</group>
      <groupName>字词问题</groupName>
      <ability>L2_Typo</ability>
      <abilityName>字词错误</abilityName>
      <candidateList>
        <item>指标</item>
      </candidateList>
      <explain/>
      <paraID>2BF9DFC2</paraID>
      <start>4</start>
      <end>6</end>
      <status>modified</status>
      <modifiedWord>指标</modifiedWord>
      <trackRevisions>false</trackRevisions>
    </reviewItem>
    <reviewItem>
      <errorID>77dbe609-9d54-4717-a4e0-630d5a269a85</errorID>
      <errorWord>制</errorWord>
      <group>L1_Word</group>
      <groupName>字词问题</groupName>
      <ability>L2_Typo</ability>
      <abilityName>字词错误</abilityName>
      <candidateList>
        <item>制等</item>
      </candidateList>
      <explain/>
      <paraID>51FA5F50</paraID>
      <start>54</start>
      <end>56</end>
      <status>modified</status>
      <modifiedWord>制等</modifiedWord>
      <trackRevisions>false</trackRevisions>
    </reviewItem>
    <reviewItem>
      <errorID>ae33d229-7635-41ac-8ff2-6f0bd67de440</errorID>
      <errorWord>间</errorWord>
      <group>L1_Word</group>
      <groupName>字词问题</groupName>
      <ability>L2_Typo</ability>
      <abilityName>字词错误</abilityName>
      <candidateList>
        <item>间内</item>
      </candidateList>
      <explain/>
      <paraID>49828FB4</paraID>
      <start>12</start>
      <end>14</end>
      <status>modified</status>
      <modifiedWord>间内</modifiedWord>
      <trackRevisions>false</trackRevisions>
    </reviewItem>
    <reviewItem>
      <errorID>2737fb08-8834-4cbe-8429-823f51cd9c36</errorID>
      <errorWord>，</errorWord>
      <group>L1_Word</group>
      <groupName>字词问题</groupName>
      <ability>L2_Typo</ability>
      <abilityName>字词错误</abilityName>
      <candidateList>
        <item>，以</item>
      </candidateList>
      <explain/>
      <paraID>6E102D0C</paraID>
      <start>61</start>
      <end>63</end>
      <status>modified</status>
      <modifiedWord>，以</modifiedWord>
      <trackRevisions>false</trackRevisions>
    </reviewItem>
    <reviewItem>
      <errorID>84b780ee-afd6-49d7-82da-e9c2df2cfcd3</errorID>
      <errorWord>“十五五”规划</errorWord>
      <group>L1_Political</group>
      <groupName>政治性问题</groupName>
      <ability>L2_Keyword</ability>
      <abilityName>固定表述</abilityName>
      <candidateList>
        <item>以“十五五”规划</item>
      </candidateList>
      <explain>此处内容疑似含有固定表述相关错误，建议核查。</explain>
      <paraID>6E102D0C</paraID>
      <start>63</start>
      <end>71</end>
      <status>modified</status>
      <modifiedWord>以“十五五”规划</modifiedWord>
      <trackRevisions>false</trackRevisions>
    </reviewItem>
    <reviewItem>
      <errorID>c0f4d339-c8f7-4178-894d-6a9cf4b8b1ba</errorID>
      <errorWord>公共卫生的</errorWord>
      <group>L1_Word</group>
      <groupName>字词问题</groupName>
      <ability>L2_Typo</ability>
      <abilityName>字词错误</abilityName>
      <candidateList>
        <item>公共卫生</item>
      </candidateList>
      <explain/>
      <paraID>6E102D0C</paraID>
      <start>128</start>
      <end>132</end>
      <status>modified</status>
      <modifiedWord>公共卫生</modifiedWord>
      <trackRevisions>false</trackRevisions>
    </reviewItem>
    <reviewItem>
      <errorID>875a96b3-09b8-40a6-b66f-560ef6af7042</errorID>
      <errorWord>、和</errorWord>
      <group>L1_Word</group>
      <groupName>字词问题</groupName>
      <ability>L2_Typo</ability>
      <abilityName>字词错误</abilityName>
      <candidateList>
        <item>、</item>
      </candidateList>
      <explain/>
      <paraID>6E102D0C</paraID>
      <start>173</start>
      <end>174</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b0637f-a078-40ea-8f26-d039fc24ba30}">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8692</Words>
  <Characters>9821</Characters>
  <Lines>0</Lines>
  <Paragraphs>0</Paragraphs>
  <TotalTime>23</TotalTime>
  <ScaleCrop>false</ScaleCrop>
  <LinksUpToDate>false</LinksUpToDate>
  <CharactersWithSpaces>10072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靜勤行遠</cp:lastModifiedBy>
  <dcterms:modified xsi:type="dcterms:W3CDTF">2026-09-18T04:46:37Z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eyJoZGlkIjoiNzgzOWU2Nzk0NjY4OWEzNzhjZmIzMzEwZDdlZmRiNmUiLCJ1c2VySWQiOiIzODQ4NzQ5NDAifQ==</vt:lpwstr>
  </property>
  <property fmtid="{D5CDD505-2E9C-101B-9397-08002B2CF9AE}" pid="3" name="KSOProductBuildVer">
    <vt:lpwstr>2052-12.1.0.28505</vt:lpwstr>
  </property>
  <property fmtid="{D5CDD505-2E9C-101B-9397-08002B2CF9AE}" pid="4" name="ICV">
    <vt:lpwstr>BEF03F133DE64B40A4D6B79A262A2375_12</vt:lpwstr>
  </property>
</Properties>
</file>