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C1E1F">
      <w:pPr>
        <w:widowControl/>
        <w:spacing w:line="618" w:lineRule="exact"/>
        <w:ind w:left="0" w:leftChars="0" w:firstLine="638" w:firstLineChars="145"/>
        <w:contextualSpacing/>
        <w:jc w:val="center"/>
        <w:outlineLvl w:val="0"/>
        <w:rPr>
          <w:rFonts w:hint="default" w:eastAsia="方正小标宋简体"/>
          <w:bCs/>
          <w:color w:val="auto"/>
          <w:sz w:val="44"/>
          <w:szCs w:val="44"/>
          <w:highlight w:val="none"/>
          <w:shd w:val="clear" w:color="auto" w:fill="FFFFFF"/>
          <w:lang w:val="en-US" w:eastAsia="zh-CN"/>
        </w:rPr>
      </w:pPr>
      <w:r>
        <w:rPr>
          <w:rFonts w:hint="eastAsia" w:eastAsia="方正小标宋简体"/>
          <w:bCs/>
          <w:color w:val="auto"/>
          <w:sz w:val="44"/>
          <w:szCs w:val="44"/>
          <w:highlight w:val="none"/>
          <w:shd w:val="clear" w:color="auto" w:fill="FFFFFF"/>
        </w:rPr>
        <w:t>阿坝藏族羌族自治州</w:t>
      </w:r>
      <w:r>
        <w:rPr>
          <w:rFonts w:hint="eastAsia" w:eastAsia="方正小标宋简体"/>
          <w:bCs/>
          <w:color w:val="auto"/>
          <w:sz w:val="44"/>
          <w:szCs w:val="44"/>
          <w:highlight w:val="none"/>
          <w:shd w:val="clear" w:color="auto" w:fill="FFFFFF"/>
          <w:lang w:val="en-US" w:eastAsia="zh-CN"/>
        </w:rPr>
        <w:t>林业和草原局</w:t>
      </w:r>
    </w:p>
    <w:p w14:paraId="02498F30">
      <w:pPr>
        <w:widowControl/>
        <w:spacing w:line="618" w:lineRule="exact"/>
        <w:ind w:left="0" w:leftChars="0" w:firstLine="638" w:firstLineChars="145"/>
        <w:contextualSpacing/>
        <w:jc w:val="center"/>
        <w:outlineLvl w:val="0"/>
        <w:rPr>
          <w:color w:val="auto"/>
          <w:highlight w:val="none"/>
        </w:rPr>
      </w:pPr>
      <w:r>
        <w:rPr>
          <w:rFonts w:eastAsia="方正小标宋简体"/>
          <w:bCs/>
          <w:color w:val="auto"/>
          <w:sz w:val="44"/>
          <w:szCs w:val="44"/>
          <w:highlight w:val="none"/>
          <w:shd w:val="clear" w:color="auto" w:fill="FFFFFF"/>
        </w:rPr>
        <w:t>部门预算绩效</w:t>
      </w:r>
      <w:r>
        <w:rPr>
          <w:rFonts w:hint="eastAsia" w:eastAsia="方正小标宋简体"/>
          <w:bCs/>
          <w:color w:val="auto"/>
          <w:sz w:val="44"/>
          <w:szCs w:val="44"/>
          <w:highlight w:val="none"/>
          <w:shd w:val="clear" w:color="auto" w:fill="FFFFFF"/>
        </w:rPr>
        <w:t>自评</w:t>
      </w:r>
      <w:r>
        <w:rPr>
          <w:rFonts w:eastAsia="方正小标宋简体"/>
          <w:bCs/>
          <w:color w:val="auto"/>
          <w:sz w:val="44"/>
          <w:szCs w:val="44"/>
          <w:highlight w:val="none"/>
          <w:shd w:val="clear" w:color="auto" w:fill="FFFFFF"/>
        </w:rPr>
        <w:t>报告</w:t>
      </w:r>
    </w:p>
    <w:p w14:paraId="3E5CBAB4"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eastAsia="黑体"/>
          <w:color w:val="auto"/>
          <w:kern w:val="0"/>
          <w:szCs w:val="32"/>
          <w:highlight w:val="none"/>
          <w:shd w:val="clear" w:color="auto" w:fill="FFFFFF"/>
          <w:lang w:val="zh-CN"/>
        </w:rPr>
      </w:pPr>
    </w:p>
    <w:p w14:paraId="218BC134"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outlineLvl w:val="0"/>
        <w:rPr>
          <w:color w:val="auto"/>
          <w:szCs w:val="32"/>
          <w:highlight w:val="none"/>
        </w:rPr>
      </w:pPr>
      <w:r>
        <w:rPr>
          <w:rFonts w:eastAsia="黑体"/>
          <w:color w:val="auto"/>
          <w:kern w:val="0"/>
          <w:szCs w:val="32"/>
          <w:highlight w:val="none"/>
          <w:shd w:val="clear" w:color="auto" w:fill="FFFFFF"/>
          <w:lang w:val="zh-CN"/>
        </w:rPr>
        <w:t>一、部门（单位）基本情况</w:t>
      </w:r>
    </w:p>
    <w:p w14:paraId="5312FA53">
      <w:pPr>
        <w:widowControl/>
        <w:adjustRightInd w:val="0"/>
        <w:snapToGrid w:val="0"/>
        <w:spacing w:line="578" w:lineRule="exact"/>
        <w:ind w:firstLine="643" w:firstLineChars="200"/>
        <w:contextualSpacing/>
        <w:jc w:val="left"/>
        <w:outlineLvl w:val="1"/>
        <w:rPr>
          <w:rFonts w:eastAsia="楷体_GB2312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eastAsia="楷体_GB2312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  <w:t>（一）机构组成。</w:t>
      </w:r>
    </w:p>
    <w:p w14:paraId="1F4483C9">
      <w:pPr>
        <w:widowControl/>
        <w:adjustRightInd w:val="0"/>
        <w:snapToGrid w:val="0"/>
        <w:spacing w:line="578" w:lineRule="exact"/>
        <w:ind w:left="320" w:leftChars="100" w:firstLine="320" w:firstLineChars="100"/>
        <w:contextualSpacing/>
        <w:rPr>
          <w:rFonts w:hint="eastAsia"/>
          <w:color w:val="auto"/>
          <w:szCs w:val="32"/>
          <w:highlight w:val="none"/>
          <w:lang w:eastAsia="zh-CN"/>
        </w:rPr>
      </w:pPr>
      <w:r>
        <w:rPr>
          <w:rFonts w:hint="eastAsia"/>
          <w:color w:val="auto"/>
          <w:szCs w:val="32"/>
          <w:highlight w:val="none"/>
          <w:lang w:eastAsia="zh-CN"/>
        </w:rPr>
        <w:t>阿坝藏族羌族自治州林业和草原局由领导班子统筹全局，下</w:t>
      </w:r>
    </w:p>
    <w:p w14:paraId="69A30EAE">
      <w:pPr>
        <w:widowControl/>
        <w:adjustRightInd w:val="0"/>
        <w:snapToGrid w:val="0"/>
        <w:spacing w:line="578" w:lineRule="exact"/>
        <w:contextualSpacing/>
        <w:rPr>
          <w:rFonts w:hint="eastAsia"/>
          <w:color w:val="auto"/>
          <w:szCs w:val="32"/>
          <w:highlight w:val="none"/>
          <w:lang w:val="en-US" w:eastAsia="zh-CN"/>
        </w:rPr>
      </w:pPr>
      <w:r>
        <w:rPr>
          <w:rFonts w:hint="eastAsia"/>
          <w:color w:val="auto"/>
          <w:szCs w:val="32"/>
          <w:highlight w:val="none"/>
          <w:lang w:eastAsia="zh-CN"/>
        </w:rPr>
        <w:t>设办公室、生态保护修复科、草原管理科等职能科室，负责森林草原资源保护、生态修复和灾害防治等工作，并管理林业发展中心、防火监测中心等事业单位，形成覆盖全州的林草资源管理与生态保护体系。</w:t>
      </w:r>
    </w:p>
    <w:p w14:paraId="498419D1">
      <w:pPr>
        <w:widowControl/>
        <w:adjustRightInd w:val="0"/>
        <w:snapToGrid w:val="0"/>
        <w:spacing w:line="578" w:lineRule="exact"/>
        <w:ind w:firstLine="643" w:firstLineChars="200"/>
        <w:contextualSpacing/>
        <w:jc w:val="left"/>
        <w:outlineLvl w:val="1"/>
        <w:rPr>
          <w:color w:val="auto"/>
          <w:szCs w:val="32"/>
          <w:highlight w:val="none"/>
        </w:rPr>
      </w:pPr>
      <w:r>
        <w:rPr>
          <w:rFonts w:eastAsia="楷体_GB2312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  <w:t>（二）机构职能。</w:t>
      </w:r>
    </w:p>
    <w:p w14:paraId="4664A0B8">
      <w:pPr>
        <w:adjustRightInd w:val="0"/>
        <w:snapToGrid w:val="0"/>
        <w:spacing w:line="578" w:lineRule="exact"/>
        <w:ind w:left="320" w:leftChars="100" w:firstLine="320" w:firstLineChars="100"/>
        <w:outlineLvl w:val="2"/>
        <w:rPr>
          <w:rFonts w:hint="eastAsia"/>
          <w:color w:val="auto"/>
          <w:szCs w:val="32"/>
          <w:highlight w:val="none"/>
        </w:rPr>
      </w:pPr>
      <w:r>
        <w:rPr>
          <w:rFonts w:hint="eastAsia"/>
          <w:color w:val="auto"/>
          <w:szCs w:val="32"/>
          <w:highlight w:val="none"/>
        </w:rPr>
        <w:t>阿坝藏族羌族自治州林业和草原局是负责全州林业和草原</w:t>
      </w:r>
    </w:p>
    <w:p w14:paraId="042CA2C8">
      <w:pPr>
        <w:adjustRightInd w:val="0"/>
        <w:snapToGrid w:val="0"/>
        <w:spacing w:line="578" w:lineRule="exact"/>
        <w:outlineLvl w:val="2"/>
        <w:rPr>
          <w:color w:val="auto"/>
          <w:highlight w:val="none"/>
          <w:lang w:val="zh-CN"/>
        </w:rPr>
      </w:pPr>
      <w:r>
        <w:rPr>
          <w:rFonts w:hint="eastAsia"/>
          <w:color w:val="auto"/>
          <w:szCs w:val="32"/>
          <w:highlight w:val="none"/>
        </w:rPr>
        <w:t>资源保护管理的行政主管部门，主要承担森林、草原、湿地和自然保护地的生态保护修复与监督管理工作。具体负责组织实施国土绿化、生态修复工程，监督管理森林草原资源，开展森林草原防火和有害生物防治，推进国家公园建设与管理，指导林草产业发展和生态扶贫工作，并依法行使林业和草原行政执法职责，为维护长江黄河上游生态屏障安全提供重要保障。</w:t>
      </w:r>
    </w:p>
    <w:p w14:paraId="5C116B00">
      <w:pPr>
        <w:spacing w:line="578" w:lineRule="exact"/>
        <w:ind w:firstLine="643" w:firstLineChars="200"/>
        <w:outlineLvl w:val="1"/>
        <w:rPr>
          <w:rFonts w:eastAsia="楷体_GB2312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eastAsia="楷体_GB2312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  <w:t>（三）人员概况。</w:t>
      </w:r>
    </w:p>
    <w:p w14:paraId="2252ECA1">
      <w:pPr>
        <w:adjustRightInd w:val="0"/>
        <w:snapToGrid w:val="0"/>
        <w:spacing w:line="578" w:lineRule="exact"/>
        <w:ind w:left="320" w:leftChars="100" w:firstLine="320" w:firstLineChars="100"/>
        <w:rPr>
          <w:rFonts w:hint="eastAsia"/>
          <w:color w:val="auto"/>
          <w:szCs w:val="32"/>
          <w:highlight w:val="none"/>
        </w:rPr>
      </w:pPr>
      <w:r>
        <w:rPr>
          <w:color w:val="auto"/>
          <w:szCs w:val="32"/>
          <w:highlight w:val="none"/>
        </w:rPr>
        <w:t>截至202</w:t>
      </w:r>
      <w:r>
        <w:rPr>
          <w:rFonts w:hint="eastAsia"/>
          <w:color w:val="auto"/>
          <w:szCs w:val="32"/>
          <w:highlight w:val="none"/>
          <w:lang w:val="en-US" w:eastAsia="zh-CN"/>
        </w:rPr>
        <w:t>5</w:t>
      </w:r>
      <w:r>
        <w:rPr>
          <w:color w:val="auto"/>
          <w:szCs w:val="32"/>
          <w:highlight w:val="none"/>
        </w:rPr>
        <w:t>年末</w:t>
      </w:r>
      <w:r>
        <w:rPr>
          <w:rFonts w:hint="eastAsia"/>
          <w:color w:val="auto"/>
          <w:szCs w:val="32"/>
          <w:highlight w:val="none"/>
        </w:rPr>
        <w:t>，我部门编制内年末实有人数</w:t>
      </w:r>
      <w:r>
        <w:rPr>
          <w:rFonts w:hint="eastAsia"/>
          <w:color w:val="auto"/>
          <w:szCs w:val="32"/>
          <w:highlight w:val="none"/>
          <w:lang w:val="en-US" w:eastAsia="zh-CN"/>
        </w:rPr>
        <w:t>122</w:t>
      </w:r>
      <w:r>
        <w:rPr>
          <w:rFonts w:hint="eastAsia"/>
          <w:color w:val="auto"/>
          <w:szCs w:val="32"/>
          <w:highlight w:val="none"/>
        </w:rPr>
        <w:t>人，其中</w:t>
      </w:r>
    </w:p>
    <w:p w14:paraId="58162C58">
      <w:pPr>
        <w:adjustRightInd w:val="0"/>
        <w:snapToGrid w:val="0"/>
        <w:spacing w:line="578" w:lineRule="exact"/>
        <w:rPr>
          <w:color w:val="auto"/>
          <w:szCs w:val="32"/>
          <w:highlight w:val="none"/>
        </w:rPr>
      </w:pPr>
      <w:r>
        <w:rPr>
          <w:rFonts w:hint="eastAsia"/>
          <w:color w:val="auto"/>
          <w:szCs w:val="32"/>
          <w:highlight w:val="none"/>
        </w:rPr>
        <w:t>公务员</w:t>
      </w:r>
      <w:r>
        <w:rPr>
          <w:rFonts w:hint="eastAsia"/>
          <w:color w:val="auto"/>
          <w:szCs w:val="32"/>
          <w:highlight w:val="none"/>
          <w:lang w:val="en-US" w:eastAsia="zh-CN"/>
        </w:rPr>
        <w:t>35</w:t>
      </w:r>
      <w:r>
        <w:rPr>
          <w:rFonts w:hint="eastAsia"/>
          <w:color w:val="auto"/>
          <w:szCs w:val="32"/>
          <w:highlight w:val="none"/>
        </w:rPr>
        <w:t>人、参照公务员法管理事业人员</w:t>
      </w:r>
      <w:r>
        <w:rPr>
          <w:rFonts w:hint="eastAsia"/>
          <w:color w:val="auto"/>
          <w:szCs w:val="32"/>
          <w:highlight w:val="none"/>
          <w:lang w:val="en-US" w:eastAsia="zh-CN"/>
        </w:rPr>
        <w:t>6</w:t>
      </w:r>
      <w:r>
        <w:rPr>
          <w:rFonts w:hint="eastAsia"/>
          <w:color w:val="auto"/>
          <w:szCs w:val="32"/>
          <w:highlight w:val="none"/>
        </w:rPr>
        <w:t>人、事业管理人员和专业技术人员</w:t>
      </w:r>
      <w:r>
        <w:rPr>
          <w:rFonts w:hint="eastAsia"/>
          <w:color w:val="auto"/>
          <w:szCs w:val="32"/>
          <w:highlight w:val="none"/>
          <w:lang w:val="en-US" w:eastAsia="zh-CN"/>
        </w:rPr>
        <w:t>72</w:t>
      </w:r>
      <w:r>
        <w:rPr>
          <w:rFonts w:hint="eastAsia"/>
          <w:color w:val="auto"/>
          <w:szCs w:val="32"/>
          <w:highlight w:val="none"/>
        </w:rPr>
        <w:t>人、机关和事业工人</w:t>
      </w:r>
      <w:r>
        <w:rPr>
          <w:rFonts w:hint="eastAsia"/>
          <w:color w:val="auto"/>
          <w:szCs w:val="32"/>
          <w:highlight w:val="none"/>
          <w:lang w:val="en-US" w:eastAsia="zh-CN"/>
        </w:rPr>
        <w:t>9</w:t>
      </w:r>
      <w:r>
        <w:rPr>
          <w:rFonts w:hint="eastAsia"/>
          <w:color w:val="auto"/>
          <w:szCs w:val="32"/>
          <w:highlight w:val="none"/>
        </w:rPr>
        <w:t>人。</w:t>
      </w:r>
    </w:p>
    <w:p w14:paraId="31DD93F9"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outlineLvl w:val="0"/>
        <w:rPr>
          <w:rFonts w:eastAsia="黑体"/>
          <w:color w:val="auto"/>
          <w:kern w:val="0"/>
          <w:szCs w:val="32"/>
          <w:highlight w:val="none"/>
          <w:shd w:val="clear" w:color="auto" w:fill="FFFFFF"/>
        </w:rPr>
      </w:pPr>
      <w:r>
        <w:rPr>
          <w:rFonts w:eastAsia="黑体"/>
          <w:color w:val="auto"/>
          <w:kern w:val="0"/>
          <w:szCs w:val="32"/>
          <w:highlight w:val="none"/>
          <w:shd w:val="clear" w:color="auto" w:fill="FFFFFF"/>
        </w:rPr>
        <w:t>二、部门资金收支情况</w:t>
      </w:r>
    </w:p>
    <w:p w14:paraId="5078A706">
      <w:pPr>
        <w:widowControl/>
        <w:adjustRightInd w:val="0"/>
        <w:snapToGrid w:val="0"/>
        <w:spacing w:line="578" w:lineRule="exact"/>
        <w:ind w:firstLine="643" w:firstLineChars="200"/>
        <w:contextualSpacing/>
        <w:jc w:val="left"/>
        <w:outlineLvl w:val="1"/>
        <w:rPr>
          <w:rFonts w:eastAsia="楷体_GB2312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eastAsia="楷体_GB2312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  <w:t>（一）收入情况。</w:t>
      </w:r>
    </w:p>
    <w:p w14:paraId="12CA0414">
      <w:pPr>
        <w:widowControl/>
        <w:adjustRightInd w:val="0"/>
        <w:snapToGrid w:val="0"/>
        <w:spacing w:line="578" w:lineRule="exact"/>
        <w:ind w:left="320" w:leftChars="100" w:firstLine="320" w:firstLineChars="100"/>
        <w:contextualSpacing/>
        <w:jc w:val="left"/>
        <w:rPr>
          <w:color w:val="auto"/>
          <w:highlight w:val="none"/>
        </w:rPr>
      </w:pPr>
      <w:r>
        <w:rPr>
          <w:color w:val="auto"/>
          <w:highlight w:val="none"/>
        </w:rPr>
        <w:t>本部门</w:t>
      </w:r>
      <w:r>
        <w:rPr>
          <w:rFonts w:hint="eastAsia"/>
          <w:color w:val="auto"/>
          <w:highlight w:val="none"/>
          <w:lang w:eastAsia="zh-CN"/>
        </w:rPr>
        <w:t>2025年</w:t>
      </w:r>
      <w:r>
        <w:rPr>
          <w:color w:val="auto"/>
          <w:highlight w:val="none"/>
        </w:rPr>
        <w:t>年初预算收入</w:t>
      </w:r>
      <w:r>
        <w:rPr>
          <w:rFonts w:hint="eastAsia"/>
          <w:color w:val="auto"/>
          <w:highlight w:val="none"/>
          <w:lang w:val="en-US" w:eastAsia="zh-CN"/>
        </w:rPr>
        <w:t>6316.28</w:t>
      </w:r>
      <w:r>
        <w:rPr>
          <w:color w:val="auto"/>
          <w:highlight w:val="none"/>
        </w:rPr>
        <w:t>万元，决算报表收入</w:t>
      </w:r>
    </w:p>
    <w:p w14:paraId="3C4F1FC4">
      <w:pPr>
        <w:widowControl/>
        <w:adjustRightInd w:val="0"/>
        <w:snapToGrid w:val="0"/>
        <w:spacing w:line="578" w:lineRule="exact"/>
        <w:contextualSpacing/>
        <w:jc w:val="left"/>
        <w:rPr>
          <w:rFonts w:eastAsia="楷体_GB2312"/>
          <w:b/>
          <w:bCs/>
          <w:color w:val="auto"/>
          <w:kern w:val="0"/>
          <w:szCs w:val="32"/>
          <w:highlight w:val="none"/>
          <w:shd w:val="clear" w:color="auto" w:fill="FFFFFF"/>
        </w:rPr>
      </w:pPr>
      <w:r>
        <w:rPr>
          <w:rFonts w:hint="eastAsia"/>
          <w:color w:val="auto"/>
          <w:highlight w:val="none"/>
          <w:lang w:val="en-US" w:eastAsia="zh-CN"/>
        </w:rPr>
        <w:t>51372.51</w:t>
      </w:r>
      <w:r>
        <w:rPr>
          <w:color w:val="auto"/>
          <w:highlight w:val="none"/>
        </w:rPr>
        <w:t>万元。其中：一般公共预算拨款收入</w:t>
      </w:r>
      <w:r>
        <w:rPr>
          <w:rFonts w:hint="eastAsia"/>
          <w:color w:val="auto"/>
          <w:highlight w:val="none"/>
          <w:lang w:val="en-US" w:eastAsia="zh-CN"/>
        </w:rPr>
        <w:t>5137.25</w:t>
      </w:r>
      <w:r>
        <w:rPr>
          <w:color w:val="auto"/>
          <w:highlight w:val="none"/>
        </w:rPr>
        <w:t>万元，占</w:t>
      </w:r>
      <w:r>
        <w:rPr>
          <w:rFonts w:hint="eastAsia" w:eastAsia="宋体"/>
          <w:color w:val="auto"/>
          <w:highlight w:val="none"/>
          <w:lang w:val="en-US" w:eastAsia="zh-CN"/>
        </w:rPr>
        <w:t>100</w:t>
      </w:r>
      <w:r>
        <w:rPr>
          <w:rFonts w:eastAsia="Times New Roman"/>
          <w:color w:val="auto"/>
          <w:highlight w:val="none"/>
          <w:lang w:val="en"/>
        </w:rPr>
        <w:t>%</w:t>
      </w:r>
      <w:r>
        <w:rPr>
          <w:color w:val="auto"/>
          <w:highlight w:val="none"/>
          <w:lang w:val="en"/>
        </w:rPr>
        <w:t>；</w:t>
      </w:r>
      <w:r>
        <w:rPr>
          <w:rFonts w:hint="eastAsia"/>
          <w:color w:val="auto"/>
          <w:highlight w:val="none"/>
        </w:rPr>
        <w:t>事业收入</w:t>
      </w:r>
      <w:r>
        <w:rPr>
          <w:rFonts w:hint="eastAsia"/>
          <w:color w:val="auto"/>
          <w:highlight w:val="none"/>
          <w:lang w:val="en-US" w:eastAsia="zh-CN"/>
        </w:rPr>
        <w:t>0.00</w:t>
      </w:r>
      <w:r>
        <w:rPr>
          <w:rFonts w:hint="eastAsia"/>
          <w:color w:val="auto"/>
          <w:highlight w:val="none"/>
        </w:rPr>
        <w:t>万元，占</w:t>
      </w:r>
      <w:r>
        <w:rPr>
          <w:rFonts w:hint="eastAsia"/>
          <w:color w:val="auto"/>
          <w:highlight w:val="none"/>
          <w:lang w:val="en-US" w:eastAsia="zh-CN"/>
        </w:rPr>
        <w:t>0.00</w:t>
      </w:r>
      <w:r>
        <w:rPr>
          <w:rFonts w:hint="eastAsia"/>
          <w:color w:val="auto"/>
          <w:highlight w:val="none"/>
        </w:rPr>
        <w:t>%；</w:t>
      </w:r>
      <w:r>
        <w:rPr>
          <w:color w:val="auto"/>
          <w:highlight w:val="none"/>
        </w:rPr>
        <w:t>其他收入</w:t>
      </w:r>
      <w:r>
        <w:rPr>
          <w:rFonts w:hint="eastAsia"/>
          <w:color w:val="auto"/>
          <w:highlight w:val="none"/>
          <w:lang w:val="en-US" w:eastAsia="zh-CN"/>
        </w:rPr>
        <w:t>0</w:t>
      </w:r>
      <w:r>
        <w:rPr>
          <w:color w:val="auto"/>
          <w:highlight w:val="none"/>
        </w:rPr>
        <w:t>万元，占</w:t>
      </w:r>
      <w:r>
        <w:rPr>
          <w:rFonts w:hint="eastAsia"/>
          <w:color w:val="auto"/>
          <w:highlight w:val="none"/>
          <w:lang w:val="en-US" w:eastAsia="zh-CN"/>
        </w:rPr>
        <w:t>0.00</w:t>
      </w:r>
      <w:r>
        <w:rPr>
          <w:rFonts w:eastAsia="Times New Roman"/>
          <w:color w:val="auto"/>
          <w:highlight w:val="none"/>
          <w:lang w:val="en"/>
        </w:rPr>
        <w:t>%</w:t>
      </w:r>
      <w:r>
        <w:rPr>
          <w:rFonts w:eastAsia="宋体"/>
          <w:color w:val="auto"/>
          <w:highlight w:val="none"/>
          <w:lang w:val="en"/>
        </w:rPr>
        <w:t>。</w:t>
      </w:r>
    </w:p>
    <w:p w14:paraId="0DFFAE13">
      <w:pPr>
        <w:tabs>
          <w:tab w:val="left" w:pos="982"/>
        </w:tabs>
        <w:adjustRightInd w:val="0"/>
        <w:snapToGrid w:val="0"/>
        <w:spacing w:line="578" w:lineRule="exact"/>
        <w:ind w:firstLine="643" w:firstLineChars="200"/>
        <w:outlineLvl w:val="1"/>
        <w:rPr>
          <w:rFonts w:eastAsia="楷体_GB2312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eastAsia="楷体_GB2312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  <w:t>（二）支出情况。</w:t>
      </w:r>
    </w:p>
    <w:p w14:paraId="25D6280C">
      <w:pPr>
        <w:tabs>
          <w:tab w:val="left" w:pos="982"/>
        </w:tabs>
        <w:adjustRightInd w:val="0"/>
        <w:snapToGrid w:val="0"/>
        <w:spacing w:line="578" w:lineRule="exact"/>
        <w:ind w:left="320" w:leftChars="100" w:firstLine="320" w:firstLineChars="100"/>
        <w:rPr>
          <w:color w:val="auto"/>
          <w:highlight w:val="none"/>
        </w:rPr>
      </w:pPr>
      <w:r>
        <w:rPr>
          <w:color w:val="auto"/>
          <w:highlight w:val="none"/>
        </w:rPr>
        <w:t>本部门</w:t>
      </w:r>
      <w:r>
        <w:rPr>
          <w:rFonts w:hint="eastAsia"/>
          <w:color w:val="auto"/>
          <w:highlight w:val="none"/>
          <w:lang w:eastAsia="zh-CN"/>
        </w:rPr>
        <w:t>2025年</w:t>
      </w:r>
      <w:r>
        <w:rPr>
          <w:color w:val="auto"/>
          <w:highlight w:val="none"/>
        </w:rPr>
        <w:t>年初预算支出</w:t>
      </w:r>
      <w:r>
        <w:rPr>
          <w:rFonts w:hint="eastAsia"/>
          <w:color w:val="auto"/>
          <w:highlight w:val="none"/>
          <w:lang w:val="en-US" w:eastAsia="zh-CN"/>
        </w:rPr>
        <w:t>6316.28</w:t>
      </w:r>
      <w:r>
        <w:rPr>
          <w:color w:val="auto"/>
          <w:highlight w:val="none"/>
          <w:lang w:val="en"/>
        </w:rPr>
        <w:t>万</w:t>
      </w:r>
      <w:r>
        <w:rPr>
          <w:color w:val="auto"/>
          <w:highlight w:val="none"/>
        </w:rPr>
        <w:t>元，决算报表支出</w:t>
      </w:r>
    </w:p>
    <w:p w14:paraId="53DBD0BB">
      <w:pPr>
        <w:tabs>
          <w:tab w:val="left" w:pos="982"/>
        </w:tabs>
        <w:adjustRightInd w:val="0"/>
        <w:snapToGrid w:val="0"/>
        <w:spacing w:line="578" w:lineRule="exact"/>
        <w:rPr>
          <w:color w:val="auto"/>
          <w:highlight w:val="none"/>
          <w:lang w:val="zh-CN"/>
        </w:rPr>
      </w:pPr>
      <w:r>
        <w:rPr>
          <w:rFonts w:hint="eastAsia"/>
          <w:color w:val="auto"/>
          <w:highlight w:val="none"/>
          <w:lang w:val="en-US" w:eastAsia="zh-CN"/>
        </w:rPr>
        <w:t>51372.51</w:t>
      </w:r>
      <w:r>
        <w:rPr>
          <w:color w:val="auto"/>
          <w:highlight w:val="none"/>
          <w:lang w:val="en"/>
        </w:rPr>
        <w:t>万</w:t>
      </w:r>
      <w:r>
        <w:rPr>
          <w:color w:val="auto"/>
          <w:highlight w:val="none"/>
        </w:rPr>
        <w:t>元。其中：基本支出</w:t>
      </w:r>
      <w:r>
        <w:rPr>
          <w:rFonts w:hint="eastAsia" w:eastAsia="宋体"/>
          <w:color w:val="auto"/>
          <w:highlight w:val="none"/>
          <w:lang w:val="en-US" w:eastAsia="zh-CN"/>
        </w:rPr>
        <w:t>3446.72</w:t>
      </w:r>
      <w:r>
        <w:rPr>
          <w:color w:val="auto"/>
          <w:highlight w:val="none"/>
        </w:rPr>
        <w:t>万元，占</w:t>
      </w:r>
      <w:r>
        <w:rPr>
          <w:rFonts w:hint="eastAsia" w:eastAsia="宋体"/>
          <w:color w:val="auto"/>
          <w:highlight w:val="none"/>
          <w:lang w:val="en-US" w:eastAsia="zh-CN"/>
        </w:rPr>
        <w:t>6.71</w:t>
      </w:r>
      <w:r>
        <w:rPr>
          <w:rFonts w:hint="eastAsia" w:eastAsia="宋体"/>
          <w:color w:val="auto"/>
          <w:highlight w:val="none"/>
        </w:rPr>
        <w:t>%</w:t>
      </w:r>
      <w:r>
        <w:rPr>
          <w:color w:val="auto"/>
          <w:highlight w:val="none"/>
          <w:lang w:val="en"/>
        </w:rPr>
        <w:t>；</w:t>
      </w:r>
      <w:r>
        <w:rPr>
          <w:color w:val="auto"/>
          <w:highlight w:val="none"/>
        </w:rPr>
        <w:t>项目支出</w:t>
      </w:r>
      <w:r>
        <w:rPr>
          <w:rFonts w:hint="eastAsia" w:eastAsia="宋体"/>
          <w:color w:val="auto"/>
          <w:highlight w:val="none"/>
          <w:lang w:val="en-US" w:eastAsia="zh-CN"/>
        </w:rPr>
        <w:t>47925.79</w:t>
      </w:r>
      <w:r>
        <w:rPr>
          <w:color w:val="auto"/>
          <w:highlight w:val="none"/>
        </w:rPr>
        <w:t>万元，占</w:t>
      </w:r>
      <w:r>
        <w:rPr>
          <w:rFonts w:hint="eastAsia" w:eastAsia="宋体"/>
          <w:color w:val="auto"/>
          <w:highlight w:val="none"/>
          <w:lang w:val="en-US" w:eastAsia="zh-CN"/>
        </w:rPr>
        <w:t>93.29</w:t>
      </w:r>
      <w:r>
        <w:rPr>
          <w:rFonts w:hint="eastAsia" w:eastAsia="宋体"/>
          <w:color w:val="auto"/>
          <w:highlight w:val="none"/>
        </w:rPr>
        <w:t>%</w:t>
      </w:r>
      <w:r>
        <w:rPr>
          <w:color w:val="auto"/>
          <w:highlight w:val="none"/>
        </w:rPr>
        <w:t>。</w:t>
      </w:r>
    </w:p>
    <w:p w14:paraId="6D6D1EAD">
      <w:pPr>
        <w:widowControl/>
        <w:adjustRightInd w:val="0"/>
        <w:snapToGrid w:val="0"/>
        <w:spacing w:line="578" w:lineRule="exact"/>
        <w:ind w:firstLine="643" w:firstLineChars="200"/>
        <w:contextualSpacing/>
        <w:jc w:val="left"/>
        <w:outlineLvl w:val="1"/>
        <w:rPr>
          <w:rFonts w:eastAsia="楷体_GB2312"/>
          <w:b/>
          <w:color w:val="auto"/>
          <w:szCs w:val="32"/>
          <w:highlight w:val="none"/>
        </w:rPr>
      </w:pPr>
      <w:r>
        <w:rPr>
          <w:rFonts w:eastAsia="楷体_GB2312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  <w:t>（三）</w:t>
      </w:r>
      <w:r>
        <w:rPr>
          <w:rFonts w:eastAsia="楷体_GB2312"/>
          <w:b/>
          <w:color w:val="auto"/>
          <w:szCs w:val="32"/>
          <w:highlight w:val="none"/>
        </w:rPr>
        <w:t>结余分配和结转结余情况。</w:t>
      </w:r>
    </w:p>
    <w:p w14:paraId="752AF1E9">
      <w:pPr>
        <w:adjustRightInd w:val="0"/>
        <w:snapToGrid w:val="0"/>
        <w:spacing w:line="578" w:lineRule="exact"/>
        <w:ind w:left="320" w:leftChars="100" w:firstLine="320" w:firstLineChars="100"/>
        <w:rPr>
          <w:rFonts w:hint="eastAsia"/>
          <w:color w:val="auto"/>
          <w:kern w:val="0"/>
          <w:highlight w:val="none"/>
          <w:shd w:val="clear" w:color="auto" w:fill="FFFFFF"/>
          <w:lang w:eastAsia="zh-CN"/>
        </w:rPr>
      </w:pPr>
      <w:r>
        <w:rPr>
          <w:color w:val="auto"/>
          <w:kern w:val="0"/>
          <w:highlight w:val="none"/>
          <w:shd w:val="clear" w:color="auto" w:fill="FFFFFF"/>
        </w:rPr>
        <w:t>结余分配情况：</w:t>
      </w:r>
      <w:r>
        <w:rPr>
          <w:color w:val="auto"/>
          <w:highlight w:val="none"/>
        </w:rPr>
        <w:t>本部门</w:t>
      </w:r>
      <w:r>
        <w:rPr>
          <w:rFonts w:hint="eastAsia"/>
          <w:color w:val="auto"/>
          <w:highlight w:val="none"/>
          <w:lang w:eastAsia="zh-CN"/>
        </w:rPr>
        <w:t>2025年</w:t>
      </w:r>
      <w:r>
        <w:rPr>
          <w:color w:val="auto"/>
          <w:highlight w:val="none"/>
        </w:rPr>
        <w:t>决算报表</w:t>
      </w:r>
      <w:r>
        <w:rPr>
          <w:color w:val="auto"/>
          <w:kern w:val="0"/>
          <w:highlight w:val="none"/>
          <w:shd w:val="clear" w:color="auto" w:fill="FFFFFF"/>
        </w:rPr>
        <w:t>结余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0.00</w:t>
      </w:r>
      <w:r>
        <w:rPr>
          <w:color w:val="auto"/>
          <w:kern w:val="0"/>
          <w:highlight w:val="none"/>
          <w:shd w:val="clear" w:color="auto" w:fill="FFFFFF"/>
        </w:rPr>
        <w:t>万元</w:t>
      </w:r>
      <w:r>
        <w:rPr>
          <w:rFonts w:hint="eastAsia"/>
          <w:color w:val="auto"/>
          <w:kern w:val="0"/>
          <w:highlight w:val="none"/>
          <w:shd w:val="clear" w:color="auto" w:fill="FFFFFF"/>
          <w:lang w:eastAsia="zh-CN"/>
        </w:rPr>
        <w:t>；</w:t>
      </w:r>
    </w:p>
    <w:p w14:paraId="73AB3F0B">
      <w:pPr>
        <w:adjustRightInd w:val="0"/>
        <w:snapToGrid w:val="0"/>
        <w:spacing w:line="578" w:lineRule="exact"/>
        <w:rPr>
          <w:color w:val="auto"/>
          <w:highlight w:val="none"/>
        </w:rPr>
      </w:pPr>
      <w:r>
        <w:rPr>
          <w:color w:val="auto"/>
          <w:highlight w:val="none"/>
        </w:rPr>
        <w:t>结转结余情况：本部门</w:t>
      </w:r>
      <w:r>
        <w:rPr>
          <w:rFonts w:hint="eastAsia"/>
          <w:color w:val="auto"/>
          <w:highlight w:val="none"/>
          <w:lang w:eastAsia="zh-CN"/>
        </w:rPr>
        <w:t>2025年</w:t>
      </w:r>
      <w:r>
        <w:rPr>
          <w:color w:val="auto"/>
          <w:highlight w:val="none"/>
        </w:rPr>
        <w:t>决算报表</w:t>
      </w:r>
      <w:r>
        <w:rPr>
          <w:color w:val="auto"/>
          <w:kern w:val="0"/>
          <w:highlight w:val="none"/>
          <w:shd w:val="clear" w:color="auto" w:fill="FFFFFF"/>
        </w:rPr>
        <w:t>结转结余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0.00</w:t>
      </w:r>
      <w:r>
        <w:rPr>
          <w:color w:val="auto"/>
          <w:highlight w:val="none"/>
        </w:rPr>
        <w:t>万元。</w:t>
      </w:r>
    </w:p>
    <w:p w14:paraId="558EC8E5"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outlineLvl w:val="0"/>
        <w:rPr>
          <w:rFonts w:eastAsia="黑体"/>
          <w:color w:val="auto"/>
          <w:kern w:val="0"/>
          <w:szCs w:val="32"/>
          <w:highlight w:val="none"/>
          <w:shd w:val="clear" w:color="auto" w:fill="FFFFFF"/>
        </w:rPr>
      </w:pPr>
      <w:r>
        <w:rPr>
          <w:rFonts w:eastAsia="黑体"/>
          <w:color w:val="auto"/>
          <w:kern w:val="0"/>
          <w:szCs w:val="32"/>
          <w:highlight w:val="none"/>
          <w:shd w:val="clear" w:color="auto" w:fill="FFFFFF"/>
        </w:rPr>
        <w:t>三、部门预算绩效分析</w:t>
      </w:r>
    </w:p>
    <w:p w14:paraId="5A82C49C">
      <w:pPr>
        <w:adjustRightInd w:val="0"/>
        <w:snapToGrid w:val="0"/>
        <w:spacing w:line="578" w:lineRule="exact"/>
        <w:ind w:firstLine="643" w:firstLineChars="200"/>
        <w:contextualSpacing/>
        <w:jc w:val="left"/>
        <w:outlineLvl w:val="1"/>
        <w:rPr>
          <w:rFonts w:eastAsia="楷体_GB2312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eastAsia="楷体_GB2312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  <w:t>（一）部门预算总体绩效分析。</w:t>
      </w:r>
    </w:p>
    <w:p w14:paraId="0917F02B">
      <w:pPr>
        <w:adjustRightInd w:val="0"/>
        <w:snapToGrid w:val="0"/>
        <w:spacing w:line="578" w:lineRule="exact"/>
        <w:ind w:firstLine="640" w:firstLineChars="200"/>
        <w:contextualSpacing/>
        <w:jc w:val="left"/>
        <w:outlineLvl w:val="2"/>
        <w:rPr>
          <w:rFonts w:eastAsia="楷体_GB2312"/>
          <w:color w:val="auto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eastAsia="楷体_GB2312"/>
          <w:color w:val="auto"/>
          <w:kern w:val="0"/>
          <w:szCs w:val="32"/>
          <w:highlight w:val="none"/>
          <w:shd w:val="clear" w:color="auto" w:fill="FFFFFF"/>
        </w:rPr>
        <w:t>1</w:t>
      </w:r>
      <w:r>
        <w:rPr>
          <w:rFonts w:hint="eastAsia" w:eastAsia="楷体_GB2312"/>
          <w:color w:val="auto"/>
          <w:kern w:val="0"/>
          <w:szCs w:val="32"/>
          <w:highlight w:val="none"/>
          <w:shd w:val="clear" w:color="auto" w:fill="FFFFFF"/>
          <w:lang w:eastAsia="zh-CN"/>
        </w:rPr>
        <w:t>．</w:t>
      </w:r>
      <w:r>
        <w:rPr>
          <w:rFonts w:eastAsia="楷体_GB2312"/>
          <w:color w:val="auto"/>
          <w:kern w:val="0"/>
          <w:szCs w:val="32"/>
          <w:highlight w:val="none"/>
          <w:shd w:val="clear" w:color="auto" w:fill="FFFFFF"/>
          <w:lang w:val="zh-CN"/>
        </w:rPr>
        <w:t>履职效能。</w:t>
      </w:r>
    </w:p>
    <w:p w14:paraId="07FB667A"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highlight w:val="none"/>
          <w:shd w:val="clear" w:color="auto" w:fill="FFFFFF"/>
        </w:rPr>
      </w:pPr>
      <w:r>
        <w:rPr>
          <w:rFonts w:hint="eastAsia" w:ascii="Times New Roman" w:hAnsi="Times New Roman" w:cs="Times New Roman"/>
          <w:color w:val="auto"/>
          <w:kern w:val="0"/>
          <w:highlight w:val="none"/>
          <w:shd w:val="clear" w:color="auto" w:fill="FFFFFF"/>
          <w:lang w:eastAsia="zh-CN"/>
        </w:rPr>
        <w:t>2025年</w:t>
      </w:r>
      <w:r>
        <w:rPr>
          <w:rFonts w:hint="eastAsia" w:ascii="Times New Roman" w:hAnsi="Times New Roman" w:cs="Times New Roman"/>
          <w:color w:val="auto"/>
          <w:kern w:val="0"/>
          <w:highlight w:val="none"/>
          <w:shd w:val="clear" w:color="auto" w:fill="FFFFFF"/>
        </w:rPr>
        <w:t>，</w:t>
      </w:r>
      <w:r>
        <w:rPr>
          <w:rFonts w:hint="default" w:ascii="Times New Roman" w:hAnsi="Times New Roman" w:cs="Times New Roman"/>
          <w:color w:val="auto"/>
          <w:kern w:val="0"/>
          <w:highlight w:val="none"/>
          <w:shd w:val="clear" w:color="auto" w:fill="FFFFFF"/>
          <w:lang w:val="en-US" w:eastAsia="zh-CN"/>
        </w:rPr>
        <w:t>常</w:t>
      </w:r>
      <w:r>
        <w:rPr>
          <w:rFonts w:hint="eastAsia" w:ascii="Times New Roman" w:hAnsi="Times New Roman" w:cs="Times New Roman"/>
          <w:color w:val="auto"/>
          <w:kern w:val="0"/>
          <w:highlight w:val="none"/>
          <w:shd w:val="clear" w:color="auto" w:fill="FFFFFF"/>
          <w:lang w:val="en-US" w:eastAsia="zh-CN"/>
        </w:rPr>
        <w:t>年</w:t>
      </w:r>
      <w:r>
        <w:rPr>
          <w:rFonts w:hint="default" w:ascii="Times New Roman" w:hAnsi="Times New Roman" w:cs="Times New Roman"/>
          <w:color w:val="auto"/>
          <w:kern w:val="0"/>
          <w:highlight w:val="none"/>
          <w:shd w:val="clear" w:color="auto" w:fill="FFFFFF"/>
          <w:lang w:val="en-US" w:eastAsia="zh-CN"/>
        </w:rPr>
        <w:t>有效</w:t>
      </w:r>
      <w:r>
        <w:rPr>
          <w:rFonts w:hint="eastAsia" w:ascii="Times New Roman" w:hAnsi="Times New Roman" w:cs="Times New Roman"/>
          <w:color w:val="auto"/>
          <w:kern w:val="0"/>
          <w:highlight w:val="none"/>
          <w:shd w:val="clear" w:color="auto" w:fill="FFFFFF"/>
          <w:lang w:val="en-US" w:eastAsia="zh-CN"/>
        </w:rPr>
        <w:t>管护</w:t>
      </w:r>
      <w:r>
        <w:rPr>
          <w:rFonts w:hint="default" w:ascii="Times New Roman" w:hAnsi="Times New Roman" w:cs="Times New Roman"/>
          <w:color w:val="auto"/>
          <w:kern w:val="0"/>
          <w:highlight w:val="none"/>
          <w:shd w:val="clear" w:color="auto" w:fill="FFFFFF"/>
          <w:lang w:val="en-US" w:eastAsia="zh-CN"/>
        </w:rPr>
        <w:t>天然林</w:t>
      </w:r>
      <w:r>
        <w:rPr>
          <w:rFonts w:hint="eastAsia" w:ascii="Times New Roman" w:hAnsi="Times New Roman" w:cs="Times New Roman"/>
          <w:color w:val="auto"/>
          <w:kern w:val="0"/>
          <w:highlight w:val="none"/>
          <w:shd w:val="clear" w:color="auto" w:fill="FFFFFF"/>
          <w:lang w:val="en-US" w:eastAsia="zh-CN"/>
        </w:rPr>
        <w:t>面积</w:t>
      </w:r>
      <w:r>
        <w:rPr>
          <w:rFonts w:hint="default" w:ascii="Times New Roman" w:hAnsi="Times New Roman" w:cs="Times New Roman"/>
          <w:color w:val="auto"/>
          <w:kern w:val="0"/>
          <w:highlight w:val="none"/>
          <w:shd w:val="clear" w:color="auto" w:fill="FFFFFF"/>
          <w:lang w:val="en-US" w:eastAsia="zh-CN"/>
        </w:rPr>
        <w:t>5580万亩、天然草原</w:t>
      </w:r>
      <w:r>
        <w:rPr>
          <w:rFonts w:hint="eastAsia" w:ascii="Times New Roman" w:hAnsi="Times New Roman" w:cs="Times New Roman"/>
          <w:color w:val="auto"/>
          <w:kern w:val="0"/>
          <w:highlight w:val="none"/>
          <w:shd w:val="clear" w:color="auto" w:fill="FFFFFF"/>
          <w:lang w:val="en-US" w:eastAsia="zh-CN"/>
        </w:rPr>
        <w:t>面积4728.38</w:t>
      </w:r>
      <w:r>
        <w:rPr>
          <w:rFonts w:hint="default" w:ascii="Times New Roman" w:hAnsi="Times New Roman" w:cs="Times New Roman"/>
          <w:color w:val="auto"/>
          <w:kern w:val="0"/>
          <w:highlight w:val="none"/>
          <w:shd w:val="clear" w:color="auto" w:fill="FFFFFF"/>
          <w:lang w:val="en-US" w:eastAsia="zh-CN"/>
        </w:rPr>
        <w:t>万亩、湿地883万亩，巩固退耕还林成果76.68万亩。强化林草灾害风险防范，科学防控</w:t>
      </w:r>
      <w:r>
        <w:rPr>
          <w:rFonts w:hint="default" w:ascii="Times New Roman" w:hAnsi="Times New Roman" w:cs="Times New Roman"/>
          <w:color w:val="auto"/>
          <w:kern w:val="0"/>
          <w:highlight w:val="none"/>
          <w:shd w:val="clear" w:color="auto" w:fill="FFFFFF"/>
          <w:lang w:eastAsia="zh-CN"/>
        </w:rPr>
        <w:t>森林草原</w:t>
      </w:r>
      <w:r>
        <w:rPr>
          <w:rFonts w:hint="default" w:ascii="Times New Roman" w:hAnsi="Times New Roman" w:cs="Times New Roman"/>
          <w:color w:val="auto"/>
          <w:kern w:val="0"/>
          <w:highlight w:val="none"/>
          <w:shd w:val="clear" w:color="auto" w:fill="FFFFFF"/>
          <w:lang w:val="en-US" w:eastAsia="zh-CN"/>
        </w:rPr>
        <w:t>火灾、林草有害生物</w:t>
      </w:r>
      <w:r>
        <w:rPr>
          <w:rFonts w:hint="default" w:ascii="Times New Roman" w:hAnsi="Times New Roman" w:cs="Times New Roman"/>
          <w:color w:val="auto"/>
          <w:kern w:val="0"/>
          <w:highlight w:val="none"/>
          <w:shd w:val="clear" w:color="auto" w:fill="FFFFFF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建强森林草原防火体系，调整充实森防指及“一办六组”，补齐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林火视频监控、营房、物资库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等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基础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短板，改善高精尖灭火装备短缺问题，软硬件水平显著提升，实现连续38年无重特大森林火灾</w:t>
      </w:r>
      <w:r>
        <w:rPr>
          <w:rFonts w:hint="default" w:ascii="Times New Roman" w:hAnsi="Times New Roman" w:cs="Times New Roman"/>
          <w:color w:val="auto"/>
          <w:kern w:val="0"/>
          <w:highlight w:val="none"/>
          <w:shd w:val="clear" w:color="auto" w:fill="FFFFFF"/>
          <w:lang w:eastAsia="zh-CN"/>
        </w:rPr>
        <w:t>，</w:t>
      </w:r>
      <w:r>
        <w:rPr>
          <w:rFonts w:hint="default" w:ascii="Times New Roman" w:hAnsi="Times New Roman" w:cs="Times New Roman"/>
          <w:color w:val="auto"/>
          <w:kern w:val="0"/>
          <w:highlight w:val="none"/>
          <w:shd w:val="clear" w:color="auto" w:fill="FFFFFF"/>
        </w:rPr>
        <w:t>严防松材线虫等外来林业有害生物入侵，实现产地检疫率100%</w:t>
      </w:r>
      <w:r>
        <w:rPr>
          <w:rFonts w:hint="default" w:ascii="Times New Roman" w:hAnsi="Times New Roman" w:cs="Times New Roman"/>
          <w:color w:val="auto"/>
          <w:kern w:val="0"/>
          <w:highlight w:val="none"/>
          <w:shd w:val="clear" w:color="auto" w:fill="FFFFFF"/>
          <w:lang w:eastAsia="zh-CN"/>
        </w:rPr>
        <w:t>，</w:t>
      </w:r>
      <w:r>
        <w:rPr>
          <w:rFonts w:hint="default" w:ascii="Times New Roman" w:hAnsi="Times New Roman" w:cs="Times New Roman"/>
          <w:color w:val="auto"/>
          <w:kern w:val="0"/>
          <w:highlight w:val="none"/>
          <w:shd w:val="clear" w:color="auto" w:fill="FFFFFF"/>
          <w:lang w:val="en-US" w:eastAsia="zh-CN"/>
        </w:rPr>
        <w:t>森林病虫害成灾率控制在</w:t>
      </w:r>
      <w:r>
        <w:rPr>
          <w:rFonts w:hint="default" w:ascii="Times New Roman" w:hAnsi="Times New Roman" w:cs="Times New Roman"/>
          <w:color w:val="auto"/>
          <w:kern w:val="0"/>
          <w:highlight w:val="none"/>
          <w:shd w:val="clear" w:color="auto" w:fill="FFFFFF"/>
        </w:rPr>
        <w:t>省下达指标0.51‰</w:t>
      </w:r>
      <w:r>
        <w:rPr>
          <w:rFonts w:hint="default" w:ascii="Times New Roman" w:hAnsi="Times New Roman" w:cs="Times New Roman"/>
          <w:color w:val="auto"/>
          <w:kern w:val="0"/>
          <w:highlight w:val="none"/>
          <w:shd w:val="clear" w:color="auto" w:fill="FFFFFF"/>
          <w:lang w:val="en-US" w:eastAsia="zh-CN"/>
        </w:rPr>
        <w:t>之内。</w:t>
      </w:r>
      <w:r>
        <w:rPr>
          <w:color w:val="auto"/>
          <w:kern w:val="0"/>
          <w:highlight w:val="none"/>
          <w:shd w:val="clear" w:color="auto" w:fill="FFFFFF"/>
        </w:rPr>
        <w:t>完成情况如下</w:t>
      </w:r>
      <w:r>
        <w:rPr>
          <w:rFonts w:hint="eastAsia"/>
          <w:color w:val="auto"/>
          <w:kern w:val="0"/>
          <w:highlight w:val="none"/>
          <w:shd w:val="clear" w:color="auto" w:fill="FFFFFF"/>
        </w:rPr>
        <w:t>：</w:t>
      </w:r>
    </w:p>
    <w:p w14:paraId="1B8B8EC5">
      <w:pPr>
        <w:adjustRightInd w:val="0"/>
        <w:snapToGrid w:val="0"/>
        <w:spacing w:line="578" w:lineRule="exact"/>
        <w:ind w:left="320" w:leftChars="100" w:firstLine="320" w:firstLineChars="100"/>
        <w:contextualSpacing/>
        <w:rPr>
          <w:rFonts w:hint="eastAsia"/>
          <w:color w:val="auto"/>
          <w:kern w:val="0"/>
          <w:szCs w:val="32"/>
          <w:highlight w:val="none"/>
          <w:shd w:val="clear" w:color="auto" w:fill="FFFFFF"/>
        </w:rPr>
      </w:pPr>
      <w:r>
        <w:rPr>
          <w:rFonts w:hint="eastAsia"/>
          <w:color w:val="auto"/>
          <w:kern w:val="0"/>
          <w:szCs w:val="32"/>
          <w:highlight w:val="none"/>
          <w:shd w:val="clear" w:color="auto" w:fill="FFFFFF"/>
        </w:rPr>
        <w:t>项目完成个数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≥14个</w:t>
      </w:r>
      <w:r>
        <w:rPr>
          <w:rFonts w:hint="eastAsia"/>
          <w:color w:val="auto"/>
          <w:kern w:val="0"/>
          <w:highlight w:val="none"/>
          <w:shd w:val="clear" w:color="auto" w:fill="FFFFFF"/>
        </w:rPr>
        <w:t>；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</w:rPr>
        <w:t>州本级预算项目个数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≥14个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</w:rPr>
        <w:t>；造林</w:t>
      </w:r>
    </w:p>
    <w:p w14:paraId="5DEB517E">
      <w:pPr>
        <w:adjustRightInd w:val="0"/>
        <w:snapToGrid w:val="0"/>
        <w:spacing w:line="578" w:lineRule="exact"/>
        <w:contextualSpacing/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/>
          <w:color w:val="auto"/>
          <w:kern w:val="0"/>
          <w:szCs w:val="32"/>
          <w:highlight w:val="none"/>
          <w:shd w:val="clear" w:color="auto" w:fill="FFFFFF"/>
        </w:rPr>
        <w:t>地苗木合格率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100%；年度任务完成时间于年底较好完成。</w:t>
      </w:r>
    </w:p>
    <w:p w14:paraId="400F5413">
      <w:pPr>
        <w:adjustRightInd w:val="0"/>
        <w:snapToGrid w:val="0"/>
        <w:spacing w:line="578" w:lineRule="exact"/>
        <w:ind w:firstLine="640" w:firstLineChars="200"/>
        <w:contextualSpacing/>
        <w:rPr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综上，根据评分标准，该项指标不扣分，得15分。</w:t>
      </w:r>
    </w:p>
    <w:p w14:paraId="4CA6F907">
      <w:pPr>
        <w:adjustRightInd w:val="0"/>
        <w:snapToGrid w:val="0"/>
        <w:spacing w:line="578" w:lineRule="exact"/>
        <w:ind w:firstLine="640" w:firstLineChars="200"/>
        <w:contextualSpacing/>
        <w:jc w:val="left"/>
        <w:outlineLvl w:val="2"/>
        <w:rPr>
          <w:rFonts w:eastAsia="楷体_GB2312"/>
          <w:color w:val="auto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eastAsia="楷体_GB2312"/>
          <w:color w:val="auto"/>
          <w:kern w:val="0"/>
          <w:szCs w:val="32"/>
          <w:highlight w:val="none"/>
          <w:shd w:val="clear" w:color="auto" w:fill="FFFFFF"/>
        </w:rPr>
        <w:t>2</w:t>
      </w:r>
      <w:r>
        <w:rPr>
          <w:rFonts w:hint="eastAsia" w:eastAsia="楷体_GB2312"/>
          <w:color w:val="auto"/>
          <w:kern w:val="0"/>
          <w:szCs w:val="32"/>
          <w:highlight w:val="none"/>
          <w:shd w:val="clear" w:color="auto" w:fill="FFFFFF"/>
          <w:lang w:eastAsia="zh-CN"/>
        </w:rPr>
        <w:t>．</w:t>
      </w:r>
      <w:r>
        <w:rPr>
          <w:rFonts w:eastAsia="楷体_GB2312"/>
          <w:color w:val="auto"/>
          <w:kern w:val="0"/>
          <w:szCs w:val="32"/>
          <w:highlight w:val="none"/>
          <w:shd w:val="clear" w:color="auto" w:fill="FFFFFF"/>
          <w:lang w:val="zh-CN"/>
        </w:rPr>
        <w:t>预算管理。</w:t>
      </w:r>
    </w:p>
    <w:p w14:paraId="4F315680">
      <w:pPr>
        <w:adjustRightInd w:val="0"/>
        <w:snapToGrid w:val="0"/>
        <w:spacing w:line="578" w:lineRule="exact"/>
        <w:ind w:firstLine="640" w:firstLineChars="200"/>
        <w:outlineLvl w:val="3"/>
        <w:rPr>
          <w:color w:val="auto"/>
          <w:kern w:val="0"/>
          <w:highlight w:val="none"/>
          <w:shd w:val="clear" w:color="auto" w:fill="FFFFFF"/>
          <w:lang w:val="zh-CN"/>
        </w:rPr>
      </w:pPr>
      <w:r>
        <w:rPr>
          <w:rFonts w:eastAsia="楷体_GB2312"/>
          <w:color w:val="auto"/>
          <w:kern w:val="0"/>
          <w:highlight w:val="none"/>
          <w:shd w:val="clear" w:color="auto" w:fill="FFFFFF"/>
          <w:lang w:val="zh-CN"/>
        </w:rPr>
        <w:t>（</w:t>
      </w:r>
      <w:r>
        <w:rPr>
          <w:rFonts w:eastAsia="楷体_GB2312"/>
          <w:color w:val="auto"/>
          <w:kern w:val="0"/>
          <w:highlight w:val="none"/>
          <w:shd w:val="clear" w:color="auto" w:fill="FFFFFF"/>
        </w:rPr>
        <w:t>1</w:t>
      </w:r>
      <w:r>
        <w:rPr>
          <w:rFonts w:eastAsia="楷体_GB2312"/>
          <w:color w:val="auto"/>
          <w:kern w:val="0"/>
          <w:highlight w:val="none"/>
          <w:shd w:val="clear" w:color="auto" w:fill="FFFFFF"/>
          <w:lang w:val="zh-CN"/>
        </w:rPr>
        <w:t>）</w:t>
      </w:r>
      <w:r>
        <w:rPr>
          <w:color w:val="auto"/>
          <w:kern w:val="0"/>
          <w:highlight w:val="none"/>
          <w:shd w:val="clear" w:color="auto" w:fill="FFFFFF"/>
          <w:lang w:val="zh-CN"/>
        </w:rPr>
        <w:t>预算编制质量</w:t>
      </w:r>
    </w:p>
    <w:p w14:paraId="6E0F56DF">
      <w:pPr>
        <w:adjustRightInd w:val="0"/>
        <w:snapToGrid w:val="0"/>
        <w:spacing w:line="578" w:lineRule="exact"/>
        <w:ind w:left="320" w:leftChars="100" w:firstLine="320" w:firstLineChars="100"/>
        <w:rPr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根据预算报表和决算报表，本部门财政拨款年初预算数为</w:t>
      </w:r>
    </w:p>
    <w:p w14:paraId="2E487094">
      <w:pPr>
        <w:adjustRightInd w:val="0"/>
        <w:snapToGrid w:val="0"/>
        <w:spacing w:line="578" w:lineRule="exact"/>
        <w:rPr>
          <w:color w:val="auto"/>
          <w:kern w:val="0"/>
          <w:highlight w:val="none"/>
          <w:shd w:val="clear" w:color="auto" w:fill="FFFFFF"/>
        </w:rPr>
      </w:pPr>
      <w:r>
        <w:rPr>
          <w:rFonts w:hint="eastAsia"/>
          <w:color w:val="auto"/>
          <w:highlight w:val="none"/>
          <w:lang w:val="en-US" w:eastAsia="zh-CN"/>
        </w:rPr>
        <w:t>51372.51</w:t>
      </w:r>
      <w:r>
        <w:rPr>
          <w:color w:val="auto"/>
          <w:kern w:val="0"/>
          <w:highlight w:val="none"/>
          <w:shd w:val="clear" w:color="auto" w:fill="FFFFFF"/>
        </w:rPr>
        <w:t>万元，财政拨款预算执行数为</w:t>
      </w:r>
      <w:r>
        <w:rPr>
          <w:rFonts w:hint="eastAsia"/>
          <w:color w:val="auto"/>
          <w:highlight w:val="none"/>
          <w:lang w:val="en-US" w:eastAsia="zh-CN"/>
        </w:rPr>
        <w:t>51372.51</w:t>
      </w:r>
      <w:r>
        <w:rPr>
          <w:color w:val="auto"/>
          <w:kern w:val="0"/>
          <w:highlight w:val="none"/>
          <w:shd w:val="clear" w:color="auto" w:fill="FFFFFF"/>
        </w:rPr>
        <w:t>万元，财政拨款预算偏离度=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0.00</w:t>
      </w:r>
      <w:r>
        <w:rPr>
          <w:color w:val="auto"/>
          <w:kern w:val="0"/>
          <w:highlight w:val="none"/>
          <w:shd w:val="clear" w:color="auto" w:fill="FFFFFF"/>
        </w:rPr>
        <w:t>。</w:t>
      </w:r>
    </w:p>
    <w:p w14:paraId="3C721F20">
      <w:pPr>
        <w:adjustRightInd w:val="0"/>
        <w:snapToGrid w:val="0"/>
        <w:spacing w:line="580" w:lineRule="exact"/>
        <w:ind w:left="320" w:leftChars="100" w:firstLine="320" w:firstLineChars="100"/>
        <w:rPr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根据</w:t>
      </w:r>
      <w:r>
        <w:rPr>
          <w:rFonts w:hint="eastAsia"/>
          <w:color w:val="auto"/>
          <w:kern w:val="0"/>
          <w:highlight w:val="none"/>
          <w:shd w:val="clear" w:color="auto" w:fill="FFFFFF"/>
          <w:lang w:eastAsia="zh-CN"/>
        </w:rPr>
        <w:t>2025年</w:t>
      </w:r>
      <w:r>
        <w:rPr>
          <w:color w:val="auto"/>
          <w:kern w:val="0"/>
          <w:highlight w:val="none"/>
          <w:shd w:val="clear" w:color="auto" w:fill="FFFFFF"/>
        </w:rPr>
        <w:t>资产配置全年执行表，本部门资产配置预算执</w:t>
      </w:r>
    </w:p>
    <w:p w14:paraId="65A67A1B">
      <w:pPr>
        <w:adjustRightInd w:val="0"/>
        <w:snapToGrid w:val="0"/>
        <w:spacing w:line="580" w:lineRule="exact"/>
        <w:rPr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行数为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0.00</w:t>
      </w:r>
      <w:r>
        <w:rPr>
          <w:color w:val="auto"/>
          <w:kern w:val="0"/>
          <w:highlight w:val="none"/>
          <w:shd w:val="clear" w:color="auto" w:fill="FFFFFF"/>
        </w:rPr>
        <w:t>万元，剔除结转因素，资产配置年初预算数为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0.00</w:t>
      </w:r>
      <w:r>
        <w:rPr>
          <w:color w:val="auto"/>
          <w:kern w:val="0"/>
          <w:highlight w:val="none"/>
          <w:shd w:val="clear" w:color="auto" w:fill="FFFFFF"/>
        </w:rPr>
        <w:t>万元，资产配置预算偏离度=</w:t>
      </w:r>
      <w:r>
        <w:rPr>
          <w:rFonts w:hint="eastAsia"/>
          <w:color w:val="auto"/>
          <w:kern w:val="0"/>
          <w:highlight w:val="none"/>
          <w:shd w:val="clear" w:color="auto" w:fill="FFFFFF"/>
        </w:rPr>
        <w:t>0.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00</w:t>
      </w:r>
      <w:r>
        <w:rPr>
          <w:color w:val="auto"/>
          <w:kern w:val="0"/>
          <w:highlight w:val="none"/>
          <w:shd w:val="clear" w:color="auto" w:fill="FFFFFF"/>
        </w:rPr>
        <w:t>。</w:t>
      </w:r>
    </w:p>
    <w:p w14:paraId="314EDEC1">
      <w:pPr>
        <w:adjustRightInd w:val="0"/>
        <w:snapToGrid w:val="0"/>
        <w:spacing w:line="580" w:lineRule="exact"/>
        <w:ind w:left="320" w:leftChars="100" w:firstLine="320" w:firstLineChars="100"/>
        <w:rPr>
          <w:rFonts w:hint="default" w:eastAsia="仿宋_GB2312"/>
          <w:color w:val="auto"/>
          <w:kern w:val="0"/>
          <w:highlight w:val="none"/>
          <w:shd w:val="clear" w:color="auto" w:fill="FFFFFF"/>
          <w:lang w:val="en-US" w:eastAsia="zh-CN"/>
        </w:rPr>
      </w:pPr>
      <w:r>
        <w:rPr>
          <w:color w:val="auto"/>
          <w:kern w:val="0"/>
          <w:highlight w:val="none"/>
          <w:shd w:val="clear" w:color="auto" w:fill="FFFFFF"/>
        </w:rPr>
        <w:t>根据</w:t>
      </w:r>
      <w:r>
        <w:rPr>
          <w:rFonts w:hint="eastAsia"/>
          <w:color w:val="auto"/>
          <w:kern w:val="0"/>
          <w:highlight w:val="none"/>
          <w:shd w:val="clear" w:color="auto" w:fill="FFFFFF"/>
        </w:rPr>
        <w:t>本部门</w:t>
      </w:r>
      <w:r>
        <w:rPr>
          <w:color w:val="auto"/>
          <w:kern w:val="0"/>
          <w:highlight w:val="none"/>
          <w:shd w:val="clear" w:color="auto" w:fill="FFFFFF"/>
        </w:rPr>
        <w:t>决算报表，本部门政府采购预算执行数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为2735.15</w:t>
      </w:r>
      <w:r>
        <w:rPr>
          <w:color w:val="auto"/>
          <w:kern w:val="0"/>
          <w:highlight w:val="none"/>
          <w:shd w:val="clear" w:color="auto" w:fill="FFFFFF"/>
        </w:rPr>
        <w:t>万元，</w:t>
      </w:r>
      <w:r>
        <w:rPr>
          <w:rFonts w:hint="eastAsia"/>
          <w:color w:val="auto"/>
          <w:kern w:val="0"/>
          <w:highlight w:val="none"/>
          <w:shd w:val="clear" w:color="auto" w:fill="FFFFFF"/>
          <w:lang w:eastAsia="zh-CN"/>
        </w:rPr>
        <w:t>2025年</w:t>
      </w:r>
      <w:r>
        <w:rPr>
          <w:color w:val="auto"/>
          <w:kern w:val="0"/>
          <w:highlight w:val="none"/>
          <w:shd w:val="clear" w:color="auto" w:fill="FFFFFF"/>
        </w:rPr>
        <w:t>政府采购年初预算数为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0</w:t>
      </w:r>
      <w:r>
        <w:rPr>
          <w:color w:val="auto"/>
          <w:kern w:val="0"/>
          <w:highlight w:val="none"/>
          <w:shd w:val="clear" w:color="auto" w:fill="FFFFFF"/>
        </w:rPr>
        <w:t>万元。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偏离度=1</w:t>
      </w:r>
    </w:p>
    <w:p w14:paraId="1C99634E">
      <w:pPr>
        <w:pStyle w:val="27"/>
        <w:adjustRightInd w:val="0"/>
        <w:snapToGrid w:val="0"/>
        <w:spacing w:line="580" w:lineRule="exact"/>
        <w:ind w:left="320" w:leftChars="100" w:firstLine="320" w:firstLineChars="100"/>
        <w:rPr>
          <w:rFonts w:hint="eastAsia"/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综上，根据评分标准，</w:t>
      </w:r>
      <w:r>
        <w:rPr>
          <w:rFonts w:hint="eastAsia"/>
          <w:color w:val="auto"/>
          <w:kern w:val="0"/>
          <w:highlight w:val="none"/>
          <w:shd w:val="clear" w:color="auto" w:fill="FFFFFF"/>
        </w:rPr>
        <w:t>该项指标得分=（1-财政拨款预算偏</w:t>
      </w:r>
    </w:p>
    <w:p w14:paraId="0968B03A">
      <w:pPr>
        <w:pStyle w:val="27"/>
        <w:adjustRightInd w:val="0"/>
        <w:snapToGrid w:val="0"/>
        <w:spacing w:line="580" w:lineRule="exact"/>
        <w:ind w:left="0" w:leftChars="0" w:firstLine="0" w:firstLineChars="0"/>
        <w:rPr>
          <w:color w:val="auto"/>
          <w:highlight w:val="none"/>
        </w:rPr>
      </w:pPr>
      <w:r>
        <w:rPr>
          <w:rFonts w:hint="eastAsia"/>
          <w:color w:val="auto"/>
          <w:kern w:val="0"/>
          <w:highlight w:val="none"/>
          <w:shd w:val="clear" w:color="auto" w:fill="FFFFFF"/>
        </w:rPr>
        <w:t>离度）×100%×4+（1-资产配置预算偏离度）×100%×2+（1-政府采购预算偏离度）×100%×2。</w:t>
      </w:r>
      <w:r>
        <w:rPr>
          <w:color w:val="auto"/>
          <w:kern w:val="0"/>
          <w:highlight w:val="none"/>
          <w:shd w:val="clear" w:color="auto" w:fill="FFFFFF"/>
        </w:rPr>
        <w:t>该项指标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扣2分</w:t>
      </w:r>
      <w:r>
        <w:rPr>
          <w:color w:val="auto"/>
          <w:kern w:val="0"/>
          <w:highlight w:val="none"/>
          <w:shd w:val="clear" w:color="auto" w:fill="FFFFFF"/>
        </w:rPr>
        <w:t>，得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6</w:t>
      </w:r>
      <w:r>
        <w:rPr>
          <w:color w:val="auto"/>
          <w:kern w:val="0"/>
          <w:highlight w:val="none"/>
          <w:shd w:val="clear" w:color="auto" w:fill="FFFFFF"/>
        </w:rPr>
        <w:t>分。</w:t>
      </w:r>
    </w:p>
    <w:p w14:paraId="2963B1F2">
      <w:pPr>
        <w:adjustRightInd w:val="0"/>
        <w:snapToGrid w:val="0"/>
        <w:spacing w:line="580" w:lineRule="exact"/>
        <w:ind w:firstLine="640" w:firstLineChars="200"/>
        <w:outlineLvl w:val="3"/>
        <w:rPr>
          <w:color w:val="auto"/>
          <w:kern w:val="0"/>
          <w:highlight w:val="none"/>
          <w:shd w:val="clear" w:color="auto" w:fill="FFFFFF"/>
          <w:lang w:val="zh-CN"/>
        </w:rPr>
      </w:pPr>
      <w:r>
        <w:rPr>
          <w:color w:val="auto"/>
          <w:kern w:val="0"/>
          <w:highlight w:val="none"/>
          <w:shd w:val="clear" w:color="auto" w:fill="FFFFFF"/>
          <w:lang w:val="zh-CN"/>
        </w:rPr>
        <w:t>（</w:t>
      </w:r>
      <w:r>
        <w:rPr>
          <w:color w:val="auto"/>
          <w:kern w:val="0"/>
          <w:highlight w:val="none"/>
          <w:shd w:val="clear" w:color="auto" w:fill="FFFFFF"/>
        </w:rPr>
        <w:t>2</w:t>
      </w:r>
      <w:r>
        <w:rPr>
          <w:color w:val="auto"/>
          <w:kern w:val="0"/>
          <w:highlight w:val="none"/>
          <w:shd w:val="clear" w:color="auto" w:fill="FFFFFF"/>
          <w:lang w:val="zh-CN"/>
        </w:rPr>
        <w:t>）单位收入统筹</w:t>
      </w:r>
    </w:p>
    <w:p w14:paraId="48F1A318">
      <w:pPr>
        <w:pStyle w:val="27"/>
        <w:adjustRightInd w:val="0"/>
        <w:snapToGrid w:val="0"/>
        <w:spacing w:line="580" w:lineRule="exact"/>
        <w:ind w:left="320" w:leftChars="100" w:firstLine="640" w:firstLineChars="200"/>
        <w:rPr>
          <w:color w:val="auto"/>
          <w:kern w:val="0"/>
          <w:highlight w:val="none"/>
          <w:shd w:val="clear" w:color="auto" w:fill="FFFFFF"/>
        </w:rPr>
      </w:pP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本部门实行财政全额拨款，不涉及自有收入</w:t>
      </w:r>
      <w:r>
        <w:rPr>
          <w:rFonts w:hint="eastAsia"/>
          <w:color w:val="auto"/>
          <w:kern w:val="0"/>
          <w:highlight w:val="none"/>
          <w:shd w:val="clear" w:color="auto" w:fill="FFFFFF"/>
        </w:rPr>
        <w:t>。</w:t>
      </w:r>
      <w:r>
        <w:rPr>
          <w:color w:val="auto"/>
          <w:kern w:val="0"/>
          <w:highlight w:val="none"/>
          <w:shd w:val="clear" w:color="auto" w:fill="FFFFFF"/>
        </w:rPr>
        <w:t>该项指标</w:t>
      </w:r>
    </w:p>
    <w:p w14:paraId="517E3F50">
      <w:pPr>
        <w:pStyle w:val="27"/>
        <w:adjustRightInd w:val="0"/>
        <w:snapToGrid w:val="0"/>
        <w:spacing w:line="580" w:lineRule="exact"/>
        <w:ind w:left="0" w:leftChars="0" w:firstLine="640" w:firstLineChars="200"/>
        <w:rPr>
          <w:color w:val="auto"/>
          <w:highlight w:val="none"/>
        </w:rPr>
      </w:pP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不</w:t>
      </w:r>
      <w:r>
        <w:rPr>
          <w:rFonts w:hint="eastAsia"/>
          <w:color w:val="auto"/>
          <w:kern w:val="0"/>
          <w:highlight w:val="none"/>
          <w:shd w:val="clear" w:color="auto" w:fill="FFFFFF"/>
        </w:rPr>
        <w:t>扣分，</w:t>
      </w:r>
      <w:r>
        <w:rPr>
          <w:color w:val="auto"/>
          <w:kern w:val="0"/>
          <w:highlight w:val="none"/>
          <w:shd w:val="clear" w:color="auto" w:fill="FFFFFF"/>
        </w:rPr>
        <w:t>得</w:t>
      </w:r>
      <w:r>
        <w:rPr>
          <w:rFonts w:hint="eastAsia"/>
          <w:color w:val="auto"/>
          <w:kern w:val="0"/>
          <w:highlight w:val="none"/>
          <w:shd w:val="clear" w:color="auto" w:fill="FFFFFF"/>
        </w:rPr>
        <w:t>4.00</w:t>
      </w:r>
      <w:r>
        <w:rPr>
          <w:color w:val="auto"/>
          <w:kern w:val="0"/>
          <w:highlight w:val="none"/>
          <w:shd w:val="clear" w:color="auto" w:fill="FFFFFF"/>
        </w:rPr>
        <w:t>分。</w:t>
      </w:r>
    </w:p>
    <w:p w14:paraId="79299E68">
      <w:pPr>
        <w:adjustRightInd w:val="0"/>
        <w:snapToGrid w:val="0"/>
        <w:spacing w:line="580" w:lineRule="exact"/>
        <w:ind w:firstLine="640" w:firstLineChars="200"/>
        <w:outlineLvl w:val="3"/>
        <w:rPr>
          <w:color w:val="auto"/>
          <w:kern w:val="0"/>
          <w:highlight w:val="none"/>
          <w:shd w:val="clear" w:color="auto" w:fill="FFFFFF"/>
          <w:lang w:val="zh-CN"/>
        </w:rPr>
      </w:pPr>
      <w:r>
        <w:rPr>
          <w:color w:val="auto"/>
          <w:kern w:val="0"/>
          <w:highlight w:val="none"/>
          <w:shd w:val="clear" w:color="auto" w:fill="FFFFFF"/>
          <w:lang w:val="zh-CN"/>
        </w:rPr>
        <w:t>（</w:t>
      </w:r>
      <w:r>
        <w:rPr>
          <w:color w:val="auto"/>
          <w:kern w:val="0"/>
          <w:highlight w:val="none"/>
          <w:shd w:val="clear" w:color="auto" w:fill="FFFFFF"/>
        </w:rPr>
        <w:t>3</w:t>
      </w:r>
      <w:r>
        <w:rPr>
          <w:color w:val="auto"/>
          <w:kern w:val="0"/>
          <w:highlight w:val="none"/>
          <w:shd w:val="clear" w:color="auto" w:fill="FFFFFF"/>
          <w:lang w:val="zh-CN"/>
        </w:rPr>
        <w:t>）支出执行进度</w:t>
      </w:r>
    </w:p>
    <w:p w14:paraId="6B6C5400">
      <w:pPr>
        <w:pStyle w:val="27"/>
        <w:adjustRightInd w:val="0"/>
        <w:snapToGrid w:val="0"/>
        <w:spacing w:line="580" w:lineRule="exact"/>
        <w:ind w:left="0" w:leftChars="0" w:firstLine="0" w:firstLineChars="0"/>
        <w:rPr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根据可执行情况表，本部门无支出违规金额。</w:t>
      </w:r>
    </w:p>
    <w:p w14:paraId="19BFA7F6">
      <w:pPr>
        <w:pStyle w:val="27"/>
        <w:adjustRightInd w:val="0"/>
        <w:snapToGrid w:val="0"/>
        <w:spacing w:line="580" w:lineRule="exact"/>
        <w:ind w:left="0" w:leftChars="0" w:firstLine="640" w:firstLineChars="200"/>
        <w:rPr>
          <w:color w:val="auto"/>
          <w:highlight w:val="none"/>
        </w:rPr>
      </w:pPr>
      <w:r>
        <w:rPr>
          <w:color w:val="auto"/>
          <w:kern w:val="0"/>
          <w:highlight w:val="none"/>
          <w:shd w:val="clear" w:color="auto" w:fill="FFFFFF"/>
        </w:rPr>
        <w:t>综上，根据评分标准，该项指标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不扣</w:t>
      </w:r>
      <w:r>
        <w:rPr>
          <w:color w:val="auto"/>
          <w:kern w:val="0"/>
          <w:highlight w:val="none"/>
          <w:shd w:val="clear" w:color="auto" w:fill="FFFFFF"/>
        </w:rPr>
        <w:t>分，得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6</w:t>
      </w:r>
      <w:r>
        <w:rPr>
          <w:color w:val="auto"/>
          <w:kern w:val="0"/>
          <w:highlight w:val="none"/>
          <w:shd w:val="clear" w:color="auto" w:fill="FFFFFF"/>
        </w:rPr>
        <w:t>分。</w:t>
      </w:r>
    </w:p>
    <w:p w14:paraId="35172981">
      <w:pPr>
        <w:adjustRightInd w:val="0"/>
        <w:snapToGrid w:val="0"/>
        <w:spacing w:line="580" w:lineRule="exact"/>
        <w:ind w:firstLine="640" w:firstLineChars="200"/>
        <w:outlineLvl w:val="3"/>
        <w:rPr>
          <w:color w:val="auto"/>
          <w:kern w:val="0"/>
          <w:highlight w:val="none"/>
          <w:shd w:val="clear" w:color="auto" w:fill="FFFFFF"/>
          <w:lang w:val="zh-CN"/>
        </w:rPr>
      </w:pPr>
      <w:r>
        <w:rPr>
          <w:color w:val="auto"/>
          <w:kern w:val="0"/>
          <w:highlight w:val="none"/>
          <w:shd w:val="clear" w:color="auto" w:fill="FFFFFF"/>
          <w:lang w:val="zh-CN"/>
        </w:rPr>
        <w:t>（</w:t>
      </w:r>
      <w:r>
        <w:rPr>
          <w:color w:val="auto"/>
          <w:kern w:val="0"/>
          <w:highlight w:val="none"/>
          <w:shd w:val="clear" w:color="auto" w:fill="FFFFFF"/>
        </w:rPr>
        <w:t>4</w:t>
      </w:r>
      <w:r>
        <w:rPr>
          <w:color w:val="auto"/>
          <w:kern w:val="0"/>
          <w:highlight w:val="none"/>
          <w:shd w:val="clear" w:color="auto" w:fill="FFFFFF"/>
          <w:lang w:val="zh-CN"/>
        </w:rPr>
        <w:t>）预算年终结余</w:t>
      </w:r>
    </w:p>
    <w:p w14:paraId="39CBAF05">
      <w:pPr>
        <w:adjustRightInd w:val="0"/>
        <w:snapToGrid w:val="0"/>
        <w:spacing w:line="580" w:lineRule="exact"/>
        <w:ind w:left="320" w:leftChars="100" w:firstLine="320" w:firstLineChars="100"/>
        <w:rPr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根据决算报表，本部门预算总金额为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0.00</w:t>
      </w:r>
      <w:r>
        <w:rPr>
          <w:color w:val="auto"/>
          <w:kern w:val="0"/>
          <w:highlight w:val="none"/>
          <w:shd w:val="clear" w:color="auto" w:fill="FFFFFF"/>
        </w:rPr>
        <w:t>万元，年终部门</w:t>
      </w:r>
    </w:p>
    <w:p w14:paraId="2C8BD06C">
      <w:pPr>
        <w:adjustRightInd w:val="0"/>
        <w:snapToGrid w:val="0"/>
        <w:spacing w:line="580" w:lineRule="exact"/>
        <w:rPr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预算注销金额为0.00万元，结转金额为</w:t>
      </w:r>
      <w:r>
        <w:rPr>
          <w:rFonts w:hint="eastAsia"/>
          <w:color w:val="auto"/>
          <w:highlight w:val="none"/>
          <w:lang w:val="en-US" w:eastAsia="zh-CN"/>
        </w:rPr>
        <w:t>0.00</w:t>
      </w:r>
      <w:r>
        <w:rPr>
          <w:color w:val="auto"/>
          <w:highlight w:val="none"/>
        </w:rPr>
        <w:t>万元</w:t>
      </w:r>
      <w:r>
        <w:rPr>
          <w:color w:val="auto"/>
          <w:kern w:val="0"/>
          <w:highlight w:val="none"/>
          <w:shd w:val="clear" w:color="auto" w:fill="FFFFFF"/>
        </w:rPr>
        <w:t>，合计</w:t>
      </w:r>
      <w:r>
        <w:rPr>
          <w:rFonts w:hint="eastAsia"/>
          <w:color w:val="auto"/>
          <w:highlight w:val="none"/>
          <w:lang w:val="en-US" w:eastAsia="zh-CN"/>
        </w:rPr>
        <w:t>0.00</w:t>
      </w:r>
      <w:r>
        <w:rPr>
          <w:color w:val="auto"/>
          <w:kern w:val="0"/>
          <w:highlight w:val="none"/>
          <w:shd w:val="clear" w:color="auto" w:fill="FFFFFF"/>
        </w:rPr>
        <w:t>万元，占比为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0.00</w:t>
      </w:r>
      <w:r>
        <w:rPr>
          <w:color w:val="auto"/>
          <w:kern w:val="0"/>
          <w:highlight w:val="none"/>
          <w:shd w:val="clear" w:color="auto" w:fill="FFFFFF"/>
        </w:rPr>
        <w:t>%。</w:t>
      </w:r>
    </w:p>
    <w:p w14:paraId="3C759581">
      <w:pPr>
        <w:pStyle w:val="27"/>
        <w:adjustRightInd w:val="0"/>
        <w:snapToGrid w:val="0"/>
        <w:spacing w:line="580" w:lineRule="exact"/>
        <w:ind w:left="0" w:leftChars="0" w:firstLine="640" w:firstLineChars="200"/>
        <w:rPr>
          <w:color w:val="auto"/>
          <w:highlight w:val="none"/>
        </w:rPr>
      </w:pPr>
      <w:r>
        <w:rPr>
          <w:color w:val="auto"/>
          <w:kern w:val="0"/>
          <w:highlight w:val="none"/>
          <w:shd w:val="clear" w:color="auto" w:fill="FFFFFF"/>
        </w:rPr>
        <w:t>综上，根据评分标准，该项指标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不扣</w:t>
      </w:r>
      <w:r>
        <w:rPr>
          <w:color w:val="auto"/>
          <w:kern w:val="0"/>
          <w:highlight w:val="none"/>
          <w:shd w:val="clear" w:color="auto" w:fill="FFFFFF"/>
        </w:rPr>
        <w:t>分，得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2</w:t>
      </w:r>
      <w:r>
        <w:rPr>
          <w:color w:val="auto"/>
          <w:kern w:val="0"/>
          <w:highlight w:val="none"/>
          <w:shd w:val="clear" w:color="auto" w:fill="FFFFFF"/>
        </w:rPr>
        <w:t>分。</w:t>
      </w:r>
    </w:p>
    <w:p w14:paraId="5DF2077B">
      <w:pPr>
        <w:adjustRightInd w:val="0"/>
        <w:snapToGrid w:val="0"/>
        <w:spacing w:line="580" w:lineRule="exact"/>
        <w:ind w:firstLine="640" w:firstLineChars="200"/>
        <w:outlineLvl w:val="3"/>
        <w:rPr>
          <w:color w:val="auto"/>
          <w:kern w:val="0"/>
          <w:highlight w:val="none"/>
          <w:shd w:val="clear" w:color="auto" w:fill="FFFFFF"/>
          <w:lang w:val="zh-CN"/>
        </w:rPr>
      </w:pPr>
      <w:r>
        <w:rPr>
          <w:color w:val="auto"/>
          <w:kern w:val="0"/>
          <w:highlight w:val="none"/>
          <w:shd w:val="clear" w:color="auto" w:fill="FFFFFF"/>
          <w:lang w:val="zh-CN"/>
        </w:rPr>
        <w:t>（</w:t>
      </w:r>
      <w:r>
        <w:rPr>
          <w:color w:val="auto"/>
          <w:kern w:val="0"/>
          <w:highlight w:val="none"/>
          <w:shd w:val="clear" w:color="auto" w:fill="FFFFFF"/>
        </w:rPr>
        <w:t>5</w:t>
      </w:r>
      <w:r>
        <w:rPr>
          <w:color w:val="auto"/>
          <w:kern w:val="0"/>
          <w:highlight w:val="none"/>
          <w:shd w:val="clear" w:color="auto" w:fill="FFFFFF"/>
          <w:lang w:val="zh-CN"/>
        </w:rPr>
        <w:t>）严控一般性支出</w:t>
      </w:r>
    </w:p>
    <w:p w14:paraId="13359A48">
      <w:pPr>
        <w:adjustRightInd w:val="0"/>
        <w:snapToGrid w:val="0"/>
        <w:spacing w:line="580" w:lineRule="exact"/>
        <w:ind w:left="320" w:leftChars="100" w:firstLine="320" w:firstLineChars="100"/>
        <w:rPr>
          <w:rFonts w:hint="eastAsia"/>
          <w:color w:val="auto"/>
          <w:kern w:val="0"/>
          <w:highlight w:val="none"/>
          <w:shd w:val="clear" w:color="auto" w:fill="FFFFFF"/>
          <w:lang w:val="zh-CN"/>
        </w:rPr>
      </w:pPr>
      <w:r>
        <w:rPr>
          <w:color w:val="auto"/>
          <w:kern w:val="0"/>
          <w:highlight w:val="none"/>
          <w:shd w:val="clear" w:color="auto" w:fill="FFFFFF"/>
        </w:rPr>
        <w:t>本</w:t>
      </w:r>
      <w:r>
        <w:rPr>
          <w:color w:val="auto"/>
          <w:kern w:val="0"/>
          <w:highlight w:val="none"/>
          <w:shd w:val="clear" w:color="auto" w:fill="FFFFFF"/>
          <w:lang w:val="zh-CN"/>
        </w:rPr>
        <w:t>部门“三公”经费、会议</w:t>
      </w:r>
      <w:r>
        <w:rPr>
          <w:rFonts w:hint="eastAsia"/>
          <w:color w:val="auto"/>
          <w:kern w:val="0"/>
          <w:highlight w:val="none"/>
          <w:shd w:val="clear" w:color="auto" w:fill="FFFFFF"/>
          <w:lang w:val="zh-CN"/>
        </w:rPr>
        <w:t>费</w:t>
      </w:r>
      <w:r>
        <w:rPr>
          <w:color w:val="auto"/>
          <w:kern w:val="0"/>
          <w:highlight w:val="none"/>
          <w:shd w:val="clear" w:color="auto" w:fill="FFFFFF"/>
          <w:lang w:val="zh-CN"/>
        </w:rPr>
        <w:t>、培训</w:t>
      </w:r>
      <w:r>
        <w:rPr>
          <w:rFonts w:hint="eastAsia"/>
          <w:color w:val="auto"/>
          <w:kern w:val="0"/>
          <w:highlight w:val="none"/>
          <w:shd w:val="clear" w:color="auto" w:fill="FFFFFF"/>
          <w:lang w:val="zh-CN"/>
        </w:rPr>
        <w:t>费</w:t>
      </w:r>
      <w:r>
        <w:rPr>
          <w:color w:val="auto"/>
          <w:kern w:val="0"/>
          <w:highlight w:val="none"/>
          <w:shd w:val="clear" w:color="auto" w:fill="FFFFFF"/>
          <w:lang w:val="zh-CN"/>
        </w:rPr>
        <w:t>、差旅</w:t>
      </w:r>
      <w:r>
        <w:rPr>
          <w:rFonts w:hint="eastAsia"/>
          <w:color w:val="auto"/>
          <w:kern w:val="0"/>
          <w:highlight w:val="none"/>
          <w:shd w:val="clear" w:color="auto" w:fill="FFFFFF"/>
          <w:lang w:val="zh-CN"/>
        </w:rPr>
        <w:t>费</w:t>
      </w:r>
      <w:r>
        <w:rPr>
          <w:color w:val="auto"/>
          <w:kern w:val="0"/>
          <w:highlight w:val="none"/>
          <w:shd w:val="clear" w:color="auto" w:fill="FFFFFF"/>
          <w:lang w:val="zh-CN"/>
        </w:rPr>
        <w:t>、办节办展</w:t>
      </w:r>
      <w:r>
        <w:rPr>
          <w:rFonts w:hint="eastAsia"/>
          <w:color w:val="auto"/>
          <w:kern w:val="0"/>
          <w:highlight w:val="none"/>
          <w:shd w:val="clear" w:color="auto" w:fill="FFFFFF"/>
          <w:lang w:val="zh-CN"/>
        </w:rPr>
        <w:t>经</w:t>
      </w:r>
    </w:p>
    <w:p w14:paraId="6FEC034B">
      <w:pPr>
        <w:adjustRightInd w:val="0"/>
        <w:snapToGrid w:val="0"/>
        <w:spacing w:line="580" w:lineRule="exact"/>
        <w:rPr>
          <w:color w:val="auto"/>
          <w:kern w:val="0"/>
          <w:highlight w:val="none"/>
          <w:shd w:val="clear" w:color="auto" w:fill="FFFFFF"/>
        </w:rPr>
      </w:pPr>
      <w:r>
        <w:rPr>
          <w:rFonts w:hint="eastAsia"/>
          <w:color w:val="auto"/>
          <w:kern w:val="0"/>
          <w:highlight w:val="none"/>
          <w:shd w:val="clear" w:color="auto" w:fill="FFFFFF"/>
          <w:lang w:val="zh-CN"/>
        </w:rPr>
        <w:t>费</w:t>
      </w:r>
      <w:r>
        <w:rPr>
          <w:color w:val="auto"/>
          <w:kern w:val="0"/>
          <w:highlight w:val="none"/>
          <w:shd w:val="clear" w:color="auto" w:fill="FFFFFF"/>
          <w:lang w:val="zh-CN"/>
        </w:rPr>
        <w:t>、办公设备购置</w:t>
      </w:r>
      <w:r>
        <w:rPr>
          <w:rFonts w:hint="eastAsia"/>
          <w:color w:val="auto"/>
          <w:kern w:val="0"/>
          <w:highlight w:val="none"/>
          <w:shd w:val="clear" w:color="auto" w:fill="FFFFFF"/>
          <w:lang w:val="zh-CN"/>
        </w:rPr>
        <w:t>费</w:t>
      </w:r>
      <w:r>
        <w:rPr>
          <w:color w:val="auto"/>
          <w:kern w:val="0"/>
          <w:highlight w:val="none"/>
          <w:shd w:val="clear" w:color="auto" w:fill="FFFFFF"/>
          <w:lang w:val="zh-CN"/>
        </w:rPr>
        <w:t>、信息网络及软件购置更新</w:t>
      </w:r>
      <w:r>
        <w:rPr>
          <w:rFonts w:hint="eastAsia"/>
          <w:color w:val="auto"/>
          <w:kern w:val="0"/>
          <w:highlight w:val="none"/>
          <w:shd w:val="clear" w:color="auto" w:fill="FFFFFF"/>
          <w:lang w:val="zh-CN"/>
        </w:rPr>
        <w:t>经费</w:t>
      </w:r>
      <w:r>
        <w:rPr>
          <w:color w:val="auto"/>
          <w:kern w:val="0"/>
          <w:highlight w:val="none"/>
          <w:shd w:val="clear" w:color="auto" w:fill="FFFFFF"/>
          <w:lang w:val="zh-CN"/>
        </w:rPr>
        <w:t>、课题费等8项一般性支出情况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如下：</w:t>
      </w:r>
    </w:p>
    <w:p w14:paraId="0F1C8359">
      <w:pPr>
        <w:pStyle w:val="27"/>
        <w:spacing w:line="560" w:lineRule="exact"/>
        <w:ind w:left="0" w:leftChars="0" w:firstLine="640" w:firstLineChars="200"/>
        <w:rPr>
          <w:color w:val="auto"/>
          <w:kern w:val="0"/>
          <w:highlight w:val="none"/>
          <w:shd w:val="clear" w:color="auto" w:fill="FFFFFF"/>
        </w:rPr>
      </w:pP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2025年</w:t>
      </w:r>
      <w:r>
        <w:rPr>
          <w:color w:val="auto"/>
          <w:kern w:val="0"/>
          <w:highlight w:val="none"/>
          <w:shd w:val="clear" w:color="auto" w:fill="FFFFFF"/>
        </w:rPr>
        <w:t>本部门“三公”经费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100.61万元</w:t>
      </w:r>
      <w:r>
        <w:rPr>
          <w:color w:val="auto"/>
          <w:kern w:val="0"/>
          <w:highlight w:val="none"/>
          <w:shd w:val="clear" w:color="auto" w:fill="FFFFFF"/>
        </w:rPr>
        <w:t>、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会议费2.12万元、</w:t>
      </w:r>
      <w:r>
        <w:rPr>
          <w:color w:val="auto"/>
          <w:kern w:val="0"/>
          <w:highlight w:val="none"/>
          <w:shd w:val="clear" w:color="auto" w:fill="FFFFFF"/>
        </w:rPr>
        <w:t>培训费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10.73万元</w:t>
      </w:r>
      <w:r>
        <w:rPr>
          <w:color w:val="auto"/>
          <w:kern w:val="0"/>
          <w:highlight w:val="none"/>
          <w:shd w:val="clear" w:color="auto" w:fill="FFFFFF"/>
        </w:rPr>
        <w:t>、差旅费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193.93万元。</w:t>
      </w:r>
      <w:r>
        <w:rPr>
          <w:rFonts w:hint="eastAsia"/>
          <w:color w:val="auto"/>
          <w:kern w:val="0"/>
          <w:highlight w:val="none"/>
          <w:shd w:val="clear" w:color="auto" w:fill="FFFFFF"/>
          <w:lang w:eastAsia="zh-CN"/>
        </w:rPr>
        <w:t>2025年</w:t>
      </w:r>
      <w:r>
        <w:rPr>
          <w:color w:val="auto"/>
          <w:kern w:val="0"/>
          <w:highlight w:val="none"/>
          <w:shd w:val="clear" w:color="auto" w:fill="FFFFFF"/>
        </w:rPr>
        <w:t>度财政拨款预算执行数较202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4</w:t>
      </w:r>
      <w:r>
        <w:rPr>
          <w:color w:val="auto"/>
          <w:kern w:val="0"/>
          <w:highlight w:val="none"/>
          <w:shd w:val="clear" w:color="auto" w:fill="FFFFFF"/>
        </w:rPr>
        <w:t>年度财政拨款预算执行数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增多</w:t>
      </w:r>
      <w:r>
        <w:rPr>
          <w:color w:val="auto"/>
          <w:highlight w:val="none"/>
        </w:rPr>
        <w:t>。</w:t>
      </w:r>
    </w:p>
    <w:p w14:paraId="529418C1">
      <w:pPr>
        <w:pStyle w:val="27"/>
        <w:spacing w:line="578" w:lineRule="exact"/>
        <w:ind w:left="0" w:leftChars="0" w:firstLine="640" w:firstLineChars="200"/>
        <w:rPr>
          <w:rFonts w:eastAsia="楷体_GB2312"/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综上，根据评分标准，该项指标扣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2</w:t>
      </w:r>
      <w:r>
        <w:rPr>
          <w:color w:val="auto"/>
          <w:kern w:val="0"/>
          <w:highlight w:val="none"/>
          <w:shd w:val="clear" w:color="auto" w:fill="FFFFFF"/>
        </w:rPr>
        <w:t>分，得</w:t>
      </w:r>
      <w:r>
        <w:rPr>
          <w:rFonts w:hint="eastAsia"/>
          <w:color w:val="auto"/>
          <w:kern w:val="0"/>
          <w:highlight w:val="none"/>
          <w:shd w:val="clear" w:color="auto" w:fill="FFFFFF"/>
          <w:lang w:val="en-US" w:eastAsia="zh-CN"/>
        </w:rPr>
        <w:t>3</w:t>
      </w:r>
      <w:r>
        <w:rPr>
          <w:color w:val="auto"/>
          <w:kern w:val="0"/>
          <w:highlight w:val="none"/>
          <w:shd w:val="clear" w:color="auto" w:fill="FFFFFF"/>
        </w:rPr>
        <w:t>分。</w:t>
      </w:r>
    </w:p>
    <w:p w14:paraId="29F61236">
      <w:pPr>
        <w:adjustRightInd w:val="0"/>
        <w:snapToGrid w:val="0"/>
        <w:spacing w:line="578" w:lineRule="exact"/>
        <w:ind w:firstLine="640" w:firstLineChars="200"/>
        <w:contextualSpacing/>
        <w:jc w:val="left"/>
        <w:outlineLvl w:val="2"/>
        <w:rPr>
          <w:rFonts w:eastAsia="楷体_GB2312"/>
          <w:color w:val="auto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eastAsia="楷体_GB2312"/>
          <w:color w:val="auto"/>
          <w:kern w:val="0"/>
          <w:szCs w:val="32"/>
          <w:highlight w:val="none"/>
          <w:shd w:val="clear" w:color="auto" w:fill="FFFFFF"/>
        </w:rPr>
        <w:t>3</w:t>
      </w:r>
      <w:r>
        <w:rPr>
          <w:rFonts w:hint="eastAsia" w:eastAsia="楷体_GB2312"/>
          <w:color w:val="auto"/>
          <w:kern w:val="0"/>
          <w:szCs w:val="32"/>
          <w:highlight w:val="none"/>
          <w:shd w:val="clear" w:color="auto" w:fill="FFFFFF"/>
          <w:lang w:eastAsia="zh-CN"/>
        </w:rPr>
        <w:t>．</w:t>
      </w:r>
      <w:r>
        <w:rPr>
          <w:rFonts w:eastAsia="楷体_GB2312"/>
          <w:color w:val="auto"/>
          <w:kern w:val="0"/>
          <w:szCs w:val="32"/>
          <w:highlight w:val="none"/>
          <w:shd w:val="clear" w:color="auto" w:fill="FFFFFF"/>
          <w:lang w:val="zh-CN"/>
        </w:rPr>
        <w:t>财务管理。</w:t>
      </w:r>
    </w:p>
    <w:p w14:paraId="4DB6D762">
      <w:pPr>
        <w:adjustRightInd w:val="0"/>
        <w:snapToGrid w:val="0"/>
        <w:spacing w:line="578" w:lineRule="exact"/>
        <w:ind w:firstLine="640" w:firstLineChars="200"/>
        <w:outlineLvl w:val="3"/>
        <w:rPr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（1）财务管理制度</w:t>
      </w:r>
    </w:p>
    <w:p w14:paraId="67284CE5">
      <w:pPr>
        <w:adjustRightInd w:val="0"/>
        <w:snapToGrid w:val="0"/>
        <w:spacing w:line="578" w:lineRule="exact"/>
        <w:ind w:left="320" w:leftChars="100" w:firstLine="320" w:firstLineChars="100"/>
        <w:rPr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本部门已建立《财务管理办法》《重大经济事项决策管理办</w:t>
      </w:r>
    </w:p>
    <w:p w14:paraId="6E1AFC2D">
      <w:pPr>
        <w:adjustRightInd w:val="0"/>
        <w:snapToGrid w:val="0"/>
        <w:spacing w:line="578" w:lineRule="exact"/>
        <w:rPr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法》《政府采购管理办法》等财务管理制度，并将制度严格落到实处。</w:t>
      </w:r>
    </w:p>
    <w:p w14:paraId="16828B88">
      <w:pPr>
        <w:adjustRightInd w:val="0"/>
        <w:snapToGrid w:val="0"/>
        <w:spacing w:line="578" w:lineRule="exact"/>
        <w:ind w:firstLine="640" w:firstLineChars="200"/>
        <w:rPr>
          <w:rFonts w:eastAsia="楷体_GB2312"/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综上，根据评分标准，该项指标不扣分，得4分。</w:t>
      </w:r>
    </w:p>
    <w:p w14:paraId="6A2F8CD8">
      <w:pPr>
        <w:numPr>
          <w:ilvl w:val="0"/>
          <w:numId w:val="1"/>
        </w:numPr>
        <w:adjustRightInd w:val="0"/>
        <w:snapToGrid w:val="0"/>
        <w:spacing w:line="578" w:lineRule="exact"/>
        <w:ind w:firstLine="640" w:firstLineChars="200"/>
        <w:outlineLvl w:val="3"/>
        <w:rPr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财务岗位设置</w:t>
      </w:r>
    </w:p>
    <w:p w14:paraId="354253CE">
      <w:pPr>
        <w:adjustRightInd w:val="0"/>
        <w:snapToGrid w:val="0"/>
        <w:spacing w:line="578" w:lineRule="exact"/>
        <w:ind w:left="320" w:leftChars="100" w:firstLine="320" w:firstLineChars="100"/>
        <w:jc w:val="left"/>
        <w:rPr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本部门已合理设置财务工作岗位，明确职责权限，并严格实</w:t>
      </w:r>
    </w:p>
    <w:p w14:paraId="35CEE5E5">
      <w:pPr>
        <w:adjustRightInd w:val="0"/>
        <w:snapToGrid w:val="0"/>
        <w:spacing w:line="578" w:lineRule="exact"/>
        <w:jc w:val="left"/>
        <w:rPr>
          <w:color w:val="auto"/>
          <w:kern w:val="0"/>
          <w:sz w:val="28"/>
          <w:szCs w:val="28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行不相容岗位分离，岗位间职责清晰，各岗位按照工作流程有序进行。</w:t>
      </w:r>
    </w:p>
    <w:p w14:paraId="430B473B"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综上，根据评分标准，该项指标不扣分，得2分。</w:t>
      </w:r>
    </w:p>
    <w:p w14:paraId="352F0A45">
      <w:pPr>
        <w:adjustRightInd w:val="0"/>
        <w:snapToGrid w:val="0"/>
        <w:spacing w:line="578" w:lineRule="exact"/>
        <w:ind w:firstLine="640" w:firstLineChars="200"/>
        <w:outlineLvl w:val="3"/>
        <w:rPr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（3）资金使用规范</w:t>
      </w:r>
    </w:p>
    <w:p w14:paraId="17660EB4">
      <w:pPr>
        <w:adjustRightInd w:val="0"/>
        <w:snapToGrid w:val="0"/>
        <w:spacing w:line="578" w:lineRule="exact"/>
        <w:ind w:left="320" w:leftChars="100" w:firstLine="320" w:firstLineChars="100"/>
        <w:rPr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本部门资金严格按照《财务管理办法》《重大经济事项决策</w:t>
      </w:r>
    </w:p>
    <w:p w14:paraId="041E3626">
      <w:pPr>
        <w:adjustRightInd w:val="0"/>
        <w:snapToGrid w:val="0"/>
        <w:spacing w:line="578" w:lineRule="exact"/>
        <w:rPr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管理办法》《项目预算绩效管理办法》等相关办法进行使用，坚持量入为出、确保重点、厉行节约、注重实效、重大经济事项支出由集体决策研究决定的原则，保证资金使用合法合规。</w:t>
      </w:r>
    </w:p>
    <w:p w14:paraId="3D9BE60A"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综上，根据评分标准，该项指标不扣分，得4分。</w:t>
      </w:r>
    </w:p>
    <w:p w14:paraId="2DD7DFC6">
      <w:pPr>
        <w:adjustRightInd w:val="0"/>
        <w:snapToGrid w:val="0"/>
        <w:spacing w:line="578" w:lineRule="exact"/>
        <w:ind w:firstLine="640" w:firstLineChars="200"/>
        <w:contextualSpacing/>
        <w:jc w:val="left"/>
        <w:outlineLvl w:val="2"/>
        <w:rPr>
          <w:rFonts w:eastAsia="楷体_GB2312"/>
          <w:color w:val="auto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eastAsia="楷体_GB2312"/>
          <w:color w:val="auto"/>
          <w:kern w:val="0"/>
          <w:szCs w:val="32"/>
          <w:highlight w:val="none"/>
          <w:shd w:val="clear" w:color="auto" w:fill="FFFFFF"/>
        </w:rPr>
        <w:t>4</w:t>
      </w:r>
      <w:r>
        <w:rPr>
          <w:rFonts w:hint="eastAsia" w:eastAsia="楷体_GB2312"/>
          <w:color w:val="auto"/>
          <w:kern w:val="0"/>
          <w:szCs w:val="32"/>
          <w:highlight w:val="none"/>
          <w:shd w:val="clear" w:color="auto" w:fill="FFFFFF"/>
          <w:lang w:eastAsia="zh-CN"/>
        </w:rPr>
        <w:t>．</w:t>
      </w:r>
      <w:r>
        <w:rPr>
          <w:rFonts w:eastAsia="楷体_GB2312"/>
          <w:color w:val="auto"/>
          <w:kern w:val="0"/>
          <w:szCs w:val="32"/>
          <w:highlight w:val="none"/>
          <w:shd w:val="clear" w:color="auto" w:fill="FFFFFF"/>
          <w:lang w:val="zh-CN"/>
        </w:rPr>
        <w:t>资产管理。</w:t>
      </w:r>
    </w:p>
    <w:p w14:paraId="6CD40AF1">
      <w:pPr>
        <w:adjustRightInd w:val="0"/>
        <w:snapToGrid w:val="0"/>
        <w:spacing w:line="578" w:lineRule="exact"/>
        <w:ind w:firstLine="640" w:firstLineChars="200"/>
        <w:outlineLvl w:val="3"/>
        <w:rPr>
          <w:color w:val="auto"/>
          <w:kern w:val="0"/>
          <w:highlight w:val="none"/>
          <w:shd w:val="clear" w:color="auto" w:fill="FFFFFF"/>
          <w:lang w:val="zh-CN"/>
        </w:rPr>
      </w:pPr>
      <w:r>
        <w:rPr>
          <w:color w:val="auto"/>
          <w:kern w:val="0"/>
          <w:highlight w:val="none"/>
          <w:shd w:val="clear" w:color="auto" w:fill="FFFFFF"/>
          <w:lang w:val="zh-CN"/>
        </w:rPr>
        <w:t>（</w:t>
      </w:r>
      <w:r>
        <w:rPr>
          <w:color w:val="auto"/>
          <w:kern w:val="0"/>
          <w:highlight w:val="none"/>
          <w:shd w:val="clear" w:color="auto" w:fill="FFFFFF"/>
        </w:rPr>
        <w:t>1</w:t>
      </w:r>
      <w:r>
        <w:rPr>
          <w:color w:val="auto"/>
          <w:kern w:val="0"/>
          <w:highlight w:val="none"/>
          <w:shd w:val="clear" w:color="auto" w:fill="FFFFFF"/>
          <w:lang w:val="zh-CN"/>
        </w:rPr>
        <w:t>）人均资产变化率</w:t>
      </w:r>
    </w:p>
    <w:p w14:paraId="476A72B4">
      <w:pPr>
        <w:adjustRightInd w:val="0"/>
        <w:snapToGrid w:val="0"/>
        <w:spacing w:line="576" w:lineRule="exact"/>
        <w:ind w:left="320" w:leftChars="100" w:firstLine="320" w:firstLineChars="100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color w:val="auto"/>
          <w:kern w:val="0"/>
          <w:highlight w:val="none"/>
          <w:shd w:val="clear" w:color="auto" w:fill="FFFFFF"/>
        </w:rPr>
        <w:t>根据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决算报表和国有资产年报表，本部门202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4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年末实有人</w:t>
      </w:r>
    </w:p>
    <w:p w14:paraId="34B39C38">
      <w:pPr>
        <w:adjustRightInd w:val="0"/>
        <w:snapToGrid w:val="0"/>
        <w:spacing w:line="576" w:lineRule="exact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数为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106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人，固定资产和无形资产净值合计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455.07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万元。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eastAsia="zh-CN"/>
        </w:rPr>
        <w:t>2025年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末实有人数为</w:t>
      </w:r>
      <w:r>
        <w:rPr>
          <w:rFonts w:hint="eastAsia"/>
          <w:color w:val="auto"/>
          <w:szCs w:val="32"/>
          <w:highlight w:val="none"/>
          <w:lang w:val="en-US" w:eastAsia="zh-CN"/>
        </w:rPr>
        <w:t>122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人，固定资产和无形资产净值合计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313.53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万元。</w:t>
      </w:r>
    </w:p>
    <w:p w14:paraId="08BE3DCB">
      <w:pPr>
        <w:adjustRightInd w:val="0"/>
        <w:snapToGrid w:val="0"/>
        <w:spacing w:line="576" w:lineRule="exact"/>
        <w:ind w:firstLine="640" w:firstLineChars="200"/>
        <w:outlineLvl w:val="3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（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2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）资产利用率</w:t>
      </w:r>
    </w:p>
    <w:p w14:paraId="39A7A252">
      <w:pPr>
        <w:adjustRightInd w:val="0"/>
        <w:snapToGrid w:val="0"/>
        <w:spacing w:line="576" w:lineRule="exact"/>
        <w:ind w:left="320" w:leftChars="100" w:firstLine="320" w:firstLineChars="100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根据资产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</w:rPr>
        <w:t>卡片账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，本部门超最低使用年限的办公家具账面价</w:t>
      </w:r>
    </w:p>
    <w:p w14:paraId="167871CB">
      <w:pPr>
        <w:adjustRightInd w:val="0"/>
        <w:snapToGrid w:val="0"/>
        <w:spacing w:line="576" w:lineRule="exact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值为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0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万元，办公家具账面价值为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56.07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万元，办公家具超最低使用年限资产利用率为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0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%。</w:t>
      </w:r>
    </w:p>
    <w:p w14:paraId="68811AD3">
      <w:pPr>
        <w:adjustRightInd w:val="0"/>
        <w:snapToGrid w:val="0"/>
        <w:spacing w:line="576" w:lineRule="exact"/>
        <w:ind w:left="320" w:leftChars="100" w:firstLine="320" w:firstLineChars="100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根据资产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</w:rPr>
        <w:t>卡片账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，本部门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eastAsia="zh-CN"/>
        </w:rPr>
        <w:t>2025年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办公设备超最低使用年限</w:t>
      </w:r>
    </w:p>
    <w:p w14:paraId="3E948538">
      <w:pPr>
        <w:adjustRightInd w:val="0"/>
        <w:snapToGrid w:val="0"/>
        <w:spacing w:line="576" w:lineRule="exact"/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eastAsia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账面价值为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9.51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万元，办公设备账面价值为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538.73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万元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eastAsia="zh-CN"/>
        </w:rPr>
        <w:t>。</w:t>
      </w:r>
    </w:p>
    <w:p w14:paraId="4FCAA8BD">
      <w:pPr>
        <w:adjustRightInd w:val="0"/>
        <w:snapToGrid w:val="0"/>
        <w:spacing w:line="576" w:lineRule="exact"/>
        <w:ind w:firstLine="640" w:firstLineChars="200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综上，根据评分标准，该项指标得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0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</w:rPr>
        <w:t>+1.5=1.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5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分。</w:t>
      </w:r>
    </w:p>
    <w:p w14:paraId="04B4166A">
      <w:pPr>
        <w:adjustRightInd w:val="0"/>
        <w:snapToGrid w:val="0"/>
        <w:spacing w:line="576" w:lineRule="exact"/>
        <w:ind w:firstLine="640" w:firstLineChars="200"/>
        <w:outlineLvl w:val="3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（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3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）资产盘活率</w:t>
      </w:r>
    </w:p>
    <w:p w14:paraId="24C0D922">
      <w:pPr>
        <w:adjustRightInd w:val="0"/>
        <w:snapToGrid w:val="0"/>
        <w:spacing w:line="576" w:lineRule="exact"/>
        <w:ind w:left="320" w:leftChars="100" w:firstLine="320" w:firstLineChars="100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根据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资产卡片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，本部门本年闲置资产账面价值为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0.00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万元，</w:t>
      </w:r>
    </w:p>
    <w:p w14:paraId="6E3E29C0">
      <w:pPr>
        <w:adjustRightInd w:val="0"/>
        <w:snapToGrid w:val="0"/>
        <w:spacing w:line="576" w:lineRule="exact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本年总资产账面价值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1214.15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万元，上一年度闲置资产账面价值为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0.00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万元。</w:t>
      </w:r>
    </w:p>
    <w:p w14:paraId="34B74833">
      <w:pPr>
        <w:adjustRightInd w:val="0"/>
        <w:snapToGrid w:val="0"/>
        <w:spacing w:line="576" w:lineRule="exact"/>
        <w:ind w:firstLine="640" w:firstLineChars="200"/>
        <w:rPr>
          <w:rFonts w:eastAsia="楷体_GB2312"/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综上，根据评分标准，该项指标不扣分，得3分。</w:t>
      </w:r>
    </w:p>
    <w:p w14:paraId="625A7B95">
      <w:pPr>
        <w:adjustRightInd w:val="0"/>
        <w:snapToGrid w:val="0"/>
        <w:spacing w:line="578" w:lineRule="exact"/>
        <w:ind w:firstLine="640" w:firstLineChars="200"/>
        <w:contextualSpacing/>
        <w:jc w:val="left"/>
        <w:outlineLvl w:val="2"/>
        <w:rPr>
          <w:rFonts w:eastAsia="楷体_GB2312"/>
          <w:color w:val="auto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eastAsia="楷体_GB2312"/>
          <w:color w:val="auto"/>
          <w:kern w:val="0"/>
          <w:szCs w:val="32"/>
          <w:highlight w:val="none"/>
          <w:shd w:val="clear" w:color="auto" w:fill="FFFFFF"/>
        </w:rPr>
        <w:t>5</w:t>
      </w:r>
      <w:r>
        <w:rPr>
          <w:rFonts w:hint="eastAsia" w:eastAsia="楷体_GB2312"/>
          <w:color w:val="auto"/>
          <w:kern w:val="0"/>
          <w:szCs w:val="32"/>
          <w:highlight w:val="none"/>
          <w:shd w:val="clear" w:color="auto" w:fill="FFFFFF"/>
          <w:lang w:eastAsia="zh-CN"/>
        </w:rPr>
        <w:t>．</w:t>
      </w:r>
      <w:r>
        <w:rPr>
          <w:rFonts w:eastAsia="楷体_GB2312"/>
          <w:color w:val="auto"/>
          <w:kern w:val="0"/>
          <w:szCs w:val="32"/>
          <w:highlight w:val="none"/>
          <w:shd w:val="clear" w:color="auto" w:fill="FFFFFF"/>
          <w:lang w:val="zh-CN"/>
        </w:rPr>
        <w:t>采购管理。</w:t>
      </w:r>
    </w:p>
    <w:p w14:paraId="77639400">
      <w:pPr>
        <w:adjustRightInd w:val="0"/>
        <w:snapToGrid w:val="0"/>
        <w:spacing w:line="576" w:lineRule="exact"/>
        <w:ind w:firstLine="640" w:firstLineChars="200"/>
        <w:outlineLvl w:val="3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（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1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）支持中小企业发展</w:t>
      </w:r>
    </w:p>
    <w:p w14:paraId="7BB2F490">
      <w:pPr>
        <w:adjustRightInd w:val="0"/>
        <w:snapToGrid w:val="0"/>
        <w:spacing w:line="576" w:lineRule="exact"/>
        <w:ind w:left="320" w:leftChars="100" w:firstLine="320" w:firstLineChars="100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本部门已预留采购份额专门面向中小企业采购，并在采购预</w:t>
      </w:r>
    </w:p>
    <w:p w14:paraId="48729A3D">
      <w:pPr>
        <w:adjustRightInd w:val="0"/>
        <w:snapToGrid w:val="0"/>
        <w:spacing w:line="576" w:lineRule="exact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算中单独列示，根据决算报表，政府采购授予中小企业合同金额为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0.00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万元。</w:t>
      </w:r>
    </w:p>
    <w:p w14:paraId="363EB244">
      <w:pPr>
        <w:adjustRightInd w:val="0"/>
        <w:snapToGrid w:val="0"/>
        <w:spacing w:line="576" w:lineRule="exact"/>
        <w:ind w:firstLine="640" w:firstLineChars="200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综上，根据评分标准，该项指标不扣分，得3分。</w:t>
      </w:r>
    </w:p>
    <w:p w14:paraId="5F94CED4">
      <w:pPr>
        <w:widowControl/>
        <w:adjustRightInd w:val="0"/>
        <w:snapToGrid w:val="0"/>
        <w:spacing w:line="576" w:lineRule="exact"/>
        <w:ind w:firstLine="640" w:firstLineChars="200"/>
        <w:outlineLvl w:val="3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（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2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）采购执行率</w:t>
      </w:r>
    </w:p>
    <w:p w14:paraId="222FAF06">
      <w:pPr>
        <w:tabs>
          <w:tab w:val="left" w:pos="1100"/>
        </w:tabs>
        <w:adjustRightInd w:val="0"/>
        <w:snapToGrid w:val="0"/>
        <w:spacing w:line="576" w:lineRule="exact"/>
        <w:ind w:left="320" w:leftChars="100" w:firstLine="320" w:firstLineChars="100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</w:rPr>
        <w:t>本部门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当年政府采购实际支付总金额为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2735.15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万元，当年</w:t>
      </w:r>
    </w:p>
    <w:p w14:paraId="4957A4B7">
      <w:pPr>
        <w:tabs>
          <w:tab w:val="left" w:pos="1100"/>
        </w:tabs>
        <w:adjustRightInd w:val="0"/>
        <w:snapToGrid w:val="0"/>
        <w:spacing w:line="576" w:lineRule="exact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政府采购总预算数为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2735.15</w:t>
      </w:r>
      <w:r>
        <w:rPr>
          <w:snapToGrid w:val="0"/>
          <w:color w:val="auto"/>
          <w:kern w:val="0"/>
          <w:highlight w:val="none"/>
        </w:rPr>
        <w:t>万元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，当年已完成采购项目节约金额为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0.00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万元。</w:t>
      </w:r>
    </w:p>
    <w:p w14:paraId="1A68667A">
      <w:pPr>
        <w:adjustRightInd w:val="0"/>
        <w:snapToGrid w:val="0"/>
        <w:spacing w:line="576" w:lineRule="exact"/>
        <w:ind w:firstLine="640" w:firstLineChars="200"/>
        <w:rPr>
          <w:rFonts w:eastAsia="楷体_GB2312"/>
          <w:b/>
          <w:bCs/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综上，根据评分标准，该项指标得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</w:rPr>
        <w:t>3.00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分。</w:t>
      </w:r>
    </w:p>
    <w:p w14:paraId="5C5F42B8">
      <w:pPr>
        <w:widowControl/>
        <w:adjustRightInd w:val="0"/>
        <w:snapToGrid w:val="0"/>
        <w:spacing w:line="578" w:lineRule="exact"/>
        <w:ind w:firstLine="643" w:firstLineChars="200"/>
        <w:contextualSpacing/>
        <w:jc w:val="left"/>
        <w:outlineLvl w:val="1"/>
        <w:rPr>
          <w:color w:val="auto"/>
          <w:kern w:val="0"/>
          <w:szCs w:val="32"/>
          <w:highlight w:val="none"/>
          <w:shd w:val="clear" w:color="auto" w:fill="FFFFFF"/>
        </w:rPr>
      </w:pPr>
      <w:r>
        <w:rPr>
          <w:rFonts w:eastAsia="楷体_GB2312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  <w:t>（二）部门预算项目绩效分析。</w:t>
      </w:r>
    </w:p>
    <w:p w14:paraId="7371DFCF"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hint="eastAsia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1．</w:t>
      </w:r>
      <w:r>
        <w:rPr>
          <w:rFonts w:eastAsia="楷体_GB2312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zh-CN"/>
        </w:rPr>
        <w:t>预算项目绩效分析</w:t>
      </w:r>
    </w:p>
    <w:p w14:paraId="1DAA9AD9">
      <w:pPr>
        <w:adjustRightInd w:val="0"/>
        <w:snapToGrid w:val="0"/>
        <w:spacing w:line="578" w:lineRule="exact"/>
        <w:ind w:left="320" w:leftChars="100" w:firstLine="320" w:firstLineChars="100"/>
        <w:contextualSpacing/>
        <w:jc w:val="left"/>
        <w:rPr>
          <w:color w:val="auto"/>
          <w:kern w:val="0"/>
          <w:szCs w:val="32"/>
          <w:highlight w:val="none"/>
          <w:shd w:val="clear" w:color="auto" w:fill="FFFFFF"/>
          <w:lang w:val="zh-CN"/>
        </w:rPr>
      </w:pPr>
      <w:r>
        <w:rPr>
          <w:color w:val="auto"/>
          <w:kern w:val="0"/>
          <w:szCs w:val="32"/>
          <w:highlight w:val="none"/>
          <w:shd w:val="clear" w:color="auto" w:fill="FFFFFF"/>
        </w:rPr>
        <w:t>常年项目绩效分析。</w:t>
      </w:r>
      <w:r>
        <w:rPr>
          <w:color w:val="auto"/>
          <w:kern w:val="0"/>
          <w:szCs w:val="32"/>
          <w:highlight w:val="none"/>
          <w:shd w:val="clear" w:color="auto" w:fill="FFFFFF"/>
          <w:lang w:val="zh-CN"/>
        </w:rPr>
        <w:t>该类项目总数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41</w:t>
      </w:r>
      <w:r>
        <w:rPr>
          <w:color w:val="auto"/>
          <w:kern w:val="0"/>
          <w:szCs w:val="32"/>
          <w:highlight w:val="none"/>
          <w:shd w:val="clear" w:color="auto" w:fill="FFFFFF"/>
          <w:lang w:val="zh-CN"/>
        </w:rPr>
        <w:t>个，涉及预算总金额</w:t>
      </w:r>
    </w:p>
    <w:p w14:paraId="1C16F014">
      <w:pPr>
        <w:adjustRightInd w:val="0"/>
        <w:snapToGrid w:val="0"/>
        <w:spacing w:line="578" w:lineRule="exact"/>
        <w:contextualSpacing/>
        <w:jc w:val="left"/>
        <w:rPr>
          <w:color w:val="auto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47925.79</w:t>
      </w:r>
      <w:r>
        <w:rPr>
          <w:color w:val="auto"/>
          <w:kern w:val="0"/>
          <w:szCs w:val="32"/>
          <w:highlight w:val="none"/>
          <w:shd w:val="clear" w:color="auto" w:fill="FFFFFF"/>
          <w:lang w:val="zh-CN"/>
        </w:rPr>
        <w:t>万元，1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zh-CN"/>
        </w:rPr>
        <w:t>—</w:t>
      </w:r>
      <w:r>
        <w:rPr>
          <w:color w:val="auto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color w:val="auto"/>
          <w:kern w:val="0"/>
          <w:szCs w:val="32"/>
          <w:highlight w:val="none"/>
          <w:shd w:val="clear" w:color="auto" w:fill="FFFFFF"/>
        </w:rPr>
        <w:t>2</w:t>
      </w:r>
      <w:r>
        <w:rPr>
          <w:color w:val="auto"/>
          <w:kern w:val="0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color w:val="auto"/>
          <w:kern w:val="0"/>
          <w:szCs w:val="32"/>
          <w:highlight w:val="none"/>
          <w:shd w:val="clear" w:color="auto" w:fill="FFFFFF"/>
          <w:lang w:val="zh-CN"/>
        </w:rPr>
        <w:t>%，其中：预算结余率大于</w:t>
      </w:r>
      <w:r>
        <w:rPr>
          <w:color w:val="auto"/>
          <w:kern w:val="0"/>
          <w:szCs w:val="32"/>
          <w:highlight w:val="none"/>
          <w:shd w:val="clear" w:color="auto" w:fill="FFFFFF"/>
        </w:rPr>
        <w:t>10%</w:t>
      </w:r>
      <w:r>
        <w:rPr>
          <w:color w:val="auto"/>
          <w:kern w:val="0"/>
          <w:szCs w:val="32"/>
          <w:highlight w:val="none"/>
          <w:shd w:val="clear" w:color="auto" w:fill="FFFFFF"/>
          <w:lang w:val="zh-CN"/>
        </w:rPr>
        <w:t>的项目共计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color w:val="auto"/>
          <w:kern w:val="0"/>
          <w:szCs w:val="32"/>
          <w:highlight w:val="none"/>
          <w:shd w:val="clear" w:color="auto" w:fill="FFFFFF"/>
          <w:lang w:val="zh-CN"/>
        </w:rPr>
        <w:t>个。</w:t>
      </w:r>
    </w:p>
    <w:p w14:paraId="6759EC40">
      <w:pPr>
        <w:adjustRightInd w:val="0"/>
        <w:snapToGrid w:val="0"/>
        <w:spacing w:line="578" w:lineRule="exact"/>
        <w:ind w:left="320" w:leftChars="100" w:firstLine="320" w:firstLineChars="100"/>
        <w:contextualSpacing/>
        <w:rPr>
          <w:color w:val="auto"/>
          <w:kern w:val="0"/>
          <w:szCs w:val="32"/>
          <w:highlight w:val="none"/>
          <w:shd w:val="clear" w:color="auto" w:fill="FFFFFF"/>
          <w:lang w:val="zh-CN"/>
        </w:rPr>
      </w:pPr>
      <w:r>
        <w:rPr>
          <w:color w:val="auto"/>
          <w:kern w:val="0"/>
          <w:szCs w:val="32"/>
          <w:highlight w:val="none"/>
          <w:shd w:val="clear" w:color="auto" w:fill="FFFFFF"/>
        </w:rPr>
        <w:t>阶段（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</w:rPr>
        <w:t>含</w:t>
      </w:r>
      <w:r>
        <w:rPr>
          <w:color w:val="auto"/>
          <w:kern w:val="0"/>
          <w:szCs w:val="32"/>
          <w:highlight w:val="none"/>
          <w:shd w:val="clear" w:color="auto" w:fill="FFFFFF"/>
        </w:rPr>
        <w:t>一次性）项目绩效分析。</w:t>
      </w:r>
      <w:r>
        <w:rPr>
          <w:color w:val="auto"/>
          <w:kern w:val="0"/>
          <w:szCs w:val="32"/>
          <w:highlight w:val="none"/>
          <w:shd w:val="clear" w:color="auto" w:fill="FFFFFF"/>
          <w:lang w:val="zh-CN"/>
        </w:rPr>
        <w:t>该类项目总数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color w:val="auto"/>
          <w:kern w:val="0"/>
          <w:szCs w:val="32"/>
          <w:highlight w:val="none"/>
          <w:shd w:val="clear" w:color="auto" w:fill="FFFFFF"/>
          <w:lang w:val="zh-CN"/>
        </w:rPr>
        <w:t>个，涉及</w:t>
      </w:r>
    </w:p>
    <w:p w14:paraId="0FDE13E4">
      <w:pPr>
        <w:adjustRightInd w:val="0"/>
        <w:snapToGrid w:val="0"/>
        <w:spacing w:line="578" w:lineRule="exact"/>
        <w:contextualSpacing/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zh-CN"/>
        </w:rPr>
      </w:pPr>
      <w:r>
        <w:rPr>
          <w:color w:val="auto"/>
          <w:kern w:val="0"/>
          <w:szCs w:val="32"/>
          <w:highlight w:val="none"/>
          <w:shd w:val="clear" w:color="auto" w:fill="FFFFFF"/>
          <w:lang w:val="zh-CN"/>
        </w:rPr>
        <w:t>预算总金额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3446.72</w:t>
      </w:r>
      <w:r>
        <w:rPr>
          <w:color w:val="auto"/>
          <w:kern w:val="0"/>
          <w:szCs w:val="32"/>
          <w:highlight w:val="none"/>
          <w:shd w:val="clear" w:color="auto" w:fill="FFFFFF"/>
          <w:lang w:val="zh-CN"/>
        </w:rPr>
        <w:t>万元。</w:t>
      </w:r>
    </w:p>
    <w:p w14:paraId="18BBE560">
      <w:pPr>
        <w:adjustRightInd w:val="0"/>
        <w:snapToGrid w:val="0"/>
        <w:spacing w:line="600" w:lineRule="exact"/>
        <w:ind w:firstLine="640" w:firstLineChars="200"/>
        <w:contextualSpacing/>
        <w:rPr>
          <w:rFonts w:eastAsia="楷体_GB2312"/>
          <w:color w:val="auto"/>
          <w:kern w:val="0"/>
          <w:szCs w:val="32"/>
          <w:highlight w:val="none"/>
          <w:shd w:val="clear" w:color="auto" w:fill="FFFFFF"/>
        </w:rPr>
      </w:pPr>
      <w:r>
        <w:rPr>
          <w:rFonts w:eastAsia="楷体_GB2312"/>
          <w:color w:val="auto"/>
          <w:kern w:val="0"/>
          <w:szCs w:val="32"/>
          <w:highlight w:val="none"/>
          <w:shd w:val="clear" w:color="auto" w:fill="FFFFFF"/>
          <w:lang w:val="zh-CN"/>
        </w:rPr>
        <w:t>具体项目完成情况如下：</w:t>
      </w:r>
    </w:p>
    <w:p w14:paraId="2BEED4AD">
      <w:pPr>
        <w:numPr>
          <w:ilvl w:val="0"/>
          <w:numId w:val="2"/>
        </w:numPr>
        <w:adjustRightInd w:val="0"/>
        <w:snapToGrid w:val="0"/>
        <w:spacing w:line="600" w:lineRule="exact"/>
        <w:ind w:left="320" w:leftChars="100" w:firstLine="320" w:firstLineChars="100"/>
        <w:contextualSpacing/>
        <w:rPr>
          <w:color w:val="auto"/>
          <w:kern w:val="0"/>
          <w:szCs w:val="32"/>
          <w:highlight w:val="none"/>
          <w:shd w:val="clear" w:color="auto" w:fill="FFFFFF"/>
        </w:rPr>
      </w:pPr>
      <w:r>
        <w:rPr>
          <w:color w:val="auto"/>
          <w:kern w:val="0"/>
          <w:szCs w:val="32"/>
          <w:highlight w:val="none"/>
          <w:shd w:val="clear" w:color="auto" w:fill="FFFFFF"/>
        </w:rPr>
        <w:t>人员类项目。包含工资性支出、其他人员支出、单位</w:t>
      </w:r>
    </w:p>
    <w:p w14:paraId="7100CCB4">
      <w:pPr>
        <w:numPr>
          <w:ilvl w:val="0"/>
          <w:numId w:val="0"/>
        </w:numPr>
        <w:adjustRightInd w:val="0"/>
        <w:snapToGrid w:val="0"/>
        <w:spacing w:line="600" w:lineRule="exact"/>
        <w:contextualSpacing/>
        <w:rPr>
          <w:color w:val="auto"/>
          <w:kern w:val="0"/>
          <w:szCs w:val="32"/>
          <w:highlight w:val="none"/>
          <w:shd w:val="clear" w:color="auto" w:fill="FFFFFF"/>
        </w:rPr>
      </w:pPr>
      <w:r>
        <w:rPr>
          <w:color w:val="auto"/>
          <w:kern w:val="0"/>
          <w:szCs w:val="32"/>
          <w:highlight w:val="none"/>
          <w:shd w:val="clear" w:color="auto" w:fill="FFFFFF"/>
        </w:rPr>
        <w:t>缴费、离退休费支出、其他补助支出等，绩效目标根据预算一体化自动生成，主要涉及科目调整次数、足额保障率、发放（缴纳）覆盖率、按时发放率、结余率等指标，绩效目标编制科学合理、规范完整、细化量化并与预算安排相匹配。本年度人员类项目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1</w:t>
      </w:r>
      <w:r>
        <w:rPr>
          <w:color w:val="auto"/>
          <w:kern w:val="0"/>
          <w:szCs w:val="32"/>
          <w:highlight w:val="none"/>
          <w:shd w:val="clear" w:color="auto" w:fill="FFFFFF"/>
        </w:rPr>
        <w:t>个，年初预算数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3223.3</w:t>
      </w:r>
      <w:r>
        <w:rPr>
          <w:color w:val="auto"/>
          <w:kern w:val="0"/>
          <w:szCs w:val="32"/>
          <w:highlight w:val="none"/>
          <w:shd w:val="clear" w:color="auto" w:fill="FFFFFF"/>
        </w:rPr>
        <w:t>万元，调整预算数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3068.12</w:t>
      </w:r>
      <w:r>
        <w:rPr>
          <w:color w:val="auto"/>
          <w:kern w:val="0"/>
          <w:szCs w:val="32"/>
          <w:highlight w:val="none"/>
          <w:shd w:val="clear" w:color="auto" w:fill="FFFFFF"/>
        </w:rPr>
        <w:t>万元，决算数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3068.12</w:t>
      </w:r>
      <w:r>
        <w:rPr>
          <w:color w:val="auto"/>
          <w:kern w:val="0"/>
          <w:szCs w:val="32"/>
          <w:highlight w:val="none"/>
          <w:shd w:val="clear" w:color="auto" w:fill="FFFFFF"/>
        </w:rPr>
        <w:t>万元，预算执行率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color w:val="auto"/>
          <w:kern w:val="0"/>
          <w:szCs w:val="32"/>
          <w:highlight w:val="none"/>
          <w:shd w:val="clear" w:color="auto" w:fill="FFFFFF"/>
        </w:rPr>
        <w:t>%。主要用于工资性支出、单位缴费支出、离退休人员经费支出等。</w:t>
      </w:r>
    </w:p>
    <w:p w14:paraId="4732E9B7">
      <w:pPr>
        <w:numPr>
          <w:ilvl w:val="0"/>
          <w:numId w:val="2"/>
        </w:numPr>
        <w:adjustRightInd w:val="0"/>
        <w:snapToGrid w:val="0"/>
        <w:spacing w:line="600" w:lineRule="exact"/>
        <w:ind w:left="320" w:leftChars="100" w:firstLine="320" w:firstLineChars="100"/>
        <w:contextualSpacing/>
        <w:rPr>
          <w:color w:val="auto"/>
          <w:kern w:val="0"/>
          <w:szCs w:val="32"/>
          <w:highlight w:val="none"/>
          <w:shd w:val="clear" w:color="auto" w:fill="FFFFFF"/>
        </w:rPr>
      </w:pPr>
      <w:r>
        <w:rPr>
          <w:color w:val="auto"/>
          <w:kern w:val="0"/>
          <w:szCs w:val="32"/>
          <w:highlight w:val="none"/>
          <w:shd w:val="clear" w:color="auto" w:fill="FFFFFF"/>
        </w:rPr>
        <w:t>公用经费项目。包含日常公用经费、非定额公用经费、</w:t>
      </w:r>
    </w:p>
    <w:p w14:paraId="1EFB3CD2">
      <w:pPr>
        <w:numPr>
          <w:ilvl w:val="0"/>
          <w:numId w:val="0"/>
        </w:numPr>
        <w:adjustRightInd w:val="0"/>
        <w:snapToGrid w:val="0"/>
        <w:spacing w:line="600" w:lineRule="exact"/>
        <w:contextualSpacing/>
        <w:rPr>
          <w:color w:val="auto"/>
          <w:kern w:val="0"/>
          <w:szCs w:val="32"/>
          <w:highlight w:val="none"/>
          <w:shd w:val="clear" w:color="auto" w:fill="FFFFFF"/>
        </w:rPr>
      </w:pPr>
      <w:r>
        <w:rPr>
          <w:color w:val="auto"/>
          <w:kern w:val="0"/>
          <w:szCs w:val="32"/>
          <w:highlight w:val="none"/>
          <w:shd w:val="clear" w:color="auto" w:fill="FFFFFF"/>
        </w:rPr>
        <w:t>离退休公用和其他运转支出。具体用于培训费、差旅费、机关人员日常公用支出、事业单位离退休人员公用经费支出等。本年度运转类公用经费项目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1</w:t>
      </w:r>
      <w:r>
        <w:rPr>
          <w:color w:val="auto"/>
          <w:kern w:val="0"/>
          <w:szCs w:val="32"/>
          <w:highlight w:val="none"/>
          <w:shd w:val="clear" w:color="auto" w:fill="FFFFFF"/>
        </w:rPr>
        <w:t>个，年初预算数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404.78</w:t>
      </w:r>
      <w:r>
        <w:rPr>
          <w:color w:val="auto"/>
          <w:kern w:val="0"/>
          <w:szCs w:val="32"/>
          <w:highlight w:val="none"/>
          <w:shd w:val="clear" w:color="auto" w:fill="FFFFFF"/>
        </w:rPr>
        <w:t>万元，调整后预算数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378.6</w:t>
      </w:r>
      <w:r>
        <w:rPr>
          <w:color w:val="auto"/>
          <w:kern w:val="0"/>
          <w:szCs w:val="32"/>
          <w:highlight w:val="none"/>
          <w:shd w:val="clear" w:color="auto" w:fill="FFFFFF"/>
        </w:rPr>
        <w:t>万元，决算数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378.6</w:t>
      </w:r>
      <w:r>
        <w:rPr>
          <w:color w:val="auto"/>
          <w:kern w:val="0"/>
          <w:szCs w:val="32"/>
          <w:highlight w:val="none"/>
          <w:shd w:val="clear" w:color="auto" w:fill="FFFFFF"/>
        </w:rPr>
        <w:t>万元，执行率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color w:val="auto"/>
          <w:kern w:val="0"/>
          <w:szCs w:val="32"/>
          <w:highlight w:val="none"/>
          <w:shd w:val="clear" w:color="auto" w:fill="FFFFFF"/>
        </w:rPr>
        <w:t>%，保障了机关的正常运转和离退休人员活动的正常开展。</w:t>
      </w:r>
    </w:p>
    <w:p w14:paraId="2221197F">
      <w:pPr>
        <w:numPr>
          <w:ilvl w:val="0"/>
          <w:numId w:val="2"/>
        </w:numPr>
        <w:adjustRightInd w:val="0"/>
        <w:snapToGrid w:val="0"/>
        <w:spacing w:line="578" w:lineRule="exact"/>
        <w:ind w:left="320" w:leftChars="100" w:firstLine="320" w:firstLineChars="100"/>
        <w:contextualSpacing/>
        <w:rPr>
          <w:color w:val="auto"/>
          <w:kern w:val="0"/>
          <w:szCs w:val="32"/>
          <w:highlight w:val="none"/>
          <w:shd w:val="clear" w:color="auto" w:fill="FFFFFF"/>
        </w:rPr>
      </w:pPr>
      <w:r>
        <w:rPr>
          <w:color w:val="auto"/>
          <w:kern w:val="0"/>
          <w:szCs w:val="32"/>
          <w:highlight w:val="none"/>
          <w:shd w:val="clear" w:color="auto" w:fill="FFFFFF"/>
        </w:rPr>
        <w:t>阶段项目（一次性项目）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0个</w:t>
      </w:r>
      <w:r>
        <w:rPr>
          <w:color w:val="auto"/>
          <w:kern w:val="0"/>
          <w:szCs w:val="32"/>
          <w:highlight w:val="none"/>
          <w:shd w:val="clear" w:color="auto" w:fill="FFFFFF"/>
        </w:rPr>
        <w:t>。年初预算数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0.00</w:t>
      </w:r>
      <w:r>
        <w:rPr>
          <w:color w:val="auto"/>
          <w:kern w:val="0"/>
          <w:szCs w:val="32"/>
          <w:highlight w:val="none"/>
          <w:shd w:val="clear" w:color="auto" w:fill="FFFFFF"/>
        </w:rPr>
        <w:t>万元，</w:t>
      </w:r>
    </w:p>
    <w:p w14:paraId="14167E1B">
      <w:pPr>
        <w:numPr>
          <w:ilvl w:val="0"/>
          <w:numId w:val="0"/>
        </w:numPr>
        <w:adjustRightInd w:val="0"/>
        <w:snapToGrid w:val="0"/>
        <w:spacing w:line="578" w:lineRule="exact"/>
        <w:contextualSpacing/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zh-CN"/>
        </w:rPr>
      </w:pPr>
      <w:r>
        <w:rPr>
          <w:color w:val="auto"/>
          <w:kern w:val="0"/>
          <w:szCs w:val="32"/>
          <w:highlight w:val="none"/>
          <w:shd w:val="clear" w:color="auto" w:fill="FFFFFF"/>
        </w:rPr>
        <w:t>调整后预算数为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0.00</w:t>
      </w:r>
      <w:r>
        <w:rPr>
          <w:color w:val="auto"/>
          <w:kern w:val="0"/>
          <w:szCs w:val="32"/>
          <w:highlight w:val="none"/>
          <w:shd w:val="clear" w:color="auto" w:fill="FFFFFF"/>
        </w:rPr>
        <w:t>万元，决算数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0.00</w:t>
      </w:r>
      <w:r>
        <w:rPr>
          <w:color w:val="auto"/>
          <w:kern w:val="0"/>
          <w:szCs w:val="32"/>
          <w:highlight w:val="none"/>
          <w:shd w:val="clear" w:color="auto" w:fill="FFFFFF"/>
        </w:rPr>
        <w:t>万元，执行率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0%</w:t>
      </w:r>
      <w:r>
        <w:rPr>
          <w:color w:val="auto"/>
          <w:kern w:val="0"/>
          <w:szCs w:val="32"/>
          <w:highlight w:val="none"/>
          <w:shd w:val="clear" w:color="auto" w:fill="FFFFFF"/>
        </w:rPr>
        <w:t>。</w:t>
      </w:r>
    </w:p>
    <w:p w14:paraId="1774E8B8">
      <w:pPr>
        <w:adjustRightInd w:val="0"/>
        <w:snapToGrid w:val="0"/>
        <w:spacing w:line="576" w:lineRule="exact"/>
        <w:ind w:firstLine="640" w:firstLineChars="200"/>
        <w:outlineLvl w:val="2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2</w:t>
      </w:r>
      <w:r>
        <w:rPr>
          <w:rFonts w:hint="eastAsia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．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项目决策</w:t>
      </w:r>
    </w:p>
    <w:p w14:paraId="4FA1D9E5">
      <w:pPr>
        <w:adjustRightInd w:val="0"/>
        <w:snapToGrid w:val="0"/>
        <w:spacing w:line="576" w:lineRule="exact"/>
        <w:ind w:firstLine="640" w:firstLineChars="200"/>
        <w:outlineLvl w:val="3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（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1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）决策程序</w:t>
      </w:r>
    </w:p>
    <w:p w14:paraId="026E95EF">
      <w:pPr>
        <w:adjustRightInd w:val="0"/>
        <w:snapToGrid w:val="0"/>
        <w:spacing w:line="576" w:lineRule="exact"/>
        <w:ind w:left="320" w:leftChars="100" w:firstLine="320" w:firstLineChars="100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根据可执行情况表，本部门预算阶段项目（含一次性项目）</w:t>
      </w:r>
    </w:p>
    <w:p w14:paraId="18B8FA25">
      <w:pPr>
        <w:adjustRightInd w:val="0"/>
        <w:snapToGrid w:val="0"/>
        <w:spacing w:line="576" w:lineRule="exact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总数为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1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个，无未履行事前评估程序的部门预算阶段项目。</w:t>
      </w:r>
    </w:p>
    <w:p w14:paraId="32D3A2DE">
      <w:pPr>
        <w:adjustRightInd w:val="0"/>
        <w:snapToGrid w:val="0"/>
        <w:spacing w:line="576" w:lineRule="exact"/>
        <w:ind w:firstLine="640" w:firstLineChars="200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综上，根据评分标准，该项指标不扣分，得4分。</w:t>
      </w:r>
    </w:p>
    <w:p w14:paraId="7B820866">
      <w:pPr>
        <w:adjustRightInd w:val="0"/>
        <w:snapToGrid w:val="0"/>
        <w:spacing w:line="576" w:lineRule="exact"/>
        <w:ind w:firstLine="640" w:firstLineChars="200"/>
        <w:outlineLvl w:val="3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（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2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）目标设置</w:t>
      </w:r>
    </w:p>
    <w:p w14:paraId="3E35328E">
      <w:pPr>
        <w:adjustRightInd w:val="0"/>
        <w:snapToGrid w:val="0"/>
        <w:spacing w:line="576" w:lineRule="exact"/>
        <w:ind w:left="320" w:leftChars="100" w:firstLine="320" w:firstLineChars="100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本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部门预算阶段项目（含一次性项目）总数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1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个，无绩效</w:t>
      </w:r>
    </w:p>
    <w:p w14:paraId="3B58B790">
      <w:pPr>
        <w:adjustRightInd w:val="0"/>
        <w:snapToGrid w:val="0"/>
        <w:spacing w:line="576" w:lineRule="exact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目标与计划期内的任务量、预算安排不相匹配的部门预算阶段项目（含一次性项目）。</w:t>
      </w:r>
    </w:p>
    <w:p w14:paraId="6041AC3A">
      <w:pPr>
        <w:adjustRightInd w:val="0"/>
        <w:snapToGrid w:val="0"/>
        <w:spacing w:line="576" w:lineRule="exact"/>
        <w:ind w:firstLine="640" w:firstLineChars="200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综上，根据评分标准，该项指标不扣分，得4分。</w:t>
      </w:r>
    </w:p>
    <w:p w14:paraId="4DE06963">
      <w:pPr>
        <w:adjustRightInd w:val="0"/>
        <w:snapToGrid w:val="0"/>
        <w:spacing w:line="576" w:lineRule="exact"/>
        <w:ind w:firstLine="640" w:firstLineChars="200"/>
        <w:outlineLvl w:val="3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（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3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）项目入库</w:t>
      </w:r>
    </w:p>
    <w:p w14:paraId="01F12593">
      <w:pPr>
        <w:adjustRightInd w:val="0"/>
        <w:snapToGrid w:val="0"/>
        <w:spacing w:line="576" w:lineRule="exact"/>
        <w:ind w:left="320" w:leftChars="100" w:firstLine="320" w:firstLineChars="100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本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部门预算阶段项目（含一次性项目）总数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1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个，均已在</w:t>
      </w:r>
    </w:p>
    <w:p w14:paraId="6E532470">
      <w:pPr>
        <w:adjustRightInd w:val="0"/>
        <w:snapToGrid w:val="0"/>
        <w:spacing w:line="576" w:lineRule="exact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规定时间内入财政库。</w:t>
      </w:r>
    </w:p>
    <w:p w14:paraId="3C98ED4C">
      <w:pPr>
        <w:adjustRightInd w:val="0"/>
        <w:snapToGrid w:val="0"/>
        <w:spacing w:line="576" w:lineRule="exact"/>
        <w:ind w:firstLine="640" w:firstLineChars="200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综上，根据评分标准，该项指标不扣分，得4分。</w:t>
      </w:r>
    </w:p>
    <w:p w14:paraId="515A157D">
      <w:pPr>
        <w:adjustRightInd w:val="0"/>
        <w:snapToGrid w:val="0"/>
        <w:spacing w:line="576" w:lineRule="exact"/>
        <w:ind w:firstLine="640" w:firstLineChars="200"/>
        <w:outlineLvl w:val="2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2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eastAsia="zh-CN"/>
        </w:rPr>
        <w:t>．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项目执行</w:t>
      </w:r>
    </w:p>
    <w:p w14:paraId="347D034D">
      <w:pPr>
        <w:adjustRightInd w:val="0"/>
        <w:snapToGrid w:val="0"/>
        <w:spacing w:line="576" w:lineRule="exact"/>
        <w:ind w:firstLine="640" w:firstLineChars="200"/>
        <w:outlineLvl w:val="3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（1）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资金执行同向</w:t>
      </w:r>
    </w:p>
    <w:p w14:paraId="2A922266">
      <w:pPr>
        <w:adjustRightInd w:val="0"/>
        <w:snapToGrid w:val="0"/>
        <w:spacing w:line="576" w:lineRule="exact"/>
        <w:ind w:left="320" w:leftChars="100" w:firstLine="320" w:firstLineChars="100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本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部门预算阶段项目（含一次性项目）总数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1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个，无实际</w:t>
      </w:r>
    </w:p>
    <w:p w14:paraId="55581B51">
      <w:pPr>
        <w:adjustRightInd w:val="0"/>
        <w:snapToGrid w:val="0"/>
        <w:spacing w:line="576" w:lineRule="exact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列支内容与绩效目标设置方向不相符的部门预算阶段项目（含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 xml:space="preserve"> 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一次性项目）。</w:t>
      </w:r>
    </w:p>
    <w:p w14:paraId="47274946">
      <w:pPr>
        <w:adjustRightInd w:val="0"/>
        <w:snapToGrid w:val="0"/>
        <w:spacing w:line="576" w:lineRule="exact"/>
        <w:ind w:firstLine="640" w:firstLineChars="200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综上，根据评分标准，该项指标不扣分，得4分。</w:t>
      </w:r>
    </w:p>
    <w:p w14:paraId="1EE7EB43">
      <w:pPr>
        <w:adjustRightInd w:val="0"/>
        <w:snapToGrid w:val="0"/>
        <w:spacing w:line="576" w:lineRule="exact"/>
        <w:ind w:firstLine="640" w:firstLineChars="200"/>
        <w:outlineLvl w:val="3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（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2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）项目调整</w:t>
      </w:r>
    </w:p>
    <w:p w14:paraId="473CBB69">
      <w:pPr>
        <w:adjustRightInd w:val="0"/>
        <w:snapToGrid w:val="0"/>
        <w:spacing w:line="576" w:lineRule="exact"/>
        <w:ind w:left="320" w:leftChars="100" w:firstLine="320" w:firstLineChars="100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本部门应采取收回预算、调整目标等处置措施的部门预算阶</w:t>
      </w:r>
    </w:p>
    <w:p w14:paraId="5E170138">
      <w:pPr>
        <w:adjustRightInd w:val="0"/>
        <w:snapToGrid w:val="0"/>
        <w:spacing w:line="576" w:lineRule="exact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段项目（含一次性项目）个数为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1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个，均按程序进行预算收回和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 xml:space="preserve"> 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目标调整。</w:t>
      </w:r>
    </w:p>
    <w:p w14:paraId="790E9091">
      <w:pPr>
        <w:adjustRightInd w:val="0"/>
        <w:snapToGrid w:val="0"/>
        <w:spacing w:line="576" w:lineRule="exact"/>
        <w:ind w:firstLine="640" w:firstLineChars="200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综上，根据评分标准，该项指标不扣分，得4分。</w:t>
      </w:r>
    </w:p>
    <w:p w14:paraId="46B21273">
      <w:pPr>
        <w:adjustRightInd w:val="0"/>
        <w:snapToGrid w:val="0"/>
        <w:spacing w:line="576" w:lineRule="exact"/>
        <w:ind w:firstLine="640" w:firstLineChars="200"/>
        <w:outlineLvl w:val="3"/>
        <w:rPr>
          <w:rFonts w:eastAsia="楷体_GB2312"/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（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3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）执行结果</w:t>
      </w:r>
    </w:p>
    <w:p w14:paraId="17DCEB98">
      <w:pPr>
        <w:adjustRightInd w:val="0"/>
        <w:snapToGrid w:val="0"/>
        <w:spacing w:line="576" w:lineRule="exact"/>
        <w:ind w:left="320" w:leftChars="100" w:firstLine="320" w:firstLineChars="100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本部门预算常年项目总数为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1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个，预算结余率小于10%的常</w:t>
      </w:r>
    </w:p>
    <w:p w14:paraId="0D4CED56">
      <w:pPr>
        <w:adjustRightInd w:val="0"/>
        <w:snapToGrid w:val="0"/>
        <w:spacing w:line="576" w:lineRule="exact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年项目数量为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1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个。本部门预算一次性项目和阶段项目总数为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1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个，预算结余率小于10%的一次性项目和阶段项目数量为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0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个。</w:t>
      </w:r>
    </w:p>
    <w:p w14:paraId="69EA7CD1">
      <w:pPr>
        <w:adjustRightInd w:val="0"/>
        <w:snapToGrid w:val="0"/>
        <w:spacing w:line="576" w:lineRule="exact"/>
        <w:ind w:firstLine="640" w:firstLineChars="200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综上，根据评分标准，该项指标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不扣分，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得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3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分。</w:t>
      </w:r>
    </w:p>
    <w:p w14:paraId="43CA2B75">
      <w:pPr>
        <w:adjustRightInd w:val="0"/>
        <w:snapToGrid w:val="0"/>
        <w:spacing w:line="576" w:lineRule="exact"/>
        <w:ind w:firstLine="640" w:firstLineChars="200"/>
        <w:outlineLvl w:val="2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3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eastAsia="zh-CN"/>
        </w:rPr>
        <w:t>．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目标实现</w:t>
      </w:r>
    </w:p>
    <w:p w14:paraId="7C9749A4">
      <w:pPr>
        <w:adjustRightInd w:val="0"/>
        <w:snapToGrid w:val="0"/>
        <w:spacing w:line="576" w:lineRule="exact"/>
        <w:ind w:firstLine="640" w:firstLineChars="200"/>
        <w:outlineLvl w:val="3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（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1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）目标完成</w:t>
      </w:r>
    </w:p>
    <w:p w14:paraId="763FBB4A">
      <w:pPr>
        <w:adjustRightInd w:val="0"/>
        <w:snapToGrid w:val="0"/>
        <w:spacing w:line="576" w:lineRule="exact"/>
        <w:ind w:left="320" w:leftChars="100" w:firstLine="320" w:firstLineChars="100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本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部门预算阶段项目（含一次性项目）总数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1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个，已完成</w:t>
      </w:r>
    </w:p>
    <w:p w14:paraId="4FD1DEFF">
      <w:pPr>
        <w:adjustRightInd w:val="0"/>
        <w:snapToGrid w:val="0"/>
        <w:spacing w:line="576" w:lineRule="exact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绩效目标数量指标的部门预算阶段项目（含一次性项目）数量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1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个。</w:t>
      </w:r>
    </w:p>
    <w:p w14:paraId="19A86A9F">
      <w:pPr>
        <w:adjustRightInd w:val="0"/>
        <w:snapToGrid w:val="0"/>
        <w:spacing w:line="576" w:lineRule="exact"/>
        <w:ind w:firstLine="640" w:firstLineChars="200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综上，根据评分标准，该项指标不扣分，得4分。</w:t>
      </w:r>
    </w:p>
    <w:p w14:paraId="2CE75759">
      <w:pPr>
        <w:adjustRightInd w:val="0"/>
        <w:snapToGrid w:val="0"/>
        <w:spacing w:line="576" w:lineRule="exact"/>
        <w:ind w:firstLine="640" w:firstLineChars="200"/>
        <w:outlineLvl w:val="3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（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2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）目标偏离</w:t>
      </w:r>
    </w:p>
    <w:p w14:paraId="1EDBE230">
      <w:pPr>
        <w:adjustRightInd w:val="0"/>
        <w:snapToGrid w:val="0"/>
        <w:spacing w:line="576" w:lineRule="exact"/>
        <w:ind w:left="0" w:leftChars="0" w:firstLine="640" w:firstLineChars="200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本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部门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项目中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数量指标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全部完成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。</w:t>
      </w:r>
    </w:p>
    <w:p w14:paraId="3EC0A380">
      <w:pPr>
        <w:adjustRightInd w:val="0"/>
        <w:snapToGrid w:val="0"/>
        <w:spacing w:line="576" w:lineRule="exact"/>
        <w:ind w:firstLine="640" w:firstLineChars="200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综上，根据评分标准，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</w:rPr>
        <w:t>该项指标得分=已完成预期指标值的数量指标中偏离度在30%内的指标个数÷已完成预期指标值的数量指标个数×100%×4。偏离度=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0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</w:rPr>
        <w:t>（绩效指标实际完成值-设定预期指标值）÷设定预期指标值|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eastAsia="zh-CN"/>
        </w:rPr>
        <w:t>，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该项指标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不扣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分，得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4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分。</w:t>
      </w:r>
    </w:p>
    <w:p w14:paraId="3FBEBF3B">
      <w:pPr>
        <w:adjustRightInd w:val="0"/>
        <w:snapToGrid w:val="0"/>
        <w:spacing w:line="576" w:lineRule="exact"/>
        <w:ind w:firstLine="640" w:firstLineChars="200"/>
        <w:outlineLvl w:val="3"/>
        <w:rPr>
          <w:rFonts w:eastAsia="楷体_GB2312"/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（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3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）实现效果</w:t>
      </w:r>
    </w:p>
    <w:p w14:paraId="7F09E59F">
      <w:pPr>
        <w:adjustRightInd w:val="0"/>
        <w:snapToGrid w:val="0"/>
        <w:spacing w:line="576" w:lineRule="exact"/>
        <w:ind w:firstLine="640" w:firstLineChars="200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本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部门预算阶段项目（含一次性项目）总数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1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个，完成绩效目标效益指标的部门预算阶段项目（含一次性项目）数量为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1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个，本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部门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预算项目绩效目标效益指标实施效果较好，均已达到设定指标值。</w:t>
      </w:r>
    </w:p>
    <w:p w14:paraId="45C3CDC4">
      <w:pPr>
        <w:adjustRightInd w:val="0"/>
        <w:snapToGrid w:val="0"/>
        <w:spacing w:line="576" w:lineRule="exact"/>
        <w:ind w:firstLine="640" w:firstLineChars="200"/>
        <w:rPr>
          <w:snapToGrid w:val="0"/>
          <w:color w:val="auto"/>
          <w:kern w:val="0"/>
          <w:highlight w:val="none"/>
          <w:shd w:val="clear" w:color="auto" w:fill="FFFFFF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综上，根据评分标准，该项指标不扣分，得3分。</w:t>
      </w:r>
    </w:p>
    <w:p w14:paraId="093B5BC3">
      <w:pPr>
        <w:snapToGrid w:val="0"/>
        <w:spacing w:line="600" w:lineRule="exact"/>
        <w:ind w:firstLine="643" w:firstLineChars="200"/>
        <w:outlineLvl w:val="1"/>
        <w:rPr>
          <w:rFonts w:eastAsia="楷体_GB2312"/>
          <w:b/>
          <w:bCs/>
          <w:color w:val="auto"/>
          <w:szCs w:val="32"/>
          <w:highlight w:val="none"/>
          <w:lang w:val="zh-CN"/>
        </w:rPr>
      </w:pPr>
      <w:r>
        <w:rPr>
          <w:rFonts w:eastAsia="楷体_GB2312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  <w:t>（三）</w:t>
      </w:r>
      <w:r>
        <w:rPr>
          <w:rFonts w:eastAsia="楷体_GB2312"/>
          <w:b/>
          <w:bCs/>
          <w:color w:val="auto"/>
          <w:szCs w:val="32"/>
          <w:highlight w:val="none"/>
          <w:lang w:val="zh-CN"/>
        </w:rPr>
        <w:t>绩效结果应用情况。</w:t>
      </w:r>
    </w:p>
    <w:p w14:paraId="0E170189">
      <w:pPr>
        <w:adjustRightInd w:val="0"/>
        <w:snapToGrid w:val="0"/>
        <w:spacing w:line="576" w:lineRule="exact"/>
        <w:ind w:firstLine="640" w:firstLineChars="200"/>
        <w:rPr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本部门严格按照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规定，项目绩效与预算资金安排挂钩；项目实施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未达预期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效果、预算执行进度不符合要求的，进行通报并作为年度评优时的参考依据；对于造成财政资金损失的，按照有关规定追究责任。</w:t>
      </w:r>
    </w:p>
    <w:p w14:paraId="66FE5667">
      <w:pPr>
        <w:adjustRightInd w:val="0"/>
        <w:snapToGrid w:val="0"/>
        <w:spacing w:line="576" w:lineRule="exact"/>
        <w:ind w:firstLine="640" w:firstLineChars="200"/>
        <w:rPr>
          <w:rFonts w:hint="default" w:eastAsia="仿宋_GB2312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</w:pPr>
      <w:r>
        <w:rPr>
          <w:snapToGrid w:val="0"/>
          <w:color w:val="auto"/>
          <w:kern w:val="0"/>
          <w:highlight w:val="none"/>
          <w:shd w:val="clear" w:color="auto" w:fill="FFFFFF"/>
        </w:rPr>
        <w:t>本部门严格按照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规定，经批复的项目绩效目标、绩效评价结果按规定向社会公开。同时，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zh-CN"/>
        </w:rPr>
        <w:t>2025年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我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部门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在门户网站上公开的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zh-CN"/>
        </w:rPr>
        <w:t>2025年</w:t>
      </w:r>
      <w:r>
        <w:rPr>
          <w:snapToGrid w:val="0"/>
          <w:color w:val="auto"/>
          <w:kern w:val="0"/>
          <w:highlight w:val="none"/>
          <w:shd w:val="clear" w:color="auto" w:fill="FFFFFF"/>
          <w:lang w:val="zh-CN"/>
        </w:rPr>
        <w:t>部门预算编制说明中同步公开绩效目标。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val="en-US" w:eastAsia="zh-CN"/>
        </w:rPr>
        <w:t>2025年3月按照相关要求完成全州林草系统2025年中央对地方转移支付资金绩效评价，并在门户网站上进行了公开。</w:t>
      </w:r>
    </w:p>
    <w:p w14:paraId="460494DB"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outlineLvl w:val="0"/>
        <w:rPr>
          <w:rFonts w:eastAsia="黑体"/>
          <w:color w:val="auto"/>
          <w:kern w:val="0"/>
          <w:szCs w:val="32"/>
          <w:highlight w:val="none"/>
          <w:shd w:val="clear" w:color="auto" w:fill="FFFFFF"/>
        </w:rPr>
      </w:pPr>
      <w:r>
        <w:rPr>
          <w:rFonts w:eastAsia="黑体"/>
          <w:color w:val="auto"/>
          <w:kern w:val="0"/>
          <w:szCs w:val="32"/>
          <w:highlight w:val="none"/>
          <w:shd w:val="clear" w:color="auto" w:fill="FFFFFF"/>
        </w:rPr>
        <w:t>四、评价结论及建议</w:t>
      </w:r>
    </w:p>
    <w:p w14:paraId="413E811D">
      <w:pPr>
        <w:adjustRightInd w:val="0"/>
        <w:snapToGrid w:val="0"/>
        <w:spacing w:line="576" w:lineRule="exact"/>
        <w:ind w:firstLine="643" w:firstLineChars="200"/>
        <w:outlineLvl w:val="1"/>
        <w:rPr>
          <w:rFonts w:eastAsia="楷体_GB2312"/>
          <w:b/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rFonts w:eastAsia="楷体_GB2312"/>
          <w:b/>
          <w:snapToGrid w:val="0"/>
          <w:color w:val="auto"/>
          <w:kern w:val="0"/>
          <w:highlight w:val="none"/>
          <w:shd w:val="clear" w:color="auto" w:fill="FFFFFF"/>
          <w:lang w:val="zh-CN"/>
        </w:rPr>
        <w:t>（一）评价结论</w:t>
      </w:r>
    </w:p>
    <w:p w14:paraId="0B9FE730">
      <w:pPr>
        <w:adjustRightInd w:val="0"/>
        <w:snapToGrid w:val="0"/>
        <w:spacing w:line="576" w:lineRule="exact"/>
        <w:ind w:firstLine="640" w:firstLineChars="200"/>
        <w:rPr>
          <w:snapToGrid w:val="0"/>
          <w:color w:val="auto"/>
          <w:kern w:val="0"/>
          <w:highlight w:val="none"/>
          <w:lang w:val="zh-CN"/>
        </w:rPr>
      </w:pPr>
      <w:r>
        <w:rPr>
          <w:snapToGrid w:val="0"/>
          <w:color w:val="auto"/>
          <w:kern w:val="0"/>
          <w:highlight w:val="none"/>
        </w:rPr>
        <w:t>本部门履职效果和预算管理效果较好，财务管理、资产管理、采购管理规范，项目决策程序严格</w:t>
      </w:r>
      <w:r>
        <w:rPr>
          <w:snapToGrid w:val="0"/>
          <w:color w:val="auto"/>
          <w:kern w:val="0"/>
          <w:highlight w:val="none"/>
          <w:lang w:val="zh-CN"/>
        </w:rPr>
        <w:t>，项目执行</w:t>
      </w:r>
      <w:r>
        <w:rPr>
          <w:snapToGrid w:val="0"/>
          <w:color w:val="auto"/>
          <w:kern w:val="0"/>
          <w:highlight w:val="none"/>
        </w:rPr>
        <w:t>进度和绩效目标实现程度良好，完成一般公共预算和阶段性（一次性）项目绩效目标自评表的填报，完成专项预算项目（含中央转移支付）自评工作，实现部门预算项目自评全覆盖。</w:t>
      </w:r>
      <w:r>
        <w:rPr>
          <w:snapToGrid w:val="0"/>
          <w:color w:val="auto"/>
          <w:kern w:val="0"/>
          <w:highlight w:val="none"/>
          <w:lang w:val="zh-CN"/>
        </w:rPr>
        <w:t>根据《部门整体支出绩效评价指标体系》，</w:t>
      </w:r>
      <w:r>
        <w:rPr>
          <w:snapToGrid w:val="0"/>
          <w:color w:val="auto"/>
          <w:kern w:val="0"/>
          <w:highlight w:val="none"/>
        </w:rPr>
        <w:t>本部门</w:t>
      </w:r>
      <w:r>
        <w:rPr>
          <w:rFonts w:hint="eastAsia"/>
          <w:snapToGrid w:val="0"/>
          <w:color w:val="auto"/>
          <w:kern w:val="0"/>
          <w:highlight w:val="none"/>
          <w:lang w:val="zh-CN"/>
        </w:rPr>
        <w:t>2025年</w:t>
      </w:r>
      <w:r>
        <w:rPr>
          <w:snapToGrid w:val="0"/>
          <w:color w:val="auto"/>
          <w:kern w:val="0"/>
          <w:highlight w:val="none"/>
          <w:lang w:val="zh-CN"/>
        </w:rPr>
        <w:t>度自评得分</w:t>
      </w:r>
      <w:r>
        <w:rPr>
          <w:snapToGrid w:val="0"/>
          <w:color w:val="auto"/>
          <w:kern w:val="0"/>
          <w:highlight w:val="none"/>
        </w:rPr>
        <w:t>为</w:t>
      </w:r>
      <w:r>
        <w:rPr>
          <w:rFonts w:hint="eastAsia"/>
          <w:snapToGrid w:val="0"/>
          <w:color w:val="auto"/>
          <w:kern w:val="0"/>
          <w:highlight w:val="none"/>
          <w:lang w:val="en-US" w:eastAsia="zh-CN"/>
        </w:rPr>
        <w:t>94.5</w:t>
      </w:r>
      <w:r>
        <w:rPr>
          <w:snapToGrid w:val="0"/>
          <w:color w:val="auto"/>
          <w:kern w:val="0"/>
          <w:highlight w:val="none"/>
          <w:lang w:val="zh-CN"/>
        </w:rPr>
        <w:t>分。</w:t>
      </w:r>
    </w:p>
    <w:p w14:paraId="27C22FCA">
      <w:pPr>
        <w:adjustRightInd w:val="0"/>
        <w:snapToGrid w:val="0"/>
        <w:spacing w:line="576" w:lineRule="exact"/>
        <w:ind w:firstLine="643" w:firstLineChars="200"/>
        <w:outlineLvl w:val="1"/>
        <w:rPr>
          <w:rFonts w:eastAsia="楷体_GB2312"/>
          <w:b/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rFonts w:eastAsia="楷体_GB2312"/>
          <w:b/>
          <w:snapToGrid w:val="0"/>
          <w:color w:val="auto"/>
          <w:kern w:val="0"/>
          <w:highlight w:val="none"/>
          <w:shd w:val="clear" w:color="auto" w:fill="FFFFFF"/>
          <w:lang w:val="zh-CN"/>
        </w:rPr>
        <w:t>（二）存在问题</w:t>
      </w:r>
    </w:p>
    <w:p w14:paraId="2D5B0DD1">
      <w:pPr>
        <w:adjustRightInd w:val="0"/>
        <w:snapToGrid w:val="0"/>
        <w:spacing w:line="576" w:lineRule="exact"/>
        <w:ind w:firstLine="643" w:firstLineChars="200"/>
        <w:rPr>
          <w:rFonts w:eastAsia="楷体_GB2312"/>
          <w:b/>
          <w:bCs/>
          <w:snapToGrid w:val="0"/>
          <w:color w:val="auto"/>
          <w:kern w:val="0"/>
          <w:highlight w:val="none"/>
          <w:shd w:val="clear" w:color="auto" w:fill="FFFFFF"/>
        </w:rPr>
      </w:pPr>
      <w:r>
        <w:rPr>
          <w:rFonts w:eastAsia="楷体_GB2312"/>
          <w:b/>
          <w:bCs/>
          <w:snapToGrid w:val="0"/>
          <w:color w:val="auto"/>
          <w:kern w:val="0"/>
          <w:highlight w:val="none"/>
          <w:shd w:val="clear" w:color="auto" w:fill="FFFFFF"/>
        </w:rPr>
        <w:t>整体支出进度</w:t>
      </w:r>
      <w:r>
        <w:rPr>
          <w:rFonts w:hint="eastAsia" w:eastAsia="楷体_GB2312"/>
          <w:b/>
          <w:bCs/>
          <w:snapToGrid w:val="0"/>
          <w:color w:val="auto"/>
          <w:kern w:val="0"/>
          <w:highlight w:val="none"/>
          <w:shd w:val="clear" w:color="auto" w:fill="FFFFFF"/>
        </w:rPr>
        <w:t>不均衡</w:t>
      </w:r>
      <w:r>
        <w:rPr>
          <w:rFonts w:eastAsia="楷体_GB2312"/>
          <w:b/>
          <w:bCs/>
          <w:snapToGrid w:val="0"/>
          <w:color w:val="auto"/>
          <w:kern w:val="0"/>
          <w:highlight w:val="none"/>
          <w:shd w:val="clear" w:color="auto" w:fill="FFFFFF"/>
        </w:rPr>
        <w:t>。</w:t>
      </w:r>
      <w:r>
        <w:rPr>
          <w:snapToGrid w:val="0"/>
          <w:color w:val="auto"/>
          <w:kern w:val="0"/>
          <w:highlight w:val="none"/>
        </w:rPr>
        <w:t>本部门整体支出执行进度</w:t>
      </w:r>
      <w:r>
        <w:rPr>
          <w:rFonts w:hint="eastAsia"/>
          <w:snapToGrid w:val="0"/>
          <w:color w:val="auto"/>
          <w:kern w:val="0"/>
          <w:highlight w:val="none"/>
        </w:rPr>
        <w:t>不均衡</w:t>
      </w:r>
      <w:r>
        <w:rPr>
          <w:snapToGrid w:val="0"/>
          <w:color w:val="auto"/>
          <w:kern w:val="0"/>
          <w:highlight w:val="none"/>
        </w:rPr>
        <w:t>，</w:t>
      </w:r>
      <w:r>
        <w:rPr>
          <w:rFonts w:hint="eastAsia"/>
          <w:snapToGrid w:val="0"/>
          <w:color w:val="auto"/>
          <w:kern w:val="0"/>
          <w:highlight w:val="none"/>
          <w:lang w:val="en-US" w:eastAsia="zh-CN"/>
        </w:rPr>
        <w:t>年初预算数为0，项目资金均为中期调整追加，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使得资金执行的进度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</w:rPr>
        <w:t>前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期较缓。</w:t>
      </w:r>
    </w:p>
    <w:p w14:paraId="03538C53">
      <w:pPr>
        <w:adjustRightInd w:val="0"/>
        <w:snapToGrid w:val="0"/>
        <w:spacing w:line="576" w:lineRule="exact"/>
        <w:ind w:firstLine="643" w:firstLineChars="200"/>
        <w:outlineLvl w:val="1"/>
        <w:rPr>
          <w:rFonts w:eastAsia="楷体_GB2312"/>
          <w:b/>
          <w:snapToGrid w:val="0"/>
          <w:color w:val="auto"/>
          <w:kern w:val="0"/>
          <w:highlight w:val="none"/>
          <w:shd w:val="clear" w:color="auto" w:fill="FFFFFF"/>
          <w:lang w:val="zh-CN"/>
        </w:rPr>
      </w:pPr>
      <w:r>
        <w:rPr>
          <w:rFonts w:eastAsia="楷体_GB2312"/>
          <w:b/>
          <w:snapToGrid w:val="0"/>
          <w:color w:val="auto"/>
          <w:kern w:val="0"/>
          <w:highlight w:val="none"/>
          <w:shd w:val="clear" w:color="auto" w:fill="FFFFFF"/>
          <w:lang w:val="zh-CN"/>
        </w:rPr>
        <w:t>（三）改进建议</w:t>
      </w:r>
    </w:p>
    <w:p w14:paraId="64DD4A05">
      <w:pPr>
        <w:adjustRightInd w:val="0"/>
        <w:snapToGrid w:val="0"/>
        <w:spacing w:line="576" w:lineRule="exact"/>
        <w:ind w:firstLine="643" w:firstLineChars="200"/>
        <w:rPr>
          <w:rFonts w:eastAsia="楷体_GB2312"/>
          <w:b/>
          <w:bCs/>
          <w:snapToGrid w:val="0"/>
          <w:color w:val="auto"/>
          <w:kern w:val="0"/>
          <w:highlight w:val="none"/>
          <w:shd w:val="clear" w:color="auto" w:fill="FFFFFF"/>
        </w:rPr>
      </w:pPr>
      <w:r>
        <w:rPr>
          <w:rFonts w:eastAsia="楷体_GB2312"/>
          <w:b/>
          <w:bCs/>
          <w:snapToGrid w:val="0"/>
          <w:color w:val="auto"/>
          <w:kern w:val="0"/>
          <w:highlight w:val="none"/>
          <w:shd w:val="clear" w:color="auto" w:fill="FFFFFF"/>
        </w:rPr>
        <w:t>支出进度有待进一步</w:t>
      </w:r>
      <w:r>
        <w:rPr>
          <w:rFonts w:hint="eastAsia" w:eastAsia="楷体_GB2312"/>
          <w:b/>
          <w:bCs/>
          <w:snapToGrid w:val="0"/>
          <w:color w:val="auto"/>
          <w:kern w:val="0"/>
          <w:highlight w:val="none"/>
          <w:shd w:val="clear" w:color="auto" w:fill="FFFFFF"/>
        </w:rPr>
        <w:t>优化</w:t>
      </w:r>
      <w:r>
        <w:rPr>
          <w:rFonts w:eastAsia="楷体_GB2312"/>
          <w:b/>
          <w:bCs/>
          <w:snapToGrid w:val="0"/>
          <w:color w:val="auto"/>
          <w:kern w:val="0"/>
          <w:highlight w:val="none"/>
          <w:shd w:val="clear" w:color="auto" w:fill="FFFFFF"/>
        </w:rPr>
        <w:t>。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本部门将加强绩效监控工作，梳理各阶段实施内容和预算的执行进度，比较目标实现程度，分析执行过程存在的偏差，及时纠偏整改，定期通报项目执行情况，督促各部门实施项目，保障项目顺利合规</w:t>
      </w:r>
      <w:r>
        <w:rPr>
          <w:rFonts w:hint="eastAsia"/>
          <w:snapToGrid w:val="0"/>
          <w:color w:val="auto"/>
          <w:kern w:val="0"/>
          <w:highlight w:val="none"/>
          <w:shd w:val="clear" w:color="auto" w:fill="FFFFFF"/>
          <w:lang w:eastAsia="zh-CN"/>
        </w:rPr>
        <w:t>地</w:t>
      </w:r>
      <w:r>
        <w:rPr>
          <w:snapToGrid w:val="0"/>
          <w:color w:val="auto"/>
          <w:kern w:val="0"/>
          <w:highlight w:val="none"/>
          <w:shd w:val="clear" w:color="auto" w:fill="FFFFFF"/>
        </w:rPr>
        <w:t>完成支付。</w:t>
      </w:r>
    </w:p>
    <w:p w14:paraId="4AE79CDB">
      <w:pPr>
        <w:spacing w:line="578" w:lineRule="exact"/>
        <w:contextualSpacing/>
        <w:rPr>
          <w:rFonts w:eastAsia="黑体"/>
          <w:color w:val="auto"/>
          <w:szCs w:val="32"/>
          <w:highlight w:val="none"/>
        </w:rPr>
      </w:pPr>
    </w:p>
    <w:p w14:paraId="6F22FD9F">
      <w:pPr>
        <w:spacing w:line="578" w:lineRule="exact"/>
        <w:contextualSpacing/>
        <w:rPr>
          <w:rFonts w:eastAsia="黑体"/>
          <w:color w:val="auto"/>
          <w:szCs w:val="32"/>
          <w:highlight w:val="none"/>
        </w:rPr>
      </w:pPr>
    </w:p>
    <w:p w14:paraId="42BFC6B0">
      <w:pPr>
        <w:spacing w:line="578" w:lineRule="exact"/>
        <w:ind w:firstLine="640" w:firstLineChars="200"/>
        <w:rPr>
          <w:color w:val="auto"/>
          <w:szCs w:val="32"/>
          <w:highlight w:val="none"/>
          <w:lang w:bidi="ar"/>
        </w:rPr>
      </w:pPr>
      <w:r>
        <w:rPr>
          <w:color w:val="auto"/>
          <w:kern w:val="0"/>
          <w:szCs w:val="32"/>
          <w:highlight w:val="none"/>
          <w:shd w:val="clear" w:color="auto" w:fill="FFFFFF"/>
        </w:rPr>
        <w:t>附表：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</w:rPr>
        <w:t>1</w:t>
      </w:r>
      <w:r>
        <w:rPr>
          <w:rFonts w:hint="eastAsia"/>
          <w:color w:val="auto"/>
          <w:kern w:val="0"/>
          <w:szCs w:val="32"/>
          <w:highlight w:val="none"/>
          <w:shd w:val="clear" w:color="auto" w:fill="FFFFFF"/>
          <w:lang w:eastAsia="zh-CN"/>
        </w:rPr>
        <w:t>．</w:t>
      </w:r>
      <w:r>
        <w:rPr>
          <w:rFonts w:hint="eastAsia"/>
          <w:color w:val="auto"/>
          <w:szCs w:val="32"/>
          <w:highlight w:val="none"/>
          <w:lang w:bidi="ar"/>
        </w:rPr>
        <w:t>部门预算绩效自评打分表</w:t>
      </w:r>
    </w:p>
    <w:p w14:paraId="1AD933E1">
      <w:pPr>
        <w:spacing w:line="578" w:lineRule="exact"/>
        <w:ind w:firstLine="1600" w:firstLineChars="500"/>
        <w:rPr>
          <w:color w:val="auto"/>
          <w:szCs w:val="32"/>
          <w:highlight w:val="none"/>
          <w:lang w:bidi="ar"/>
        </w:rPr>
      </w:pPr>
      <w:r>
        <w:rPr>
          <w:rFonts w:hint="eastAsia"/>
          <w:color w:val="auto"/>
          <w:szCs w:val="32"/>
          <w:highlight w:val="none"/>
          <w:lang w:bidi="ar"/>
        </w:rPr>
        <w:t>2</w:t>
      </w:r>
      <w:r>
        <w:rPr>
          <w:rFonts w:hint="eastAsia"/>
          <w:color w:val="auto"/>
          <w:szCs w:val="32"/>
          <w:highlight w:val="none"/>
          <w:lang w:eastAsia="zh-CN" w:bidi="ar"/>
        </w:rPr>
        <w:t>．</w:t>
      </w:r>
      <w:r>
        <w:rPr>
          <w:rFonts w:hint="eastAsia"/>
          <w:color w:val="auto"/>
          <w:szCs w:val="32"/>
          <w:highlight w:val="none"/>
          <w:lang w:val="en-US" w:eastAsia="zh-CN" w:bidi="ar"/>
        </w:rPr>
        <w:t>2025年度</w:t>
      </w:r>
      <w:r>
        <w:rPr>
          <w:color w:val="auto"/>
          <w:szCs w:val="32"/>
          <w:highlight w:val="none"/>
          <w:lang w:bidi="ar"/>
        </w:rPr>
        <w:t>部门绩效</w:t>
      </w:r>
      <w:r>
        <w:rPr>
          <w:rFonts w:hint="eastAsia"/>
          <w:color w:val="auto"/>
          <w:szCs w:val="32"/>
          <w:highlight w:val="none"/>
          <w:lang w:val="en-US" w:eastAsia="zh-CN" w:bidi="ar"/>
        </w:rPr>
        <w:t>目标</w:t>
      </w:r>
      <w:r>
        <w:rPr>
          <w:color w:val="auto"/>
          <w:szCs w:val="32"/>
          <w:highlight w:val="none"/>
          <w:lang w:bidi="ar"/>
        </w:rPr>
        <w:t>表</w:t>
      </w:r>
    </w:p>
    <w:p w14:paraId="4AFD366E">
      <w:pPr>
        <w:spacing w:line="578" w:lineRule="exact"/>
        <w:ind w:firstLine="1600" w:firstLineChars="500"/>
        <w:rPr>
          <w:color w:val="auto"/>
          <w:szCs w:val="32"/>
          <w:highlight w:val="none"/>
          <w:lang w:bidi="ar"/>
        </w:rPr>
      </w:pPr>
    </w:p>
    <w:p w14:paraId="67DEE158">
      <w:pPr>
        <w:spacing w:line="578" w:lineRule="exact"/>
        <w:ind w:firstLine="1600" w:firstLineChars="500"/>
        <w:rPr>
          <w:color w:val="auto"/>
          <w:szCs w:val="32"/>
          <w:highlight w:val="none"/>
          <w:lang w:bidi="ar"/>
        </w:rPr>
      </w:pPr>
    </w:p>
    <w:p w14:paraId="6CB1D261">
      <w:pPr>
        <w:spacing w:line="578" w:lineRule="exact"/>
        <w:ind w:firstLine="1600" w:firstLineChars="500"/>
        <w:rPr>
          <w:color w:val="auto"/>
          <w:szCs w:val="32"/>
          <w:highlight w:val="none"/>
          <w:lang w:bidi="ar"/>
        </w:rPr>
      </w:pPr>
    </w:p>
    <w:p w14:paraId="5D361449">
      <w:pPr>
        <w:spacing w:line="578" w:lineRule="exact"/>
        <w:ind w:firstLine="1600" w:firstLineChars="500"/>
        <w:rPr>
          <w:color w:val="auto"/>
          <w:szCs w:val="32"/>
          <w:highlight w:val="none"/>
          <w:lang w:bidi="ar"/>
        </w:rPr>
      </w:pPr>
    </w:p>
    <w:p w14:paraId="7C3D4AD5">
      <w:pPr>
        <w:spacing w:line="578" w:lineRule="exact"/>
        <w:ind w:firstLine="1600" w:firstLineChars="500"/>
        <w:rPr>
          <w:color w:val="auto"/>
          <w:szCs w:val="32"/>
          <w:highlight w:val="none"/>
          <w:lang w:bidi="ar"/>
        </w:rPr>
      </w:pPr>
    </w:p>
    <w:p w14:paraId="1809EB3F">
      <w:pPr>
        <w:spacing w:line="578" w:lineRule="exact"/>
        <w:ind w:firstLine="1600" w:firstLineChars="500"/>
        <w:rPr>
          <w:color w:val="auto"/>
          <w:szCs w:val="32"/>
          <w:highlight w:val="none"/>
          <w:lang w:bidi="ar"/>
        </w:rPr>
      </w:pPr>
    </w:p>
    <w:p w14:paraId="4CF53DEC">
      <w:pPr>
        <w:spacing w:line="578" w:lineRule="exact"/>
        <w:ind w:firstLine="1600" w:firstLineChars="500"/>
        <w:rPr>
          <w:color w:val="auto"/>
          <w:szCs w:val="32"/>
          <w:highlight w:val="none"/>
          <w:lang w:bidi="ar"/>
        </w:rPr>
      </w:pPr>
    </w:p>
    <w:p w14:paraId="60B220F6">
      <w:pPr>
        <w:spacing w:line="578" w:lineRule="exact"/>
        <w:ind w:firstLine="1600" w:firstLineChars="500"/>
        <w:rPr>
          <w:color w:val="auto"/>
          <w:szCs w:val="32"/>
          <w:highlight w:val="none"/>
          <w:lang w:bidi="ar"/>
        </w:rPr>
      </w:pPr>
    </w:p>
    <w:p w14:paraId="1B4ED4D3">
      <w:pPr>
        <w:spacing w:line="578" w:lineRule="exact"/>
        <w:ind w:firstLine="1600" w:firstLineChars="500"/>
        <w:rPr>
          <w:color w:val="auto"/>
          <w:szCs w:val="32"/>
          <w:highlight w:val="none"/>
          <w:lang w:bidi="ar"/>
        </w:rPr>
      </w:pPr>
    </w:p>
    <w:p w14:paraId="21218764">
      <w:pPr>
        <w:spacing w:line="578" w:lineRule="exact"/>
        <w:jc w:val="left"/>
        <w:rPr>
          <w:rFonts w:eastAsia="黑体"/>
          <w:color w:val="auto"/>
          <w:highlight w:val="none"/>
        </w:rPr>
      </w:pPr>
      <w:r>
        <w:rPr>
          <w:rFonts w:eastAsia="黑体"/>
          <w:color w:val="auto"/>
          <w:highlight w:val="none"/>
        </w:rPr>
        <w:t>附表</w:t>
      </w:r>
      <w:r>
        <w:rPr>
          <w:rFonts w:hint="eastAsia" w:eastAsia="黑体"/>
          <w:color w:val="auto"/>
          <w:highlight w:val="none"/>
        </w:rPr>
        <w:t>1</w:t>
      </w:r>
    </w:p>
    <w:p w14:paraId="7523B10B">
      <w:pPr>
        <w:widowControl/>
        <w:spacing w:line="600" w:lineRule="exact"/>
        <w:jc w:val="center"/>
        <w:textAlignment w:val="center"/>
        <w:outlineLvl w:val="0"/>
        <w:rPr>
          <w:rFonts w:ascii="方正小标宋简体" w:hAnsi="方正小标宋简体" w:eastAsia="方正小标宋简体" w:cs="方正小标宋简体"/>
          <w:b/>
          <w:bCs/>
          <w:color w:val="auto"/>
          <w:kern w:val="0"/>
          <w:sz w:val="44"/>
          <w:szCs w:val="44"/>
          <w:highlight w:val="none"/>
          <w:lang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0"/>
          <w:sz w:val="44"/>
          <w:szCs w:val="44"/>
          <w:highlight w:val="none"/>
          <w:lang w:bidi="ar"/>
        </w:rPr>
        <w:t>部门预算绩效自评打分表</w:t>
      </w:r>
    </w:p>
    <w:tbl>
      <w:tblPr>
        <w:tblStyle w:val="11"/>
        <w:tblW w:w="108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1299"/>
        <w:gridCol w:w="1665"/>
        <w:gridCol w:w="684"/>
        <w:gridCol w:w="4819"/>
        <w:gridCol w:w="707"/>
        <w:gridCol w:w="478"/>
      </w:tblGrid>
      <w:tr w14:paraId="2ADF0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8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E1218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绩效评价</w:t>
            </w:r>
            <w:r>
              <w:rPr>
                <w:rFonts w:hint="eastAsia"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指标</w:t>
            </w: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分值</w:t>
            </w:r>
          </w:p>
        </w:tc>
        <w:tc>
          <w:tcPr>
            <w:tcW w:w="48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855B5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指标解释</w:t>
            </w:r>
          </w:p>
        </w:tc>
        <w:tc>
          <w:tcPr>
            <w:tcW w:w="70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3EDE7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自评得分</w:t>
            </w:r>
          </w:p>
        </w:tc>
        <w:tc>
          <w:tcPr>
            <w:tcW w:w="4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E3E16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备注</w:t>
            </w:r>
          </w:p>
        </w:tc>
      </w:tr>
      <w:tr w14:paraId="098F5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E2A405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一级指标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22825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二级指标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4C3B0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三级指标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AC8CF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指标</w:t>
            </w: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分值</w:t>
            </w:r>
          </w:p>
        </w:tc>
        <w:tc>
          <w:tcPr>
            <w:tcW w:w="4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5A613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0A0E2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767C9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</w:p>
        </w:tc>
      </w:tr>
      <w:tr w14:paraId="01CB8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D287B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总体绩效</w:t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（65分）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76A06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履职效能</w:t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（15分）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48C44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履职效果</w:t>
            </w:r>
          </w:p>
        </w:tc>
        <w:tc>
          <w:tcPr>
            <w:tcW w:w="6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BB488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15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720E6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部门整体绩效目标中选定3</w:t>
            </w:r>
            <w:r>
              <w:rPr>
                <w:rFonts w:hint="eastAsia"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—</w:t>
            </w: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5个核心职能目标，反映该项职能目标完成效果情况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97EE9">
            <w:pPr>
              <w:widowControl/>
              <w:jc w:val="center"/>
              <w:textAlignment w:val="center"/>
              <w:rPr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eastAsia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15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04DF6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57033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5EF1B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285A0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预算管理</w:t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（25分）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E9B32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预算编制质量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C8F4E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8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9AEE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部门是否严格按要求编制年初部门预算，年初预算编制的科学性和准确性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BAE90">
            <w:pPr>
              <w:widowControl/>
              <w:jc w:val="center"/>
              <w:textAlignment w:val="center"/>
              <w:rPr>
                <w:rFonts w:hint="default" w:eastAsia="仿宋_GB2312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eastAsia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6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EC011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71413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11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FA66C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8DDF6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CE6F8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单位收入统筹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6D33B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C6BB8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部门统筹自有收入程度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5C794">
            <w:pPr>
              <w:widowControl/>
              <w:jc w:val="center"/>
              <w:textAlignment w:val="center"/>
              <w:rPr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eastAsia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63002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556E1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1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9C490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EFF86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C268E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支出执行进度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EF002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6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AF7AF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部门1至6月、1至10月预算执行情况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72FB9">
            <w:pPr>
              <w:widowControl/>
              <w:jc w:val="center"/>
              <w:textAlignment w:val="center"/>
              <w:rPr>
                <w:rFonts w:hint="eastAsia" w:eastAsia="仿宋_GB2312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eastAsia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6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D720C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754795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8B3B2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CD516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AC80B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预算年终结余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A22CA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2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7EB0A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部门整体年终预算结余情况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B3BDE">
            <w:pPr>
              <w:widowControl/>
              <w:jc w:val="center"/>
              <w:textAlignment w:val="center"/>
              <w:rPr>
                <w:rFonts w:hint="eastAsia" w:eastAsia="仿宋_GB2312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eastAsia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3BD43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6C2B0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35237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5C271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B2465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严控一般性支出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915D5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5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358E2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部门严控“三公”经费、会议、培训、差旅、办节办展、办公设备购置、信息网络及软件购置更新、课题经费等8项一般性支出情况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D5417">
            <w:pPr>
              <w:widowControl/>
              <w:jc w:val="center"/>
              <w:textAlignment w:val="center"/>
              <w:rPr>
                <w:rFonts w:hint="eastAsia" w:eastAsia="仿宋_GB2312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eastAsia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7D5F4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08A42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68844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438EB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财务管理</w:t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（10分）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2CD67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财务管理制度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139C1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478A8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部门财务管理制度建立情况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89FB9">
            <w:pPr>
              <w:widowControl/>
              <w:jc w:val="center"/>
              <w:textAlignment w:val="center"/>
              <w:rPr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eastAsia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C14FB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7DFC6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4FE99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6CBAB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0730C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财务岗位设置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EEB3F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2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EE805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部门财务岗位设置是否符合相关财务管理制度要</w:t>
            </w:r>
            <w:r>
              <w:rPr>
                <w:rFonts w:hint="eastAsia"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求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1BACE">
            <w:pPr>
              <w:widowControl/>
              <w:jc w:val="center"/>
              <w:textAlignment w:val="center"/>
              <w:rPr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eastAsia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54BAA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7F675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5C8C3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8C88D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24E7D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资金使用规范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6717C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0DA74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部门资金使用是否符合相关财务管理制度规定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62A75">
            <w:pPr>
              <w:widowControl/>
              <w:jc w:val="center"/>
              <w:textAlignment w:val="center"/>
              <w:rPr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eastAsia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6AEF9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4594E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7E2B4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4BD27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资产管理</w:t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（9分）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595AC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人均资产变化率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0BB95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3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BBD48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部门人均资产变化情况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B2C0D">
            <w:pPr>
              <w:widowControl/>
              <w:jc w:val="center"/>
              <w:textAlignment w:val="center"/>
              <w:rPr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eastAsia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FA1C0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55FF7E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A931B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A47EF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6B0E6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资产利用率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87F56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3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9BDFD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部门资产超最低使用年限情况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C9CC4">
            <w:pPr>
              <w:widowControl/>
              <w:jc w:val="center"/>
              <w:textAlignment w:val="center"/>
              <w:rPr>
                <w:rFonts w:hint="default" w:eastAsia="仿宋_GB2312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eastAsia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1.5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3759B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51564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96184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总体绩效</w:t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（65分）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CC806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资产管理</w:t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（9分）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AE2EF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资产盘活率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C2766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3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D1B3C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部门闲置一年以上的资产盘活情况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2E04D">
            <w:pPr>
              <w:widowControl/>
              <w:jc w:val="center"/>
              <w:textAlignment w:val="center"/>
              <w:rPr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eastAsia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8A4E7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66CDC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622ED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BEB8C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采购管理</w:t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（6分）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4A642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支持中小企业发展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32E9F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3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0E55E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部门是否严格执行政府采购促进中小企业发展相关管理办法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BAB2F">
            <w:pPr>
              <w:widowControl/>
              <w:jc w:val="center"/>
              <w:textAlignment w:val="center"/>
              <w:rPr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eastAsia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43490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53F2B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3AA18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CA3F8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3C2C2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采购执行率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AF091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3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5A80A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部门政府采购项目资金支付比例情况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078AC">
            <w:pPr>
              <w:widowControl/>
              <w:jc w:val="center"/>
              <w:textAlignment w:val="center"/>
              <w:rPr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eastAsia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7CC92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6BD89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93E3C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项目绩效</w:t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（35分）</w:t>
            </w:r>
          </w:p>
        </w:tc>
        <w:tc>
          <w:tcPr>
            <w:tcW w:w="129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3D0D6CE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项目决策</w:t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（12分）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923A3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决策程序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7689B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F92FF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部门预算项目设立是否按规定履行评估论证、申报程序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D24FB">
            <w:pPr>
              <w:widowControl/>
              <w:jc w:val="center"/>
              <w:textAlignment w:val="center"/>
              <w:rPr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eastAsia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9F09A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7415D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09FC6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5AFB21E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CF939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目标设置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9A628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436F9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部门预算项目绩效目标与计划期内的任务量、预算安排的资金量匹配情况，绩效目标设置是否科学合理、规范完整、量化细化、预算匹配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E24F9">
            <w:pPr>
              <w:widowControl/>
              <w:jc w:val="center"/>
              <w:textAlignment w:val="center"/>
              <w:rPr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eastAsia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27891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1C1E3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7DC26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88E7F8F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57CF4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项目入库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83016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C0510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部门预算项目是否在规定时间完成项目入库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0F3C0">
            <w:pPr>
              <w:widowControl/>
              <w:jc w:val="center"/>
              <w:textAlignment w:val="center"/>
              <w:rPr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eastAsia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8BEBF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6B74C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5D52B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CD81BF8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项目执行</w:t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（12分）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79051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执行同向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F47A5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90B9D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部门预算项目实际列支内容是否与绩效目标设置方向相符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125FC">
            <w:pPr>
              <w:widowControl/>
              <w:jc w:val="center"/>
              <w:textAlignment w:val="center"/>
              <w:rPr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eastAsia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EA04C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07494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9886C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7861763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7E229CB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项目调整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14388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8D0BB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部门预算项目是否采取对应调整措施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2FCED">
            <w:pPr>
              <w:widowControl/>
              <w:jc w:val="center"/>
              <w:textAlignment w:val="center"/>
              <w:rPr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eastAsia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FEB15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6330F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E8F17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6E3BFDB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503C8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执行结果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7BFBD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018C6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部门预算项目预算执行情况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BC2AF">
            <w:pPr>
              <w:widowControl/>
              <w:jc w:val="center"/>
              <w:textAlignment w:val="center"/>
              <w:rPr>
                <w:rFonts w:hint="eastAsia" w:eastAsia="仿宋_GB2312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eastAsia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102BB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253DA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E5C26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62DFD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目标实现</w:t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（11分）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E9770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目标完成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A8653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0B848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部门预算项目绩效目标数量指标完成情况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324A1">
            <w:pPr>
              <w:widowControl/>
              <w:jc w:val="center"/>
              <w:textAlignment w:val="center"/>
              <w:rPr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eastAsia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AD5FB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65AC0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C4072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816F7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1243C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目标偏离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FAD38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B1ABB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部门预算项目绩效目标数量指标实现程度与预期目标的偏离情况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11FBD">
            <w:pPr>
              <w:widowControl/>
              <w:jc w:val="center"/>
              <w:textAlignment w:val="center"/>
              <w:rPr>
                <w:rFonts w:hint="default" w:eastAsia="仿宋_GB2312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eastAsia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99420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48F56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712A1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6B82D">
            <w:pPr>
              <w:widowControl/>
              <w:spacing w:line="240" w:lineRule="exact"/>
              <w:jc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80057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实现效果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E806C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3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D7345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部门预算项目绩效目标效益指标实施效果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1398D">
            <w:pPr>
              <w:widowControl/>
              <w:jc w:val="center"/>
              <w:textAlignment w:val="center"/>
              <w:rPr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eastAsia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F2C29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2C74C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F1033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扣分项</w:t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ascii="Times New Roman Regular" w:hAnsi="Times New Roman Regular" w:cs="Times New Roman Regular"/>
                <w:b/>
                <w:color w:val="auto"/>
                <w:kern w:val="0"/>
                <w:sz w:val="21"/>
                <w:szCs w:val="21"/>
                <w:highlight w:val="none"/>
                <w:lang w:bidi="ar"/>
              </w:rPr>
              <w:t>（10分）</w:t>
            </w:r>
          </w:p>
        </w:tc>
        <w:tc>
          <w:tcPr>
            <w:tcW w:w="2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0C6EC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被评价部门配合度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D0317">
            <w:pPr>
              <w:widowControl/>
              <w:spacing w:line="240" w:lineRule="exact"/>
              <w:jc w:val="center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-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35ABB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  <w:t>被评价对象工作配合情况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C6616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 Regular" w:hAnsi="Times New Roman Regular" w:eastAsia="仿宋_GB2312" w:cs="Times New Roman Regular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4F4EF">
            <w:pPr>
              <w:widowControl/>
              <w:spacing w:line="240" w:lineRule="exact"/>
              <w:jc w:val="left"/>
              <w:textAlignment w:val="center"/>
              <w:rPr>
                <w:rFonts w:ascii="Times New Roman Regular" w:hAnsi="Times New Roman Regular" w:cs="Times New Roman Regular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</w:tbl>
    <w:p w14:paraId="55F57626">
      <w:pPr>
        <w:pStyle w:val="15"/>
        <w:spacing w:line="20" w:lineRule="exact"/>
        <w:outlineLvl w:val="9"/>
        <w:rPr>
          <w:color w:val="auto"/>
          <w:highlight w:val="none"/>
        </w:rPr>
      </w:pPr>
    </w:p>
    <w:p w14:paraId="757559AC">
      <w:pPr>
        <w:rPr>
          <w:rFonts w:eastAsia="黑体"/>
          <w:color w:val="auto"/>
          <w:highlight w:val="none"/>
        </w:rPr>
      </w:pPr>
      <w:r>
        <w:rPr>
          <w:rFonts w:eastAsia="黑体"/>
          <w:color w:val="auto"/>
          <w:highlight w:val="none"/>
        </w:rPr>
        <w:br w:type="page"/>
      </w:r>
    </w:p>
    <w:p w14:paraId="6A1D3CFC">
      <w:pPr>
        <w:spacing w:line="578" w:lineRule="exact"/>
        <w:jc w:val="left"/>
        <w:rPr>
          <w:rFonts w:eastAsia="黑体"/>
          <w:color w:val="auto"/>
          <w:highlight w:val="none"/>
        </w:rPr>
      </w:pPr>
      <w:r>
        <w:rPr>
          <w:rFonts w:eastAsia="黑体"/>
          <w:color w:val="auto"/>
          <w:highlight w:val="none"/>
        </w:rPr>
        <w:t>附表</w:t>
      </w:r>
      <w:r>
        <w:rPr>
          <w:rFonts w:hint="eastAsia" w:eastAsia="黑体"/>
          <w:color w:val="auto"/>
          <w:highlight w:val="none"/>
        </w:rPr>
        <w:t>2</w:t>
      </w:r>
    </w:p>
    <w:tbl>
      <w:tblPr>
        <w:tblW w:w="855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839"/>
        <w:gridCol w:w="839"/>
        <w:gridCol w:w="1438"/>
        <w:gridCol w:w="892"/>
        <w:gridCol w:w="188"/>
        <w:gridCol w:w="648"/>
        <w:gridCol w:w="192"/>
        <w:gridCol w:w="648"/>
        <w:gridCol w:w="192"/>
        <w:gridCol w:w="592"/>
        <w:gridCol w:w="1245"/>
      </w:tblGrid>
      <w:tr w14:paraId="3324A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130" w:hRule="atLeast"/>
        </w:trPr>
        <w:tc>
          <w:tcPr>
            <w:tcW w:w="85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 w14:paraId="7F968C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2025年度部门整体绩效目标</w:t>
            </w:r>
          </w:p>
        </w:tc>
      </w:tr>
      <w:tr w14:paraId="3859C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42" w:hRule="atLeast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 w14:paraId="5C64C3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部门名称：</w:t>
            </w:r>
          </w:p>
        </w:tc>
        <w:tc>
          <w:tcPr>
            <w:tcW w:w="41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 w14:paraId="7D0AC3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州林草局部门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3C7445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915EF9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 w14:paraId="0C6A14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单位：万元</w:t>
            </w:r>
          </w:p>
        </w:tc>
      </w:tr>
      <w:tr w14:paraId="19D88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9" w:hRule="atLeast"/>
        </w:trPr>
        <w:tc>
          <w:tcPr>
            <w:tcW w:w="2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7E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年度部门整体预算</w:t>
            </w:r>
          </w:p>
        </w:tc>
        <w:tc>
          <w:tcPr>
            <w:tcW w:w="23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9A7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资金总额</w:t>
            </w:r>
          </w:p>
        </w:tc>
        <w:tc>
          <w:tcPr>
            <w:tcW w:w="10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C3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财政拨款</w:t>
            </w:r>
          </w:p>
        </w:tc>
        <w:tc>
          <w:tcPr>
            <w:tcW w:w="26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D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其他资金</w:t>
            </w:r>
          </w:p>
        </w:tc>
      </w:tr>
      <w:tr w14:paraId="695D9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9" w:hRule="atLeast"/>
        </w:trPr>
        <w:tc>
          <w:tcPr>
            <w:tcW w:w="2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C4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收入预算</w:t>
            </w:r>
          </w:p>
        </w:tc>
        <w:tc>
          <w:tcPr>
            <w:tcW w:w="23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3050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0.00</w:t>
            </w:r>
          </w:p>
        </w:tc>
        <w:tc>
          <w:tcPr>
            <w:tcW w:w="10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F9D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0.00</w:t>
            </w:r>
          </w:p>
        </w:tc>
        <w:tc>
          <w:tcPr>
            <w:tcW w:w="26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CFE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0.00</w:t>
            </w:r>
          </w:p>
        </w:tc>
      </w:tr>
      <w:tr w14:paraId="5F84D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9" w:hRule="atLeast"/>
        </w:trPr>
        <w:tc>
          <w:tcPr>
            <w:tcW w:w="2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93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支出预算</w:t>
            </w:r>
          </w:p>
        </w:tc>
        <w:tc>
          <w:tcPr>
            <w:tcW w:w="23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A39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6,779.30</w:t>
            </w:r>
          </w:p>
        </w:tc>
        <w:tc>
          <w:tcPr>
            <w:tcW w:w="10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7E6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6,779.30</w:t>
            </w:r>
          </w:p>
        </w:tc>
        <w:tc>
          <w:tcPr>
            <w:tcW w:w="26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89B1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0.00</w:t>
            </w:r>
          </w:p>
        </w:tc>
      </w:tr>
      <w:tr w14:paraId="0E9BB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940" w:hRule="atLeast"/>
        </w:trPr>
        <w:tc>
          <w:tcPr>
            <w:tcW w:w="2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F8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年度总体目标</w:t>
            </w:r>
          </w:p>
        </w:tc>
        <w:tc>
          <w:tcPr>
            <w:tcW w:w="603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9EF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是抓实若尔盖国家公园创建。力争尽早通过国家评估批复。二是抓实高原“森林四库”建设。三是抓实林草重点项目建设。四是抓实植被修复行动。五是抓实林草产业发展。六是抓实森林草原防火。努力实现连续38年无重特大森林火灾。七是抓实资源管理。依法做好林、草、湿地、自然保护地管理和全州重大项目使用林地、草地、湿地的要素保障。</w:t>
            </w:r>
          </w:p>
        </w:tc>
      </w:tr>
      <w:tr w14:paraId="7A982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27" w:hRule="atLeast"/>
        </w:trPr>
        <w:tc>
          <w:tcPr>
            <w:tcW w:w="855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35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管理效率</w:t>
            </w:r>
            <w:bookmarkStart w:id="0" w:name="_GoBack"/>
            <w:bookmarkEnd w:id="0"/>
          </w:p>
        </w:tc>
      </w:tr>
      <w:tr w14:paraId="5598B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6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8B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8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F7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8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AF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1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E2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25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指标值</w:t>
            </w:r>
          </w:p>
        </w:tc>
        <w:tc>
          <w:tcPr>
            <w:tcW w:w="37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DF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指标参考值</w:t>
            </w:r>
          </w:p>
        </w:tc>
      </w:tr>
      <w:tr w14:paraId="030A3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5E001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91C1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1E7D0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A5F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B8FB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3E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三年均值</w:t>
            </w: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41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  <w:tc>
          <w:tcPr>
            <w:tcW w:w="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95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23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</w:tr>
      <w:tr w14:paraId="59E86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B9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31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B9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预算管理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0E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财政拨款预算偏离度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0FF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-10%</w:t>
            </w:r>
          </w:p>
        </w:tc>
        <w:tc>
          <w:tcPr>
            <w:tcW w:w="8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A7A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-9.24%</w:t>
            </w: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F45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-5.4%</w:t>
            </w:r>
          </w:p>
        </w:tc>
        <w:tc>
          <w:tcPr>
            <w:tcW w:w="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363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-3.58%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4AC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-18.74%</w:t>
            </w:r>
          </w:p>
        </w:tc>
      </w:tr>
      <w:tr w14:paraId="17D25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72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48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95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预算管理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23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预算年终结余率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58E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15%</w:t>
            </w:r>
          </w:p>
        </w:tc>
        <w:tc>
          <w:tcPr>
            <w:tcW w:w="8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C8D4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16.66%</w:t>
            </w: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BA91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14.61%</w:t>
            </w:r>
          </w:p>
        </w:tc>
        <w:tc>
          <w:tcPr>
            <w:tcW w:w="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AEF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6.25%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E588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29.13%</w:t>
            </w:r>
          </w:p>
        </w:tc>
      </w:tr>
      <w:tr w14:paraId="292E0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E3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35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B3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预算管理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316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一般性支出金额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477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.03万元</w:t>
            </w:r>
          </w:p>
        </w:tc>
        <w:tc>
          <w:tcPr>
            <w:tcW w:w="8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3E92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.03万元</w:t>
            </w: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B0DC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16AC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6EC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.03万元</w:t>
            </w:r>
          </w:p>
        </w:tc>
      </w:tr>
      <w:tr w14:paraId="7CFE7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9E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53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83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财务管理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85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财务管理规范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CB8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优</w:t>
            </w:r>
          </w:p>
        </w:tc>
        <w:tc>
          <w:tcPr>
            <w:tcW w:w="8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A038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68F0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DCF7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38A2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B19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12" w:hRule="atLeast"/>
        </w:trPr>
        <w:tc>
          <w:tcPr>
            <w:tcW w:w="855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C1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履职效能</w:t>
            </w:r>
          </w:p>
        </w:tc>
      </w:tr>
      <w:tr w14:paraId="153BD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6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7A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D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35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23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A4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37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89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指标值（包括数字及文字描述）</w:t>
            </w:r>
          </w:p>
        </w:tc>
      </w:tr>
      <w:tr w14:paraId="7E420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80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0C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7F8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产出指标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FF9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23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A7C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若尔盖国家公园创建</w:t>
            </w:r>
          </w:p>
        </w:tc>
        <w:tc>
          <w:tcPr>
            <w:tcW w:w="37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7E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≥5年</w:t>
            </w:r>
          </w:p>
        </w:tc>
      </w:tr>
      <w:tr w14:paraId="61E87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80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2E4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E2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产出指标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17C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23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ED7C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常年有效管护草原面积</w:t>
            </w:r>
          </w:p>
        </w:tc>
        <w:tc>
          <w:tcPr>
            <w:tcW w:w="37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A6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≥4728.38万亩</w:t>
            </w:r>
          </w:p>
        </w:tc>
      </w:tr>
      <w:tr w14:paraId="752FD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80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A5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F3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产出指标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51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23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E5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常年有效管护天然林面积</w:t>
            </w:r>
          </w:p>
        </w:tc>
        <w:tc>
          <w:tcPr>
            <w:tcW w:w="37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C8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5580万亩</w:t>
            </w:r>
          </w:p>
        </w:tc>
      </w:tr>
      <w:tr w14:paraId="591BD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80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6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3F6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产出指标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44A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23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C17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林地草地审批技术核查完成率</w:t>
            </w:r>
          </w:p>
        </w:tc>
        <w:tc>
          <w:tcPr>
            <w:tcW w:w="37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2C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≥100%</w:t>
            </w:r>
          </w:p>
        </w:tc>
      </w:tr>
      <w:tr w14:paraId="36511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80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EB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03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产出指标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68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23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4C4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若尔盖国家公园创建国家评估验收完成情况</w:t>
            </w:r>
          </w:p>
        </w:tc>
        <w:tc>
          <w:tcPr>
            <w:tcW w:w="37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68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高质量完成</w:t>
            </w:r>
          </w:p>
        </w:tc>
      </w:tr>
      <w:tr w14:paraId="151F4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80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D4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AB5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效益指标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A1B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可持续发展指标</w:t>
            </w:r>
          </w:p>
        </w:tc>
        <w:tc>
          <w:tcPr>
            <w:tcW w:w="23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9A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推动我州林草项目有力有序开展</w:t>
            </w:r>
          </w:p>
        </w:tc>
        <w:tc>
          <w:tcPr>
            <w:tcW w:w="37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615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有力</w:t>
            </w:r>
          </w:p>
        </w:tc>
      </w:tr>
      <w:tr w14:paraId="47397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80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B94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DF9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效益指标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635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23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799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有力维护林区稳定</w:t>
            </w:r>
          </w:p>
        </w:tc>
        <w:tc>
          <w:tcPr>
            <w:tcW w:w="37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2E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明显</w:t>
            </w:r>
          </w:p>
        </w:tc>
      </w:tr>
      <w:tr w14:paraId="124CB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80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CF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2219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效益指标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869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23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68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全州生态效益得到有效改善</w:t>
            </w:r>
          </w:p>
        </w:tc>
        <w:tc>
          <w:tcPr>
            <w:tcW w:w="37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BA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明显</w:t>
            </w:r>
          </w:p>
        </w:tc>
      </w:tr>
    </w:tbl>
    <w:p w14:paraId="2A596017">
      <w:pPr>
        <w:rPr>
          <w:rFonts w:eastAsia="黑体"/>
          <w:color w:val="auto"/>
          <w:highlight w:val="none"/>
        </w:rPr>
      </w:pPr>
    </w:p>
    <w:p w14:paraId="17ED291C">
      <w:pPr>
        <w:pStyle w:val="15"/>
        <w:spacing w:before="0" w:after="0" w:line="578" w:lineRule="exact"/>
        <w:ind w:firstLine="482" w:firstLineChars="200"/>
        <w:rPr>
          <w:color w:val="auto"/>
          <w:highlight w:val="none"/>
        </w:rPr>
      </w:pPr>
    </w:p>
    <w:p w14:paraId="305F4B78"/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??">
    <w:altName w:val="仿宋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  <w:font w:name="Dialog . plai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994A4">
    <w:pPr>
      <w:pStyle w:val="7"/>
    </w:pPr>
    <w:r>
      <w:pict>
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184781C6">
                <w:pPr>
                  <w:pStyle w:val="7"/>
                  <w:ind w:right="451" w:rightChars="141"/>
                  <w:jc w:val="right"/>
                  <w:rPr>
                    <w:rFonts w:ascii="宋体" w:hAnsi="宋体"/>
                    <w:sz w:val="28"/>
                    <w:szCs w:val="28"/>
                  </w:rPr>
                </w:pPr>
                <w:r>
                  <w:rPr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/>
                    <w:sz w:val="28"/>
                    <w:szCs w:val="28"/>
                  </w:rPr>
                  <w:instrText xml:space="preserve">PAGE   \* MERGEFORMAT</w:instrTex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/>
                    <w:sz w:val="28"/>
                    <w:szCs w:val="28"/>
                    <w:lang w:val="zh-CN"/>
                  </w:rPr>
                  <w:t>-</w:t>
                </w:r>
                <w:r>
                  <w:rPr>
                    <w:rFonts w:ascii="宋体" w:hAnsi="宋体"/>
                    <w:sz w:val="28"/>
                    <w:szCs w:val="28"/>
                  </w:rPr>
                  <w:t xml:space="preserve"> 6 -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end"/>
                </w:r>
              </w:p>
              <w:p w14:paraId="433F831B"/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D9ED7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4A8B23"/>
    <w:multiLevelType w:val="singleLevel"/>
    <w:tmpl w:val="534A8B23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6F49C82B"/>
    <w:multiLevelType w:val="singleLevel"/>
    <w:tmpl w:val="6F49C82B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EC0174"/>
    <w:rsid w:val="00006E4D"/>
    <w:rsid w:val="00021652"/>
    <w:rsid w:val="00030311"/>
    <w:rsid w:val="00030782"/>
    <w:rsid w:val="00030B66"/>
    <w:rsid w:val="0006102A"/>
    <w:rsid w:val="00065B0F"/>
    <w:rsid w:val="00065E7E"/>
    <w:rsid w:val="000820BB"/>
    <w:rsid w:val="0008241B"/>
    <w:rsid w:val="00092280"/>
    <w:rsid w:val="00097FAE"/>
    <w:rsid w:val="000A3233"/>
    <w:rsid w:val="000A7CE3"/>
    <w:rsid w:val="000B04D6"/>
    <w:rsid w:val="000B15CE"/>
    <w:rsid w:val="000C40C6"/>
    <w:rsid w:val="000C79C1"/>
    <w:rsid w:val="000D208A"/>
    <w:rsid w:val="000E037E"/>
    <w:rsid w:val="000F659A"/>
    <w:rsid w:val="000F77B0"/>
    <w:rsid w:val="0010235D"/>
    <w:rsid w:val="00103A47"/>
    <w:rsid w:val="00106D4D"/>
    <w:rsid w:val="001119A2"/>
    <w:rsid w:val="001221D6"/>
    <w:rsid w:val="0012510A"/>
    <w:rsid w:val="00125F67"/>
    <w:rsid w:val="001261AE"/>
    <w:rsid w:val="001348A4"/>
    <w:rsid w:val="0014117C"/>
    <w:rsid w:val="00146FE8"/>
    <w:rsid w:val="0014767B"/>
    <w:rsid w:val="00147AED"/>
    <w:rsid w:val="00177AAF"/>
    <w:rsid w:val="00183850"/>
    <w:rsid w:val="00184D9F"/>
    <w:rsid w:val="001A4749"/>
    <w:rsid w:val="001A4842"/>
    <w:rsid w:val="001A5833"/>
    <w:rsid w:val="001C2158"/>
    <w:rsid w:val="001C51F2"/>
    <w:rsid w:val="001C73AB"/>
    <w:rsid w:val="001D2EA4"/>
    <w:rsid w:val="001F47CE"/>
    <w:rsid w:val="001F5776"/>
    <w:rsid w:val="0020620D"/>
    <w:rsid w:val="002069BC"/>
    <w:rsid w:val="002069EB"/>
    <w:rsid w:val="002201B0"/>
    <w:rsid w:val="00220900"/>
    <w:rsid w:val="0022307E"/>
    <w:rsid w:val="00224D05"/>
    <w:rsid w:val="002323A3"/>
    <w:rsid w:val="00236EF7"/>
    <w:rsid w:val="0024058A"/>
    <w:rsid w:val="002410C0"/>
    <w:rsid w:val="00252894"/>
    <w:rsid w:val="00253FA6"/>
    <w:rsid w:val="00254728"/>
    <w:rsid w:val="002550E7"/>
    <w:rsid w:val="002558D4"/>
    <w:rsid w:val="002560E2"/>
    <w:rsid w:val="00264CFA"/>
    <w:rsid w:val="00270DD7"/>
    <w:rsid w:val="00276F4A"/>
    <w:rsid w:val="00280BFB"/>
    <w:rsid w:val="00280C88"/>
    <w:rsid w:val="002973A4"/>
    <w:rsid w:val="002A0195"/>
    <w:rsid w:val="002B5B34"/>
    <w:rsid w:val="002B6906"/>
    <w:rsid w:val="002B7215"/>
    <w:rsid w:val="002C0AFD"/>
    <w:rsid w:val="002C59D0"/>
    <w:rsid w:val="002D1A18"/>
    <w:rsid w:val="002D6C79"/>
    <w:rsid w:val="002E1104"/>
    <w:rsid w:val="002E3FDD"/>
    <w:rsid w:val="00300EF4"/>
    <w:rsid w:val="00301353"/>
    <w:rsid w:val="00305FF6"/>
    <w:rsid w:val="00307568"/>
    <w:rsid w:val="00311506"/>
    <w:rsid w:val="00316ADB"/>
    <w:rsid w:val="00317623"/>
    <w:rsid w:val="00335F67"/>
    <w:rsid w:val="003361E9"/>
    <w:rsid w:val="00350A65"/>
    <w:rsid w:val="00361C85"/>
    <w:rsid w:val="00371352"/>
    <w:rsid w:val="00376753"/>
    <w:rsid w:val="0038541D"/>
    <w:rsid w:val="00387818"/>
    <w:rsid w:val="00391A13"/>
    <w:rsid w:val="00391FD0"/>
    <w:rsid w:val="003A44FC"/>
    <w:rsid w:val="003B3299"/>
    <w:rsid w:val="003D10A2"/>
    <w:rsid w:val="003D33B8"/>
    <w:rsid w:val="003D624D"/>
    <w:rsid w:val="003D719A"/>
    <w:rsid w:val="003F5EB7"/>
    <w:rsid w:val="003F7FE2"/>
    <w:rsid w:val="004004E7"/>
    <w:rsid w:val="00416E1A"/>
    <w:rsid w:val="00426A3F"/>
    <w:rsid w:val="004277D4"/>
    <w:rsid w:val="00461638"/>
    <w:rsid w:val="004706FA"/>
    <w:rsid w:val="00474D8D"/>
    <w:rsid w:val="00475CCD"/>
    <w:rsid w:val="00477266"/>
    <w:rsid w:val="004811BC"/>
    <w:rsid w:val="004838F2"/>
    <w:rsid w:val="00486492"/>
    <w:rsid w:val="00492CF6"/>
    <w:rsid w:val="004A4C9D"/>
    <w:rsid w:val="004C2078"/>
    <w:rsid w:val="004C228F"/>
    <w:rsid w:val="004E752F"/>
    <w:rsid w:val="004F1E37"/>
    <w:rsid w:val="00515198"/>
    <w:rsid w:val="00521C44"/>
    <w:rsid w:val="00527206"/>
    <w:rsid w:val="005274E1"/>
    <w:rsid w:val="00531DDF"/>
    <w:rsid w:val="00535FA6"/>
    <w:rsid w:val="00542AB7"/>
    <w:rsid w:val="0055358D"/>
    <w:rsid w:val="005540C8"/>
    <w:rsid w:val="00555809"/>
    <w:rsid w:val="00562165"/>
    <w:rsid w:val="005756AF"/>
    <w:rsid w:val="00575A4A"/>
    <w:rsid w:val="00591B6F"/>
    <w:rsid w:val="005A1DAF"/>
    <w:rsid w:val="005C17C8"/>
    <w:rsid w:val="005C2098"/>
    <w:rsid w:val="005C2E6C"/>
    <w:rsid w:val="005D0CCF"/>
    <w:rsid w:val="005D1C01"/>
    <w:rsid w:val="005E297D"/>
    <w:rsid w:val="005E3F12"/>
    <w:rsid w:val="005F627E"/>
    <w:rsid w:val="0061652E"/>
    <w:rsid w:val="006205E9"/>
    <w:rsid w:val="00622D0B"/>
    <w:rsid w:val="006270DA"/>
    <w:rsid w:val="00630B75"/>
    <w:rsid w:val="00634DFF"/>
    <w:rsid w:val="00635337"/>
    <w:rsid w:val="0064265B"/>
    <w:rsid w:val="0064519C"/>
    <w:rsid w:val="0065082E"/>
    <w:rsid w:val="006512D0"/>
    <w:rsid w:val="006560A3"/>
    <w:rsid w:val="00656301"/>
    <w:rsid w:val="006600C9"/>
    <w:rsid w:val="006701CC"/>
    <w:rsid w:val="00671F58"/>
    <w:rsid w:val="006762A4"/>
    <w:rsid w:val="006900E7"/>
    <w:rsid w:val="006A00A8"/>
    <w:rsid w:val="006A482D"/>
    <w:rsid w:val="006B11E0"/>
    <w:rsid w:val="006B386A"/>
    <w:rsid w:val="006B7CB4"/>
    <w:rsid w:val="006C24D3"/>
    <w:rsid w:val="006C7917"/>
    <w:rsid w:val="006D1F80"/>
    <w:rsid w:val="006E51AE"/>
    <w:rsid w:val="0070081F"/>
    <w:rsid w:val="007018F5"/>
    <w:rsid w:val="00710897"/>
    <w:rsid w:val="00712F45"/>
    <w:rsid w:val="00734305"/>
    <w:rsid w:val="007370E1"/>
    <w:rsid w:val="007732A1"/>
    <w:rsid w:val="00774C4A"/>
    <w:rsid w:val="00782BBB"/>
    <w:rsid w:val="007A0690"/>
    <w:rsid w:val="007A078F"/>
    <w:rsid w:val="007A0985"/>
    <w:rsid w:val="007B34D4"/>
    <w:rsid w:val="007C0633"/>
    <w:rsid w:val="007D086C"/>
    <w:rsid w:val="007F1BE1"/>
    <w:rsid w:val="007F707F"/>
    <w:rsid w:val="007F794C"/>
    <w:rsid w:val="007F7AC9"/>
    <w:rsid w:val="00803B42"/>
    <w:rsid w:val="008073EF"/>
    <w:rsid w:val="0081095C"/>
    <w:rsid w:val="00810C41"/>
    <w:rsid w:val="008212FF"/>
    <w:rsid w:val="0082593B"/>
    <w:rsid w:val="00827537"/>
    <w:rsid w:val="008468EA"/>
    <w:rsid w:val="00867140"/>
    <w:rsid w:val="00881134"/>
    <w:rsid w:val="008904F0"/>
    <w:rsid w:val="008B2F27"/>
    <w:rsid w:val="008B4A72"/>
    <w:rsid w:val="008B585E"/>
    <w:rsid w:val="008E6C0C"/>
    <w:rsid w:val="008F1E63"/>
    <w:rsid w:val="008F3052"/>
    <w:rsid w:val="00901E19"/>
    <w:rsid w:val="009214F7"/>
    <w:rsid w:val="00921CD7"/>
    <w:rsid w:val="00940EB6"/>
    <w:rsid w:val="00944771"/>
    <w:rsid w:val="009601FC"/>
    <w:rsid w:val="00965426"/>
    <w:rsid w:val="0096654A"/>
    <w:rsid w:val="009711E4"/>
    <w:rsid w:val="00971572"/>
    <w:rsid w:val="00981E55"/>
    <w:rsid w:val="00986CEF"/>
    <w:rsid w:val="00987212"/>
    <w:rsid w:val="009A0E5F"/>
    <w:rsid w:val="009F1AF3"/>
    <w:rsid w:val="009F233E"/>
    <w:rsid w:val="00A024AB"/>
    <w:rsid w:val="00A050A5"/>
    <w:rsid w:val="00A05B8B"/>
    <w:rsid w:val="00A1372F"/>
    <w:rsid w:val="00A170EC"/>
    <w:rsid w:val="00A217B3"/>
    <w:rsid w:val="00A23D04"/>
    <w:rsid w:val="00A277D9"/>
    <w:rsid w:val="00A30CEB"/>
    <w:rsid w:val="00A31318"/>
    <w:rsid w:val="00A5432A"/>
    <w:rsid w:val="00A55F8A"/>
    <w:rsid w:val="00A9670E"/>
    <w:rsid w:val="00AA1423"/>
    <w:rsid w:val="00AB7996"/>
    <w:rsid w:val="00AC43C3"/>
    <w:rsid w:val="00AE2EAD"/>
    <w:rsid w:val="00AF77BE"/>
    <w:rsid w:val="00B11CEE"/>
    <w:rsid w:val="00B23428"/>
    <w:rsid w:val="00B264BF"/>
    <w:rsid w:val="00B42E74"/>
    <w:rsid w:val="00B46874"/>
    <w:rsid w:val="00B50E8F"/>
    <w:rsid w:val="00B51151"/>
    <w:rsid w:val="00B523E4"/>
    <w:rsid w:val="00B52B4F"/>
    <w:rsid w:val="00B6108C"/>
    <w:rsid w:val="00B649AD"/>
    <w:rsid w:val="00B64B9C"/>
    <w:rsid w:val="00B67A3E"/>
    <w:rsid w:val="00B735CC"/>
    <w:rsid w:val="00B82C95"/>
    <w:rsid w:val="00B83F87"/>
    <w:rsid w:val="00B84DFD"/>
    <w:rsid w:val="00BB4E38"/>
    <w:rsid w:val="00BC3879"/>
    <w:rsid w:val="00BD0E0D"/>
    <w:rsid w:val="00BD41BC"/>
    <w:rsid w:val="00BD55AD"/>
    <w:rsid w:val="00BE0305"/>
    <w:rsid w:val="00BF15F0"/>
    <w:rsid w:val="00BF7DF9"/>
    <w:rsid w:val="00C03559"/>
    <w:rsid w:val="00C05395"/>
    <w:rsid w:val="00C22AD7"/>
    <w:rsid w:val="00C272C1"/>
    <w:rsid w:val="00C32A68"/>
    <w:rsid w:val="00C34282"/>
    <w:rsid w:val="00C35350"/>
    <w:rsid w:val="00C3564B"/>
    <w:rsid w:val="00C53721"/>
    <w:rsid w:val="00C64D2E"/>
    <w:rsid w:val="00C70F97"/>
    <w:rsid w:val="00C7497C"/>
    <w:rsid w:val="00C757A2"/>
    <w:rsid w:val="00C75966"/>
    <w:rsid w:val="00C76577"/>
    <w:rsid w:val="00C80225"/>
    <w:rsid w:val="00C81349"/>
    <w:rsid w:val="00C93139"/>
    <w:rsid w:val="00CA08A0"/>
    <w:rsid w:val="00CA32D2"/>
    <w:rsid w:val="00CA4E07"/>
    <w:rsid w:val="00CA737D"/>
    <w:rsid w:val="00CB1EF5"/>
    <w:rsid w:val="00CC05D4"/>
    <w:rsid w:val="00CC7166"/>
    <w:rsid w:val="00CF5275"/>
    <w:rsid w:val="00CF6136"/>
    <w:rsid w:val="00D0023D"/>
    <w:rsid w:val="00D006C6"/>
    <w:rsid w:val="00D14A65"/>
    <w:rsid w:val="00D162B9"/>
    <w:rsid w:val="00D251E2"/>
    <w:rsid w:val="00D254F4"/>
    <w:rsid w:val="00D263A7"/>
    <w:rsid w:val="00D26B5D"/>
    <w:rsid w:val="00D33159"/>
    <w:rsid w:val="00D33A19"/>
    <w:rsid w:val="00D355B5"/>
    <w:rsid w:val="00D43DC3"/>
    <w:rsid w:val="00D51791"/>
    <w:rsid w:val="00D5281E"/>
    <w:rsid w:val="00D6531B"/>
    <w:rsid w:val="00D6612D"/>
    <w:rsid w:val="00D71AD9"/>
    <w:rsid w:val="00D73C02"/>
    <w:rsid w:val="00D872ED"/>
    <w:rsid w:val="00D913C6"/>
    <w:rsid w:val="00DA0236"/>
    <w:rsid w:val="00DA5D51"/>
    <w:rsid w:val="00DA5E29"/>
    <w:rsid w:val="00DA61CA"/>
    <w:rsid w:val="00DB66BB"/>
    <w:rsid w:val="00DB73AF"/>
    <w:rsid w:val="00DC2865"/>
    <w:rsid w:val="00DD0894"/>
    <w:rsid w:val="00DE1888"/>
    <w:rsid w:val="00DF1250"/>
    <w:rsid w:val="00DF6EF7"/>
    <w:rsid w:val="00E05454"/>
    <w:rsid w:val="00E074C3"/>
    <w:rsid w:val="00E23329"/>
    <w:rsid w:val="00E24D6D"/>
    <w:rsid w:val="00E341B2"/>
    <w:rsid w:val="00E42633"/>
    <w:rsid w:val="00E5699E"/>
    <w:rsid w:val="00E570E1"/>
    <w:rsid w:val="00E72773"/>
    <w:rsid w:val="00E76739"/>
    <w:rsid w:val="00E81946"/>
    <w:rsid w:val="00E82BB7"/>
    <w:rsid w:val="00E86D13"/>
    <w:rsid w:val="00E936C2"/>
    <w:rsid w:val="00E95346"/>
    <w:rsid w:val="00EA0CEF"/>
    <w:rsid w:val="00EA2E2A"/>
    <w:rsid w:val="00EB79D2"/>
    <w:rsid w:val="00EC0174"/>
    <w:rsid w:val="00ED3EEB"/>
    <w:rsid w:val="00ED5749"/>
    <w:rsid w:val="00ED5FA3"/>
    <w:rsid w:val="00ED68C4"/>
    <w:rsid w:val="00ED6A4E"/>
    <w:rsid w:val="00ED72EA"/>
    <w:rsid w:val="00EE3A4F"/>
    <w:rsid w:val="00EF10C3"/>
    <w:rsid w:val="00EF3BD2"/>
    <w:rsid w:val="00F16BCE"/>
    <w:rsid w:val="00F45DA1"/>
    <w:rsid w:val="00F5267B"/>
    <w:rsid w:val="00F53E8B"/>
    <w:rsid w:val="00F663FD"/>
    <w:rsid w:val="00F743B0"/>
    <w:rsid w:val="00F82409"/>
    <w:rsid w:val="00F8264F"/>
    <w:rsid w:val="00F833E9"/>
    <w:rsid w:val="00F84580"/>
    <w:rsid w:val="00F873DA"/>
    <w:rsid w:val="00F95982"/>
    <w:rsid w:val="00FA006C"/>
    <w:rsid w:val="00FA190E"/>
    <w:rsid w:val="00FA288B"/>
    <w:rsid w:val="00FA2997"/>
    <w:rsid w:val="00FA2C71"/>
    <w:rsid w:val="00FB3345"/>
    <w:rsid w:val="00FB4EB4"/>
    <w:rsid w:val="00FD0228"/>
    <w:rsid w:val="00FD3BB7"/>
    <w:rsid w:val="00FE0D93"/>
    <w:rsid w:val="00FF2572"/>
    <w:rsid w:val="00FF32AD"/>
    <w:rsid w:val="07623C2E"/>
    <w:rsid w:val="0DC31556"/>
    <w:rsid w:val="1A3D6143"/>
    <w:rsid w:val="1C013801"/>
    <w:rsid w:val="1C7F9B9E"/>
    <w:rsid w:val="1DFD8D3B"/>
    <w:rsid w:val="1FB79DC9"/>
    <w:rsid w:val="1FBFC3F2"/>
    <w:rsid w:val="1FFFE033"/>
    <w:rsid w:val="27F352A6"/>
    <w:rsid w:val="2D527252"/>
    <w:rsid w:val="2DDC1740"/>
    <w:rsid w:val="2EAE55F2"/>
    <w:rsid w:val="2EDF4302"/>
    <w:rsid w:val="2EFE1A04"/>
    <w:rsid w:val="2FFF3854"/>
    <w:rsid w:val="35BBF80F"/>
    <w:rsid w:val="3B0B3937"/>
    <w:rsid w:val="3B736F08"/>
    <w:rsid w:val="3B7BA6C9"/>
    <w:rsid w:val="3BE3D531"/>
    <w:rsid w:val="3D431A40"/>
    <w:rsid w:val="3EFF42CA"/>
    <w:rsid w:val="3F6FCA38"/>
    <w:rsid w:val="3F9F3E33"/>
    <w:rsid w:val="3FD5AF3D"/>
    <w:rsid w:val="3FFED8BE"/>
    <w:rsid w:val="3FFF43BB"/>
    <w:rsid w:val="3FFF8C20"/>
    <w:rsid w:val="3FFFFC14"/>
    <w:rsid w:val="433DCF8E"/>
    <w:rsid w:val="45FF973D"/>
    <w:rsid w:val="47550EBA"/>
    <w:rsid w:val="4BF7E09D"/>
    <w:rsid w:val="53BB74FC"/>
    <w:rsid w:val="55FDDF92"/>
    <w:rsid w:val="55FFBC03"/>
    <w:rsid w:val="56CDA72E"/>
    <w:rsid w:val="576F5916"/>
    <w:rsid w:val="577FDAE2"/>
    <w:rsid w:val="57FBE2C7"/>
    <w:rsid w:val="5B335734"/>
    <w:rsid w:val="5B7F322F"/>
    <w:rsid w:val="5BCAB023"/>
    <w:rsid w:val="5BEACB58"/>
    <w:rsid w:val="5CFBB71D"/>
    <w:rsid w:val="5D8649C7"/>
    <w:rsid w:val="5DDA9B94"/>
    <w:rsid w:val="5EAB810D"/>
    <w:rsid w:val="5EFA9846"/>
    <w:rsid w:val="5EFF9DA6"/>
    <w:rsid w:val="5F7751B9"/>
    <w:rsid w:val="5F9F7232"/>
    <w:rsid w:val="5F9F9588"/>
    <w:rsid w:val="5FBD32D2"/>
    <w:rsid w:val="5FD450B0"/>
    <w:rsid w:val="5FEF60CD"/>
    <w:rsid w:val="5FFB203D"/>
    <w:rsid w:val="5FFB8CF9"/>
    <w:rsid w:val="63DBAF21"/>
    <w:rsid w:val="6636451A"/>
    <w:rsid w:val="67DE80AA"/>
    <w:rsid w:val="697E3B47"/>
    <w:rsid w:val="69BF132E"/>
    <w:rsid w:val="6B7F84D8"/>
    <w:rsid w:val="6BFEE5F3"/>
    <w:rsid w:val="6CAFF34E"/>
    <w:rsid w:val="6CFFCF4F"/>
    <w:rsid w:val="6DFFF8B6"/>
    <w:rsid w:val="6E9FE641"/>
    <w:rsid w:val="6EEDE807"/>
    <w:rsid w:val="6EEE4BE4"/>
    <w:rsid w:val="6EF65E9C"/>
    <w:rsid w:val="6F3D33C4"/>
    <w:rsid w:val="6F3D9197"/>
    <w:rsid w:val="6F6F75B6"/>
    <w:rsid w:val="6FAB3EC4"/>
    <w:rsid w:val="6FB6AF41"/>
    <w:rsid w:val="6FD52DA7"/>
    <w:rsid w:val="6FD894C8"/>
    <w:rsid w:val="6FE36A9E"/>
    <w:rsid w:val="6FEFB2D1"/>
    <w:rsid w:val="6FFF97E6"/>
    <w:rsid w:val="71397E03"/>
    <w:rsid w:val="71FB5B08"/>
    <w:rsid w:val="73FB87D9"/>
    <w:rsid w:val="75EF0FBA"/>
    <w:rsid w:val="7607C293"/>
    <w:rsid w:val="76793C4E"/>
    <w:rsid w:val="767B0EE7"/>
    <w:rsid w:val="76DF783A"/>
    <w:rsid w:val="76DFA4E8"/>
    <w:rsid w:val="771F844E"/>
    <w:rsid w:val="778720BD"/>
    <w:rsid w:val="77A7D615"/>
    <w:rsid w:val="77FF366A"/>
    <w:rsid w:val="77FF8C96"/>
    <w:rsid w:val="77FFA8F9"/>
    <w:rsid w:val="7976604B"/>
    <w:rsid w:val="79F3BC78"/>
    <w:rsid w:val="7A5B6CAA"/>
    <w:rsid w:val="7A9314AC"/>
    <w:rsid w:val="7B4F6850"/>
    <w:rsid w:val="7BABD5C4"/>
    <w:rsid w:val="7BB12055"/>
    <w:rsid w:val="7BBFADBA"/>
    <w:rsid w:val="7BF7F9C6"/>
    <w:rsid w:val="7BFF492D"/>
    <w:rsid w:val="7C631402"/>
    <w:rsid w:val="7C978C63"/>
    <w:rsid w:val="7CA35AD0"/>
    <w:rsid w:val="7CDF8BC3"/>
    <w:rsid w:val="7CEB72A5"/>
    <w:rsid w:val="7D18750B"/>
    <w:rsid w:val="7DDFDC39"/>
    <w:rsid w:val="7DFDEECD"/>
    <w:rsid w:val="7E140770"/>
    <w:rsid w:val="7E5D92FB"/>
    <w:rsid w:val="7E635AE7"/>
    <w:rsid w:val="7EF51D64"/>
    <w:rsid w:val="7EFFF488"/>
    <w:rsid w:val="7F574612"/>
    <w:rsid w:val="7F7F4920"/>
    <w:rsid w:val="7F9D05A9"/>
    <w:rsid w:val="7FB7C299"/>
    <w:rsid w:val="7FBFFB92"/>
    <w:rsid w:val="7FD76ACB"/>
    <w:rsid w:val="7FD89DA2"/>
    <w:rsid w:val="7FDBD805"/>
    <w:rsid w:val="7FDEC14D"/>
    <w:rsid w:val="7FDF8B76"/>
    <w:rsid w:val="7FDFE693"/>
    <w:rsid w:val="7FEFB5DD"/>
    <w:rsid w:val="7FEFBBD9"/>
    <w:rsid w:val="7FFD6A57"/>
    <w:rsid w:val="7FFDA7EC"/>
    <w:rsid w:val="7FFDEA1E"/>
    <w:rsid w:val="7FFEC1F6"/>
    <w:rsid w:val="7FFF0917"/>
    <w:rsid w:val="7FFF2F52"/>
    <w:rsid w:val="8F7B4EC8"/>
    <w:rsid w:val="8FBD4480"/>
    <w:rsid w:val="8FF7AE96"/>
    <w:rsid w:val="955F5184"/>
    <w:rsid w:val="9F6311D7"/>
    <w:rsid w:val="9FF54399"/>
    <w:rsid w:val="A46D76C1"/>
    <w:rsid w:val="A7FF43C2"/>
    <w:rsid w:val="ABF66286"/>
    <w:rsid w:val="AD9E3F04"/>
    <w:rsid w:val="ADA70464"/>
    <w:rsid w:val="AFE97CD3"/>
    <w:rsid w:val="B1BF5C63"/>
    <w:rsid w:val="B1FF3A18"/>
    <w:rsid w:val="B3CDF284"/>
    <w:rsid w:val="B3E8107B"/>
    <w:rsid w:val="B579A608"/>
    <w:rsid w:val="B5F66F24"/>
    <w:rsid w:val="B7F5200A"/>
    <w:rsid w:val="BABDA1AA"/>
    <w:rsid w:val="BB1B4BF1"/>
    <w:rsid w:val="BBE5FE68"/>
    <w:rsid w:val="BBFEB9C1"/>
    <w:rsid w:val="BDF7406A"/>
    <w:rsid w:val="BE6FD8DB"/>
    <w:rsid w:val="BEEF57C2"/>
    <w:rsid w:val="BF6CD6FF"/>
    <w:rsid w:val="BF6D5596"/>
    <w:rsid w:val="BFBEBB2C"/>
    <w:rsid w:val="BFC68935"/>
    <w:rsid w:val="BFDD0F1D"/>
    <w:rsid w:val="BFDDD096"/>
    <w:rsid w:val="C5B3F496"/>
    <w:rsid w:val="C96F3E49"/>
    <w:rsid w:val="CBBF14F3"/>
    <w:rsid w:val="CBE5DCF2"/>
    <w:rsid w:val="CCFCC735"/>
    <w:rsid w:val="CEEB8A74"/>
    <w:rsid w:val="D37FB642"/>
    <w:rsid w:val="D7F99798"/>
    <w:rsid w:val="D7FF400C"/>
    <w:rsid w:val="D9DB2628"/>
    <w:rsid w:val="DBED1CD4"/>
    <w:rsid w:val="DBFBB328"/>
    <w:rsid w:val="DDD7453A"/>
    <w:rsid w:val="DE3E1FD7"/>
    <w:rsid w:val="DEBFCF8E"/>
    <w:rsid w:val="DFBE1B79"/>
    <w:rsid w:val="DFCF1FEC"/>
    <w:rsid w:val="DFE75A3D"/>
    <w:rsid w:val="DFED2117"/>
    <w:rsid w:val="DFEF594B"/>
    <w:rsid w:val="DFF3F960"/>
    <w:rsid w:val="DFFE0D61"/>
    <w:rsid w:val="E35C4B3C"/>
    <w:rsid w:val="E3A781CA"/>
    <w:rsid w:val="E5DFAB50"/>
    <w:rsid w:val="E6FC647F"/>
    <w:rsid w:val="EAE6D6D4"/>
    <w:rsid w:val="EBFBC8F1"/>
    <w:rsid w:val="EBFDF757"/>
    <w:rsid w:val="ED758B5D"/>
    <w:rsid w:val="ED76A08D"/>
    <w:rsid w:val="EDBDD81F"/>
    <w:rsid w:val="EDFDB542"/>
    <w:rsid w:val="EF0FCF96"/>
    <w:rsid w:val="EF7F3FF6"/>
    <w:rsid w:val="EF95E20F"/>
    <w:rsid w:val="EFAF7DFF"/>
    <w:rsid w:val="EFAFB283"/>
    <w:rsid w:val="EFBDA38B"/>
    <w:rsid w:val="EFEE9A76"/>
    <w:rsid w:val="F1BF6FBC"/>
    <w:rsid w:val="F1F9A9B5"/>
    <w:rsid w:val="F3779FC2"/>
    <w:rsid w:val="F3D5C239"/>
    <w:rsid w:val="F3F37DF4"/>
    <w:rsid w:val="F3F96DE6"/>
    <w:rsid w:val="F3FBC54A"/>
    <w:rsid w:val="F47BB68A"/>
    <w:rsid w:val="F47F523E"/>
    <w:rsid w:val="F69FD6B0"/>
    <w:rsid w:val="F6BEF9AB"/>
    <w:rsid w:val="F7E7F921"/>
    <w:rsid w:val="F7F7AC6A"/>
    <w:rsid w:val="F7FD93B9"/>
    <w:rsid w:val="F8D9A400"/>
    <w:rsid w:val="FABF64A5"/>
    <w:rsid w:val="FABF7411"/>
    <w:rsid w:val="FBA53981"/>
    <w:rsid w:val="FBE4457E"/>
    <w:rsid w:val="FBFC558A"/>
    <w:rsid w:val="FBFF71AC"/>
    <w:rsid w:val="FBFFEA2B"/>
    <w:rsid w:val="FCCB27AA"/>
    <w:rsid w:val="FCFF8F4B"/>
    <w:rsid w:val="FD9595AD"/>
    <w:rsid w:val="FDDF4F05"/>
    <w:rsid w:val="FDF9DD9A"/>
    <w:rsid w:val="FDFD5427"/>
    <w:rsid w:val="FDFF2821"/>
    <w:rsid w:val="FDFFA696"/>
    <w:rsid w:val="FE7FB02B"/>
    <w:rsid w:val="FEBD0232"/>
    <w:rsid w:val="FED5A77F"/>
    <w:rsid w:val="FEDFD193"/>
    <w:rsid w:val="FEE7097E"/>
    <w:rsid w:val="FEEF8230"/>
    <w:rsid w:val="FEF1F1BE"/>
    <w:rsid w:val="FEF99316"/>
    <w:rsid w:val="FEFB20CB"/>
    <w:rsid w:val="FEFD95B3"/>
    <w:rsid w:val="FEFE4E93"/>
    <w:rsid w:val="FEFFA483"/>
    <w:rsid w:val="FF29B32D"/>
    <w:rsid w:val="FF2E6944"/>
    <w:rsid w:val="FF5F9D52"/>
    <w:rsid w:val="FF7A0B6A"/>
    <w:rsid w:val="FF7B6DC2"/>
    <w:rsid w:val="FF7FFF75"/>
    <w:rsid w:val="FF921F59"/>
    <w:rsid w:val="FFAF540A"/>
    <w:rsid w:val="FFB75E44"/>
    <w:rsid w:val="FFBB1E09"/>
    <w:rsid w:val="FFBB6A0C"/>
    <w:rsid w:val="FFBD894B"/>
    <w:rsid w:val="FFBF33B3"/>
    <w:rsid w:val="FFD09362"/>
    <w:rsid w:val="FFD1DA08"/>
    <w:rsid w:val="FFD54B8A"/>
    <w:rsid w:val="FFD7DEDD"/>
    <w:rsid w:val="FFDE369F"/>
    <w:rsid w:val="FFEF98C9"/>
    <w:rsid w:val="FFEFCE62"/>
    <w:rsid w:val="FFF973B0"/>
    <w:rsid w:val="FFFB4F05"/>
    <w:rsid w:val="FFFEC8F5"/>
    <w:rsid w:val="FFFEFE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beforeLines="50" w:line="360" w:lineRule="auto"/>
      <w:ind w:firstLine="480" w:firstLineChars="200"/>
    </w:pPr>
    <w:rPr>
      <w:rFonts w:eastAsia="仿宋"/>
      <w:sz w:val="24"/>
      <w:szCs w:val="23"/>
      <w:lang w:eastAsia="ar-SA"/>
    </w:rPr>
  </w:style>
  <w:style w:type="paragraph" w:styleId="3">
    <w:name w:val="Document Map"/>
    <w:basedOn w:val="1"/>
    <w:link w:val="18"/>
    <w:qFormat/>
    <w:uiPriority w:val="0"/>
    <w:rPr>
      <w:rFonts w:ascii="宋体" w:eastAsia="宋体"/>
      <w:sz w:val="18"/>
      <w:szCs w:val="18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Body Text First Indent 2"/>
    <w:basedOn w:val="5"/>
    <w:unhideWhenUsed/>
    <w:qFormat/>
    <w:uiPriority w:val="99"/>
    <w:pPr>
      <w:ind w:firstLine="420" w:firstLineChars="2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qFormat/>
    <w:uiPriority w:val="0"/>
  </w:style>
  <w:style w:type="paragraph" w:customStyle="1" w:styleId="15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6">
    <w:name w:val="四号正文"/>
    <w:basedOn w:val="1"/>
    <w:link w:val="17"/>
    <w:qFormat/>
    <w:uiPriority w:val="0"/>
    <w:pPr>
      <w:spacing w:line="360" w:lineRule="auto"/>
    </w:pPr>
    <w:rPr>
      <w:rFonts w:ascii="??" w:hAnsi="??" w:eastAsia="宋体" w:cs="宋体"/>
      <w:color w:val="000000"/>
      <w:kern w:val="0"/>
      <w:sz w:val="28"/>
      <w:szCs w:val="21"/>
    </w:rPr>
  </w:style>
  <w:style w:type="character" w:customStyle="1" w:styleId="17">
    <w:name w:val="四号正文 Char"/>
    <w:basedOn w:val="13"/>
    <w:link w:val="16"/>
    <w:qFormat/>
    <w:uiPriority w:val="0"/>
    <w:rPr>
      <w:rFonts w:ascii="??" w:hAnsi="??" w:eastAsia="宋体" w:cs="宋体"/>
      <w:color w:val="000000"/>
      <w:sz w:val="28"/>
      <w:szCs w:val="21"/>
      <w:lang w:val="en-US" w:eastAsia="zh-CN" w:bidi="ar-SA"/>
    </w:rPr>
  </w:style>
  <w:style w:type="character" w:customStyle="1" w:styleId="18">
    <w:name w:val="文档结构图 Char"/>
    <w:basedOn w:val="13"/>
    <w:link w:val="3"/>
    <w:qFormat/>
    <w:uiPriority w:val="0"/>
    <w:rPr>
      <w:rFonts w:ascii="宋体"/>
      <w:kern w:val="2"/>
      <w:sz w:val="18"/>
      <w:szCs w:val="18"/>
    </w:rPr>
  </w:style>
  <w:style w:type="paragraph" w:customStyle="1" w:styleId="19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20">
    <w:name w:val="页脚 Char"/>
    <w:basedOn w:val="13"/>
    <w:link w:val="7"/>
    <w:qFormat/>
    <w:uiPriority w:val="99"/>
    <w:rPr>
      <w:kern w:val="2"/>
      <w:sz w:val="18"/>
      <w:szCs w:val="18"/>
    </w:rPr>
  </w:style>
  <w:style w:type="character" w:customStyle="1" w:styleId="21">
    <w:name w:val="font3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51"/>
    <w:basedOn w:val="13"/>
    <w:qFormat/>
    <w:uiPriority w:val="0"/>
    <w:rPr>
      <w:rFonts w:hint="default"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23">
    <w:name w:val="font01"/>
    <w:basedOn w:val="13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4">
    <w:name w:val="font41"/>
    <w:basedOn w:val="13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5">
    <w:name w:val="font11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26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27">
    <w:name w:val="图表目录1"/>
    <w:basedOn w:val="1"/>
    <w:next w:val="1"/>
    <w:qFormat/>
    <w:uiPriority w:val="99"/>
    <w:pPr>
      <w:ind w:left="200" w:leftChars="200" w:hanging="200" w:hanging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PSZX</Company>
  <Pages>15</Pages>
  <Words>2365</Words>
  <Characters>2443</Characters>
  <Lines>20</Lines>
  <Paragraphs>5</Paragraphs>
  <TotalTime>48</TotalTime>
  <ScaleCrop>false</ScaleCrop>
  <LinksUpToDate>false</LinksUpToDate>
  <CharactersWithSpaces>2443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2019-06-02T11:06:00Z</dcterms:created>
  <dc:creator>陈萍</dc:creator>
  <cp:lastModifiedBy>王欣媛</cp:lastModifiedBy>
  <cp:lastPrinted>2025-12-30T10:00:00Z</cp:lastPrinted>
  <dcterms:modified xsi:type="dcterms:W3CDTF">2026-03-18T07:38:36Z</dcterms:modified>
  <dc:title>区域性就业培训基地建设项目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EA0448A1106B0901B2EE4969E222A9A1</vt:lpwstr>
  </property>
  <property fmtid="{D5CDD505-2E9C-101B-9397-08002B2CF9AE}" pid="4" name="KSOTemplateDocerSaveRecord">
    <vt:lpwstr>eyJoZGlkIjoiODY1YjE0ODMyZjljZGVhMGMyZTg1YTExM2RlZDQ2YTQiLCJ1c2VySWQiOiI0MTQwMzQyNDAifQ==</vt:lpwstr>
  </property>
</Properties>
</file>