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BD5BED">
      <w:pPr>
        <w:pStyle w:val="5"/>
        <w:jc w:val="center"/>
        <w:rPr>
          <w:rFonts w:hint="eastAsia" w:ascii="方正小标宋简体" w:hAnsi="宋体" w:eastAsia="方正小标宋简体" w:cs="Times New Roman"/>
          <w:color w:val="auto"/>
          <w:kern w:val="2"/>
          <w:sz w:val="44"/>
          <w:szCs w:val="44"/>
          <w:highlight w:val="none"/>
          <w:lang w:val="en-US" w:eastAsia="zh-CN" w:bidi="ar-SA"/>
        </w:rPr>
      </w:pPr>
    </w:p>
    <w:p w14:paraId="3E5E1221">
      <w:pPr>
        <w:pStyle w:val="5"/>
        <w:jc w:val="center"/>
        <w:rPr>
          <w:rFonts w:hint="eastAsia" w:ascii="方正小标宋简体" w:hAnsi="宋体" w:eastAsia="方正小标宋简体" w:cs="Times New Roman"/>
          <w:color w:val="auto"/>
          <w:kern w:val="2"/>
          <w:sz w:val="44"/>
          <w:szCs w:val="44"/>
          <w:highlight w:val="none"/>
          <w:lang w:val="en-US" w:eastAsia="zh-CN" w:bidi="ar-SA"/>
        </w:rPr>
      </w:pPr>
    </w:p>
    <w:p w14:paraId="6837DA67">
      <w:pPr>
        <w:pStyle w:val="5"/>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2025年度</w:t>
      </w:r>
      <w:bookmarkStart w:id="0" w:name="_Toc15377426"/>
      <w:bookmarkStart w:id="1" w:name="_Toc15396476"/>
      <w:bookmarkStart w:id="2" w:name="_Toc15306268"/>
      <w:bookmarkStart w:id="3" w:name="_Toc15377194"/>
      <w:bookmarkStart w:id="4" w:name="_Toc15378442"/>
      <w:bookmarkStart w:id="5" w:name="_Toc15396598"/>
    </w:p>
    <w:p w14:paraId="30D58C55">
      <w:pPr>
        <w:pStyle w:val="5"/>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lang w:eastAsia="zh-CN"/>
        </w:rPr>
        <w:t>阿坝藏族羌族自治州林业和草原局</w:t>
      </w:r>
    </w:p>
    <w:p w14:paraId="4F5F27A2">
      <w:pPr>
        <w:pStyle w:val="5"/>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方正小标宋简体" w:hAnsi="宋体" w:eastAsia="方正小标宋简体" w:cs="Times New Roman"/>
          <w:color w:val="auto"/>
          <w:kern w:val="2"/>
          <w:sz w:val="44"/>
          <w:szCs w:val="44"/>
          <w:highlight w:val="none"/>
          <w:lang w:val="en-US" w:eastAsia="zh-CN" w:bidi="ar-SA"/>
        </w:rPr>
        <w:t>部门决算</w:t>
      </w:r>
      <w:bookmarkEnd w:id="0"/>
      <w:bookmarkEnd w:id="1"/>
      <w:bookmarkEnd w:id="2"/>
      <w:bookmarkEnd w:id="3"/>
      <w:bookmarkEnd w:id="4"/>
      <w:bookmarkEnd w:id="5"/>
    </w:p>
    <w:p w14:paraId="07A4D0FC">
      <w:pPr>
        <w:widowControl/>
        <w:jc w:val="center"/>
        <w:rPr>
          <w:rFonts w:hint="eastAsia" w:eastAsia="黑体"/>
          <w:sz w:val="48"/>
          <w:szCs w:val="48"/>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0A7C93FA">
      <w:pPr>
        <w:widowControl/>
        <w:jc w:val="center"/>
        <w:rPr>
          <w:rFonts w:eastAsia="黑体"/>
          <w:sz w:val="48"/>
          <w:szCs w:val="48"/>
        </w:rPr>
      </w:pPr>
      <w:r>
        <w:rPr>
          <w:rFonts w:hint="eastAsia" w:eastAsia="黑体"/>
          <w:sz w:val="48"/>
          <w:szCs w:val="48"/>
        </w:rPr>
        <w:t>目录</w:t>
      </w:r>
    </w:p>
    <w:p w14:paraId="3664950C">
      <w:pPr>
        <w:widowControl/>
        <w:jc w:val="center"/>
        <w:rPr>
          <w:rFonts w:eastAsia="黑体" w:cs="Times New Roman"/>
          <w:sz w:val="28"/>
          <w:szCs w:val="28"/>
        </w:rPr>
      </w:pPr>
    </w:p>
    <w:p w14:paraId="2F18B389">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w:t>
      </w:r>
      <w:r>
        <w:rPr>
          <w:rFonts w:hint="eastAsia" w:ascii="Times New Roman" w:hAnsi="Times New Roman" w:eastAsia="仿宋_GB2312" w:cs="仿宋_GB2312"/>
          <w:sz w:val="32"/>
          <w:szCs w:val="32"/>
          <w:lang w:eastAsia="zh-CN"/>
        </w:rPr>
        <w:t>2025</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11</w:t>
      </w:r>
      <w:bookmarkStart w:id="67" w:name="_GoBack"/>
      <w:bookmarkEnd w:id="67"/>
      <w:r>
        <w:rPr>
          <w:rFonts w:hint="eastAsia" w:ascii="Times New Roman" w:hAnsi="Times New Roman" w:eastAsia="仿宋_GB2312" w:cs="仿宋_GB2312"/>
          <w:sz w:val="32"/>
          <w:szCs w:val="32"/>
        </w:rPr>
        <w:t>日</w:t>
      </w:r>
    </w:p>
    <w:p w14:paraId="583A7FA0"/>
    <w:p w14:paraId="2062EB19">
      <w:pPr>
        <w:spacing w:before="0" w:beforeLines="0" w:after="0" w:afterLines="0" w:line="240" w:lineRule="auto"/>
        <w:ind w:left="0" w:leftChars="0" w:right="0" w:rightChars="0" w:firstLine="0" w:firstLineChars="0"/>
        <w:jc w:val="center"/>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TOC \o "1-2" \h \u </w:instrText>
      </w:r>
      <w:r>
        <w:rPr>
          <w:rFonts w:hint="eastAsia" w:ascii="仿宋_GB2312" w:hAnsi="仿宋_GB2312" w:eastAsia="仿宋_GB2312" w:cs="仿宋_GB2312"/>
          <w:bCs w:val="0"/>
          <w:kern w:val="0"/>
          <w:sz w:val="32"/>
          <w:szCs w:val="32"/>
        </w:rPr>
        <w:fldChar w:fldCharType="separate"/>
      </w:r>
    </w:p>
    <w:p w14:paraId="7EAFFAF1">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_Toc882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第一部分 单位概况</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3</w:t>
      </w:r>
      <w:r>
        <w:rPr>
          <w:rFonts w:hint="eastAsia" w:ascii="仿宋_GB2312" w:hAnsi="仿宋_GB2312" w:eastAsia="仿宋_GB2312" w:cs="仿宋_GB2312"/>
          <w:bCs w:val="0"/>
          <w:kern w:val="0"/>
          <w:sz w:val="32"/>
          <w:szCs w:val="32"/>
        </w:rPr>
        <w:fldChar w:fldCharType="end"/>
      </w:r>
    </w:p>
    <w:p w14:paraId="40C68E64">
      <w:pPr>
        <w:pStyle w:val="37"/>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_Toc18582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一、 主要职责</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3</w:t>
      </w:r>
      <w:r>
        <w:rPr>
          <w:rFonts w:hint="eastAsia" w:ascii="仿宋_GB2312" w:hAnsi="仿宋_GB2312" w:eastAsia="仿宋_GB2312" w:cs="仿宋_GB2312"/>
          <w:bCs w:val="0"/>
          <w:kern w:val="0"/>
          <w:sz w:val="32"/>
          <w:szCs w:val="32"/>
        </w:rPr>
        <w:fldChar w:fldCharType="end"/>
      </w:r>
    </w:p>
    <w:p w14:paraId="5711E249">
      <w:pPr>
        <w:pStyle w:val="37"/>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_Toc23608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二、机构设置</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7</w:t>
      </w:r>
      <w:r>
        <w:rPr>
          <w:rFonts w:hint="eastAsia" w:ascii="仿宋_GB2312" w:hAnsi="仿宋_GB2312" w:eastAsia="仿宋_GB2312" w:cs="仿宋_GB2312"/>
          <w:bCs w:val="0"/>
          <w:kern w:val="0"/>
          <w:sz w:val="32"/>
          <w:szCs w:val="32"/>
        </w:rPr>
        <w:fldChar w:fldCharType="end"/>
      </w:r>
    </w:p>
    <w:p w14:paraId="76AD0649">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_Toc24986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 xml:space="preserve">第二部分 </w:t>
      </w:r>
      <w:r>
        <w:rPr>
          <w:rFonts w:hint="eastAsia" w:ascii="仿宋_GB2312" w:hAnsi="仿宋_GB2312" w:eastAsia="仿宋_GB2312" w:cs="仿宋_GB2312"/>
          <w:bCs w:val="0"/>
          <w:kern w:val="0"/>
          <w:sz w:val="32"/>
          <w:szCs w:val="32"/>
          <w:lang w:eastAsia="zh-CN"/>
        </w:rPr>
        <w:t>2025</w:t>
      </w:r>
      <w:r>
        <w:rPr>
          <w:rFonts w:hint="eastAsia" w:ascii="仿宋_GB2312" w:hAnsi="仿宋_GB2312" w:eastAsia="仿宋_GB2312" w:cs="仿宋_GB2312"/>
          <w:bCs w:val="0"/>
          <w:kern w:val="0"/>
          <w:sz w:val="32"/>
          <w:szCs w:val="32"/>
        </w:rPr>
        <w:t>年度单位决算情况说明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8</w:t>
      </w:r>
      <w:r>
        <w:rPr>
          <w:rFonts w:hint="eastAsia" w:ascii="仿宋_GB2312" w:hAnsi="仿宋_GB2312" w:eastAsia="仿宋_GB2312" w:cs="仿宋_GB2312"/>
          <w:bCs w:val="0"/>
          <w:kern w:val="0"/>
          <w:sz w:val="32"/>
          <w:szCs w:val="32"/>
        </w:rPr>
        <w:fldChar w:fldCharType="end"/>
      </w:r>
    </w:p>
    <w:p w14:paraId="25476DDE">
      <w:pPr>
        <w:pStyle w:val="37"/>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_Toc28033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一、 收入支出决算总体情况说明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8</w:t>
      </w:r>
      <w:r>
        <w:rPr>
          <w:rFonts w:hint="eastAsia" w:ascii="仿宋_GB2312" w:hAnsi="仿宋_GB2312" w:eastAsia="仿宋_GB2312" w:cs="仿宋_GB2312"/>
          <w:bCs w:val="0"/>
          <w:kern w:val="0"/>
          <w:sz w:val="32"/>
          <w:szCs w:val="32"/>
        </w:rPr>
        <w:fldChar w:fldCharType="end"/>
      </w:r>
    </w:p>
    <w:p w14:paraId="06BAE6DA">
      <w:pPr>
        <w:pStyle w:val="37"/>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_Toc18330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二、 收入决算情况说明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8</w:t>
      </w:r>
      <w:r>
        <w:rPr>
          <w:rFonts w:hint="eastAsia" w:ascii="仿宋_GB2312" w:hAnsi="仿宋_GB2312" w:eastAsia="仿宋_GB2312" w:cs="仿宋_GB2312"/>
          <w:bCs w:val="0"/>
          <w:kern w:val="0"/>
          <w:sz w:val="32"/>
          <w:szCs w:val="32"/>
        </w:rPr>
        <w:fldChar w:fldCharType="end"/>
      </w:r>
    </w:p>
    <w:p w14:paraId="02B015B5">
      <w:pPr>
        <w:pStyle w:val="37"/>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_Toc12720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三、 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9</w:t>
      </w:r>
      <w:r>
        <w:rPr>
          <w:rFonts w:hint="eastAsia" w:ascii="仿宋_GB2312" w:hAnsi="仿宋_GB2312" w:eastAsia="仿宋_GB2312" w:cs="仿宋_GB2312"/>
          <w:bCs w:val="0"/>
          <w:kern w:val="0"/>
          <w:sz w:val="32"/>
          <w:szCs w:val="32"/>
        </w:rPr>
        <w:fldChar w:fldCharType="end"/>
      </w:r>
    </w:p>
    <w:p w14:paraId="5B1628A4">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_Toc990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四、财政拨款收入支出决算总体情况说明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0</w:t>
      </w:r>
    </w:p>
    <w:p w14:paraId="5A85B4A1">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_Toc2282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五、一般公共预算财政拨款支出决算情况说明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0</w:t>
      </w:r>
    </w:p>
    <w:p w14:paraId="478C25EF">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_Toc28824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六、一般公共预算财政拨款基本支出决算情况说明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4</w:t>
      </w:r>
    </w:p>
    <w:p w14:paraId="2EE280EB">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_Toc6092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七、财政拨款“三公”经费支出决算情况说明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5</w:t>
      </w:r>
    </w:p>
    <w:p w14:paraId="7F5DCDD4">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_Toc32615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八、政府性基金预算支出决算情况说明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7</w:t>
      </w:r>
    </w:p>
    <w:p w14:paraId="0B6DC85B">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_Toc2334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九、 国有资本经营预算支出决算情况说明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7</w:t>
      </w:r>
    </w:p>
    <w:p w14:paraId="55346E3C">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_Toc25045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 其他重要事项的情况说明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7</w:t>
      </w:r>
    </w:p>
    <w:p w14:paraId="23F005F3">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_Toc4047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第三部分 名词解释</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19</w:t>
      </w:r>
    </w:p>
    <w:p w14:paraId="62169134">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_Toc17924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第四部分 附件</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5</w:t>
      </w:r>
    </w:p>
    <w:p w14:paraId="4A65E083">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_Toc2894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第五部分 附表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7036A211">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_Toc24332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一、收入支出决算总表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4067C9BD">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_Toc31538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二、收入决算表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2B76DF42">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_Toc6672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三、支出决算表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46724946">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_Toc30515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四、财政拨款收入支出决算总表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54C92C5A">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_Toc14213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五、财政拨款支出决算明细表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04BCA072">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_Toc8334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六、一般公共预算财政拨款支出决算表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1A415A01">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_Toc5090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七、一般公共预算财政拨款支出决算明细表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1B96CF65">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_Toc26954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八、一般公共预算财政拨款基本支出决算表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3D0A99E5">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_Toc27352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九、一般公共预算财政拨款项目支出决算表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6DD4BD2C">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_Toc28940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十、政府性基金预算财政拨款收入支出决算表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57109487">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_Toc19783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十一、国有资本经营预算财政拨款收入支出决算表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6C8511B5">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_Toc32189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十二、国有资本经营预算财政拨款支出决算表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79E807EB">
      <w:pPr>
        <w:pStyle w:val="37"/>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_Toc10202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十三、财政拨款“三公”经费支出决算表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42</w:t>
      </w:r>
      <w:r>
        <w:rPr>
          <w:rFonts w:hint="eastAsia" w:ascii="仿宋_GB2312" w:hAnsi="仿宋_GB2312" w:eastAsia="仿宋_GB2312" w:cs="仿宋_GB2312"/>
          <w:bCs w:val="0"/>
          <w:kern w:val="0"/>
          <w:sz w:val="32"/>
          <w:szCs w:val="32"/>
        </w:rPr>
        <w:fldChar w:fldCharType="end"/>
      </w:r>
    </w:p>
    <w:p w14:paraId="55AE2D2F">
      <w:pPr>
        <w:widowControl/>
        <w:adjustRightInd w:val="0"/>
        <w:snapToGrid w:val="0"/>
        <w:spacing w:line="440" w:lineRule="exact"/>
        <w:ind w:firstLine="1760" w:firstLineChars="550"/>
        <w:jc w:val="left"/>
        <w:rPr>
          <w:rFonts w:ascii="仿宋" w:hAnsi="仿宋" w:eastAsia="仿宋"/>
          <w:color w:val="auto"/>
          <w:sz w:val="24"/>
          <w:highlight w:val="none"/>
        </w:rPr>
      </w:pPr>
      <w:r>
        <w:rPr>
          <w:rFonts w:hint="eastAsia" w:ascii="仿宋_GB2312" w:hAnsi="仿宋_GB2312" w:eastAsia="仿宋_GB2312" w:cs="仿宋_GB2312"/>
          <w:bCs w:val="0"/>
          <w:kern w:val="0"/>
          <w:sz w:val="32"/>
          <w:szCs w:val="32"/>
        </w:rPr>
        <w:fldChar w:fldCharType="end"/>
      </w:r>
    </w:p>
    <w:p w14:paraId="3DDF6B80">
      <w:pPr>
        <w:widowControl/>
        <w:spacing w:line="440" w:lineRule="exact"/>
        <w:jc w:val="left"/>
        <w:rPr>
          <w:rFonts w:ascii="仿宋" w:hAnsi="仿宋" w:eastAsia="仿宋"/>
          <w:bCs/>
          <w:color w:val="auto"/>
          <w:kern w:val="44"/>
          <w:sz w:val="24"/>
          <w:highlight w:val="none"/>
        </w:rPr>
      </w:pPr>
      <w:bookmarkStart w:id="6" w:name="_Toc15396599"/>
      <w:bookmarkStart w:id="7" w:name="_Toc15377196"/>
      <w:r>
        <w:rPr>
          <w:rFonts w:ascii="仿宋" w:hAnsi="仿宋" w:eastAsia="仿宋"/>
          <w:b/>
          <w:color w:val="auto"/>
          <w:sz w:val="24"/>
          <w:highlight w:val="none"/>
        </w:rPr>
        <w:br w:type="page"/>
      </w:r>
    </w:p>
    <w:p w14:paraId="298C04CF">
      <w:pPr>
        <w:pStyle w:val="2"/>
        <w:jc w:val="center"/>
        <w:rPr>
          <w:rStyle w:val="29"/>
          <w:rFonts w:ascii="黑体" w:hAnsi="黑体" w:eastAsia="黑体"/>
          <w:b/>
          <w:bCs w:val="0"/>
          <w:color w:val="auto"/>
          <w:highlight w:val="none"/>
        </w:rPr>
      </w:pPr>
      <w:r>
        <w:rPr>
          <w:rFonts w:hint="eastAsia" w:ascii="黑体" w:hAnsi="黑体" w:eastAsia="黑体"/>
          <w:b w:val="0"/>
          <w:color w:val="auto"/>
          <w:highlight w:val="none"/>
        </w:rPr>
        <w:t xml:space="preserve">第一部分 </w:t>
      </w:r>
      <w:r>
        <w:rPr>
          <w:rStyle w:val="29"/>
          <w:rFonts w:hint="eastAsia" w:ascii="黑体" w:hAnsi="黑体" w:eastAsia="黑体"/>
          <w:b w:val="0"/>
          <w:bCs w:val="0"/>
          <w:color w:val="auto"/>
          <w:highlight w:val="none"/>
        </w:rPr>
        <w:t>部门概况</w:t>
      </w:r>
      <w:bookmarkEnd w:id="6"/>
      <w:bookmarkEnd w:id="7"/>
    </w:p>
    <w:p w14:paraId="51AEB852">
      <w:pPr>
        <w:widowControl/>
        <w:jc w:val="left"/>
        <w:rPr>
          <w:rFonts w:ascii="黑体" w:eastAsia="黑体"/>
          <w:color w:val="auto"/>
          <w:sz w:val="32"/>
          <w:szCs w:val="32"/>
          <w:highlight w:val="none"/>
        </w:rPr>
      </w:pPr>
    </w:p>
    <w:p w14:paraId="02C6A0AE">
      <w:pPr>
        <w:pStyle w:val="3"/>
        <w:numPr>
          <w:ilvl w:val="0"/>
          <w:numId w:val="0"/>
        </w:numPr>
        <w:ind w:firstLine="640" w:firstLineChars="200"/>
        <w:rPr>
          <w:rFonts w:hint="eastAsia" w:ascii="黑体" w:hAnsi="黑体" w:eastAsia="黑体"/>
          <w:b w:val="0"/>
          <w:color w:val="auto"/>
          <w:highlight w:val="none"/>
          <w:lang w:eastAsia="zh-CN"/>
        </w:rPr>
      </w:pPr>
      <w:r>
        <w:rPr>
          <w:rFonts w:hint="eastAsia" w:ascii="黑体" w:hAnsi="黑体" w:eastAsia="黑体"/>
          <w:b w:val="0"/>
          <w:color w:val="auto"/>
          <w:highlight w:val="none"/>
          <w:lang w:eastAsia="zh-CN"/>
        </w:rPr>
        <w:t>一、部门职责</w:t>
      </w:r>
    </w:p>
    <w:p w14:paraId="5E79A33F">
      <w:pPr>
        <w:pStyle w:val="5"/>
        <w:adjustRightInd w:val="0"/>
        <w:snapToGrid w:val="0"/>
        <w:spacing w:before="93" w:beforeLines="0" w:line="360" w:lineRule="auto"/>
        <w:ind w:firstLine="665" w:firstLineChars="208"/>
        <w:outlineLvl w:val="2"/>
        <w:rPr>
          <w:rFonts w:hint="eastAsia" w:ascii="仿宋_GB2312" w:hAnsi="仿宋_GB2312" w:eastAsia="仿宋_GB2312" w:cs="仿宋_GB2312"/>
          <w:bCs/>
          <w:sz w:val="32"/>
          <w:szCs w:val="32"/>
        </w:rPr>
      </w:pPr>
      <w:bookmarkStart w:id="8" w:name="_Toc15378445"/>
      <w:bookmarkStart w:id="9" w:name="_Toc15377198"/>
      <w:r>
        <w:rPr>
          <w:rFonts w:hint="eastAsia" w:ascii="仿宋_GB2312" w:hAnsi="仿宋_GB2312" w:eastAsia="仿宋_GB2312" w:cs="仿宋_GB2312"/>
          <w:bCs/>
          <w:sz w:val="32"/>
          <w:szCs w:val="32"/>
        </w:rPr>
        <w:t>（一）主要职能。（职能参照州政府批准的三定方案）</w:t>
      </w:r>
      <w:bookmarkEnd w:id="8"/>
      <w:bookmarkEnd w:id="9"/>
    </w:p>
    <w:p w14:paraId="2383C76E">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2019年机构改革后，根据阿委办发〔2019〕25号文件规定，我局主要职责是：</w:t>
      </w:r>
    </w:p>
    <w:p w14:paraId="6C780FF2">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负责全州林业和草原及其生态保护修复的监督管理。拟订全州林业和草原及其生态保护修复的政策、规划并组织实施，起草相关自治法规、规范性文件草案。组织开展全州森林、草原、湿地、荒漠和陆生野生动植物资源动态监测与评价，推进全州林业和草原数字化建设。</w:t>
      </w:r>
    </w:p>
    <w:p w14:paraId="5D9183B2">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2、组织全州林业和草原生态保护修复和造林绿化工作。组织实施林业和草原重点生态保护修复工程，指导公益林和商品林的培育，指导、监督全民义务植树、城乡绿化工作。指导林业和草原有害生物防治、检疫工作。承担林业和草原应对气候变化的相关工作。</w:t>
      </w:r>
    </w:p>
    <w:p w14:paraId="23EC65F0">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3、负责全州森林、草原、湿地资源的监督管理。组织编制并监督执行全州森林采伐限额。负责林地管理，拟订林地保护利用规划并组织实施，组织实施公益林划定和管理工作，管理国有森林资源。负责草原禁牧、草畜平衡和草原生态修复治理工作，监督管理草原的开发利用。负责湿地生态保护修复工作，拟订全州湿地保护规划，监督管理湿地的开发利用。</w:t>
      </w:r>
    </w:p>
    <w:p w14:paraId="4DD1D2D8">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4、负责监督管理全州荒漠化防治工作。组织开展荒漠调查，组织拟订防沙治沙及沙化土地封禁保护区建设规划，监督管理沙化土地的开发利用，组织沙尘暴灾害预测预报和应急处置。</w:t>
      </w:r>
    </w:p>
    <w:p w14:paraId="37E4012A">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5、负责全州陆生野生动植物资源监督管理。组织开展陆生野生动植物资源调查，拟订及调整全州重点保护陆生野生动物、植物名录，指导陆生野生动植物的救护繁育、栖息地恢复发展、疫源疫病监测，监督管理陆生野生动植物猎捕或采集、驯养繁殖或培植、经营利用，按分工监督管理野生动植物进出口。</w:t>
      </w:r>
    </w:p>
    <w:p w14:paraId="2F29290F">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6、负责监督管理全州各类自然保护地。拟订各类自然保护地规划。负责国家公园申报设立、规划、建设和特许经营等工作。负责州级政府直接行使和代理行使全民所有权的国家公园等自然保护地的自然资源资产管理和国土空间用途管制。提出新建、调整各类自然保护地的审核建议并按程序报批。组织审核世界自然遗产的申报，会同有关部门审核世界自然与文化双重遗产的申报。负责生物多样性保护相关工作。</w:t>
      </w:r>
    </w:p>
    <w:p w14:paraId="3668529B">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7、负责推进全州林业和草原改革相关工作。拟订集体林权制度、国有林区、国有林场、草原等重大改革意见并监督实施。拟订农村林业发展、维护林业经营者合法权益的政策措施。指导农村林地承包经营工作。开展退耕（牧）还林还草，负责天然林保护工作。</w:t>
      </w:r>
    </w:p>
    <w:p w14:paraId="39CEC696">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8、拟订全州林业和草原资源优化配置及木材利用政策，拟订相关林业产业地方标准并监督实施。组织、指导林草产品质量监督。指导生态扶贫相关工作。指导林业和草原现代园区建设、花卉、特色经济林、森林林下经济、森林康养和生态旅游产业发展。推进林业和草原绿色产业发展。</w:t>
      </w:r>
    </w:p>
    <w:p w14:paraId="1655C33D">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9、指导全州国有林场基本建设和发展，组织林木种子、草种种质资源普查，组织建立种质资源库，负责良种选育推广，管理林木种苗、草种生产经营行为，监管林木种苗、草种质量。监督管理林业和草原生物种质资源、转基因生物安全、植物新品种保护。</w:t>
      </w:r>
    </w:p>
    <w:p w14:paraId="660F6EEA">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10、指导全州森林公安工作，监督管理森林公安队伍，指导全州林业重大违法案件的查处，负责相关行政执法监管工作，指导林区社会治安治理工作。</w:t>
      </w:r>
    </w:p>
    <w:p w14:paraId="2DD6F6DB">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11、负责落实全州综合防灾减灾规划相关要求，组织编制森林和草原火灾防治规划并指导实施，组织、指导开展防火巡护、火源管理、防火设施建设等工作。负责森林和草原火情监测预警、火灾预防工作，发送森林和草原火险信息。组织指导国有林场林区和草原开展防火宣传教育、监测预警、督促检查等工作。</w:t>
      </w:r>
    </w:p>
    <w:p w14:paraId="573A28D0">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12、监督管理全州林业和草原州级以上资金和国有资产，提出林业和草原预算内投资、州级以上财政性资金安排建议，按州政府规定权限，核报、核准规划内和年度计划内投资项目。参与拟订全州林业和草原经济调节政策，组织实施林业和草原生态补偿工作。</w:t>
      </w:r>
    </w:p>
    <w:p w14:paraId="2E89CF5F">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13、负责林业和草原科技、教育和对外交流工作，指导全州林业和草原人才队伍建设，组织实施林业和草原对外交流与合作事务，承担湿地、防治荒漠化、濒危野生动植物等国际公约履约有关工作。</w:t>
      </w:r>
    </w:p>
    <w:p w14:paraId="62A74AC5">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14、负责州属林业企业监督管理。协助州委组织部指导州属林业企业党的建设和人才队伍建设工作。组织协调州属林业企业退休人员信访、稳定工作。</w:t>
      </w:r>
    </w:p>
    <w:p w14:paraId="19BD442E">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15、承担职责范围内的安全生产和职业健康、生态环境保护、公共机构节能减排、审批服务使民化等工作。</w:t>
      </w:r>
    </w:p>
    <w:p w14:paraId="24819D7B">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16、完成州委、州政府交办的其他任务。</w:t>
      </w:r>
    </w:p>
    <w:p w14:paraId="0A05B1DF">
      <w:pPr>
        <w:pBdr>
          <w:top w:val="none" w:color="auto" w:sz="0" w:space="0"/>
          <w:left w:val="none" w:color="auto" w:sz="0" w:space="0"/>
          <w:bottom w:val="none" w:color="auto" w:sz="0" w:space="0"/>
          <w:right w:val="none" w:color="auto" w:sz="0" w:space="0"/>
        </w:pBdr>
        <w:adjustRightInd w:val="0"/>
        <w:snapToGrid w:val="0"/>
        <w:spacing w:line="36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17、职能转变。围绕高质量筑牢长江黄河上游生态屏障，加强森林、草原、湿地监督管理的统筹协调，切实加大生态系统保护力度，实施重要生态系统保护和修复工程，高质量实施绿化全州行动，高水平推进数字林业草原建设，加快实现林业草原生态、经济、社会三大效益。统一推进全州各类自然保护地的清理规范和归并整合。参与大熊猫国家公园在州建设试点期间的相关工作。</w:t>
      </w:r>
    </w:p>
    <w:p w14:paraId="0A8AD360">
      <w:pPr>
        <w:pStyle w:val="5"/>
        <w:adjustRightInd w:val="0"/>
        <w:snapToGrid w:val="0"/>
        <w:spacing w:before="93" w:beforeLines="0" w:line="360" w:lineRule="auto"/>
        <w:ind w:firstLine="665" w:firstLineChars="208"/>
        <w:outlineLvl w:val="2"/>
        <w:rPr>
          <w:rFonts w:hint="eastAsia" w:ascii="仿宋_GB2312" w:hAnsi="仿宋_GB2312" w:eastAsia="仿宋_GB2312" w:cs="仿宋_GB2312"/>
          <w:sz w:val="32"/>
          <w:szCs w:val="32"/>
          <w:lang w:eastAsia="zh-CN"/>
        </w:rPr>
      </w:pPr>
      <w:r>
        <w:rPr>
          <w:rFonts w:hint="eastAsia" w:ascii="仿宋_GB2312" w:hAnsi="仿宋_GB2312" w:eastAsia="仿宋_GB2312" w:cs="仿宋_GB2312"/>
          <w:bCs/>
          <w:kern w:val="0"/>
          <w:sz w:val="32"/>
          <w:szCs w:val="32"/>
        </w:rPr>
        <w:t>18、与州应急管理局的有关职责分工。州林草局和州应急管理局要做到各司其职、无缝对接。州应急管理局负责统一组织、统一指捍、统一协调自然灾害类突发事件应急救援救灾工作。州林草局依法依规承担林业草原领域的灾害监测、预警、防治工作及抢险救援的技术保障工作。必要时，州林草局可以提请州应急管理局，以州应急指挥机构名义部署相关防治工作。</w:t>
      </w:r>
    </w:p>
    <w:p w14:paraId="0EAD2BAE">
      <w:pPr>
        <w:pStyle w:val="3"/>
        <w:numPr>
          <w:ilvl w:val="0"/>
          <w:numId w:val="0"/>
        </w:numPr>
        <w:ind w:leftChars="0" w:firstLine="640" w:firstLineChars="200"/>
        <w:rPr>
          <w:rStyle w:val="30"/>
          <w:rFonts w:hint="eastAsia" w:ascii="黑体" w:hAnsi="黑体" w:eastAsia="黑体"/>
          <w:b w:val="0"/>
          <w:bCs w:val="0"/>
          <w:color w:val="auto"/>
          <w:highlight w:val="none"/>
        </w:rPr>
      </w:pPr>
      <w:bookmarkStart w:id="10" w:name="_Toc15396601"/>
      <w:bookmarkStart w:id="11" w:name="_Toc15377200"/>
      <w:r>
        <w:rPr>
          <w:rFonts w:hint="eastAsia" w:ascii="黑体" w:hAnsi="黑体" w:eastAsia="黑体"/>
          <w:b w:val="0"/>
          <w:color w:val="auto"/>
          <w:highlight w:val="none"/>
          <w:lang w:eastAsia="zh-CN"/>
        </w:rPr>
        <w:t>二、</w:t>
      </w:r>
      <w:r>
        <w:rPr>
          <w:rFonts w:hint="eastAsia" w:ascii="黑体" w:hAnsi="黑体" w:eastAsia="黑体"/>
          <w:b w:val="0"/>
          <w:color w:val="auto"/>
          <w:highlight w:val="none"/>
        </w:rPr>
        <w:t>机</w:t>
      </w:r>
      <w:r>
        <w:rPr>
          <w:rStyle w:val="30"/>
          <w:rFonts w:hint="eastAsia" w:ascii="黑体" w:hAnsi="黑体" w:eastAsia="黑体"/>
          <w:b w:val="0"/>
          <w:bCs w:val="0"/>
          <w:color w:val="auto"/>
          <w:highlight w:val="none"/>
        </w:rPr>
        <w:t>构设置</w:t>
      </w:r>
      <w:bookmarkEnd w:id="10"/>
      <w:bookmarkEnd w:id="11"/>
    </w:p>
    <w:p w14:paraId="69DE73E5">
      <w:pPr>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sz w:val="32"/>
          <w:szCs w:val="32"/>
        </w:rPr>
        <w:t>阿坝州林草局下属二级单位</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个，其中行政单位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个，参照公务员法管理的事业单位</w:t>
      </w:r>
      <w:r>
        <w:rPr>
          <w:rFonts w:hint="eastAsia" w:ascii="仿宋_GB2312" w:hAnsi="仿宋_GB2312" w:eastAsia="仿宋_GB2312" w:cs="仿宋_GB2312"/>
          <w:bCs/>
          <w:sz w:val="32"/>
          <w:szCs w:val="32"/>
        </w:rPr>
        <w:t>0</w:t>
      </w:r>
      <w:r>
        <w:rPr>
          <w:rFonts w:hint="eastAsia" w:ascii="仿宋_GB2312" w:hAnsi="仿宋_GB2312" w:eastAsia="仿宋_GB2312" w:cs="仿宋_GB2312"/>
          <w:sz w:val="32"/>
          <w:szCs w:val="32"/>
        </w:rPr>
        <w:t>个，其他事业单位</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个（退耕还林办公室、林草种苗站、木材检查站）。</w:t>
      </w:r>
    </w:p>
    <w:p w14:paraId="397DCFF8">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纳入</w:t>
      </w:r>
      <w:r>
        <w:rPr>
          <w:rFonts w:hint="eastAsia" w:ascii="仿宋_GB2312" w:hAnsi="仿宋_GB2312" w:eastAsia="仿宋_GB2312" w:cs="仿宋_GB2312"/>
          <w:sz w:val="32"/>
          <w:szCs w:val="32"/>
          <w:lang w:eastAsia="zh-CN"/>
        </w:rPr>
        <w:t>阿坝州林草局2025</w:t>
      </w:r>
      <w:r>
        <w:rPr>
          <w:rFonts w:hint="eastAsia" w:ascii="仿宋_GB2312" w:hAnsi="仿宋_GB2312" w:eastAsia="仿宋_GB2312" w:cs="仿宋_GB2312"/>
          <w:sz w:val="32"/>
          <w:szCs w:val="32"/>
        </w:rPr>
        <w:t>年度部门决算编制范围的二级预算单位包括：</w:t>
      </w:r>
    </w:p>
    <w:p w14:paraId="3F0F9D4B">
      <w:pPr>
        <w:spacing w:line="560" w:lineRule="exact"/>
        <w:ind w:firstLine="640" w:firstLineChars="200"/>
        <w:rPr>
          <w:rFonts w:hint="eastAsia" w:ascii="仿宋_GB2312" w:hAnsi="仿宋_GB2312" w:eastAsia="仿宋_GB2312" w:cs="仿宋_GB2312"/>
          <w:sz w:val="32"/>
          <w:szCs w:val="32"/>
        </w:rPr>
      </w:pPr>
      <w:bookmarkStart w:id="12" w:name="_Toc15377202"/>
      <w:bookmarkStart w:id="13" w:name="_Toc15306276"/>
      <w:bookmarkStart w:id="14" w:name="_Toc15377433"/>
      <w:bookmarkStart w:id="15" w:name="_Toc15378449"/>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阿坝州</w:t>
      </w:r>
      <w:r>
        <w:rPr>
          <w:rFonts w:hint="eastAsia" w:ascii="仿宋_GB2312" w:hAnsi="仿宋_GB2312" w:eastAsia="仿宋_GB2312" w:cs="仿宋_GB2312"/>
          <w:sz w:val="32"/>
          <w:szCs w:val="32"/>
        </w:rPr>
        <w:t>退耕还林办公室</w:t>
      </w:r>
      <w:bookmarkEnd w:id="12"/>
      <w:bookmarkEnd w:id="13"/>
      <w:bookmarkEnd w:id="14"/>
      <w:bookmarkEnd w:id="15"/>
    </w:p>
    <w:p w14:paraId="50DE0B46">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2.阿坝州</w:t>
      </w:r>
      <w:r>
        <w:rPr>
          <w:rFonts w:hint="eastAsia" w:ascii="仿宋_GB2312" w:hAnsi="仿宋_GB2312" w:eastAsia="仿宋_GB2312" w:cs="仿宋_GB2312"/>
          <w:sz w:val="32"/>
          <w:szCs w:val="32"/>
        </w:rPr>
        <w:t>林草种苗</w:t>
      </w:r>
      <w:r>
        <w:rPr>
          <w:rFonts w:hint="eastAsia" w:ascii="仿宋_GB2312" w:hAnsi="仿宋_GB2312" w:eastAsia="仿宋_GB2312" w:cs="仿宋_GB2312"/>
          <w:sz w:val="32"/>
          <w:szCs w:val="32"/>
          <w:lang w:eastAsia="zh-CN"/>
        </w:rPr>
        <w:t>站</w:t>
      </w:r>
    </w:p>
    <w:p w14:paraId="646E3922">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阿坝州木材检查站</w:t>
      </w:r>
    </w:p>
    <w:p w14:paraId="24379F3D">
      <w:pPr>
        <w:widowControl/>
        <w:jc w:val="center"/>
        <w:rPr>
          <w:rStyle w:val="29"/>
          <w:rFonts w:ascii="黑体" w:hAnsi="黑体" w:eastAsia="黑体"/>
          <w:b w:val="0"/>
          <w:bCs/>
          <w:color w:val="auto"/>
          <w:highlight w:val="none"/>
        </w:rPr>
      </w:pPr>
      <w:r>
        <w:rPr>
          <w:rFonts w:hint="eastAsia" w:ascii="仿宋_GB2312" w:hAnsi="仿宋_GB2312" w:eastAsia="仿宋_GB2312" w:cs="仿宋_GB2312"/>
          <w:color w:val="auto"/>
          <w:sz w:val="32"/>
          <w:szCs w:val="32"/>
          <w:highlight w:val="none"/>
        </w:rPr>
        <w:br w:type="page"/>
      </w:r>
      <w:bookmarkStart w:id="16" w:name="_Toc15396602"/>
      <w:bookmarkStart w:id="17" w:name="_Toc15377204"/>
      <w:r>
        <w:rPr>
          <w:rStyle w:val="29"/>
          <w:rFonts w:hint="eastAsia" w:ascii="黑体" w:hAnsi="黑体" w:eastAsia="黑体" w:cs="Times New Roman"/>
          <w:b w:val="0"/>
          <w:bCs/>
          <w:color w:val="auto"/>
          <w:highlight w:val="none"/>
        </w:rPr>
        <w:t xml:space="preserve">第二部分 </w:t>
      </w:r>
      <w:r>
        <w:rPr>
          <w:rStyle w:val="29"/>
          <w:rFonts w:hint="eastAsia" w:ascii="黑体" w:hAnsi="黑体" w:eastAsia="黑体" w:cs="Times New Roman"/>
          <w:b w:val="0"/>
          <w:bCs/>
          <w:color w:val="auto"/>
          <w:highlight w:val="none"/>
          <w:lang w:val="en-US" w:eastAsia="zh-CN"/>
        </w:rPr>
        <w:t>2025年度</w:t>
      </w:r>
      <w:r>
        <w:rPr>
          <w:rStyle w:val="29"/>
          <w:rFonts w:hint="eastAsia" w:ascii="黑体" w:hAnsi="黑体" w:eastAsia="黑体" w:cs="Times New Roman"/>
          <w:b w:val="0"/>
          <w:bCs/>
          <w:color w:val="auto"/>
          <w:highlight w:val="none"/>
        </w:rPr>
        <w:t>部门</w:t>
      </w:r>
      <w:r>
        <w:rPr>
          <w:rStyle w:val="29"/>
          <w:rFonts w:hint="eastAsia" w:ascii="黑体" w:hAnsi="黑体" w:eastAsia="黑体"/>
          <w:b w:val="0"/>
          <w:bCs/>
          <w:color w:val="auto"/>
          <w:highlight w:val="none"/>
        </w:rPr>
        <w:t>决算情况说明</w:t>
      </w:r>
      <w:bookmarkEnd w:id="16"/>
      <w:bookmarkEnd w:id="17"/>
    </w:p>
    <w:p w14:paraId="3AC9A340">
      <w:pPr>
        <w:rPr>
          <w:color w:val="auto"/>
          <w:highlight w:val="none"/>
        </w:rPr>
      </w:pPr>
    </w:p>
    <w:p w14:paraId="333A1841">
      <w:pPr>
        <w:pStyle w:val="28"/>
        <w:numPr>
          <w:ilvl w:val="0"/>
          <w:numId w:val="1"/>
        </w:numPr>
        <w:spacing w:line="600" w:lineRule="exact"/>
        <w:ind w:firstLineChars="0"/>
        <w:outlineLvl w:val="1"/>
        <w:rPr>
          <w:rStyle w:val="30"/>
          <w:rFonts w:ascii="黑体" w:hAnsi="黑体" w:eastAsia="黑体"/>
          <w:b w:val="0"/>
          <w:color w:val="auto"/>
          <w:highlight w:val="none"/>
        </w:rPr>
      </w:pPr>
      <w:bookmarkStart w:id="18" w:name="_Toc15377205"/>
      <w:bookmarkStart w:id="19" w:name="_Toc15396603"/>
      <w:r>
        <w:rPr>
          <w:rFonts w:hint="eastAsia" w:ascii="黑体" w:hAnsi="黑体" w:eastAsia="黑体"/>
          <w:color w:val="auto"/>
          <w:sz w:val="32"/>
          <w:szCs w:val="32"/>
          <w:highlight w:val="none"/>
        </w:rPr>
        <w:t>收</w:t>
      </w:r>
      <w:r>
        <w:rPr>
          <w:rStyle w:val="30"/>
          <w:rFonts w:hint="eastAsia" w:ascii="黑体" w:hAnsi="黑体" w:eastAsia="黑体"/>
          <w:b w:val="0"/>
          <w:color w:val="auto"/>
          <w:highlight w:val="none"/>
        </w:rPr>
        <w:t>入支出决算总体情况说明</w:t>
      </w:r>
      <w:bookmarkEnd w:id="18"/>
      <w:bookmarkEnd w:id="19"/>
    </w:p>
    <w:p w14:paraId="68F8EDF5">
      <w:pPr>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年度收</w:t>
      </w:r>
      <w:r>
        <w:rPr>
          <w:rFonts w:hint="eastAsia" w:ascii="仿宋_GB2312" w:hAnsi="仿宋_GB2312" w:eastAsia="仿宋_GB2312" w:cs="仿宋_GB2312"/>
          <w:color w:val="auto"/>
          <w:sz w:val="32"/>
          <w:szCs w:val="32"/>
          <w:highlight w:val="none"/>
          <w:lang w:val="en-US" w:eastAsia="zh-CN"/>
        </w:rPr>
        <w:t>入</w:t>
      </w:r>
      <w:r>
        <w:rPr>
          <w:rFonts w:hint="eastAsia" w:ascii="仿宋_GB2312" w:hAnsi="仿宋_GB2312" w:eastAsia="仿宋_GB2312" w:cs="仿宋_GB2312"/>
          <w:color w:val="auto"/>
          <w:sz w:val="32"/>
          <w:szCs w:val="32"/>
          <w:highlight w:val="none"/>
          <w:lang w:eastAsia="zh-CN"/>
        </w:rPr>
        <w:t>为</w:t>
      </w:r>
      <w:r>
        <w:rPr>
          <w:rFonts w:hint="eastAsia" w:ascii="仿宋_GB2312" w:hAnsi="仿宋_GB2312" w:eastAsia="仿宋_GB2312" w:cs="仿宋_GB2312"/>
          <w:color w:val="auto"/>
          <w:sz w:val="32"/>
          <w:szCs w:val="32"/>
          <w:highlight w:val="none"/>
          <w:lang w:val="en-US" w:eastAsia="zh-CN"/>
        </w:rPr>
        <w:t>51372.52</w:t>
      </w:r>
      <w:r>
        <w:rPr>
          <w:rFonts w:hint="eastAsia" w:ascii="仿宋_GB2312" w:hAnsi="仿宋_GB2312" w:eastAsia="仿宋_GB2312" w:cs="仿宋_GB2312"/>
          <w:color w:val="auto"/>
          <w:sz w:val="32"/>
          <w:szCs w:val="32"/>
          <w:highlight w:val="none"/>
        </w:rPr>
        <w:t>万元、支</w:t>
      </w:r>
      <w:r>
        <w:rPr>
          <w:rFonts w:hint="eastAsia" w:ascii="仿宋_GB2312" w:hAnsi="仿宋_GB2312" w:eastAsia="仿宋_GB2312" w:cs="仿宋_GB2312"/>
          <w:color w:val="auto"/>
          <w:sz w:val="32"/>
          <w:szCs w:val="32"/>
          <w:highlight w:val="none"/>
          <w:lang w:val="en-US" w:eastAsia="zh-CN"/>
        </w:rPr>
        <w:t>出51372.52万元</w:t>
      </w:r>
      <w:r>
        <w:rPr>
          <w:rFonts w:hint="eastAsia" w:ascii="仿宋_GB2312" w:hAnsi="仿宋_GB2312" w:eastAsia="仿宋_GB2312" w:cs="仿宋_GB2312"/>
          <w:color w:val="auto"/>
          <w:sz w:val="32"/>
          <w:szCs w:val="32"/>
          <w:highlight w:val="none"/>
        </w:rPr>
        <w:t>。与</w:t>
      </w: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度</w:t>
      </w:r>
      <w:r>
        <w:rPr>
          <w:rFonts w:hint="eastAsia" w:ascii="仿宋_GB2312" w:hAnsi="仿宋_GB2312" w:eastAsia="仿宋_GB2312" w:cs="仿宋_GB2312"/>
          <w:color w:val="auto"/>
          <w:sz w:val="32"/>
          <w:szCs w:val="32"/>
          <w:highlight w:val="none"/>
        </w:rPr>
        <w:t>相比，收</w:t>
      </w:r>
      <w:r>
        <w:rPr>
          <w:rFonts w:hint="eastAsia" w:ascii="仿宋_GB2312" w:hAnsi="仿宋_GB2312" w:eastAsia="仿宋_GB2312" w:cs="仿宋_GB2312"/>
          <w:color w:val="auto"/>
          <w:sz w:val="32"/>
          <w:szCs w:val="32"/>
          <w:highlight w:val="none"/>
          <w:lang w:val="en-US" w:eastAsia="zh-CN"/>
        </w:rPr>
        <w:t>入增加11843.16</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上升29.9</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支</w:t>
      </w:r>
      <w:r>
        <w:rPr>
          <w:rFonts w:hint="eastAsia" w:ascii="仿宋_GB2312" w:hAnsi="仿宋_GB2312" w:eastAsia="仿宋_GB2312" w:cs="仿宋_GB2312"/>
          <w:color w:val="auto"/>
          <w:sz w:val="32"/>
          <w:szCs w:val="32"/>
          <w:highlight w:val="none"/>
          <w:lang w:val="en-US" w:eastAsia="zh-CN"/>
        </w:rPr>
        <w:t>出增加11843.16</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val="en-US" w:eastAsia="zh-CN"/>
        </w:rPr>
        <w:t>上升29.9</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主要变动原因</w:t>
      </w:r>
      <w:r>
        <w:rPr>
          <w:rFonts w:hint="eastAsia" w:ascii="仿宋_GB2312" w:hAnsi="仿宋_GB2312" w:eastAsia="仿宋_GB2312" w:cs="仿宋_GB2312"/>
          <w:color w:val="auto"/>
          <w:sz w:val="32"/>
          <w:szCs w:val="32"/>
          <w:highlight w:val="none"/>
          <w:lang w:val="en-US" w:eastAsia="zh-CN"/>
        </w:rPr>
        <w:t>是2025年度因新进及晋升人员追加工资性收入、且项目收入增多。</w:t>
      </w:r>
    </w:p>
    <w:p w14:paraId="0877BA5F">
      <w:pPr>
        <w:pStyle w:val="5"/>
        <w:jc w:val="center"/>
      </w:pPr>
      <w:r>
        <w:drawing>
          <wp:inline distT="0" distB="0" distL="114300" distR="114300">
            <wp:extent cx="4735195" cy="2514600"/>
            <wp:effectExtent l="4445" t="4445" r="22860"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234B0CF">
      <w:pPr>
        <w:spacing w:line="600"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14:paraId="0F96DCF5">
      <w:pPr>
        <w:pStyle w:val="5"/>
        <w:jc w:val="center"/>
      </w:pPr>
    </w:p>
    <w:p w14:paraId="4A7FF675">
      <w:pPr>
        <w:pStyle w:val="28"/>
        <w:numPr>
          <w:ilvl w:val="0"/>
          <w:numId w:val="1"/>
        </w:numPr>
        <w:spacing w:line="600" w:lineRule="exact"/>
        <w:ind w:firstLineChars="0"/>
        <w:outlineLvl w:val="1"/>
        <w:rPr>
          <w:rStyle w:val="30"/>
          <w:rFonts w:ascii="黑体" w:hAnsi="黑体" w:eastAsia="黑体"/>
          <w:b w:val="0"/>
          <w:color w:val="auto"/>
          <w:highlight w:val="none"/>
        </w:rPr>
      </w:pPr>
      <w:bookmarkStart w:id="20" w:name="_Toc15396604"/>
      <w:bookmarkStart w:id="21" w:name="_Toc15377206"/>
      <w:r>
        <w:rPr>
          <w:rFonts w:hint="eastAsia" w:ascii="黑体" w:hAnsi="黑体" w:eastAsia="黑体"/>
          <w:color w:val="auto"/>
          <w:sz w:val="32"/>
          <w:szCs w:val="32"/>
          <w:highlight w:val="none"/>
        </w:rPr>
        <w:t>收</w:t>
      </w:r>
      <w:r>
        <w:rPr>
          <w:rStyle w:val="30"/>
          <w:rFonts w:hint="eastAsia" w:ascii="黑体" w:hAnsi="黑体" w:eastAsia="黑体"/>
          <w:b w:val="0"/>
          <w:color w:val="auto"/>
          <w:highlight w:val="none"/>
        </w:rPr>
        <w:t>入决算情况说明</w:t>
      </w:r>
      <w:bookmarkEnd w:id="20"/>
      <w:bookmarkEnd w:id="21"/>
    </w:p>
    <w:p w14:paraId="09FD3EB0">
      <w:pPr>
        <w:spacing w:line="600" w:lineRule="exact"/>
        <w:ind w:firstLine="640" w:firstLineChars="200"/>
        <w:outlineLvl w:val="1"/>
        <w:rPr>
          <w:rFonts w:hint="eastAsia" w:ascii="仿宋" w:hAnsi="仿宋" w:eastAsia="仿宋"/>
          <w:color w:val="auto"/>
          <w:sz w:val="32"/>
          <w:szCs w:val="32"/>
          <w:highlight w:val="none"/>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color w:val="auto"/>
          <w:sz w:val="32"/>
          <w:szCs w:val="32"/>
          <w:highlight w:val="none"/>
          <w:lang w:val="en-US" w:eastAsia="zh-CN"/>
        </w:rPr>
        <w:t>51372.52</w:t>
      </w:r>
      <w:r>
        <w:rPr>
          <w:rFonts w:hint="eastAsia" w:ascii="仿宋_GB2312" w:hAnsi="仿宋_GB2312"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color w:val="auto"/>
          <w:sz w:val="32"/>
          <w:szCs w:val="32"/>
          <w:highlight w:val="none"/>
          <w:lang w:val="en-US" w:eastAsia="zh-CN"/>
        </w:rPr>
        <w:t>51372.52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万元；国有资本经营预算财政拨款收入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万元；上级补助收入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万元；事业收入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万元；经营收入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万元；附属单位上缴收入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万元；其他收入</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w:t>
      </w:r>
    </w:p>
    <w:p w14:paraId="1887A8E5">
      <w:pPr>
        <w:pStyle w:val="5"/>
        <w:jc w:val="center"/>
        <w:rPr>
          <w:rFonts w:ascii="仿宋" w:hAnsi="仿宋" w:eastAsia="仿宋"/>
          <w:color w:val="auto"/>
          <w:sz w:val="32"/>
          <w:szCs w:val="32"/>
          <w:highlight w:val="none"/>
        </w:rPr>
      </w:pPr>
      <w:r>
        <w:drawing>
          <wp:inline distT="0" distB="0" distL="114300" distR="114300">
            <wp:extent cx="4518025" cy="2767965"/>
            <wp:effectExtent l="4445" t="4445" r="11430" b="889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55DF7B">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（图2：收入决算结构图）（饼状图）</w:t>
      </w:r>
    </w:p>
    <w:p w14:paraId="7D08FC0D">
      <w:pPr>
        <w:pStyle w:val="5"/>
      </w:pPr>
    </w:p>
    <w:p w14:paraId="2749AF60">
      <w:pPr>
        <w:pStyle w:val="28"/>
        <w:numPr>
          <w:ilvl w:val="0"/>
          <w:numId w:val="1"/>
        </w:numPr>
        <w:spacing w:line="600" w:lineRule="exact"/>
        <w:ind w:firstLineChars="0"/>
        <w:outlineLvl w:val="1"/>
        <w:rPr>
          <w:rStyle w:val="30"/>
          <w:rFonts w:ascii="黑体" w:hAnsi="黑体" w:eastAsia="黑体"/>
          <w:b w:val="0"/>
          <w:color w:val="auto"/>
          <w:highlight w:val="none"/>
        </w:rPr>
      </w:pPr>
      <w:bookmarkStart w:id="22" w:name="_Toc15396605"/>
      <w:bookmarkStart w:id="23" w:name="_Toc15377207"/>
      <w:r>
        <w:rPr>
          <w:rFonts w:hint="eastAsia" w:ascii="黑体" w:hAnsi="黑体" w:eastAsia="黑体"/>
          <w:color w:val="auto"/>
          <w:sz w:val="32"/>
          <w:szCs w:val="32"/>
          <w:highlight w:val="none"/>
        </w:rPr>
        <w:t>支</w:t>
      </w:r>
      <w:r>
        <w:rPr>
          <w:rStyle w:val="30"/>
          <w:rFonts w:hint="eastAsia" w:ascii="黑体" w:hAnsi="黑体" w:eastAsia="黑体"/>
          <w:b w:val="0"/>
          <w:color w:val="auto"/>
          <w:highlight w:val="none"/>
        </w:rPr>
        <w:t>出决算情况说明</w:t>
      </w:r>
      <w:bookmarkEnd w:id="22"/>
      <w:bookmarkEnd w:id="23"/>
    </w:p>
    <w:p w14:paraId="39B7B453">
      <w:pPr>
        <w:spacing w:line="600" w:lineRule="exact"/>
        <w:ind w:firstLine="640" w:firstLineChars="200"/>
        <w:outlineLvl w:val="1"/>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color w:val="auto"/>
          <w:sz w:val="32"/>
          <w:szCs w:val="32"/>
          <w:highlight w:val="none"/>
          <w:lang w:val="en-US" w:eastAsia="zh-CN"/>
        </w:rPr>
        <w:t>51372.52</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color w:val="auto"/>
          <w:sz w:val="32"/>
          <w:szCs w:val="32"/>
          <w:highlight w:val="none"/>
          <w:lang w:val="en-US" w:eastAsia="zh-CN"/>
        </w:rPr>
        <w:t>3446.72</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6.7</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color w:val="auto"/>
          <w:sz w:val="32"/>
          <w:szCs w:val="32"/>
          <w:highlight w:val="none"/>
          <w:lang w:val="en-US" w:eastAsia="zh-CN"/>
        </w:rPr>
        <w:t>47925.79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93.3</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w:t>
      </w:r>
    </w:p>
    <w:p w14:paraId="368F2ACE">
      <w:pPr>
        <w:pStyle w:val="5"/>
        <w:jc w:val="center"/>
        <w:rPr>
          <w:rFonts w:ascii="仿宋" w:hAnsi="仿宋" w:eastAsia="仿宋"/>
          <w:color w:val="auto"/>
          <w:sz w:val="32"/>
          <w:szCs w:val="32"/>
          <w:highlight w:val="none"/>
          <w:shd w:val="pct10" w:color="auto" w:fill="FFFFFF"/>
        </w:rPr>
      </w:pPr>
      <w:r>
        <w:drawing>
          <wp:inline distT="0" distB="0" distL="114300" distR="114300">
            <wp:extent cx="4526915" cy="2913380"/>
            <wp:effectExtent l="4445" t="4445" r="21590" b="15875"/>
            <wp:docPr id="3"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6D85D3D">
      <w:pPr>
        <w:spacing w:line="600" w:lineRule="exact"/>
        <w:ind w:firstLine="1600" w:firstLineChars="500"/>
        <w:jc w:val="both"/>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（图3：支出决算结构图）（饼状图）</w:t>
      </w:r>
    </w:p>
    <w:p w14:paraId="23EA4B74">
      <w:pPr>
        <w:pStyle w:val="5"/>
      </w:pPr>
    </w:p>
    <w:p w14:paraId="567AFE9E">
      <w:pPr>
        <w:spacing w:line="600" w:lineRule="exact"/>
        <w:ind w:firstLine="640" w:firstLineChars="200"/>
        <w:outlineLvl w:val="1"/>
        <w:rPr>
          <w:rStyle w:val="30"/>
          <w:rFonts w:ascii="黑体" w:hAnsi="黑体" w:eastAsia="黑体"/>
          <w:b w:val="0"/>
          <w:color w:val="auto"/>
          <w:highlight w:val="none"/>
        </w:rPr>
      </w:pPr>
      <w:bookmarkStart w:id="24" w:name="_Toc15396606"/>
      <w:bookmarkStart w:id="25" w:name="_Toc15377208"/>
      <w:r>
        <w:rPr>
          <w:rFonts w:hint="eastAsia" w:ascii="黑体" w:hAnsi="黑体" w:eastAsia="黑体"/>
          <w:color w:val="auto"/>
          <w:sz w:val="32"/>
          <w:szCs w:val="32"/>
          <w:highlight w:val="none"/>
        </w:rPr>
        <w:t>四、财</w:t>
      </w:r>
      <w:r>
        <w:rPr>
          <w:rStyle w:val="30"/>
          <w:rFonts w:hint="eastAsia" w:ascii="黑体" w:hAnsi="黑体" w:eastAsia="黑体"/>
          <w:b w:val="0"/>
          <w:color w:val="auto"/>
          <w:highlight w:val="none"/>
        </w:rPr>
        <w:t>政拨款收入支出决算总体情况说明</w:t>
      </w:r>
      <w:bookmarkEnd w:id="24"/>
      <w:bookmarkEnd w:id="25"/>
    </w:p>
    <w:p w14:paraId="538B572E">
      <w:pPr>
        <w:ind w:firstLine="640" w:firstLineChars="200"/>
        <w:rPr>
          <w:rFonts w:ascii="仿宋" w:hAnsi="仿宋" w:eastAsia="仿宋"/>
          <w:b/>
          <w:color w:val="auto"/>
          <w:sz w:val="32"/>
          <w:szCs w:val="32"/>
          <w:highlight w:val="none"/>
        </w:rPr>
      </w:pPr>
      <w:r>
        <w:rPr>
          <w:rFonts w:hint="eastAsia" w:ascii="仿宋_GB2312" w:hAnsi="仿宋_GB2312" w:eastAsia="仿宋_GB2312" w:cs="仿宋_GB2312"/>
          <w:color w:val="auto"/>
          <w:sz w:val="32"/>
          <w:szCs w:val="32"/>
          <w:highlight w:val="none"/>
          <w:lang w:eastAsia="zh-CN"/>
        </w:rPr>
        <w:t>2025年度财政拨款收、支</w:t>
      </w:r>
      <w:r>
        <w:rPr>
          <w:rFonts w:hint="eastAsia" w:ascii="仿宋_GB2312" w:hAnsi="仿宋_GB2312" w:eastAsia="仿宋_GB2312" w:cs="仿宋_GB2312"/>
          <w:color w:val="auto"/>
          <w:sz w:val="32"/>
          <w:szCs w:val="32"/>
          <w:highlight w:val="none"/>
          <w:lang w:val="en-US" w:eastAsia="zh-CN"/>
        </w:rPr>
        <w:t>均为51372.52</w:t>
      </w:r>
      <w:r>
        <w:rPr>
          <w:rFonts w:hint="eastAsia" w:ascii="仿宋_GB2312" w:hAnsi="仿宋_GB2312" w:eastAsia="仿宋_GB2312" w:cs="仿宋_GB2312"/>
          <w:color w:val="auto"/>
          <w:sz w:val="32"/>
          <w:szCs w:val="32"/>
          <w:highlight w:val="none"/>
          <w:lang w:eastAsia="zh-CN"/>
        </w:rPr>
        <w:t>万元。与202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年度相比，财政拨款收、支总计各</w:t>
      </w:r>
      <w:r>
        <w:rPr>
          <w:rFonts w:hint="eastAsia" w:ascii="仿宋_GB2312" w:hAnsi="仿宋_GB2312" w:eastAsia="仿宋_GB2312" w:cs="仿宋_GB2312"/>
          <w:color w:val="auto"/>
          <w:sz w:val="32"/>
          <w:szCs w:val="32"/>
          <w:highlight w:val="none"/>
          <w:lang w:val="en-US" w:eastAsia="zh-CN"/>
        </w:rPr>
        <w:t>增加11843.16</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val="en-US" w:eastAsia="zh-CN"/>
        </w:rPr>
        <w:t>上升29.9</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主要变动原因</w:t>
      </w:r>
      <w:r>
        <w:rPr>
          <w:rFonts w:hint="eastAsia" w:ascii="仿宋_GB2312" w:hAnsi="仿宋_GB2312" w:eastAsia="仿宋_GB2312" w:cs="仿宋_GB2312"/>
          <w:color w:val="auto"/>
          <w:sz w:val="32"/>
          <w:szCs w:val="32"/>
          <w:highlight w:val="none"/>
          <w:lang w:val="en-US" w:eastAsia="zh-CN"/>
        </w:rPr>
        <w:t>是2025年度因新进及晋升人员追加工资性收入、且项目收入增多。</w:t>
      </w:r>
    </w:p>
    <w:p w14:paraId="4BB2A561">
      <w:pPr>
        <w:pStyle w:val="5"/>
        <w:jc w:val="center"/>
        <w:rPr>
          <w:rFonts w:ascii="仿宋" w:hAnsi="仿宋" w:eastAsia="仿宋"/>
          <w:color w:val="auto"/>
          <w:sz w:val="32"/>
          <w:szCs w:val="32"/>
          <w:highlight w:val="none"/>
        </w:rPr>
      </w:pPr>
      <w:r>
        <w:drawing>
          <wp:inline distT="0" distB="0" distL="114300" distR="114300">
            <wp:extent cx="4277995" cy="3129280"/>
            <wp:effectExtent l="4445" t="4445" r="22860" b="952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97B5799">
      <w:pPr>
        <w:spacing w:line="600" w:lineRule="exact"/>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（图4：财政拨款收、支决算总计变动情况）（柱状图）</w:t>
      </w:r>
    </w:p>
    <w:p w14:paraId="7BECF337">
      <w:pPr>
        <w:pStyle w:val="5"/>
      </w:pPr>
    </w:p>
    <w:p w14:paraId="409D905F">
      <w:pPr>
        <w:spacing w:line="600" w:lineRule="exact"/>
        <w:ind w:firstLine="640" w:firstLineChars="200"/>
        <w:outlineLvl w:val="1"/>
        <w:rPr>
          <w:rStyle w:val="30"/>
          <w:rFonts w:ascii="黑体" w:hAnsi="黑体" w:eastAsia="黑体"/>
          <w:b w:val="0"/>
          <w:color w:val="auto"/>
          <w:highlight w:val="none"/>
        </w:rPr>
      </w:pPr>
      <w:bookmarkStart w:id="26" w:name="_Toc15377209"/>
      <w:bookmarkStart w:id="27" w:name="_Toc15396607"/>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30"/>
          <w:rFonts w:hint="eastAsia" w:ascii="黑体" w:hAnsi="黑体" w:eastAsia="黑体"/>
          <w:b w:val="0"/>
          <w:color w:val="auto"/>
          <w:highlight w:val="none"/>
        </w:rPr>
        <w:t>般公共预算财政拨款支出决算情况说明</w:t>
      </w:r>
      <w:bookmarkEnd w:id="26"/>
      <w:bookmarkEnd w:id="27"/>
    </w:p>
    <w:p w14:paraId="1F9E7D0B">
      <w:pPr>
        <w:spacing w:line="600" w:lineRule="exact"/>
        <w:ind w:firstLine="643" w:firstLineChars="200"/>
        <w:outlineLvl w:val="2"/>
        <w:rPr>
          <w:rFonts w:ascii="仿宋" w:hAnsi="仿宋" w:eastAsia="仿宋"/>
          <w:b/>
          <w:color w:val="auto"/>
          <w:sz w:val="32"/>
          <w:szCs w:val="32"/>
          <w:highlight w:val="none"/>
        </w:rPr>
      </w:pPr>
      <w:bookmarkStart w:id="28" w:name="_Toc15377210"/>
      <w:r>
        <w:rPr>
          <w:rFonts w:hint="eastAsia" w:ascii="仿宋" w:hAnsi="仿宋" w:eastAsia="仿宋"/>
          <w:b/>
          <w:color w:val="auto"/>
          <w:sz w:val="32"/>
          <w:szCs w:val="32"/>
          <w:highlight w:val="none"/>
        </w:rPr>
        <w:t>（一）一般公共预算财政拨款支出决算总体情况</w:t>
      </w:r>
      <w:bookmarkEnd w:id="28"/>
    </w:p>
    <w:p w14:paraId="0FC87A8E">
      <w:pPr>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2025年度一般公共预算财政拨款支出</w:t>
      </w:r>
      <w:r>
        <w:rPr>
          <w:rFonts w:hint="eastAsia" w:ascii="仿宋_GB2312" w:hAnsi="仿宋_GB2312" w:eastAsia="仿宋_GB2312" w:cs="仿宋_GB2312"/>
          <w:color w:val="auto"/>
          <w:sz w:val="32"/>
          <w:szCs w:val="32"/>
          <w:highlight w:val="none"/>
          <w:lang w:val="en-US" w:eastAsia="zh-CN"/>
        </w:rPr>
        <w:t>51372.52万元</w:t>
      </w:r>
      <w:r>
        <w:rPr>
          <w:rFonts w:hint="eastAsia" w:ascii="仿宋_GB2312" w:hAnsi="仿宋_GB2312" w:eastAsia="仿宋_GB2312" w:cs="仿宋_GB2312"/>
          <w:color w:val="auto"/>
          <w:sz w:val="32"/>
          <w:szCs w:val="32"/>
          <w:highlight w:val="none"/>
          <w:lang w:eastAsia="zh-CN"/>
        </w:rPr>
        <w:t>，占本年支出合计的</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%。与202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年度相比，一般公共预算财政拨款支出</w:t>
      </w:r>
      <w:r>
        <w:rPr>
          <w:rFonts w:hint="eastAsia" w:ascii="仿宋_GB2312" w:hAnsi="仿宋_GB2312" w:eastAsia="仿宋_GB2312" w:cs="仿宋_GB2312"/>
          <w:color w:val="auto"/>
          <w:sz w:val="32"/>
          <w:szCs w:val="32"/>
          <w:highlight w:val="none"/>
          <w:lang w:val="en-US" w:eastAsia="zh-CN"/>
        </w:rPr>
        <w:t>增加14643.16</w:t>
      </w:r>
      <w:r>
        <w:rPr>
          <w:rFonts w:hint="eastAsia" w:ascii="仿宋_GB2312" w:hAnsi="仿宋_GB2312" w:eastAsia="仿宋_GB2312" w:cs="仿宋_GB2312"/>
          <w:color w:val="auto"/>
          <w:sz w:val="32"/>
          <w:szCs w:val="32"/>
          <w:highlight w:val="none"/>
          <w:lang w:eastAsia="zh-CN"/>
        </w:rPr>
        <w:t>万元，</w:t>
      </w:r>
      <w:r>
        <w:rPr>
          <w:rFonts w:hint="eastAsia" w:ascii="仿宋_GB2312" w:hAnsi="仿宋_GB2312" w:eastAsia="仿宋_GB2312" w:cs="仿宋_GB2312"/>
          <w:color w:val="auto"/>
          <w:sz w:val="32"/>
          <w:szCs w:val="32"/>
          <w:highlight w:val="none"/>
          <w:lang w:val="en-US" w:eastAsia="zh-CN"/>
        </w:rPr>
        <w:t>升高39.8</w:t>
      </w:r>
      <w:r>
        <w:rPr>
          <w:rFonts w:hint="eastAsia" w:ascii="仿宋_GB2312" w:hAnsi="仿宋_GB2312" w:eastAsia="仿宋_GB2312" w:cs="仿宋_GB2312"/>
          <w:color w:val="auto"/>
          <w:sz w:val="32"/>
          <w:szCs w:val="32"/>
          <w:highlight w:val="none"/>
          <w:lang w:eastAsia="zh-CN"/>
        </w:rPr>
        <w:t>%。主要变动原因</w:t>
      </w:r>
      <w:r>
        <w:rPr>
          <w:rFonts w:hint="eastAsia" w:ascii="仿宋_GB2312" w:hAnsi="仿宋_GB2312" w:eastAsia="仿宋_GB2312" w:cs="仿宋_GB2312"/>
          <w:color w:val="auto"/>
          <w:sz w:val="32"/>
          <w:szCs w:val="32"/>
          <w:highlight w:val="none"/>
          <w:lang w:val="en-US" w:eastAsia="zh-CN"/>
        </w:rPr>
        <w:t>是2025年度因新进及晋升人员追加工资性收入、且项目收入增多。</w:t>
      </w:r>
    </w:p>
    <w:p w14:paraId="118DE057">
      <w:pPr>
        <w:pStyle w:val="5"/>
        <w:jc w:val="center"/>
        <w:rPr>
          <w:rFonts w:ascii="仿宋" w:hAnsi="仿宋" w:eastAsia="仿宋"/>
          <w:color w:val="auto"/>
          <w:sz w:val="32"/>
          <w:szCs w:val="32"/>
          <w:highlight w:val="none"/>
        </w:rPr>
      </w:pPr>
      <w:r>
        <w:drawing>
          <wp:inline distT="0" distB="0" distL="114300" distR="114300">
            <wp:extent cx="4572000" cy="3476625"/>
            <wp:effectExtent l="4445" t="4445" r="14605" b="5080"/>
            <wp:docPr id="5" name="图表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FFCB424">
      <w:pPr>
        <w:spacing w:line="600" w:lineRule="exact"/>
        <w:rPr>
          <w:rFonts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（图5：一般公共预算财政拨款支出决算变动情况）（柱状图）</w:t>
      </w:r>
    </w:p>
    <w:p w14:paraId="2E9387B1">
      <w:pPr>
        <w:spacing w:line="600" w:lineRule="exact"/>
        <w:ind w:firstLine="640" w:firstLineChars="200"/>
        <w:rPr>
          <w:rFonts w:ascii="仿宋" w:hAnsi="仿宋" w:eastAsia="仿宋"/>
          <w:color w:val="auto"/>
          <w:sz w:val="32"/>
          <w:szCs w:val="32"/>
          <w:highlight w:val="none"/>
        </w:rPr>
      </w:pPr>
    </w:p>
    <w:p w14:paraId="74004295">
      <w:pPr>
        <w:spacing w:line="600" w:lineRule="exact"/>
        <w:ind w:firstLine="643" w:firstLineChars="200"/>
        <w:outlineLvl w:val="2"/>
        <w:rPr>
          <w:rFonts w:ascii="仿宋" w:hAnsi="仿宋" w:eastAsia="仿宋"/>
          <w:b/>
          <w:color w:val="auto"/>
          <w:sz w:val="32"/>
          <w:szCs w:val="32"/>
          <w:highlight w:val="none"/>
        </w:rPr>
      </w:pPr>
      <w:bookmarkStart w:id="29" w:name="_Toc15377211"/>
      <w:r>
        <w:rPr>
          <w:rFonts w:hint="eastAsia" w:ascii="仿宋" w:hAnsi="仿宋" w:eastAsia="仿宋"/>
          <w:b/>
          <w:color w:val="auto"/>
          <w:sz w:val="32"/>
          <w:szCs w:val="32"/>
          <w:highlight w:val="none"/>
        </w:rPr>
        <w:t>（二）一般公共预算财政拨款支出决算结构情况</w:t>
      </w:r>
      <w:bookmarkEnd w:id="29"/>
    </w:p>
    <w:p w14:paraId="5177BAE8">
      <w:pPr>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2025年度一般公共预算财政拨款支出</w:t>
      </w:r>
      <w:r>
        <w:rPr>
          <w:rFonts w:hint="eastAsia" w:ascii="仿宋_GB2312" w:hAnsi="仿宋_GB2312" w:eastAsia="仿宋_GB2312" w:cs="仿宋_GB2312"/>
          <w:color w:val="auto"/>
          <w:sz w:val="32"/>
          <w:szCs w:val="32"/>
          <w:highlight w:val="none"/>
          <w:lang w:val="en-US" w:eastAsia="zh-CN"/>
        </w:rPr>
        <w:t>51372.52万元</w:t>
      </w:r>
      <w:r>
        <w:rPr>
          <w:rFonts w:hint="eastAsia" w:ascii="仿宋_GB2312" w:hAnsi="仿宋_GB2312" w:eastAsia="仿宋_GB2312" w:cs="仿宋_GB2312"/>
          <w:color w:val="auto"/>
          <w:sz w:val="32"/>
          <w:szCs w:val="32"/>
          <w:highlight w:val="none"/>
          <w:lang w:eastAsia="zh-CN"/>
        </w:rPr>
        <w:t>，主要用于以下方面:社会保障和就业支出</w:t>
      </w:r>
      <w:r>
        <w:rPr>
          <w:rFonts w:hint="eastAsia" w:ascii="仿宋_GB2312" w:hAnsi="仿宋_GB2312" w:eastAsia="仿宋_GB2312" w:cs="仿宋_GB2312"/>
          <w:color w:val="auto"/>
          <w:sz w:val="32"/>
          <w:szCs w:val="32"/>
          <w:highlight w:val="none"/>
          <w:lang w:val="en-US" w:eastAsia="zh-CN"/>
        </w:rPr>
        <w:t>384.58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0.7</w:t>
      </w:r>
      <w:r>
        <w:rPr>
          <w:rFonts w:hint="eastAsia" w:ascii="仿宋_GB2312" w:hAnsi="仿宋_GB2312" w:eastAsia="仿宋_GB2312" w:cs="仿宋_GB2312"/>
          <w:color w:val="auto"/>
          <w:sz w:val="32"/>
          <w:szCs w:val="32"/>
          <w:highlight w:val="none"/>
          <w:lang w:eastAsia="zh-CN"/>
        </w:rPr>
        <w:t>%；卫生健康支出</w:t>
      </w:r>
      <w:r>
        <w:rPr>
          <w:rFonts w:hint="eastAsia" w:ascii="仿宋_GB2312" w:hAnsi="仿宋_GB2312" w:eastAsia="仿宋_GB2312" w:cs="仿宋_GB2312"/>
          <w:color w:val="auto"/>
          <w:sz w:val="32"/>
          <w:szCs w:val="32"/>
          <w:highlight w:val="none"/>
          <w:lang w:val="en-US" w:eastAsia="zh-CN"/>
        </w:rPr>
        <w:t>161.28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0.3</w:t>
      </w:r>
      <w:r>
        <w:rPr>
          <w:rFonts w:hint="eastAsia" w:ascii="仿宋_GB2312" w:hAnsi="仿宋_GB2312" w:eastAsia="仿宋_GB2312" w:cs="仿宋_GB2312"/>
          <w:color w:val="auto"/>
          <w:sz w:val="32"/>
          <w:szCs w:val="32"/>
          <w:highlight w:val="none"/>
          <w:lang w:eastAsia="zh-CN"/>
        </w:rPr>
        <w:t>%；节能环保支出</w:t>
      </w:r>
      <w:r>
        <w:rPr>
          <w:rFonts w:hint="eastAsia" w:ascii="仿宋_GB2312" w:hAnsi="仿宋_GB2312" w:eastAsia="仿宋_GB2312" w:cs="仿宋_GB2312"/>
          <w:color w:val="auto"/>
          <w:sz w:val="32"/>
          <w:szCs w:val="32"/>
          <w:highlight w:val="none"/>
          <w:lang w:val="en-US" w:eastAsia="zh-CN"/>
        </w:rPr>
        <w:t>34821.23万元，占67.8%；农林水支出15817.46万元，占30.8%；</w:t>
      </w:r>
      <w:r>
        <w:rPr>
          <w:rFonts w:hint="eastAsia" w:ascii="仿宋_GB2312" w:hAnsi="仿宋_GB2312" w:eastAsia="仿宋_GB2312" w:cs="仿宋_GB2312"/>
          <w:color w:val="auto"/>
          <w:sz w:val="32"/>
          <w:szCs w:val="32"/>
          <w:highlight w:val="none"/>
          <w:lang w:eastAsia="zh-CN"/>
        </w:rPr>
        <w:t>住房保障支出</w:t>
      </w:r>
      <w:r>
        <w:rPr>
          <w:rFonts w:hint="eastAsia" w:ascii="仿宋_GB2312" w:hAnsi="仿宋_GB2312" w:eastAsia="仿宋_GB2312" w:cs="仿宋_GB2312"/>
          <w:color w:val="auto"/>
          <w:sz w:val="32"/>
          <w:szCs w:val="32"/>
          <w:highlight w:val="none"/>
          <w:lang w:val="en-US" w:eastAsia="zh-CN"/>
        </w:rPr>
        <w:t>187.96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color w:val="auto"/>
          <w:sz w:val="32"/>
          <w:szCs w:val="32"/>
          <w:highlight w:val="none"/>
          <w:lang w:val="en-US" w:eastAsia="zh-CN"/>
        </w:rPr>
        <w:t>0.4</w:t>
      </w:r>
      <w:r>
        <w:rPr>
          <w:rFonts w:hint="eastAsia" w:ascii="仿宋_GB2312" w:hAnsi="仿宋_GB2312" w:eastAsia="仿宋_GB2312" w:cs="仿宋_GB2312"/>
          <w:color w:val="auto"/>
          <w:sz w:val="32"/>
          <w:szCs w:val="32"/>
          <w:highlight w:val="none"/>
          <w:lang w:eastAsia="zh-CN"/>
        </w:rPr>
        <w:t>%。</w:t>
      </w:r>
    </w:p>
    <w:p w14:paraId="748B79D3">
      <w:pPr>
        <w:pStyle w:val="5"/>
        <w:jc w:val="center"/>
        <w:rPr>
          <w:rFonts w:ascii="仿宋" w:hAnsi="仿宋" w:eastAsia="仿宋"/>
          <w:color w:val="auto"/>
          <w:sz w:val="32"/>
          <w:szCs w:val="32"/>
          <w:highlight w:val="none"/>
        </w:rPr>
      </w:pPr>
      <w:r>
        <w:drawing>
          <wp:inline distT="0" distB="0" distL="114300" distR="114300">
            <wp:extent cx="4572000" cy="3157855"/>
            <wp:effectExtent l="5080" t="4445" r="13970" b="19050"/>
            <wp:docPr id="8" name="图表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2ED866D">
      <w:pPr>
        <w:spacing w:line="600" w:lineRule="exact"/>
        <w:jc w:val="center"/>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14:paraId="7F7165D1">
      <w:pPr>
        <w:spacing w:line="600" w:lineRule="exact"/>
        <w:ind w:firstLine="640" w:firstLineChars="200"/>
        <w:rPr>
          <w:rFonts w:ascii="仿宋" w:hAnsi="仿宋" w:eastAsia="仿宋"/>
          <w:color w:val="auto"/>
          <w:sz w:val="32"/>
          <w:szCs w:val="32"/>
          <w:highlight w:val="none"/>
        </w:rPr>
      </w:pPr>
    </w:p>
    <w:p w14:paraId="3990FE7D">
      <w:pPr>
        <w:spacing w:line="600" w:lineRule="exact"/>
        <w:ind w:firstLine="643" w:firstLineChars="200"/>
        <w:outlineLvl w:val="2"/>
        <w:rPr>
          <w:rFonts w:ascii="仿宋" w:hAnsi="仿宋" w:eastAsia="仿宋"/>
          <w:b/>
          <w:color w:val="auto"/>
          <w:sz w:val="32"/>
          <w:szCs w:val="32"/>
          <w:highlight w:val="none"/>
        </w:rPr>
      </w:pPr>
      <w:bookmarkStart w:id="30" w:name="_Toc15377212"/>
      <w:r>
        <w:rPr>
          <w:rFonts w:hint="eastAsia" w:ascii="仿宋" w:hAnsi="仿宋" w:eastAsia="仿宋"/>
          <w:b/>
          <w:color w:val="auto"/>
          <w:sz w:val="32"/>
          <w:szCs w:val="32"/>
          <w:highlight w:val="none"/>
        </w:rPr>
        <w:t>（三）一般公共预算财政拨款支出决算具体情况</w:t>
      </w:r>
      <w:bookmarkEnd w:id="30"/>
    </w:p>
    <w:p w14:paraId="58AC74A5">
      <w:pPr>
        <w:ind w:firstLine="640" w:firstLineChars="200"/>
        <w:rPr>
          <w:rFonts w:hint="eastAsia" w:ascii="仿宋_GB2312" w:hAnsi="仿宋_GB2312" w:eastAsia="仿宋_GB2312" w:cs="仿宋_GB2312"/>
          <w:color w:val="auto"/>
          <w:sz w:val="32"/>
          <w:szCs w:val="32"/>
          <w:highlight w:val="none"/>
          <w:lang w:eastAsia="zh-CN"/>
        </w:rPr>
      </w:pPr>
      <w:bookmarkStart w:id="31" w:name="_Toc15377444"/>
      <w:bookmarkStart w:id="32" w:name="_Toc15377213"/>
      <w:bookmarkStart w:id="33" w:name="_Toc15378460"/>
      <w:r>
        <w:rPr>
          <w:rFonts w:hint="eastAsia" w:ascii="仿宋_GB2312" w:hAnsi="仿宋_GB2312" w:eastAsia="仿宋_GB2312" w:cs="仿宋_GB2312"/>
          <w:color w:val="auto"/>
          <w:sz w:val="32"/>
          <w:szCs w:val="32"/>
          <w:highlight w:val="none"/>
          <w:lang w:eastAsia="zh-CN"/>
        </w:rPr>
        <w:t>2025年度一般公共预算支出决算数为</w:t>
      </w:r>
      <w:r>
        <w:rPr>
          <w:rFonts w:hint="eastAsia" w:ascii="仿宋_GB2312" w:hAnsi="仿宋_GB2312" w:eastAsia="仿宋_GB2312" w:cs="仿宋_GB2312"/>
          <w:color w:val="auto"/>
          <w:sz w:val="32"/>
          <w:szCs w:val="32"/>
          <w:highlight w:val="none"/>
          <w:lang w:val="en-US" w:eastAsia="zh-CN"/>
        </w:rPr>
        <w:t>51372.52万元</w:t>
      </w:r>
      <w:r>
        <w:rPr>
          <w:rFonts w:hint="eastAsia" w:ascii="仿宋_GB2312" w:hAnsi="仿宋_GB2312" w:eastAsia="仿宋_GB2312" w:cs="仿宋_GB2312"/>
          <w:color w:val="auto"/>
          <w:sz w:val="32"/>
          <w:szCs w:val="32"/>
          <w:highlight w:val="none"/>
          <w:lang w:eastAsia="zh-CN"/>
        </w:rPr>
        <w:t>，完成预算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%。其中：</w:t>
      </w:r>
      <w:bookmarkEnd w:id="31"/>
      <w:bookmarkEnd w:id="32"/>
      <w:bookmarkEnd w:id="33"/>
    </w:p>
    <w:p w14:paraId="4038D0D7">
      <w:pPr>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社会保障和就业（类）</w:t>
      </w:r>
      <w:r>
        <w:rPr>
          <w:rFonts w:hint="eastAsia" w:ascii="仿宋_GB2312" w:hAnsi="仿宋_GB2312" w:eastAsia="仿宋_GB2312" w:cs="仿宋_GB2312"/>
          <w:color w:val="auto"/>
          <w:sz w:val="32"/>
          <w:szCs w:val="32"/>
          <w:highlight w:val="none"/>
          <w:lang w:val="en-US" w:eastAsia="zh-CN"/>
        </w:rPr>
        <w:t>05</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05</w:t>
      </w:r>
      <w:r>
        <w:rPr>
          <w:rFonts w:hint="eastAsia" w:ascii="仿宋_GB2312" w:hAnsi="仿宋_GB2312" w:eastAsia="仿宋_GB2312" w:cs="仿宋_GB2312"/>
          <w:color w:val="auto"/>
          <w:sz w:val="32"/>
          <w:szCs w:val="32"/>
          <w:highlight w:val="none"/>
          <w:lang w:eastAsia="zh-CN"/>
        </w:rPr>
        <w:t>（项）机构事业单位基本养老保险: 支出决算为</w:t>
      </w:r>
      <w:r>
        <w:rPr>
          <w:rFonts w:hint="eastAsia" w:ascii="仿宋_GB2312" w:hAnsi="仿宋_GB2312" w:eastAsia="仿宋_GB2312" w:cs="仿宋_GB2312"/>
          <w:color w:val="auto"/>
          <w:sz w:val="32"/>
          <w:szCs w:val="32"/>
          <w:highlight w:val="none"/>
          <w:lang w:val="en-US" w:eastAsia="zh-CN"/>
        </w:rPr>
        <w:t>228.68</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05</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06</w:t>
      </w:r>
      <w:r>
        <w:rPr>
          <w:rFonts w:hint="eastAsia" w:ascii="仿宋_GB2312" w:hAnsi="仿宋_GB2312" w:eastAsia="仿宋_GB2312" w:cs="仿宋_GB2312"/>
          <w:color w:val="auto"/>
          <w:sz w:val="32"/>
          <w:szCs w:val="32"/>
          <w:highlight w:val="none"/>
          <w:lang w:eastAsia="zh-CN"/>
        </w:rPr>
        <w:t>（项）机关事业单位职业年金缴纳:支出决算为</w:t>
      </w:r>
      <w:r>
        <w:rPr>
          <w:rFonts w:hint="eastAsia" w:ascii="仿宋_GB2312" w:hAnsi="仿宋_GB2312" w:eastAsia="仿宋_GB2312" w:cs="仿宋_GB2312"/>
          <w:color w:val="auto"/>
          <w:sz w:val="32"/>
          <w:szCs w:val="32"/>
          <w:highlight w:val="none"/>
          <w:lang w:val="en-US" w:eastAsia="zh-CN"/>
        </w:rPr>
        <w:t>114.33</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05</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99</w:t>
      </w:r>
      <w:r>
        <w:rPr>
          <w:rFonts w:hint="eastAsia" w:ascii="仿宋_GB2312" w:hAnsi="仿宋_GB2312" w:eastAsia="仿宋_GB2312" w:cs="仿宋_GB2312"/>
          <w:color w:val="auto"/>
          <w:sz w:val="32"/>
          <w:szCs w:val="32"/>
          <w:highlight w:val="none"/>
          <w:lang w:eastAsia="zh-CN"/>
        </w:rPr>
        <w:t>（项）其他行政事业单位养老支出:支出决算为</w:t>
      </w:r>
      <w:r>
        <w:rPr>
          <w:rFonts w:hint="eastAsia" w:ascii="仿宋_GB2312" w:hAnsi="仿宋_GB2312" w:eastAsia="仿宋_GB2312" w:cs="仿宋_GB2312"/>
          <w:color w:val="auto"/>
          <w:sz w:val="32"/>
          <w:szCs w:val="32"/>
          <w:highlight w:val="none"/>
          <w:lang w:val="en-US" w:eastAsia="zh-CN"/>
        </w:rPr>
        <w:t>41.57</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p>
    <w:p w14:paraId="375AC6AF">
      <w:pPr>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.卫生健康（类）</w:t>
      </w: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01</w:t>
      </w:r>
      <w:r>
        <w:rPr>
          <w:rFonts w:hint="eastAsia" w:ascii="仿宋_GB2312" w:hAnsi="仿宋_GB2312" w:eastAsia="仿宋_GB2312" w:cs="仿宋_GB2312"/>
          <w:color w:val="auto"/>
          <w:sz w:val="32"/>
          <w:szCs w:val="32"/>
          <w:highlight w:val="none"/>
          <w:lang w:eastAsia="zh-CN"/>
        </w:rPr>
        <w:t>（项）行政单位医疗:支出决算为</w:t>
      </w:r>
      <w:r>
        <w:rPr>
          <w:rFonts w:hint="eastAsia" w:ascii="仿宋_GB2312" w:hAnsi="仿宋_GB2312" w:eastAsia="仿宋_GB2312" w:cs="仿宋_GB2312"/>
          <w:color w:val="auto"/>
          <w:sz w:val="32"/>
          <w:szCs w:val="32"/>
          <w:highlight w:val="none"/>
          <w:lang w:val="en-US" w:eastAsia="zh-CN"/>
        </w:rPr>
        <w:t>53.99</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（项）事业单位医疗:支出决算为</w:t>
      </w:r>
      <w:r>
        <w:rPr>
          <w:rFonts w:hint="eastAsia" w:ascii="仿宋_GB2312" w:hAnsi="仿宋_GB2312" w:eastAsia="仿宋_GB2312" w:cs="仿宋_GB2312"/>
          <w:color w:val="auto"/>
          <w:sz w:val="32"/>
          <w:szCs w:val="32"/>
          <w:highlight w:val="none"/>
          <w:lang w:val="en-US" w:eastAsia="zh-CN"/>
        </w:rPr>
        <w:t>47.54</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03</w:t>
      </w:r>
      <w:r>
        <w:rPr>
          <w:rFonts w:hint="eastAsia" w:ascii="仿宋_GB2312" w:hAnsi="仿宋_GB2312" w:eastAsia="仿宋_GB2312" w:cs="仿宋_GB2312"/>
          <w:color w:val="auto"/>
          <w:sz w:val="32"/>
          <w:szCs w:val="32"/>
          <w:highlight w:val="none"/>
          <w:lang w:eastAsia="zh-CN"/>
        </w:rPr>
        <w:t>（项）公务员医疗补助:支出决算为</w:t>
      </w:r>
      <w:r>
        <w:rPr>
          <w:rFonts w:hint="eastAsia" w:ascii="仿宋_GB2312" w:hAnsi="仿宋_GB2312" w:eastAsia="仿宋_GB2312" w:cs="仿宋_GB2312"/>
          <w:color w:val="auto"/>
          <w:sz w:val="32"/>
          <w:szCs w:val="32"/>
          <w:highlight w:val="none"/>
          <w:lang w:val="en-US" w:eastAsia="zh-CN"/>
        </w:rPr>
        <w:t>17.67</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99</w:t>
      </w:r>
      <w:r>
        <w:rPr>
          <w:rFonts w:hint="eastAsia" w:ascii="仿宋_GB2312" w:hAnsi="仿宋_GB2312" w:eastAsia="仿宋_GB2312" w:cs="仿宋_GB2312"/>
          <w:color w:val="auto"/>
          <w:sz w:val="32"/>
          <w:szCs w:val="32"/>
          <w:highlight w:val="none"/>
          <w:lang w:eastAsia="zh-CN"/>
        </w:rPr>
        <w:t>（项）其他行政事业单位医疗:支出决算为</w:t>
      </w:r>
      <w:r>
        <w:rPr>
          <w:rFonts w:hint="eastAsia" w:ascii="仿宋_GB2312" w:hAnsi="仿宋_GB2312" w:eastAsia="仿宋_GB2312" w:cs="仿宋_GB2312"/>
          <w:color w:val="auto"/>
          <w:sz w:val="32"/>
          <w:szCs w:val="32"/>
          <w:highlight w:val="none"/>
          <w:lang w:val="en-US" w:eastAsia="zh-CN"/>
        </w:rPr>
        <w:t>42.08</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p>
    <w:p w14:paraId="0E3C260F">
      <w:pPr>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4.节能环保</w:t>
      </w:r>
      <w:r>
        <w:rPr>
          <w:rFonts w:hint="eastAsia" w:ascii="仿宋_GB2312" w:hAnsi="仿宋_GB2312" w:eastAsia="仿宋_GB2312" w:cs="仿宋_GB2312"/>
          <w:color w:val="auto"/>
          <w:sz w:val="32"/>
          <w:szCs w:val="32"/>
          <w:highlight w:val="none"/>
          <w:lang w:eastAsia="zh-CN"/>
        </w:rPr>
        <w:t>（类）</w:t>
      </w:r>
      <w:r>
        <w:rPr>
          <w:rFonts w:hint="eastAsia" w:ascii="仿宋_GB2312" w:hAnsi="仿宋_GB2312" w:eastAsia="仿宋_GB2312" w:cs="仿宋_GB2312"/>
          <w:color w:val="auto"/>
          <w:sz w:val="32"/>
          <w:szCs w:val="32"/>
          <w:highlight w:val="none"/>
          <w:lang w:val="en-US" w:eastAsia="zh-CN"/>
        </w:rPr>
        <w:t>05</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01</w:t>
      </w:r>
      <w:r>
        <w:rPr>
          <w:rFonts w:hint="eastAsia" w:ascii="仿宋_GB2312" w:hAnsi="仿宋_GB2312" w:eastAsia="仿宋_GB2312" w:cs="仿宋_GB2312"/>
          <w:color w:val="auto"/>
          <w:sz w:val="32"/>
          <w:szCs w:val="32"/>
          <w:highlight w:val="none"/>
          <w:lang w:eastAsia="zh-CN"/>
        </w:rPr>
        <w:t>（项）森林管护: 支出决算为</w:t>
      </w:r>
      <w:r>
        <w:rPr>
          <w:rFonts w:hint="eastAsia" w:ascii="仿宋_GB2312" w:hAnsi="仿宋_GB2312" w:eastAsia="仿宋_GB2312" w:cs="仿宋_GB2312"/>
          <w:color w:val="auto"/>
          <w:sz w:val="32"/>
          <w:szCs w:val="32"/>
          <w:highlight w:val="none"/>
          <w:lang w:val="en-US" w:eastAsia="zh-CN"/>
        </w:rPr>
        <w:t>29361.23</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05</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99</w:t>
      </w:r>
      <w:r>
        <w:rPr>
          <w:rFonts w:hint="eastAsia" w:ascii="仿宋_GB2312" w:hAnsi="仿宋_GB2312" w:eastAsia="仿宋_GB2312" w:cs="仿宋_GB2312"/>
          <w:color w:val="auto"/>
          <w:sz w:val="32"/>
          <w:szCs w:val="32"/>
          <w:highlight w:val="none"/>
          <w:lang w:eastAsia="zh-CN"/>
        </w:rPr>
        <w:t>（项）其他森林保护修复支出: 支出决算为</w:t>
      </w:r>
      <w:r>
        <w:rPr>
          <w:rFonts w:hint="eastAsia" w:ascii="仿宋_GB2312" w:hAnsi="仿宋_GB2312" w:eastAsia="仿宋_GB2312" w:cs="仿宋_GB2312"/>
          <w:color w:val="auto"/>
          <w:sz w:val="32"/>
          <w:szCs w:val="32"/>
          <w:highlight w:val="none"/>
          <w:lang w:val="en-US" w:eastAsia="zh-CN"/>
        </w:rPr>
        <w:t>5460</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p>
    <w:p w14:paraId="6B7F03E5">
      <w:pPr>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 5</w:t>
      </w:r>
      <w:r>
        <w:rPr>
          <w:rFonts w:hint="eastAsia" w:ascii="仿宋_GB2312" w:hAnsi="仿宋_GB2312" w:eastAsia="仿宋_GB2312" w:cs="仿宋_GB2312"/>
          <w:color w:val="auto"/>
          <w:sz w:val="32"/>
          <w:szCs w:val="32"/>
          <w:highlight w:val="none"/>
          <w:lang w:eastAsia="zh-CN"/>
        </w:rPr>
        <w:t>.农林水（类）</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01</w:t>
      </w:r>
      <w:r>
        <w:rPr>
          <w:rFonts w:hint="eastAsia" w:ascii="仿宋_GB2312" w:hAnsi="仿宋_GB2312" w:eastAsia="仿宋_GB2312" w:cs="仿宋_GB2312"/>
          <w:color w:val="auto"/>
          <w:sz w:val="32"/>
          <w:szCs w:val="32"/>
          <w:highlight w:val="none"/>
          <w:lang w:eastAsia="zh-CN"/>
        </w:rPr>
        <w:t>（项）行政运行: 支出决算为</w:t>
      </w:r>
      <w:r>
        <w:rPr>
          <w:rFonts w:hint="eastAsia" w:ascii="仿宋_GB2312" w:hAnsi="仿宋_GB2312" w:eastAsia="仿宋_GB2312" w:cs="仿宋_GB2312"/>
          <w:color w:val="auto"/>
          <w:sz w:val="32"/>
          <w:szCs w:val="32"/>
          <w:highlight w:val="none"/>
          <w:lang w:val="en-US" w:eastAsia="zh-CN"/>
        </w:rPr>
        <w:t>1528.36</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（项）一般行政管理事务:支出决算为</w:t>
      </w:r>
      <w:r>
        <w:rPr>
          <w:rFonts w:hint="eastAsia" w:ascii="仿宋_GB2312" w:hAnsi="仿宋_GB2312" w:eastAsia="仿宋_GB2312" w:cs="仿宋_GB2312"/>
          <w:color w:val="auto"/>
          <w:sz w:val="32"/>
          <w:szCs w:val="32"/>
          <w:highlight w:val="none"/>
          <w:lang w:val="en-US" w:eastAsia="zh-CN"/>
        </w:rPr>
        <w:t>2010.94</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04</w:t>
      </w:r>
      <w:r>
        <w:rPr>
          <w:rFonts w:hint="eastAsia" w:ascii="仿宋_GB2312" w:hAnsi="仿宋_GB2312" w:eastAsia="仿宋_GB2312" w:cs="仿宋_GB2312"/>
          <w:color w:val="auto"/>
          <w:sz w:val="32"/>
          <w:szCs w:val="32"/>
          <w:highlight w:val="none"/>
          <w:lang w:eastAsia="zh-CN"/>
        </w:rPr>
        <w:t>（项）事业机构:支出决算为</w:t>
      </w:r>
      <w:r>
        <w:rPr>
          <w:rFonts w:hint="eastAsia" w:ascii="仿宋_GB2312" w:hAnsi="仿宋_GB2312" w:eastAsia="仿宋_GB2312" w:cs="仿宋_GB2312"/>
          <w:color w:val="auto"/>
          <w:sz w:val="32"/>
          <w:szCs w:val="32"/>
          <w:highlight w:val="none"/>
          <w:lang w:val="en-US" w:eastAsia="zh-CN"/>
        </w:rPr>
        <w:t>1184.54</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05</w:t>
      </w:r>
      <w:r>
        <w:rPr>
          <w:rFonts w:hint="eastAsia" w:ascii="仿宋_GB2312" w:hAnsi="仿宋_GB2312" w:eastAsia="仿宋_GB2312" w:cs="仿宋_GB2312"/>
          <w:color w:val="auto"/>
          <w:sz w:val="32"/>
          <w:szCs w:val="32"/>
          <w:highlight w:val="none"/>
          <w:lang w:eastAsia="zh-CN"/>
        </w:rPr>
        <w:t>（项）森林资源培育:支出决算为</w:t>
      </w:r>
      <w:r>
        <w:rPr>
          <w:rFonts w:hint="eastAsia" w:ascii="仿宋_GB2312" w:hAnsi="仿宋_GB2312" w:eastAsia="仿宋_GB2312" w:cs="仿宋_GB2312"/>
          <w:color w:val="auto"/>
          <w:sz w:val="32"/>
          <w:szCs w:val="32"/>
          <w:highlight w:val="none"/>
          <w:lang w:val="en-US" w:eastAsia="zh-CN"/>
        </w:rPr>
        <w:t>7528.42</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06</w:t>
      </w:r>
      <w:r>
        <w:rPr>
          <w:rFonts w:hint="eastAsia" w:ascii="仿宋_GB2312" w:hAnsi="仿宋_GB2312" w:eastAsia="仿宋_GB2312" w:cs="仿宋_GB2312"/>
          <w:color w:val="auto"/>
          <w:sz w:val="32"/>
          <w:szCs w:val="32"/>
          <w:highlight w:val="none"/>
          <w:lang w:eastAsia="zh-CN"/>
        </w:rPr>
        <w:t>（项）技术推广与转化:支出决算为</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07</w:t>
      </w:r>
      <w:r>
        <w:rPr>
          <w:rFonts w:hint="eastAsia" w:ascii="仿宋_GB2312" w:hAnsi="仿宋_GB2312" w:eastAsia="仿宋_GB2312" w:cs="仿宋_GB2312"/>
          <w:color w:val="auto"/>
          <w:sz w:val="32"/>
          <w:szCs w:val="32"/>
          <w:highlight w:val="none"/>
          <w:lang w:eastAsia="zh-CN"/>
        </w:rPr>
        <w:t>（项）森林资源管理:支出决算为</w:t>
      </w:r>
      <w:r>
        <w:rPr>
          <w:rFonts w:hint="eastAsia" w:ascii="仿宋_GB2312" w:hAnsi="仿宋_GB2312" w:eastAsia="仿宋_GB2312" w:cs="仿宋_GB2312"/>
          <w:color w:val="auto"/>
          <w:sz w:val="32"/>
          <w:szCs w:val="32"/>
          <w:highlight w:val="none"/>
          <w:lang w:val="en-US" w:eastAsia="zh-CN"/>
        </w:rPr>
        <w:t>49.5</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lang w:eastAsia="zh-CN"/>
        </w:rPr>
        <w:t>（项）</w:t>
      </w:r>
      <w:r>
        <w:rPr>
          <w:rFonts w:hint="eastAsia" w:ascii="仿宋_GB2312" w:hAnsi="仿宋_GB2312" w:eastAsia="仿宋_GB2312" w:cs="仿宋_GB2312"/>
          <w:color w:val="auto"/>
          <w:sz w:val="32"/>
          <w:szCs w:val="32"/>
          <w:highlight w:val="none"/>
          <w:lang w:val="en-US" w:eastAsia="zh-CN"/>
        </w:rPr>
        <w:t>动植物</w:t>
      </w:r>
      <w:r>
        <w:rPr>
          <w:rFonts w:hint="eastAsia" w:ascii="仿宋_GB2312" w:hAnsi="仿宋_GB2312" w:eastAsia="仿宋_GB2312" w:cs="仿宋_GB2312"/>
          <w:color w:val="auto"/>
          <w:sz w:val="32"/>
          <w:szCs w:val="32"/>
          <w:highlight w:val="none"/>
          <w:lang w:eastAsia="zh-CN"/>
        </w:rPr>
        <w:t>保护:支出决算为</w:t>
      </w:r>
      <w:r>
        <w:rPr>
          <w:rFonts w:hint="eastAsia" w:ascii="仿宋_GB2312" w:hAnsi="仿宋_GB2312" w:eastAsia="仿宋_GB2312" w:cs="仿宋_GB2312"/>
          <w:color w:val="auto"/>
          <w:sz w:val="32"/>
          <w:szCs w:val="32"/>
          <w:highlight w:val="none"/>
          <w:lang w:val="en-US" w:eastAsia="zh-CN"/>
        </w:rPr>
        <w:t>29</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lang w:eastAsia="zh-CN"/>
        </w:rPr>
        <w:t>（项）</w:t>
      </w:r>
      <w:r>
        <w:rPr>
          <w:rFonts w:hint="eastAsia" w:ascii="仿宋_GB2312" w:hAnsi="仿宋_GB2312" w:eastAsia="仿宋_GB2312" w:cs="仿宋_GB2312"/>
          <w:color w:val="auto"/>
          <w:sz w:val="32"/>
          <w:szCs w:val="32"/>
          <w:highlight w:val="none"/>
          <w:lang w:val="en-US" w:eastAsia="zh-CN"/>
        </w:rPr>
        <w:t>湿地</w:t>
      </w:r>
      <w:r>
        <w:rPr>
          <w:rFonts w:hint="eastAsia" w:ascii="仿宋_GB2312" w:hAnsi="仿宋_GB2312" w:eastAsia="仿宋_GB2312" w:cs="仿宋_GB2312"/>
          <w:color w:val="auto"/>
          <w:sz w:val="32"/>
          <w:szCs w:val="32"/>
          <w:highlight w:val="none"/>
          <w:lang w:eastAsia="zh-CN"/>
        </w:rPr>
        <w:t>保护:支出决算为</w:t>
      </w:r>
      <w:r>
        <w:rPr>
          <w:rFonts w:hint="eastAsia" w:ascii="仿宋_GB2312" w:hAnsi="仿宋_GB2312" w:eastAsia="仿宋_GB2312" w:cs="仿宋_GB2312"/>
          <w:color w:val="auto"/>
          <w:sz w:val="32"/>
          <w:szCs w:val="32"/>
          <w:highlight w:val="none"/>
          <w:lang w:val="en-US" w:eastAsia="zh-CN"/>
        </w:rPr>
        <w:t>158.57</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34</w:t>
      </w:r>
      <w:r>
        <w:rPr>
          <w:rFonts w:hint="eastAsia" w:ascii="仿宋_GB2312" w:hAnsi="仿宋_GB2312" w:eastAsia="仿宋_GB2312" w:cs="仿宋_GB2312"/>
          <w:color w:val="auto"/>
          <w:sz w:val="32"/>
          <w:szCs w:val="32"/>
          <w:highlight w:val="none"/>
          <w:lang w:eastAsia="zh-CN"/>
        </w:rPr>
        <w:t>（项）林业草原防灾减灾:支出决算为</w:t>
      </w:r>
      <w:r>
        <w:rPr>
          <w:rFonts w:hint="eastAsia" w:ascii="仿宋_GB2312" w:hAnsi="仿宋_GB2312" w:eastAsia="仿宋_GB2312" w:cs="仿宋_GB2312"/>
          <w:color w:val="auto"/>
          <w:sz w:val="32"/>
          <w:szCs w:val="32"/>
          <w:highlight w:val="none"/>
          <w:lang w:val="en-US" w:eastAsia="zh-CN"/>
        </w:rPr>
        <w:t>2825.26</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36</w:t>
      </w:r>
      <w:r>
        <w:rPr>
          <w:rFonts w:hint="eastAsia" w:ascii="仿宋_GB2312" w:hAnsi="仿宋_GB2312" w:eastAsia="仿宋_GB2312" w:cs="仿宋_GB2312"/>
          <w:color w:val="auto"/>
          <w:sz w:val="32"/>
          <w:szCs w:val="32"/>
          <w:highlight w:val="none"/>
          <w:lang w:eastAsia="zh-CN"/>
        </w:rPr>
        <w:t>（项）草原管理:支出决算为</w:t>
      </w:r>
      <w:r>
        <w:rPr>
          <w:rFonts w:hint="eastAsia" w:ascii="仿宋_GB2312" w:hAnsi="仿宋_GB2312" w:eastAsia="仿宋_GB2312" w:cs="仿宋_GB2312"/>
          <w:color w:val="auto"/>
          <w:sz w:val="32"/>
          <w:szCs w:val="32"/>
          <w:highlight w:val="none"/>
          <w:lang w:val="en-US" w:eastAsia="zh-CN"/>
        </w:rPr>
        <w:t>53.57</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02（款）99（项）其他林业和草原支出：支出决算为349.3万元，完成预算100%。</w:t>
      </w:r>
    </w:p>
    <w:p w14:paraId="70C89EFC">
      <w:pPr>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eastAsia="zh-CN"/>
        </w:rPr>
        <w:t>.住房保障支出（类）</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01</w:t>
      </w:r>
      <w:r>
        <w:rPr>
          <w:rFonts w:hint="eastAsia" w:ascii="仿宋_GB2312" w:hAnsi="仿宋_GB2312" w:eastAsia="仿宋_GB2312" w:cs="仿宋_GB2312"/>
          <w:color w:val="auto"/>
          <w:sz w:val="32"/>
          <w:szCs w:val="32"/>
          <w:highlight w:val="none"/>
          <w:lang w:eastAsia="zh-CN"/>
        </w:rPr>
        <w:t>（项）住房公积金: 支出决算为</w:t>
      </w:r>
      <w:r>
        <w:rPr>
          <w:rFonts w:hint="eastAsia" w:ascii="仿宋_GB2312" w:hAnsi="仿宋_GB2312" w:eastAsia="仿宋_GB2312" w:cs="仿宋_GB2312"/>
          <w:color w:val="auto"/>
          <w:sz w:val="32"/>
          <w:szCs w:val="32"/>
          <w:highlight w:val="none"/>
          <w:lang w:val="en-US" w:eastAsia="zh-CN"/>
        </w:rPr>
        <w:t>184.36</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02</w:t>
      </w:r>
      <w:r>
        <w:rPr>
          <w:rFonts w:hint="eastAsia" w:ascii="仿宋_GB2312" w:hAnsi="仿宋_GB2312" w:eastAsia="仿宋_GB2312" w:cs="仿宋_GB2312"/>
          <w:color w:val="auto"/>
          <w:sz w:val="32"/>
          <w:szCs w:val="32"/>
          <w:highlight w:val="none"/>
          <w:lang w:eastAsia="zh-CN"/>
        </w:rPr>
        <w:t>（款）</w:t>
      </w:r>
      <w:r>
        <w:rPr>
          <w:rFonts w:hint="eastAsia" w:ascii="仿宋_GB2312" w:hAnsi="仿宋_GB2312" w:eastAsia="仿宋_GB2312" w:cs="仿宋_GB2312"/>
          <w:color w:val="auto"/>
          <w:sz w:val="32"/>
          <w:szCs w:val="32"/>
          <w:highlight w:val="none"/>
          <w:lang w:val="en-US" w:eastAsia="zh-CN"/>
        </w:rPr>
        <w:t>03</w:t>
      </w:r>
      <w:r>
        <w:rPr>
          <w:rFonts w:hint="eastAsia" w:ascii="仿宋_GB2312" w:hAnsi="仿宋_GB2312" w:eastAsia="仿宋_GB2312" w:cs="仿宋_GB2312"/>
          <w:color w:val="auto"/>
          <w:sz w:val="32"/>
          <w:szCs w:val="32"/>
          <w:highlight w:val="none"/>
          <w:lang w:eastAsia="zh-CN"/>
        </w:rPr>
        <w:t>（项）购房补贴:支出决算为</w:t>
      </w:r>
      <w:r>
        <w:rPr>
          <w:rFonts w:hint="eastAsia" w:ascii="仿宋_GB2312" w:hAnsi="仿宋_GB2312" w:eastAsia="仿宋_GB2312" w:cs="仿宋_GB2312"/>
          <w:color w:val="auto"/>
          <w:sz w:val="32"/>
          <w:szCs w:val="32"/>
          <w:highlight w:val="none"/>
          <w:lang w:val="en-US" w:eastAsia="zh-CN"/>
        </w:rPr>
        <w:t>3.6</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w:t>
      </w:r>
    </w:p>
    <w:p w14:paraId="21F4A8FF">
      <w:pPr>
        <w:spacing w:line="600" w:lineRule="exact"/>
        <w:ind w:firstLine="640"/>
        <w:rPr>
          <w:rFonts w:ascii="仿宋" w:hAnsi="仿宋" w:eastAsia="仿宋"/>
          <w:b/>
          <w:color w:val="auto"/>
          <w:sz w:val="32"/>
          <w:szCs w:val="32"/>
          <w:highlight w:val="none"/>
        </w:rPr>
      </w:pPr>
    </w:p>
    <w:p w14:paraId="13CB2CDA">
      <w:pPr>
        <w:tabs>
          <w:tab w:val="right" w:pos="8306"/>
        </w:tabs>
        <w:spacing w:line="600" w:lineRule="exact"/>
        <w:ind w:firstLine="640"/>
        <w:outlineLvl w:val="1"/>
        <w:rPr>
          <w:rStyle w:val="30"/>
          <w:color w:val="auto"/>
          <w:highlight w:val="none"/>
        </w:rPr>
      </w:pPr>
      <w:bookmarkStart w:id="34" w:name="_Toc15396608"/>
      <w:bookmarkStart w:id="35" w:name="_Toc15377214"/>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30"/>
          <w:rFonts w:hint="eastAsia" w:ascii="黑体" w:hAnsi="黑体" w:eastAsia="黑体"/>
          <w:b w:val="0"/>
          <w:color w:val="auto"/>
          <w:highlight w:val="none"/>
        </w:rPr>
        <w:t>般公共预算财政拨款基本支出决算情况说明</w:t>
      </w:r>
      <w:bookmarkEnd w:id="34"/>
      <w:bookmarkEnd w:id="35"/>
      <w:r>
        <w:rPr>
          <w:rStyle w:val="30"/>
          <w:rFonts w:ascii="黑体" w:hAnsi="黑体" w:eastAsia="黑体"/>
          <w:b w:val="0"/>
          <w:color w:val="auto"/>
          <w:highlight w:val="none"/>
        </w:rPr>
        <w:tab/>
      </w:r>
    </w:p>
    <w:p w14:paraId="436A53AE">
      <w:pPr>
        <w:spacing w:line="600" w:lineRule="exact"/>
        <w:ind w:firstLine="645"/>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2025年度一般公共预算财政拨款基本支出</w:t>
      </w:r>
      <w:r>
        <w:rPr>
          <w:rFonts w:hint="eastAsia" w:ascii="仿宋_GB2312" w:hAnsi="仿宋_GB2312" w:eastAsia="仿宋_GB2312" w:cs="仿宋_GB2312"/>
          <w:color w:val="auto"/>
          <w:sz w:val="32"/>
          <w:szCs w:val="32"/>
          <w:highlight w:val="none"/>
          <w:lang w:val="en-US" w:eastAsia="zh-CN"/>
        </w:rPr>
        <w:t>3446.72</w:t>
      </w:r>
      <w:r>
        <w:rPr>
          <w:rFonts w:hint="eastAsia" w:ascii="仿宋_GB2312" w:hAnsi="仿宋_GB2312" w:eastAsia="仿宋_GB2312" w:cs="仿宋_GB2312"/>
          <w:color w:val="auto"/>
          <w:sz w:val="32"/>
          <w:szCs w:val="32"/>
          <w:highlight w:val="none"/>
          <w:lang w:eastAsia="zh-CN"/>
        </w:rPr>
        <w:t>万元，其中：</w:t>
      </w:r>
    </w:p>
    <w:p w14:paraId="05E66274">
      <w:pPr>
        <w:spacing w:line="600" w:lineRule="exact"/>
        <w:ind w:firstLine="645"/>
        <w:rPr>
          <w:rFonts w:ascii="仿宋" w:hAnsi="仿宋" w:eastAsia="仿宋"/>
          <w:color w:val="auto"/>
          <w:sz w:val="32"/>
          <w:szCs w:val="32"/>
          <w:highlight w:val="none"/>
        </w:rPr>
      </w:pPr>
      <w:r>
        <w:rPr>
          <w:rFonts w:hint="eastAsia" w:ascii="仿宋_GB2312" w:hAnsi="仿宋_GB2312" w:eastAsia="仿宋_GB2312" w:cs="仿宋_GB2312"/>
          <w:color w:val="auto"/>
          <w:sz w:val="32"/>
          <w:szCs w:val="32"/>
          <w:highlight w:val="none"/>
          <w:lang w:eastAsia="zh-CN"/>
        </w:rPr>
        <w:t>人员经费</w:t>
      </w:r>
      <w:r>
        <w:rPr>
          <w:rFonts w:hint="eastAsia" w:ascii="仿宋_GB2312" w:hAnsi="仿宋_GB2312" w:eastAsia="仿宋_GB2312" w:cs="仿宋_GB2312"/>
          <w:color w:val="auto"/>
          <w:sz w:val="32"/>
          <w:szCs w:val="32"/>
          <w:highlight w:val="none"/>
          <w:lang w:val="en-US" w:eastAsia="zh-CN"/>
        </w:rPr>
        <w:t>3068.12</w:t>
      </w:r>
      <w:r>
        <w:rPr>
          <w:rFonts w:hint="eastAsia" w:ascii="仿宋_GB2312" w:hAnsi="仿宋_GB2312" w:eastAsia="仿宋_GB2312" w:cs="仿宋_GB2312"/>
          <w:color w:val="auto"/>
          <w:sz w:val="32"/>
          <w:szCs w:val="32"/>
          <w:highlight w:val="none"/>
          <w:lang w:eastAsia="zh-CN"/>
        </w:rPr>
        <w:t>万元，主要包括：基本工资</w:t>
      </w:r>
      <w:r>
        <w:rPr>
          <w:rFonts w:hint="eastAsia" w:ascii="仿宋_GB2312" w:hAnsi="仿宋_GB2312" w:eastAsia="仿宋_GB2312" w:cs="仿宋_GB2312"/>
          <w:color w:val="auto"/>
          <w:sz w:val="32"/>
          <w:szCs w:val="32"/>
          <w:highlight w:val="none"/>
          <w:lang w:val="en-US" w:eastAsia="zh-CN"/>
        </w:rPr>
        <w:t>610.04万元</w:t>
      </w:r>
      <w:r>
        <w:rPr>
          <w:rFonts w:hint="eastAsia" w:ascii="仿宋_GB2312" w:hAnsi="仿宋_GB2312" w:eastAsia="仿宋_GB2312" w:cs="仿宋_GB2312"/>
          <w:color w:val="auto"/>
          <w:sz w:val="32"/>
          <w:szCs w:val="32"/>
          <w:highlight w:val="none"/>
          <w:lang w:eastAsia="zh-CN"/>
        </w:rPr>
        <w:t>、津贴补贴</w:t>
      </w:r>
      <w:r>
        <w:rPr>
          <w:rFonts w:hint="eastAsia" w:ascii="仿宋_GB2312" w:hAnsi="仿宋_GB2312" w:eastAsia="仿宋_GB2312" w:cs="仿宋_GB2312"/>
          <w:color w:val="auto"/>
          <w:sz w:val="32"/>
          <w:szCs w:val="32"/>
          <w:highlight w:val="none"/>
          <w:lang w:val="en-US" w:eastAsia="zh-CN"/>
        </w:rPr>
        <w:t>402.11万元</w:t>
      </w:r>
      <w:r>
        <w:rPr>
          <w:rFonts w:hint="eastAsia" w:ascii="仿宋_GB2312" w:hAnsi="仿宋_GB2312" w:eastAsia="仿宋_GB2312" w:cs="仿宋_GB2312"/>
          <w:color w:val="auto"/>
          <w:sz w:val="32"/>
          <w:szCs w:val="32"/>
          <w:highlight w:val="none"/>
          <w:lang w:eastAsia="zh-CN"/>
        </w:rPr>
        <w:t>、奖金</w:t>
      </w:r>
      <w:r>
        <w:rPr>
          <w:rFonts w:hint="eastAsia" w:ascii="仿宋_GB2312" w:hAnsi="仿宋_GB2312" w:eastAsia="仿宋_GB2312" w:cs="仿宋_GB2312"/>
          <w:color w:val="auto"/>
          <w:sz w:val="32"/>
          <w:szCs w:val="32"/>
          <w:highlight w:val="none"/>
          <w:lang w:val="en-US" w:eastAsia="zh-CN"/>
        </w:rPr>
        <w:t>490.04万元</w:t>
      </w:r>
      <w:r>
        <w:rPr>
          <w:rFonts w:hint="eastAsia" w:ascii="仿宋_GB2312" w:hAnsi="仿宋_GB2312" w:eastAsia="仿宋_GB2312" w:cs="仿宋_GB2312"/>
          <w:color w:val="auto"/>
          <w:sz w:val="32"/>
          <w:szCs w:val="32"/>
          <w:highlight w:val="none"/>
          <w:lang w:eastAsia="zh-CN"/>
        </w:rPr>
        <w:t>、绩效工资</w:t>
      </w:r>
      <w:r>
        <w:rPr>
          <w:rFonts w:hint="eastAsia" w:ascii="仿宋_GB2312" w:hAnsi="仿宋_GB2312" w:eastAsia="仿宋_GB2312" w:cs="仿宋_GB2312"/>
          <w:color w:val="auto"/>
          <w:sz w:val="32"/>
          <w:szCs w:val="32"/>
          <w:highlight w:val="none"/>
          <w:lang w:val="en-US" w:eastAsia="zh-CN"/>
        </w:rPr>
        <w:t>200.48万元</w:t>
      </w:r>
      <w:r>
        <w:rPr>
          <w:rFonts w:hint="eastAsia" w:ascii="仿宋_GB2312" w:hAnsi="仿宋_GB2312" w:eastAsia="仿宋_GB2312" w:cs="仿宋_GB2312"/>
          <w:color w:val="auto"/>
          <w:sz w:val="32"/>
          <w:szCs w:val="32"/>
          <w:highlight w:val="none"/>
          <w:lang w:eastAsia="zh-CN"/>
        </w:rPr>
        <w:t>、机关事业单位基本养老保险缴费</w:t>
      </w:r>
      <w:r>
        <w:rPr>
          <w:rFonts w:hint="eastAsia" w:ascii="仿宋_GB2312" w:hAnsi="仿宋_GB2312" w:eastAsia="仿宋_GB2312" w:cs="仿宋_GB2312"/>
          <w:color w:val="auto"/>
          <w:sz w:val="32"/>
          <w:szCs w:val="32"/>
          <w:highlight w:val="none"/>
          <w:lang w:val="en-US" w:eastAsia="zh-CN"/>
        </w:rPr>
        <w:t>228.68万元</w:t>
      </w:r>
      <w:r>
        <w:rPr>
          <w:rFonts w:hint="eastAsia" w:ascii="仿宋_GB2312" w:hAnsi="仿宋_GB2312" w:eastAsia="仿宋_GB2312" w:cs="仿宋_GB2312"/>
          <w:color w:val="auto"/>
          <w:sz w:val="32"/>
          <w:szCs w:val="32"/>
          <w:highlight w:val="none"/>
          <w:lang w:eastAsia="zh-CN"/>
        </w:rPr>
        <w:t>、职业年金缴费</w:t>
      </w:r>
      <w:r>
        <w:rPr>
          <w:rFonts w:hint="eastAsia" w:ascii="仿宋_GB2312" w:hAnsi="仿宋_GB2312" w:eastAsia="仿宋_GB2312" w:cs="仿宋_GB2312"/>
          <w:color w:val="auto"/>
          <w:sz w:val="32"/>
          <w:szCs w:val="32"/>
          <w:highlight w:val="none"/>
          <w:lang w:val="en-US" w:eastAsia="zh-CN"/>
        </w:rPr>
        <w:t>114.33万元</w:t>
      </w:r>
      <w:r>
        <w:rPr>
          <w:rFonts w:hint="eastAsia" w:ascii="仿宋_GB2312" w:hAnsi="仿宋_GB2312" w:eastAsia="仿宋_GB2312" w:cs="仿宋_GB2312"/>
          <w:color w:val="auto"/>
          <w:sz w:val="32"/>
          <w:szCs w:val="32"/>
          <w:highlight w:val="none"/>
          <w:lang w:eastAsia="zh-CN"/>
        </w:rPr>
        <w:t>、职工基本医疗保险缴费</w:t>
      </w:r>
      <w:r>
        <w:rPr>
          <w:rFonts w:hint="eastAsia" w:ascii="仿宋_GB2312" w:hAnsi="仿宋_GB2312" w:eastAsia="仿宋_GB2312" w:cs="仿宋_GB2312"/>
          <w:color w:val="auto"/>
          <w:sz w:val="32"/>
          <w:szCs w:val="32"/>
          <w:highlight w:val="none"/>
          <w:lang w:val="en-US" w:eastAsia="zh-CN"/>
        </w:rPr>
        <w:t>107.69万元、公务员医疗补助缴费17.67万元、</w:t>
      </w:r>
      <w:r>
        <w:rPr>
          <w:rFonts w:hint="eastAsia" w:ascii="仿宋_GB2312" w:hAnsi="仿宋_GB2312" w:eastAsia="仿宋_GB2312" w:cs="仿宋_GB2312"/>
          <w:color w:val="auto"/>
          <w:sz w:val="32"/>
          <w:szCs w:val="32"/>
          <w:highlight w:val="none"/>
          <w:lang w:eastAsia="zh-CN"/>
        </w:rPr>
        <w:t>其他社会保障缴费</w:t>
      </w:r>
      <w:r>
        <w:rPr>
          <w:rFonts w:hint="eastAsia" w:ascii="仿宋_GB2312" w:hAnsi="仿宋_GB2312" w:eastAsia="仿宋_GB2312" w:cs="仿宋_GB2312"/>
          <w:color w:val="auto"/>
          <w:sz w:val="32"/>
          <w:szCs w:val="32"/>
          <w:highlight w:val="none"/>
          <w:lang w:val="en-US" w:eastAsia="zh-CN"/>
        </w:rPr>
        <w:t>43.63万元</w:t>
      </w:r>
      <w:r>
        <w:rPr>
          <w:rFonts w:hint="eastAsia" w:ascii="仿宋_GB2312" w:hAnsi="仿宋_GB2312" w:eastAsia="仿宋_GB2312" w:cs="仿宋_GB2312"/>
          <w:color w:val="auto"/>
          <w:sz w:val="32"/>
          <w:szCs w:val="32"/>
          <w:highlight w:val="none"/>
          <w:lang w:eastAsia="zh-CN"/>
        </w:rPr>
        <w:t>、其他工资福利支出</w:t>
      </w:r>
      <w:r>
        <w:rPr>
          <w:rFonts w:hint="eastAsia" w:ascii="仿宋_GB2312" w:hAnsi="仿宋_GB2312" w:eastAsia="仿宋_GB2312" w:cs="仿宋_GB2312"/>
          <w:color w:val="auto"/>
          <w:sz w:val="32"/>
          <w:szCs w:val="32"/>
          <w:highlight w:val="none"/>
          <w:lang w:val="en-US" w:eastAsia="zh-CN"/>
        </w:rPr>
        <w:t>8.35万元</w:t>
      </w:r>
      <w:r>
        <w:rPr>
          <w:rFonts w:hint="eastAsia" w:ascii="仿宋_GB2312" w:hAnsi="仿宋_GB2312" w:eastAsia="仿宋_GB2312" w:cs="仿宋_GB2312"/>
          <w:color w:val="auto"/>
          <w:sz w:val="32"/>
          <w:szCs w:val="32"/>
          <w:highlight w:val="none"/>
          <w:lang w:eastAsia="zh-CN"/>
        </w:rPr>
        <w:t>、离休费</w:t>
      </w:r>
      <w:r>
        <w:rPr>
          <w:rFonts w:hint="eastAsia" w:ascii="仿宋_GB2312" w:hAnsi="仿宋_GB2312" w:eastAsia="仿宋_GB2312" w:cs="仿宋_GB2312"/>
          <w:color w:val="auto"/>
          <w:sz w:val="32"/>
          <w:szCs w:val="32"/>
          <w:highlight w:val="none"/>
          <w:lang w:val="en-US" w:eastAsia="zh-CN"/>
        </w:rPr>
        <w:t>41.69万元</w:t>
      </w:r>
      <w:r>
        <w:rPr>
          <w:rFonts w:hint="eastAsia" w:ascii="仿宋_GB2312" w:hAnsi="仿宋_GB2312" w:eastAsia="仿宋_GB2312" w:cs="仿宋_GB2312"/>
          <w:color w:val="auto"/>
          <w:sz w:val="32"/>
          <w:szCs w:val="32"/>
          <w:highlight w:val="none"/>
          <w:lang w:eastAsia="zh-CN"/>
        </w:rPr>
        <w:t>、抚恤金</w:t>
      </w:r>
      <w:r>
        <w:rPr>
          <w:rFonts w:hint="eastAsia" w:ascii="仿宋_GB2312" w:hAnsi="仿宋_GB2312" w:eastAsia="仿宋_GB2312" w:cs="仿宋_GB2312"/>
          <w:color w:val="auto"/>
          <w:sz w:val="32"/>
          <w:szCs w:val="32"/>
          <w:highlight w:val="none"/>
          <w:lang w:val="en-US" w:eastAsia="zh-CN"/>
        </w:rPr>
        <w:t>169.23万元</w:t>
      </w:r>
      <w:r>
        <w:rPr>
          <w:rFonts w:hint="eastAsia" w:ascii="仿宋_GB2312" w:hAnsi="仿宋_GB2312" w:eastAsia="仿宋_GB2312" w:cs="仿宋_GB2312"/>
          <w:color w:val="auto"/>
          <w:sz w:val="32"/>
          <w:szCs w:val="32"/>
          <w:highlight w:val="none"/>
          <w:lang w:eastAsia="zh-CN"/>
        </w:rPr>
        <w:t>、生活补助</w:t>
      </w:r>
      <w:r>
        <w:rPr>
          <w:rFonts w:hint="eastAsia" w:ascii="仿宋_GB2312" w:hAnsi="仿宋_GB2312" w:eastAsia="仿宋_GB2312" w:cs="仿宋_GB2312"/>
          <w:color w:val="auto"/>
          <w:sz w:val="32"/>
          <w:szCs w:val="32"/>
          <w:highlight w:val="none"/>
          <w:lang w:val="en-US" w:eastAsia="zh-CN"/>
        </w:rPr>
        <w:t>448.57万元</w:t>
      </w:r>
      <w:r>
        <w:rPr>
          <w:rFonts w:hint="eastAsia" w:ascii="仿宋_GB2312" w:hAnsi="仿宋_GB2312" w:eastAsia="仿宋_GB2312" w:cs="仿宋_GB2312"/>
          <w:color w:val="auto"/>
          <w:sz w:val="32"/>
          <w:szCs w:val="32"/>
          <w:highlight w:val="none"/>
          <w:lang w:eastAsia="zh-CN"/>
        </w:rPr>
        <w:t>、奖励金</w:t>
      </w:r>
      <w:r>
        <w:rPr>
          <w:rFonts w:hint="eastAsia" w:ascii="仿宋_GB2312" w:hAnsi="仿宋_GB2312" w:eastAsia="仿宋_GB2312" w:cs="仿宋_GB2312"/>
          <w:color w:val="auto"/>
          <w:sz w:val="32"/>
          <w:szCs w:val="32"/>
          <w:highlight w:val="none"/>
          <w:lang w:val="en-US" w:eastAsia="zh-CN"/>
        </w:rPr>
        <w:t>0.05万元</w:t>
      </w:r>
      <w:r>
        <w:rPr>
          <w:rFonts w:hint="eastAsia" w:ascii="仿宋_GB2312" w:hAnsi="仿宋_GB2312" w:eastAsia="仿宋_GB2312" w:cs="仿宋_GB2312"/>
          <w:color w:val="auto"/>
          <w:sz w:val="32"/>
          <w:szCs w:val="32"/>
          <w:highlight w:val="none"/>
          <w:lang w:eastAsia="zh-CN"/>
        </w:rPr>
        <w:t>、住房公积金</w:t>
      </w:r>
      <w:r>
        <w:rPr>
          <w:rFonts w:hint="eastAsia" w:ascii="仿宋_GB2312" w:hAnsi="仿宋_GB2312" w:eastAsia="仿宋_GB2312" w:cs="仿宋_GB2312"/>
          <w:color w:val="auto"/>
          <w:sz w:val="32"/>
          <w:szCs w:val="32"/>
          <w:highlight w:val="none"/>
          <w:lang w:val="en-US" w:eastAsia="zh-CN"/>
        </w:rPr>
        <w:t>184.36万元</w:t>
      </w:r>
      <w:r>
        <w:rPr>
          <w:rFonts w:hint="eastAsia" w:ascii="仿宋_GB2312" w:hAnsi="仿宋_GB2312" w:eastAsia="仿宋_GB2312" w:cs="仿宋_GB2312"/>
          <w:color w:val="auto"/>
          <w:sz w:val="32"/>
          <w:szCs w:val="32"/>
          <w:highlight w:val="none"/>
          <w:lang w:eastAsia="zh-CN"/>
        </w:rPr>
        <w:t>、其他对个人和家庭的补助支出</w:t>
      </w:r>
      <w:r>
        <w:rPr>
          <w:rFonts w:hint="eastAsia" w:ascii="仿宋_GB2312" w:hAnsi="仿宋_GB2312" w:eastAsia="仿宋_GB2312" w:cs="仿宋_GB2312"/>
          <w:color w:val="auto"/>
          <w:sz w:val="32"/>
          <w:szCs w:val="32"/>
          <w:highlight w:val="none"/>
          <w:lang w:val="en-US" w:eastAsia="zh-CN"/>
        </w:rPr>
        <w:t>1.21万元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eastAsia="zh-CN"/>
        </w:rPr>
        <w:br w:type="textWrapping"/>
      </w:r>
      <w:r>
        <w:rPr>
          <w:rFonts w:hint="eastAsia" w:ascii="仿宋_GB2312" w:hAnsi="仿宋_GB2312" w:eastAsia="仿宋_GB2312" w:cs="仿宋_GB2312"/>
          <w:color w:val="auto"/>
          <w:sz w:val="32"/>
          <w:szCs w:val="32"/>
          <w:highlight w:val="none"/>
          <w:lang w:eastAsia="zh-CN"/>
        </w:rPr>
        <w:t>　　公用经费</w:t>
      </w:r>
      <w:r>
        <w:rPr>
          <w:rFonts w:hint="eastAsia" w:ascii="仿宋_GB2312" w:hAnsi="仿宋_GB2312" w:eastAsia="仿宋_GB2312" w:cs="仿宋_GB2312"/>
          <w:color w:val="auto"/>
          <w:sz w:val="32"/>
          <w:szCs w:val="32"/>
          <w:highlight w:val="none"/>
          <w:lang w:val="en-US" w:eastAsia="zh-CN"/>
        </w:rPr>
        <w:t>378.6</w:t>
      </w:r>
      <w:r>
        <w:rPr>
          <w:rFonts w:hint="eastAsia" w:ascii="仿宋_GB2312" w:hAnsi="仿宋_GB2312" w:eastAsia="仿宋_GB2312" w:cs="仿宋_GB2312"/>
          <w:color w:val="auto"/>
          <w:sz w:val="32"/>
          <w:szCs w:val="32"/>
          <w:highlight w:val="none"/>
          <w:lang w:eastAsia="zh-CN"/>
        </w:rPr>
        <w:t>万元，主要包括：办公费</w:t>
      </w:r>
      <w:r>
        <w:rPr>
          <w:rFonts w:hint="eastAsia" w:ascii="仿宋_GB2312" w:hAnsi="仿宋_GB2312" w:eastAsia="仿宋_GB2312" w:cs="仿宋_GB2312"/>
          <w:color w:val="auto"/>
          <w:sz w:val="32"/>
          <w:szCs w:val="32"/>
          <w:highlight w:val="none"/>
          <w:lang w:val="en-US" w:eastAsia="zh-CN"/>
        </w:rPr>
        <w:t>28.69万元</w:t>
      </w:r>
      <w:r>
        <w:rPr>
          <w:rFonts w:hint="eastAsia" w:ascii="仿宋_GB2312" w:hAnsi="仿宋_GB2312" w:eastAsia="仿宋_GB2312" w:cs="仿宋_GB2312"/>
          <w:color w:val="auto"/>
          <w:sz w:val="32"/>
          <w:szCs w:val="32"/>
          <w:highlight w:val="none"/>
          <w:lang w:eastAsia="zh-CN"/>
        </w:rPr>
        <w:t>、手续费</w:t>
      </w:r>
      <w:r>
        <w:rPr>
          <w:rFonts w:hint="eastAsia" w:ascii="仿宋_GB2312" w:hAnsi="仿宋_GB2312" w:eastAsia="仿宋_GB2312" w:cs="仿宋_GB2312"/>
          <w:color w:val="auto"/>
          <w:sz w:val="32"/>
          <w:szCs w:val="32"/>
          <w:highlight w:val="none"/>
          <w:lang w:val="en-US" w:eastAsia="zh-CN"/>
        </w:rPr>
        <w:t>0.03万元</w:t>
      </w:r>
      <w:r>
        <w:rPr>
          <w:rFonts w:hint="eastAsia" w:ascii="仿宋_GB2312" w:hAnsi="仿宋_GB2312" w:eastAsia="仿宋_GB2312" w:cs="仿宋_GB2312"/>
          <w:color w:val="auto"/>
          <w:sz w:val="32"/>
          <w:szCs w:val="32"/>
          <w:highlight w:val="none"/>
          <w:lang w:eastAsia="zh-CN"/>
        </w:rPr>
        <w:t>、水费</w:t>
      </w:r>
      <w:r>
        <w:rPr>
          <w:rFonts w:hint="eastAsia" w:ascii="仿宋_GB2312" w:hAnsi="仿宋_GB2312" w:eastAsia="仿宋_GB2312" w:cs="仿宋_GB2312"/>
          <w:color w:val="auto"/>
          <w:sz w:val="32"/>
          <w:szCs w:val="32"/>
          <w:highlight w:val="none"/>
          <w:lang w:val="en-US" w:eastAsia="zh-CN"/>
        </w:rPr>
        <w:t>0.53万元</w:t>
      </w:r>
      <w:r>
        <w:rPr>
          <w:rFonts w:hint="eastAsia" w:ascii="仿宋_GB2312" w:hAnsi="仿宋_GB2312" w:eastAsia="仿宋_GB2312" w:cs="仿宋_GB2312"/>
          <w:color w:val="auto"/>
          <w:sz w:val="32"/>
          <w:szCs w:val="32"/>
          <w:highlight w:val="none"/>
          <w:lang w:eastAsia="zh-CN"/>
        </w:rPr>
        <w:t>、电费</w:t>
      </w:r>
      <w:r>
        <w:rPr>
          <w:rFonts w:hint="eastAsia" w:ascii="仿宋_GB2312" w:hAnsi="仿宋_GB2312" w:eastAsia="仿宋_GB2312" w:cs="仿宋_GB2312"/>
          <w:color w:val="auto"/>
          <w:sz w:val="32"/>
          <w:szCs w:val="32"/>
          <w:highlight w:val="none"/>
          <w:lang w:val="en-US" w:eastAsia="zh-CN"/>
        </w:rPr>
        <w:t>0.35万元</w:t>
      </w:r>
      <w:r>
        <w:rPr>
          <w:rFonts w:hint="eastAsia" w:ascii="仿宋_GB2312" w:hAnsi="仿宋_GB2312" w:eastAsia="仿宋_GB2312" w:cs="仿宋_GB2312"/>
          <w:color w:val="auto"/>
          <w:sz w:val="32"/>
          <w:szCs w:val="32"/>
          <w:highlight w:val="none"/>
          <w:lang w:eastAsia="zh-CN"/>
        </w:rPr>
        <w:t>、邮电费</w:t>
      </w:r>
      <w:r>
        <w:rPr>
          <w:rFonts w:hint="eastAsia" w:ascii="仿宋_GB2312" w:hAnsi="仿宋_GB2312" w:eastAsia="仿宋_GB2312" w:cs="仿宋_GB2312"/>
          <w:color w:val="auto"/>
          <w:sz w:val="32"/>
          <w:szCs w:val="32"/>
          <w:highlight w:val="none"/>
          <w:lang w:val="en-US" w:eastAsia="zh-CN"/>
        </w:rPr>
        <w:t>42.02万元</w:t>
      </w:r>
      <w:r>
        <w:rPr>
          <w:rFonts w:hint="eastAsia" w:ascii="仿宋_GB2312" w:hAnsi="仿宋_GB2312" w:eastAsia="仿宋_GB2312" w:cs="仿宋_GB2312"/>
          <w:color w:val="auto"/>
          <w:sz w:val="32"/>
          <w:szCs w:val="32"/>
          <w:highlight w:val="none"/>
          <w:lang w:eastAsia="zh-CN"/>
        </w:rPr>
        <w:t>、差旅</w:t>
      </w:r>
      <w:r>
        <w:rPr>
          <w:rFonts w:hint="eastAsia" w:ascii="仿宋_GB2312" w:hAnsi="仿宋_GB2312" w:eastAsia="仿宋_GB2312" w:cs="仿宋_GB2312"/>
          <w:color w:val="auto"/>
          <w:sz w:val="32"/>
          <w:szCs w:val="32"/>
          <w:highlight w:val="none"/>
          <w:lang w:val="en-US" w:eastAsia="zh-CN"/>
        </w:rPr>
        <w:t>费105.44万元</w:t>
      </w:r>
      <w:r>
        <w:rPr>
          <w:rFonts w:hint="eastAsia" w:ascii="仿宋_GB2312" w:hAnsi="仿宋_GB2312" w:eastAsia="仿宋_GB2312" w:cs="仿宋_GB2312"/>
          <w:color w:val="auto"/>
          <w:sz w:val="32"/>
          <w:szCs w:val="32"/>
          <w:highlight w:val="none"/>
          <w:lang w:eastAsia="zh-CN"/>
        </w:rPr>
        <w:t>、维修（护）费</w:t>
      </w:r>
      <w:r>
        <w:rPr>
          <w:rFonts w:hint="eastAsia" w:ascii="仿宋_GB2312" w:hAnsi="仿宋_GB2312" w:eastAsia="仿宋_GB2312" w:cs="仿宋_GB2312"/>
          <w:color w:val="auto"/>
          <w:sz w:val="32"/>
          <w:szCs w:val="32"/>
          <w:highlight w:val="none"/>
          <w:lang w:val="en-US" w:eastAsia="zh-CN"/>
        </w:rPr>
        <w:t>5.77万元</w:t>
      </w:r>
      <w:r>
        <w:rPr>
          <w:rFonts w:hint="eastAsia" w:ascii="仿宋_GB2312" w:hAnsi="仿宋_GB2312" w:eastAsia="仿宋_GB2312" w:cs="仿宋_GB2312"/>
          <w:color w:val="auto"/>
          <w:sz w:val="32"/>
          <w:szCs w:val="32"/>
          <w:highlight w:val="none"/>
          <w:lang w:eastAsia="zh-CN"/>
        </w:rPr>
        <w:t>、租赁费</w:t>
      </w:r>
      <w:r>
        <w:rPr>
          <w:rFonts w:hint="eastAsia" w:ascii="仿宋_GB2312" w:hAnsi="仿宋_GB2312" w:eastAsia="仿宋_GB2312" w:cs="仿宋_GB2312"/>
          <w:color w:val="auto"/>
          <w:sz w:val="32"/>
          <w:szCs w:val="32"/>
          <w:highlight w:val="none"/>
          <w:lang w:val="en-US" w:eastAsia="zh-CN"/>
        </w:rPr>
        <w:t>0.28万元</w:t>
      </w:r>
      <w:r>
        <w:rPr>
          <w:rFonts w:hint="eastAsia" w:ascii="仿宋_GB2312" w:hAnsi="仿宋_GB2312" w:eastAsia="仿宋_GB2312" w:cs="仿宋_GB2312"/>
          <w:color w:val="auto"/>
          <w:sz w:val="32"/>
          <w:szCs w:val="32"/>
          <w:highlight w:val="none"/>
          <w:lang w:eastAsia="zh-CN"/>
        </w:rPr>
        <w:t>、会议费</w:t>
      </w:r>
      <w:r>
        <w:rPr>
          <w:rFonts w:hint="eastAsia" w:ascii="仿宋_GB2312" w:hAnsi="仿宋_GB2312" w:eastAsia="仿宋_GB2312" w:cs="仿宋_GB2312"/>
          <w:color w:val="auto"/>
          <w:sz w:val="32"/>
          <w:szCs w:val="32"/>
          <w:highlight w:val="none"/>
          <w:lang w:val="en-US" w:eastAsia="zh-CN"/>
        </w:rPr>
        <w:t>2.12万元</w:t>
      </w:r>
      <w:r>
        <w:rPr>
          <w:rFonts w:hint="eastAsia" w:ascii="仿宋_GB2312" w:hAnsi="仿宋_GB2312" w:eastAsia="仿宋_GB2312" w:cs="仿宋_GB2312"/>
          <w:color w:val="auto"/>
          <w:sz w:val="32"/>
          <w:szCs w:val="32"/>
          <w:highlight w:val="none"/>
          <w:lang w:eastAsia="zh-CN"/>
        </w:rPr>
        <w:t>、培训费</w:t>
      </w:r>
      <w:r>
        <w:rPr>
          <w:rFonts w:hint="eastAsia" w:ascii="仿宋_GB2312" w:hAnsi="仿宋_GB2312" w:eastAsia="仿宋_GB2312" w:cs="仿宋_GB2312"/>
          <w:color w:val="auto"/>
          <w:sz w:val="32"/>
          <w:szCs w:val="32"/>
          <w:highlight w:val="none"/>
          <w:lang w:val="en-US" w:eastAsia="zh-CN"/>
        </w:rPr>
        <w:t>10.73万元</w:t>
      </w:r>
      <w:r>
        <w:rPr>
          <w:rFonts w:hint="eastAsia" w:ascii="仿宋_GB2312" w:hAnsi="仿宋_GB2312" w:eastAsia="仿宋_GB2312" w:cs="仿宋_GB2312"/>
          <w:color w:val="auto"/>
          <w:sz w:val="32"/>
          <w:szCs w:val="32"/>
          <w:highlight w:val="none"/>
          <w:lang w:eastAsia="zh-CN"/>
        </w:rPr>
        <w:t>、公务接待费</w:t>
      </w:r>
      <w:r>
        <w:rPr>
          <w:rFonts w:hint="eastAsia" w:ascii="仿宋_GB2312" w:hAnsi="仿宋_GB2312" w:eastAsia="仿宋_GB2312" w:cs="仿宋_GB2312"/>
          <w:color w:val="auto"/>
          <w:sz w:val="32"/>
          <w:szCs w:val="32"/>
          <w:highlight w:val="none"/>
          <w:lang w:val="en-US" w:eastAsia="zh-CN"/>
        </w:rPr>
        <w:t>0.24万元</w:t>
      </w:r>
      <w:r>
        <w:rPr>
          <w:rFonts w:hint="eastAsia" w:ascii="仿宋_GB2312" w:hAnsi="仿宋_GB2312" w:eastAsia="仿宋_GB2312" w:cs="仿宋_GB2312"/>
          <w:color w:val="auto"/>
          <w:sz w:val="32"/>
          <w:szCs w:val="32"/>
          <w:highlight w:val="none"/>
          <w:lang w:eastAsia="zh-CN"/>
        </w:rPr>
        <w:t>、劳务费</w:t>
      </w:r>
      <w:r>
        <w:rPr>
          <w:rFonts w:hint="eastAsia" w:ascii="仿宋_GB2312" w:hAnsi="仿宋_GB2312" w:eastAsia="仿宋_GB2312" w:cs="仿宋_GB2312"/>
          <w:color w:val="auto"/>
          <w:sz w:val="32"/>
          <w:szCs w:val="32"/>
          <w:highlight w:val="none"/>
          <w:lang w:val="en-US" w:eastAsia="zh-CN"/>
        </w:rPr>
        <w:t>3.15万元</w:t>
      </w:r>
      <w:r>
        <w:rPr>
          <w:rFonts w:hint="eastAsia" w:ascii="仿宋_GB2312" w:hAnsi="仿宋_GB2312" w:eastAsia="仿宋_GB2312" w:cs="仿宋_GB2312"/>
          <w:color w:val="auto"/>
          <w:sz w:val="32"/>
          <w:szCs w:val="32"/>
          <w:highlight w:val="none"/>
          <w:lang w:eastAsia="zh-CN"/>
        </w:rPr>
        <w:t>、委托业务费</w:t>
      </w:r>
      <w:r>
        <w:rPr>
          <w:rFonts w:hint="eastAsia" w:ascii="仿宋_GB2312" w:hAnsi="仿宋_GB2312" w:eastAsia="仿宋_GB2312" w:cs="仿宋_GB2312"/>
          <w:color w:val="auto"/>
          <w:sz w:val="32"/>
          <w:szCs w:val="32"/>
          <w:highlight w:val="none"/>
          <w:lang w:val="en-US" w:eastAsia="zh-CN"/>
        </w:rPr>
        <w:t>29.66万元</w:t>
      </w:r>
      <w:r>
        <w:rPr>
          <w:rFonts w:hint="eastAsia" w:ascii="仿宋_GB2312" w:hAnsi="仿宋_GB2312" w:eastAsia="仿宋_GB2312" w:cs="仿宋_GB2312"/>
          <w:color w:val="auto"/>
          <w:sz w:val="32"/>
          <w:szCs w:val="32"/>
          <w:highlight w:val="none"/>
          <w:lang w:eastAsia="zh-CN"/>
        </w:rPr>
        <w:t>、福利费</w:t>
      </w:r>
      <w:r>
        <w:rPr>
          <w:rFonts w:hint="eastAsia" w:ascii="仿宋_GB2312" w:hAnsi="仿宋_GB2312" w:eastAsia="仿宋_GB2312" w:cs="仿宋_GB2312"/>
          <w:color w:val="auto"/>
          <w:sz w:val="32"/>
          <w:szCs w:val="32"/>
          <w:highlight w:val="none"/>
          <w:lang w:val="en-US" w:eastAsia="zh-CN"/>
        </w:rPr>
        <w:t>23.44万元</w:t>
      </w:r>
      <w:r>
        <w:rPr>
          <w:rFonts w:hint="eastAsia" w:ascii="仿宋_GB2312" w:hAnsi="仿宋_GB2312" w:eastAsia="仿宋_GB2312" w:cs="仿宋_GB2312"/>
          <w:color w:val="auto"/>
          <w:sz w:val="32"/>
          <w:szCs w:val="32"/>
          <w:highlight w:val="none"/>
          <w:lang w:eastAsia="zh-CN"/>
        </w:rPr>
        <w:t>、公务用车运行维护费</w:t>
      </w:r>
      <w:r>
        <w:rPr>
          <w:rFonts w:hint="eastAsia" w:ascii="仿宋_GB2312" w:hAnsi="仿宋_GB2312" w:eastAsia="仿宋_GB2312" w:cs="仿宋_GB2312"/>
          <w:color w:val="auto"/>
          <w:sz w:val="32"/>
          <w:szCs w:val="32"/>
          <w:highlight w:val="none"/>
          <w:lang w:val="en-US" w:eastAsia="zh-CN"/>
        </w:rPr>
        <w:t>77.56万元</w:t>
      </w:r>
      <w:r>
        <w:rPr>
          <w:rFonts w:hint="eastAsia" w:ascii="仿宋_GB2312" w:hAnsi="仿宋_GB2312" w:eastAsia="仿宋_GB2312" w:cs="仿宋_GB2312"/>
          <w:color w:val="auto"/>
          <w:sz w:val="32"/>
          <w:szCs w:val="32"/>
          <w:highlight w:val="none"/>
          <w:lang w:eastAsia="zh-CN"/>
        </w:rPr>
        <w:t>、其他交通费</w:t>
      </w:r>
      <w:r>
        <w:rPr>
          <w:rFonts w:hint="eastAsia" w:ascii="仿宋_GB2312" w:hAnsi="仿宋_GB2312" w:eastAsia="仿宋_GB2312" w:cs="仿宋_GB2312"/>
          <w:color w:val="auto"/>
          <w:sz w:val="32"/>
          <w:szCs w:val="32"/>
          <w:highlight w:val="none"/>
          <w:lang w:val="en-US" w:eastAsia="zh-CN"/>
        </w:rPr>
        <w:t>0.31万元</w:t>
      </w:r>
      <w:r>
        <w:rPr>
          <w:rFonts w:hint="eastAsia" w:ascii="仿宋_GB2312" w:hAnsi="仿宋_GB2312" w:eastAsia="仿宋_GB2312" w:cs="仿宋_GB2312"/>
          <w:color w:val="auto"/>
          <w:sz w:val="32"/>
          <w:szCs w:val="32"/>
          <w:highlight w:val="none"/>
          <w:lang w:eastAsia="zh-CN"/>
        </w:rPr>
        <w:t>、其他商品和服务支出</w:t>
      </w:r>
      <w:r>
        <w:rPr>
          <w:rFonts w:hint="eastAsia" w:ascii="仿宋_GB2312" w:hAnsi="仿宋_GB2312" w:eastAsia="仿宋_GB2312" w:cs="仿宋_GB2312"/>
          <w:color w:val="auto"/>
          <w:sz w:val="32"/>
          <w:szCs w:val="32"/>
          <w:highlight w:val="none"/>
          <w:lang w:val="en-US" w:eastAsia="zh-CN"/>
        </w:rPr>
        <w:t>48.29万元</w:t>
      </w:r>
      <w:r>
        <w:rPr>
          <w:rFonts w:hint="eastAsia" w:ascii="仿宋_GB2312" w:hAnsi="仿宋_GB2312" w:eastAsia="仿宋_GB2312" w:cs="仿宋_GB2312"/>
          <w:color w:val="auto"/>
          <w:sz w:val="32"/>
          <w:szCs w:val="32"/>
          <w:highlight w:val="none"/>
          <w:lang w:eastAsia="zh-CN"/>
        </w:rPr>
        <w:t>。</w:t>
      </w:r>
    </w:p>
    <w:p w14:paraId="4EFE0882">
      <w:pPr>
        <w:spacing w:line="600" w:lineRule="exact"/>
        <w:ind w:firstLine="640"/>
        <w:rPr>
          <w:rFonts w:ascii="仿宋" w:hAnsi="仿宋" w:eastAsia="仿宋"/>
          <w:b/>
          <w:color w:val="auto"/>
          <w:sz w:val="32"/>
          <w:szCs w:val="32"/>
          <w:highlight w:val="none"/>
        </w:rPr>
      </w:pPr>
    </w:p>
    <w:p w14:paraId="611BA3AE">
      <w:pPr>
        <w:spacing w:line="600" w:lineRule="exact"/>
        <w:ind w:firstLine="640"/>
        <w:outlineLvl w:val="1"/>
        <w:rPr>
          <w:rStyle w:val="30"/>
          <w:rFonts w:ascii="黑体" w:hAnsi="黑体" w:eastAsia="黑体"/>
          <w:b w:val="0"/>
          <w:color w:val="auto"/>
          <w:highlight w:val="none"/>
        </w:rPr>
      </w:pPr>
      <w:bookmarkStart w:id="36" w:name="_Toc15377215"/>
      <w:bookmarkStart w:id="37" w:name="_Toc15396609"/>
      <w:r>
        <w:rPr>
          <w:rFonts w:hint="eastAsia" w:ascii="黑体" w:eastAsia="黑体"/>
          <w:color w:val="auto"/>
          <w:sz w:val="32"/>
          <w:szCs w:val="32"/>
          <w:highlight w:val="none"/>
        </w:rPr>
        <w:t>七、</w:t>
      </w:r>
      <w:r>
        <w:rPr>
          <w:rStyle w:val="30"/>
          <w:rFonts w:hint="eastAsia" w:ascii="黑体" w:hAnsi="黑体" w:eastAsia="黑体"/>
          <w:b w:val="0"/>
          <w:color w:val="auto"/>
          <w:highlight w:val="none"/>
        </w:rPr>
        <w:t>财政拨款</w:t>
      </w:r>
      <w:r>
        <w:rPr>
          <w:rStyle w:val="30"/>
          <w:rFonts w:hint="eastAsia" w:ascii="黑体" w:hAnsi="黑体" w:eastAsia="黑体"/>
          <w:color w:val="auto"/>
          <w:highlight w:val="none"/>
        </w:rPr>
        <w:t>“</w:t>
      </w:r>
      <w:r>
        <w:rPr>
          <w:rStyle w:val="30"/>
          <w:rFonts w:hint="eastAsia" w:ascii="黑体" w:hAnsi="黑体" w:eastAsia="黑体"/>
          <w:b w:val="0"/>
          <w:color w:val="auto"/>
          <w:highlight w:val="none"/>
        </w:rPr>
        <w:t>三公”经费支出决算情况说明</w:t>
      </w:r>
      <w:bookmarkEnd w:id="36"/>
      <w:bookmarkEnd w:id="37"/>
    </w:p>
    <w:p w14:paraId="0753FDA3">
      <w:pPr>
        <w:spacing w:line="600" w:lineRule="exact"/>
        <w:ind w:firstLine="640"/>
        <w:outlineLvl w:val="2"/>
        <w:rPr>
          <w:rFonts w:ascii="仿宋" w:hAnsi="仿宋" w:eastAsia="仿宋"/>
          <w:b/>
          <w:color w:val="auto"/>
          <w:sz w:val="32"/>
          <w:szCs w:val="32"/>
          <w:highlight w:val="none"/>
        </w:rPr>
      </w:pPr>
      <w:bookmarkStart w:id="38" w:name="_Toc15377216"/>
      <w:r>
        <w:rPr>
          <w:rFonts w:hint="eastAsia" w:ascii="仿宋" w:hAnsi="仿宋" w:eastAsia="仿宋"/>
          <w:b/>
          <w:color w:val="auto"/>
          <w:sz w:val="32"/>
          <w:szCs w:val="32"/>
          <w:highlight w:val="none"/>
        </w:rPr>
        <w:t>（一）“三公”经费财政拨款支出决算总体情况说明</w:t>
      </w:r>
      <w:bookmarkEnd w:id="38"/>
    </w:p>
    <w:p w14:paraId="0DCE380B">
      <w:pPr>
        <w:spacing w:line="600" w:lineRule="exact"/>
        <w:ind w:firstLine="64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2025年度“三公”经费财政拨款支出决算为</w:t>
      </w:r>
      <w:r>
        <w:rPr>
          <w:rFonts w:hint="eastAsia" w:ascii="仿宋_GB2312" w:hAnsi="仿宋_GB2312" w:eastAsia="仿宋_GB2312" w:cs="仿宋_GB2312"/>
          <w:color w:val="auto"/>
          <w:sz w:val="32"/>
          <w:szCs w:val="32"/>
          <w:highlight w:val="none"/>
          <w:lang w:val="en-US" w:eastAsia="zh-CN"/>
        </w:rPr>
        <w:t>100.61</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%，较上年度</w:t>
      </w:r>
      <w:r>
        <w:rPr>
          <w:rFonts w:hint="eastAsia" w:ascii="仿宋_GB2312" w:hAnsi="仿宋_GB2312" w:eastAsia="仿宋_GB2312" w:cs="仿宋_GB2312"/>
          <w:color w:val="auto"/>
          <w:sz w:val="32"/>
          <w:szCs w:val="32"/>
          <w:highlight w:val="none"/>
          <w:lang w:val="en-US" w:eastAsia="zh-CN"/>
        </w:rPr>
        <w:t>增加6.87万元，上升7.3%。</w:t>
      </w:r>
      <w:r>
        <w:rPr>
          <w:rFonts w:hint="eastAsia" w:ascii="仿宋_GB2312" w:hAnsi="仿宋_GB2312" w:eastAsia="仿宋_GB2312" w:cs="仿宋_GB2312"/>
          <w:color w:val="auto"/>
          <w:sz w:val="32"/>
          <w:szCs w:val="32"/>
          <w:highlight w:val="none"/>
          <w:lang w:eastAsia="zh-CN"/>
        </w:rPr>
        <w:t>决算数小于预算数的主要原因是厉行节约，严控接待费及公车运行费。</w:t>
      </w:r>
    </w:p>
    <w:p w14:paraId="6DE5269D">
      <w:pPr>
        <w:spacing w:line="600" w:lineRule="exact"/>
        <w:ind w:firstLine="640"/>
        <w:outlineLvl w:val="2"/>
        <w:rPr>
          <w:rFonts w:ascii="仿宋" w:hAnsi="仿宋" w:eastAsia="仿宋"/>
          <w:b/>
          <w:color w:val="auto"/>
          <w:sz w:val="32"/>
          <w:szCs w:val="32"/>
          <w:highlight w:val="none"/>
        </w:rPr>
      </w:pPr>
      <w:bookmarkStart w:id="39" w:name="_Toc15377217"/>
      <w:r>
        <w:rPr>
          <w:rFonts w:hint="eastAsia" w:ascii="仿宋" w:hAnsi="仿宋" w:eastAsia="仿宋"/>
          <w:b/>
          <w:color w:val="auto"/>
          <w:sz w:val="32"/>
          <w:szCs w:val="32"/>
          <w:highlight w:val="none"/>
        </w:rPr>
        <w:t>（二）“三公”经费财政拨款支出决算具体情况说明</w:t>
      </w:r>
      <w:bookmarkEnd w:id="39"/>
    </w:p>
    <w:p w14:paraId="28FE6336">
      <w:pPr>
        <w:spacing w:line="600" w:lineRule="exact"/>
        <w:ind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度</w:t>
      </w:r>
      <w:r>
        <w:rPr>
          <w:rFonts w:hint="eastAsia" w:ascii="仿宋_GB2312" w:hAnsi="仿宋_GB2312" w:eastAsia="仿宋_GB2312" w:cs="仿宋_GB2312"/>
          <w:color w:val="auto"/>
          <w:sz w:val="32"/>
          <w:szCs w:val="32"/>
          <w:highlight w:val="none"/>
        </w:rPr>
        <w:t>“三公”经费财政拨款支出决算中，因公出国（境）费支出决算</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万元，占</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%；公务用车购置及运行维护费支出决算</w:t>
      </w:r>
      <w:r>
        <w:rPr>
          <w:rFonts w:hint="eastAsia" w:ascii="仿宋_GB2312" w:hAnsi="仿宋_GB2312" w:eastAsia="仿宋_GB2312" w:cs="仿宋_GB2312"/>
          <w:color w:val="auto"/>
          <w:sz w:val="32"/>
          <w:szCs w:val="32"/>
          <w:highlight w:val="none"/>
          <w:lang w:val="en-US" w:eastAsia="zh-CN"/>
        </w:rPr>
        <w:t>100.37万元</w:t>
      </w:r>
      <w:r>
        <w:rPr>
          <w:rFonts w:hint="eastAsia" w:ascii="仿宋_GB2312" w:hAnsi="仿宋_GB2312" w:eastAsia="仿宋_GB2312" w:cs="仿宋_GB2312"/>
          <w:color w:val="auto"/>
          <w:sz w:val="32"/>
          <w:szCs w:val="32"/>
          <w:highlight w:val="none"/>
        </w:rPr>
        <w:t>，占</w:t>
      </w:r>
      <w:r>
        <w:rPr>
          <w:rFonts w:hint="eastAsia" w:ascii="仿宋_GB2312" w:hAnsi="仿宋_GB2312" w:eastAsia="仿宋_GB2312" w:cs="仿宋_GB2312"/>
          <w:color w:val="auto"/>
          <w:sz w:val="32"/>
          <w:szCs w:val="32"/>
          <w:highlight w:val="none"/>
          <w:lang w:val="en-US" w:eastAsia="zh-CN"/>
        </w:rPr>
        <w:t>99.7</w:t>
      </w:r>
      <w:r>
        <w:rPr>
          <w:rFonts w:hint="eastAsia" w:ascii="仿宋_GB2312" w:hAnsi="仿宋_GB2312" w:eastAsia="仿宋_GB2312" w:cs="仿宋_GB2312"/>
          <w:color w:val="auto"/>
          <w:sz w:val="32"/>
          <w:szCs w:val="32"/>
          <w:highlight w:val="none"/>
        </w:rPr>
        <w:t>%；公务接待费支出决算</w:t>
      </w:r>
      <w:r>
        <w:rPr>
          <w:rFonts w:hint="eastAsia" w:ascii="仿宋_GB2312" w:hAnsi="仿宋_GB2312" w:eastAsia="仿宋_GB2312" w:cs="仿宋_GB2312"/>
          <w:color w:val="auto"/>
          <w:sz w:val="32"/>
          <w:szCs w:val="32"/>
          <w:highlight w:val="none"/>
          <w:lang w:val="en-US" w:eastAsia="zh-CN"/>
        </w:rPr>
        <w:t>0.24万元</w:t>
      </w:r>
      <w:r>
        <w:rPr>
          <w:rFonts w:hint="eastAsia" w:ascii="仿宋_GB2312" w:hAnsi="仿宋_GB2312" w:eastAsia="仿宋_GB2312" w:cs="仿宋_GB2312"/>
          <w:color w:val="auto"/>
          <w:sz w:val="32"/>
          <w:szCs w:val="32"/>
          <w:highlight w:val="none"/>
        </w:rPr>
        <w:t>，占</w:t>
      </w:r>
      <w:r>
        <w:rPr>
          <w:rFonts w:hint="eastAsia" w:ascii="仿宋_GB2312" w:hAnsi="仿宋_GB2312" w:eastAsia="仿宋_GB2312" w:cs="仿宋_GB2312"/>
          <w:color w:val="auto"/>
          <w:sz w:val="32"/>
          <w:szCs w:val="32"/>
          <w:highlight w:val="none"/>
          <w:lang w:val="en-US" w:eastAsia="zh-CN"/>
        </w:rPr>
        <w:t>0.3</w:t>
      </w:r>
      <w:r>
        <w:rPr>
          <w:rFonts w:hint="eastAsia" w:ascii="仿宋_GB2312" w:hAnsi="仿宋_GB2312" w:eastAsia="仿宋_GB2312" w:cs="仿宋_GB2312"/>
          <w:color w:val="auto"/>
          <w:sz w:val="32"/>
          <w:szCs w:val="32"/>
          <w:highlight w:val="none"/>
        </w:rPr>
        <w:t>%。具体情况如下：</w:t>
      </w:r>
    </w:p>
    <w:p w14:paraId="7F99F878">
      <w:pPr>
        <w:pStyle w:val="5"/>
        <w:jc w:val="center"/>
        <w:rPr>
          <w:rFonts w:hint="eastAsia" w:ascii="仿宋" w:hAnsi="仿宋" w:eastAsia="仿宋"/>
          <w:color w:val="auto"/>
          <w:sz w:val="32"/>
          <w:szCs w:val="32"/>
          <w:highlight w:val="none"/>
        </w:rPr>
      </w:pPr>
      <w:r>
        <w:drawing>
          <wp:inline distT="0" distB="0" distL="114300" distR="114300">
            <wp:extent cx="4192905" cy="2639695"/>
            <wp:effectExtent l="4445" t="4445" r="12700" b="2286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5A969F2">
      <w:pPr>
        <w:spacing w:line="600" w:lineRule="exact"/>
        <w:ind w:firstLine="645"/>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（图7：“三公”经费财政拨款支出结构）（饼状图）</w:t>
      </w:r>
    </w:p>
    <w:p w14:paraId="51665042">
      <w:pPr>
        <w:spacing w:line="600" w:lineRule="exact"/>
        <w:ind w:firstLine="645"/>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1.因公出国（境）经费支出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%。全年安排因公出国（境）团组</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次，出国（境）</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人。因公出国（境）支出决算比202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年增加/减少</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万元，增长/下降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%。主要原因是</w:t>
      </w:r>
      <w:r>
        <w:rPr>
          <w:rFonts w:hint="eastAsia" w:ascii="仿宋_GB2312" w:hAnsi="仿宋_GB2312" w:eastAsia="仿宋_GB2312" w:cs="仿宋_GB2312"/>
          <w:color w:val="auto"/>
          <w:sz w:val="32"/>
          <w:szCs w:val="32"/>
          <w:highlight w:val="none"/>
          <w:lang w:val="en-US" w:eastAsia="zh-CN"/>
        </w:rPr>
        <w:t>2025年无因公出国</w:t>
      </w:r>
      <w:r>
        <w:rPr>
          <w:rFonts w:hint="eastAsia" w:ascii="仿宋_GB2312" w:hAnsi="仿宋_GB2312" w:eastAsia="仿宋_GB2312" w:cs="仿宋_GB2312"/>
          <w:color w:val="auto"/>
          <w:sz w:val="32"/>
          <w:szCs w:val="32"/>
          <w:highlight w:val="none"/>
          <w:lang w:eastAsia="zh-CN"/>
        </w:rPr>
        <w:t>。</w:t>
      </w:r>
    </w:p>
    <w:p w14:paraId="7D0E7BB0">
      <w:pPr>
        <w:spacing w:line="600" w:lineRule="exact"/>
        <w:ind w:firstLine="645"/>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2.公务用车购置及运行维护费支出</w:t>
      </w:r>
      <w:r>
        <w:rPr>
          <w:rFonts w:hint="eastAsia" w:ascii="仿宋_GB2312" w:hAnsi="仿宋_GB2312" w:eastAsia="仿宋_GB2312" w:cs="仿宋_GB2312"/>
          <w:color w:val="auto"/>
          <w:sz w:val="32"/>
          <w:szCs w:val="32"/>
          <w:highlight w:val="none"/>
          <w:lang w:val="en-US" w:eastAsia="zh-CN"/>
        </w:rPr>
        <w:t>100.37</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%。公务用车购置及运行维护费支出决算比202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年度</w:t>
      </w:r>
      <w:r>
        <w:rPr>
          <w:rFonts w:hint="eastAsia" w:ascii="仿宋_GB2312" w:hAnsi="仿宋_GB2312" w:eastAsia="仿宋_GB2312" w:cs="仿宋_GB2312"/>
          <w:color w:val="auto"/>
          <w:sz w:val="32"/>
          <w:szCs w:val="32"/>
          <w:highlight w:val="none"/>
          <w:lang w:val="en-US" w:eastAsia="zh-CN"/>
        </w:rPr>
        <w:t>增加7.04</w:t>
      </w:r>
      <w:r>
        <w:rPr>
          <w:rFonts w:hint="eastAsia" w:ascii="仿宋_GB2312" w:hAnsi="仿宋_GB2312" w:eastAsia="仿宋_GB2312" w:cs="仿宋_GB2312"/>
          <w:color w:val="auto"/>
          <w:sz w:val="32"/>
          <w:szCs w:val="32"/>
          <w:highlight w:val="none"/>
          <w:lang w:eastAsia="zh-CN"/>
        </w:rPr>
        <w:t>万元，</w:t>
      </w:r>
      <w:r>
        <w:rPr>
          <w:rFonts w:hint="eastAsia" w:ascii="仿宋_GB2312" w:hAnsi="仿宋_GB2312" w:eastAsia="仿宋_GB2312" w:cs="仿宋_GB2312"/>
          <w:color w:val="auto"/>
          <w:sz w:val="32"/>
          <w:szCs w:val="32"/>
          <w:highlight w:val="none"/>
          <w:lang w:val="en-US" w:eastAsia="zh-CN"/>
        </w:rPr>
        <w:t>上升7.5</w:t>
      </w:r>
      <w:r>
        <w:rPr>
          <w:rFonts w:hint="eastAsia" w:ascii="仿宋_GB2312" w:hAnsi="仿宋_GB2312" w:eastAsia="仿宋_GB2312" w:cs="仿宋_GB2312"/>
          <w:color w:val="auto"/>
          <w:sz w:val="32"/>
          <w:szCs w:val="32"/>
          <w:highlight w:val="none"/>
          <w:lang w:eastAsia="zh-CN"/>
        </w:rPr>
        <w:t>%。主要原因是</w:t>
      </w:r>
      <w:r>
        <w:rPr>
          <w:rFonts w:hint="eastAsia" w:ascii="仿宋_GB2312" w:hAnsi="仿宋_GB2312" w:eastAsia="仿宋_GB2312" w:cs="仿宋_GB2312"/>
          <w:color w:val="auto"/>
          <w:sz w:val="32"/>
          <w:szCs w:val="32"/>
          <w:highlight w:val="none"/>
          <w:lang w:val="en-US" w:eastAsia="zh-CN"/>
        </w:rPr>
        <w:t>项目增多，管护检查及验收等工作出差增多</w:t>
      </w:r>
      <w:r>
        <w:rPr>
          <w:rFonts w:hint="eastAsia" w:ascii="仿宋_GB2312" w:hAnsi="仿宋_GB2312" w:eastAsia="仿宋_GB2312" w:cs="仿宋_GB2312"/>
          <w:color w:val="auto"/>
          <w:sz w:val="32"/>
          <w:szCs w:val="32"/>
          <w:highlight w:val="none"/>
          <w:lang w:eastAsia="zh-CN"/>
        </w:rPr>
        <w:t>。</w:t>
      </w:r>
    </w:p>
    <w:p w14:paraId="75C454D9">
      <w:pPr>
        <w:spacing w:line="600" w:lineRule="exact"/>
        <w:ind w:firstLine="645"/>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其中：公务用车购置支出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万元。全年按规定更新购置公务用车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辆，其中：轿车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辆、金额</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万元，越野车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辆、金额</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万元，载客汽车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辆、金额</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万元。截至2025年12月</w:t>
      </w:r>
      <w:r>
        <w:rPr>
          <w:rFonts w:hint="eastAsia" w:ascii="仿宋_GB2312" w:hAnsi="仿宋_GB2312" w:eastAsia="仿宋_GB2312" w:cs="仿宋_GB2312"/>
          <w:color w:val="auto"/>
          <w:sz w:val="32"/>
          <w:szCs w:val="32"/>
          <w:highlight w:val="none"/>
          <w:lang w:val="en-US" w:eastAsia="zh-CN"/>
        </w:rPr>
        <w:t>31日</w:t>
      </w:r>
      <w:r>
        <w:rPr>
          <w:rFonts w:hint="eastAsia" w:ascii="仿宋_GB2312" w:hAnsi="仿宋_GB2312" w:eastAsia="仿宋_GB2312" w:cs="仿宋_GB2312"/>
          <w:color w:val="auto"/>
          <w:sz w:val="32"/>
          <w:szCs w:val="32"/>
          <w:highlight w:val="none"/>
          <w:lang w:eastAsia="zh-CN"/>
        </w:rPr>
        <w:t>，单位共有公务用车</w:t>
      </w: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lang w:eastAsia="zh-CN"/>
        </w:rPr>
        <w:t>辆，其中：轿车</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辆、越野车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辆、载客汽车</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辆。</w:t>
      </w:r>
    </w:p>
    <w:p w14:paraId="2D2E5BA4">
      <w:pPr>
        <w:spacing w:line="600" w:lineRule="exact"/>
        <w:ind w:firstLine="645"/>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公务用车运行维护费支出</w:t>
      </w:r>
      <w:r>
        <w:rPr>
          <w:rFonts w:hint="eastAsia" w:ascii="仿宋_GB2312" w:hAnsi="仿宋_GB2312" w:eastAsia="仿宋_GB2312" w:cs="仿宋_GB2312"/>
          <w:color w:val="auto"/>
          <w:sz w:val="32"/>
          <w:szCs w:val="32"/>
          <w:highlight w:val="none"/>
          <w:lang w:val="en-US" w:eastAsia="zh-CN"/>
        </w:rPr>
        <w:t>100.73</w:t>
      </w:r>
      <w:r>
        <w:rPr>
          <w:rFonts w:hint="eastAsia" w:ascii="仿宋_GB2312" w:hAnsi="仿宋_GB2312" w:eastAsia="仿宋_GB2312" w:cs="仿宋_GB2312"/>
          <w:color w:val="auto"/>
          <w:sz w:val="32"/>
          <w:szCs w:val="32"/>
          <w:highlight w:val="none"/>
          <w:lang w:eastAsia="zh-CN"/>
        </w:rPr>
        <w:t>万元。主要用于天保二期、退耕还林项目、造林绿化检查、草原检查检测、野生动植物保护、林区改革、各项林草项目检查督导、防火督导检查、林草种苗项目等所需的公务用车燃料费、维修费、过路过桥费、保险费等支出。</w:t>
      </w:r>
    </w:p>
    <w:p w14:paraId="623DD853">
      <w:pPr>
        <w:spacing w:line="600" w:lineRule="exact"/>
        <w:ind w:firstLine="645"/>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3.公务接待费支出</w:t>
      </w:r>
      <w:r>
        <w:rPr>
          <w:rFonts w:hint="eastAsia" w:ascii="仿宋_GB2312" w:hAnsi="仿宋_GB2312" w:eastAsia="仿宋_GB2312" w:cs="仿宋_GB2312"/>
          <w:color w:val="auto"/>
          <w:sz w:val="32"/>
          <w:szCs w:val="32"/>
          <w:highlight w:val="none"/>
          <w:lang w:val="en-US" w:eastAsia="zh-CN"/>
        </w:rPr>
        <w:t>0.24</w:t>
      </w:r>
      <w:r>
        <w:rPr>
          <w:rFonts w:hint="eastAsia" w:ascii="仿宋_GB2312" w:hAnsi="仿宋_GB2312" w:eastAsia="仿宋_GB2312" w:cs="仿宋_GB2312"/>
          <w:color w:val="auto"/>
          <w:sz w:val="32"/>
          <w:szCs w:val="32"/>
          <w:highlight w:val="none"/>
          <w:lang w:eastAsia="zh-CN"/>
        </w:rPr>
        <w:t>万元，完成预算</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lang w:eastAsia="zh-CN"/>
        </w:rPr>
        <w:t>%。公务接待费支出决算比202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年度</w:t>
      </w:r>
      <w:r>
        <w:rPr>
          <w:rFonts w:hint="eastAsia" w:ascii="仿宋_GB2312" w:hAnsi="仿宋_GB2312" w:eastAsia="仿宋_GB2312" w:cs="仿宋_GB2312"/>
          <w:color w:val="auto"/>
          <w:sz w:val="32"/>
          <w:szCs w:val="32"/>
          <w:highlight w:val="none"/>
          <w:lang w:val="en-US" w:eastAsia="zh-CN"/>
        </w:rPr>
        <w:t>减少0.17</w:t>
      </w:r>
      <w:r>
        <w:rPr>
          <w:rFonts w:hint="eastAsia" w:ascii="仿宋_GB2312" w:hAnsi="仿宋_GB2312" w:eastAsia="仿宋_GB2312" w:cs="仿宋_GB2312"/>
          <w:color w:val="auto"/>
          <w:sz w:val="32"/>
          <w:szCs w:val="32"/>
          <w:highlight w:val="none"/>
          <w:lang w:eastAsia="zh-CN"/>
        </w:rPr>
        <w:t>万元，</w:t>
      </w:r>
      <w:r>
        <w:rPr>
          <w:rFonts w:hint="eastAsia" w:ascii="仿宋_GB2312" w:hAnsi="仿宋_GB2312" w:eastAsia="仿宋_GB2312" w:cs="仿宋_GB2312"/>
          <w:color w:val="auto"/>
          <w:sz w:val="32"/>
          <w:szCs w:val="32"/>
          <w:highlight w:val="none"/>
          <w:lang w:val="en-US" w:eastAsia="zh-CN"/>
        </w:rPr>
        <w:t>下降42.2</w:t>
      </w:r>
      <w:r>
        <w:rPr>
          <w:rFonts w:hint="eastAsia" w:ascii="仿宋_GB2312" w:hAnsi="仿宋_GB2312" w:eastAsia="仿宋_GB2312" w:cs="仿宋_GB2312"/>
          <w:color w:val="auto"/>
          <w:sz w:val="32"/>
          <w:szCs w:val="32"/>
          <w:highlight w:val="none"/>
          <w:lang w:eastAsia="zh-CN"/>
        </w:rPr>
        <w:t>%。主要原因是</w:t>
      </w:r>
      <w:r>
        <w:rPr>
          <w:rFonts w:hint="eastAsia" w:ascii="仿宋_GB2312" w:hAnsi="仿宋_GB2312" w:eastAsia="仿宋_GB2312" w:cs="仿宋_GB2312"/>
          <w:color w:val="auto"/>
          <w:sz w:val="32"/>
          <w:szCs w:val="32"/>
          <w:highlight w:val="none"/>
          <w:lang w:val="en-US" w:eastAsia="zh-CN"/>
        </w:rPr>
        <w:t>厉行节约，减少</w:t>
      </w:r>
      <w:r>
        <w:rPr>
          <w:rFonts w:hint="eastAsia" w:ascii="仿宋_GB2312" w:hAnsi="仿宋_GB2312" w:eastAsia="仿宋_GB2312" w:cs="仿宋_GB2312"/>
          <w:color w:val="auto"/>
          <w:sz w:val="32"/>
          <w:szCs w:val="32"/>
          <w:highlight w:val="none"/>
          <w:lang w:eastAsia="zh-CN"/>
        </w:rPr>
        <w:t>公务接待次数。其中：</w:t>
      </w:r>
    </w:p>
    <w:p w14:paraId="6E058BCD">
      <w:pPr>
        <w:spacing w:line="600" w:lineRule="exact"/>
        <w:ind w:firstLine="64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国内公务接待支出</w:t>
      </w:r>
      <w:r>
        <w:rPr>
          <w:rFonts w:hint="eastAsia" w:ascii="仿宋_GB2312" w:hAnsi="仿宋_GB2312" w:eastAsia="仿宋_GB2312" w:cs="仿宋_GB2312"/>
          <w:color w:val="auto"/>
          <w:sz w:val="32"/>
          <w:szCs w:val="32"/>
          <w:highlight w:val="none"/>
          <w:lang w:val="en-US" w:eastAsia="zh-CN"/>
        </w:rPr>
        <w:t>0.24</w:t>
      </w:r>
      <w:r>
        <w:rPr>
          <w:rFonts w:hint="eastAsia" w:ascii="仿宋_GB2312" w:hAnsi="仿宋_GB2312" w:eastAsia="仿宋_GB2312" w:cs="仿宋_GB2312"/>
          <w:color w:val="auto"/>
          <w:sz w:val="32"/>
          <w:szCs w:val="32"/>
          <w:highlight w:val="none"/>
          <w:lang w:eastAsia="zh-CN"/>
        </w:rPr>
        <w:t>万元，主要用于接待餐费。</w:t>
      </w:r>
      <w:r>
        <w:rPr>
          <w:rFonts w:hint="eastAsia" w:ascii="仿宋_GB2312" w:hAnsi="仿宋_GB2312" w:eastAsia="仿宋_GB2312" w:cs="仿宋_GB2312"/>
          <w:b w:val="0"/>
          <w:bCs/>
          <w:sz w:val="32"/>
          <w:szCs w:val="32"/>
        </w:rPr>
        <w:t>国内公务接待</w:t>
      </w:r>
      <w:r>
        <w:rPr>
          <w:rFonts w:hint="eastAsia" w:ascii="仿宋_GB2312" w:hAnsi="仿宋_GB2312" w:eastAsia="仿宋_GB2312" w:cs="仿宋_GB2312"/>
          <w:b w:val="0"/>
          <w:bCs/>
          <w:sz w:val="32"/>
          <w:szCs w:val="32"/>
          <w:lang w:val="en-US" w:eastAsia="zh-CN"/>
        </w:rPr>
        <w:t>4</w:t>
      </w:r>
      <w:r>
        <w:rPr>
          <w:rFonts w:hint="eastAsia" w:ascii="仿宋_GB2312" w:hAnsi="仿宋_GB2312" w:eastAsia="仿宋_GB2312" w:cs="仿宋_GB2312"/>
          <w:b w:val="0"/>
          <w:bCs/>
          <w:sz w:val="32"/>
          <w:szCs w:val="32"/>
        </w:rPr>
        <w:t>批次，</w:t>
      </w:r>
      <w:r>
        <w:rPr>
          <w:rFonts w:hint="eastAsia" w:ascii="仿宋_GB2312" w:hAnsi="仿宋_GB2312" w:eastAsia="仿宋_GB2312" w:cs="仿宋_GB2312"/>
          <w:b w:val="0"/>
          <w:bCs/>
          <w:sz w:val="32"/>
          <w:szCs w:val="32"/>
          <w:lang w:val="en-US" w:eastAsia="zh-CN"/>
        </w:rPr>
        <w:t>35</w:t>
      </w:r>
      <w:r>
        <w:rPr>
          <w:rFonts w:hint="eastAsia" w:ascii="仿宋_GB2312" w:hAnsi="仿宋_GB2312" w:eastAsia="仿宋_GB2312" w:cs="仿宋_GB2312"/>
          <w:b w:val="0"/>
          <w:bCs/>
          <w:sz w:val="32"/>
          <w:szCs w:val="32"/>
        </w:rPr>
        <w:t>人次（不包括陪同人员），共计支出</w:t>
      </w:r>
      <w:r>
        <w:rPr>
          <w:rFonts w:hint="eastAsia" w:ascii="仿宋_GB2312" w:hAnsi="仿宋_GB2312" w:eastAsia="仿宋_GB2312" w:cs="仿宋_GB2312"/>
          <w:b w:val="0"/>
          <w:bCs/>
          <w:sz w:val="32"/>
          <w:szCs w:val="32"/>
          <w:lang w:val="en-US" w:eastAsia="zh-CN"/>
        </w:rPr>
        <w:t>0.41</w:t>
      </w:r>
      <w:r>
        <w:rPr>
          <w:rFonts w:hint="eastAsia" w:ascii="仿宋_GB2312" w:hAnsi="仿宋_GB2312" w:eastAsia="仿宋_GB2312" w:cs="仿宋_GB2312"/>
          <w:b w:val="0"/>
          <w:bCs/>
          <w:sz w:val="32"/>
          <w:szCs w:val="32"/>
        </w:rPr>
        <w:t>万元，具体内容包括：</w:t>
      </w:r>
      <w:r>
        <w:rPr>
          <w:rFonts w:hint="eastAsia" w:ascii="仿宋_GB2312" w:hAnsi="仿宋_GB2312" w:eastAsia="仿宋_GB2312" w:cs="仿宋_GB2312"/>
          <w:b w:val="0"/>
          <w:bCs/>
          <w:sz w:val="32"/>
          <w:szCs w:val="32"/>
          <w:lang w:val="en-US" w:eastAsia="zh-CN"/>
        </w:rPr>
        <w:t>森林保险公务接待840元；凉山州湿地保护与候鸟监测调研接待828元；省林草局林木品种审定现场核查指导国家良种基地建设工作接待200元；省林草局行政审批督导接待500元</w:t>
      </w:r>
      <w:r>
        <w:rPr>
          <w:rFonts w:hint="eastAsia" w:ascii="仿宋_GB2312" w:hAnsi="仿宋_GB2312" w:eastAsia="仿宋_GB2312" w:cs="仿宋_GB2312"/>
          <w:b w:val="0"/>
          <w:bCs/>
          <w:sz w:val="32"/>
          <w:szCs w:val="32"/>
        </w:rPr>
        <w:t>。</w:t>
      </w:r>
    </w:p>
    <w:p w14:paraId="18DABBAB">
      <w:pPr>
        <w:spacing w:line="600" w:lineRule="exact"/>
        <w:ind w:firstLine="645"/>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外事接待支出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万元，主要用于接待无（具体项目）。外事接待无批次，无人次（不包括陪同人员），共计支出</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lang w:eastAsia="zh-CN"/>
        </w:rPr>
        <w:t>万元。</w:t>
      </w:r>
    </w:p>
    <w:p w14:paraId="09B7D326">
      <w:pPr>
        <w:spacing w:line="600" w:lineRule="exact"/>
        <w:ind w:firstLine="640"/>
        <w:outlineLvl w:val="1"/>
        <w:rPr>
          <w:rFonts w:ascii="黑体" w:eastAsia="黑体"/>
          <w:color w:val="auto"/>
          <w:sz w:val="32"/>
          <w:szCs w:val="32"/>
          <w:highlight w:val="none"/>
        </w:rPr>
      </w:pPr>
      <w:bookmarkStart w:id="40" w:name="_Toc15396610"/>
      <w:bookmarkStart w:id="41" w:name="_Toc15377218"/>
    </w:p>
    <w:p w14:paraId="690FCBE8">
      <w:pPr>
        <w:spacing w:line="600" w:lineRule="exact"/>
        <w:ind w:firstLine="640"/>
        <w:outlineLvl w:val="1"/>
        <w:rPr>
          <w:rStyle w:val="30"/>
          <w:rFonts w:ascii="黑体" w:hAnsi="黑体" w:eastAsia="黑体"/>
          <w:color w:val="auto"/>
          <w:highlight w:val="none"/>
        </w:rPr>
      </w:pPr>
      <w:r>
        <w:rPr>
          <w:rFonts w:hint="eastAsia" w:ascii="黑体" w:eastAsia="黑体"/>
          <w:color w:val="auto"/>
          <w:sz w:val="32"/>
          <w:szCs w:val="32"/>
          <w:highlight w:val="none"/>
        </w:rPr>
        <w:t>八、</w:t>
      </w:r>
      <w:r>
        <w:rPr>
          <w:rStyle w:val="30"/>
          <w:rFonts w:hint="eastAsia" w:ascii="黑体" w:hAnsi="黑体" w:eastAsia="黑体"/>
          <w:b w:val="0"/>
          <w:color w:val="auto"/>
          <w:highlight w:val="none"/>
        </w:rPr>
        <w:t>政府性基金预算支出决算情况说明</w:t>
      </w:r>
      <w:bookmarkEnd w:id="40"/>
      <w:bookmarkEnd w:id="41"/>
    </w:p>
    <w:p w14:paraId="4BB7167C">
      <w:pPr>
        <w:spacing w:line="600" w:lineRule="exact"/>
        <w:ind w:firstLine="645"/>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2025年度政府性基金预算财政拨款支出0万元。</w:t>
      </w:r>
    </w:p>
    <w:p w14:paraId="40987467">
      <w:pPr>
        <w:spacing w:line="600" w:lineRule="exact"/>
        <w:ind w:firstLine="640"/>
        <w:rPr>
          <w:rFonts w:ascii="仿宋_GB2312" w:eastAsia="仿宋_GB2312"/>
          <w:color w:val="auto"/>
          <w:sz w:val="32"/>
          <w:szCs w:val="32"/>
          <w:highlight w:val="none"/>
        </w:rPr>
      </w:pPr>
    </w:p>
    <w:p w14:paraId="04628BFE">
      <w:pPr>
        <w:numPr>
          <w:ilvl w:val="0"/>
          <w:numId w:val="2"/>
        </w:numPr>
        <w:spacing w:line="600" w:lineRule="exact"/>
        <w:ind w:firstLine="640"/>
        <w:outlineLvl w:val="1"/>
        <w:rPr>
          <w:rStyle w:val="30"/>
          <w:rFonts w:ascii="黑体" w:hAnsi="黑体" w:eastAsia="黑体"/>
          <w:b w:val="0"/>
          <w:color w:val="auto"/>
          <w:highlight w:val="none"/>
        </w:rPr>
      </w:pPr>
      <w:bookmarkStart w:id="42" w:name="_Toc15377219"/>
      <w:bookmarkStart w:id="43" w:name="_Toc15396611"/>
      <w:r>
        <w:rPr>
          <w:rStyle w:val="30"/>
          <w:rFonts w:hint="eastAsia" w:ascii="黑体" w:hAnsi="黑体" w:eastAsia="黑体"/>
          <w:b w:val="0"/>
          <w:color w:val="auto"/>
          <w:highlight w:val="none"/>
        </w:rPr>
        <w:t>国有资本经营预算支出决算情况说明</w:t>
      </w:r>
      <w:bookmarkEnd w:id="42"/>
      <w:bookmarkEnd w:id="43"/>
    </w:p>
    <w:p w14:paraId="2396C21C">
      <w:pPr>
        <w:spacing w:line="600" w:lineRule="exact"/>
        <w:ind w:firstLine="645"/>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2025年度国有资本经营预算财政拨款支出0万元。</w:t>
      </w:r>
    </w:p>
    <w:p w14:paraId="4277DD8D">
      <w:pPr>
        <w:spacing w:line="580" w:lineRule="exact"/>
        <w:jc w:val="center"/>
        <w:rPr>
          <w:rFonts w:ascii="方正小标宋简体" w:hAnsi="方正小标宋简体" w:eastAsia="方正小标宋简体" w:cs="方正小标宋简体"/>
          <w:color w:val="auto"/>
          <w:sz w:val="44"/>
          <w:szCs w:val="44"/>
          <w:highlight w:val="none"/>
        </w:rPr>
      </w:pPr>
    </w:p>
    <w:p w14:paraId="7782C0B3">
      <w:pPr>
        <w:numPr>
          <w:ilvl w:val="0"/>
          <w:numId w:val="2"/>
        </w:numPr>
        <w:spacing w:line="600" w:lineRule="exact"/>
        <w:ind w:firstLine="640"/>
        <w:outlineLvl w:val="1"/>
        <w:rPr>
          <w:rStyle w:val="30"/>
          <w:rFonts w:hint="eastAsia" w:ascii="黑体" w:hAnsi="黑体" w:eastAsia="黑体"/>
          <w:b w:val="0"/>
          <w:color w:val="auto"/>
          <w:highlight w:val="none"/>
        </w:rPr>
      </w:pPr>
      <w:bookmarkStart w:id="44" w:name="_Toc15396612"/>
      <w:bookmarkStart w:id="45" w:name="_Toc15377221"/>
      <w:r>
        <w:rPr>
          <w:rStyle w:val="30"/>
          <w:rFonts w:hint="eastAsia" w:ascii="黑体" w:hAnsi="黑体" w:eastAsia="黑体"/>
          <w:b w:val="0"/>
          <w:color w:val="auto"/>
          <w:highlight w:val="none"/>
        </w:rPr>
        <w:t>其他重要事项的情况说明</w:t>
      </w:r>
      <w:bookmarkEnd w:id="44"/>
      <w:bookmarkEnd w:id="45"/>
    </w:p>
    <w:p w14:paraId="47B938A1">
      <w:pPr>
        <w:spacing w:line="600" w:lineRule="exact"/>
        <w:ind w:firstLine="643" w:firstLineChars="200"/>
        <w:outlineLvl w:val="2"/>
        <w:rPr>
          <w:rFonts w:ascii="仿宋" w:hAnsi="仿宋" w:eastAsia="仿宋"/>
          <w:color w:val="auto"/>
          <w:sz w:val="32"/>
          <w:szCs w:val="32"/>
          <w:highlight w:val="none"/>
        </w:rPr>
      </w:pPr>
      <w:bookmarkStart w:id="46" w:name="_Toc15377222"/>
      <w:r>
        <w:rPr>
          <w:rFonts w:hint="eastAsia" w:ascii="仿宋" w:hAnsi="仿宋" w:eastAsia="仿宋"/>
          <w:b/>
          <w:color w:val="auto"/>
          <w:sz w:val="32"/>
          <w:szCs w:val="32"/>
          <w:highlight w:val="none"/>
        </w:rPr>
        <w:t>（一）机关运行经费支出情况</w:t>
      </w:r>
      <w:bookmarkEnd w:id="46"/>
    </w:p>
    <w:p w14:paraId="241B22F8">
      <w:pPr>
        <w:spacing w:line="600" w:lineRule="exact"/>
        <w:ind w:firstLine="640" w:firstLineChars="200"/>
        <w:rPr>
          <w:rFonts w:ascii="仿宋" w:hAnsi="仿宋" w:eastAsia="仿宋"/>
          <w:b/>
          <w:color w:val="auto"/>
          <w:sz w:val="32"/>
          <w:szCs w:val="32"/>
          <w:highlight w:val="none"/>
        </w:rPr>
      </w:pPr>
      <w:r>
        <w:rPr>
          <w:rFonts w:hint="eastAsia" w:ascii="仿宋_GB2312" w:hAnsi="仿宋_GB2312" w:eastAsia="仿宋_GB2312" w:cs="仿宋_GB2312"/>
          <w:b w:val="0"/>
          <w:bCs w:val="0"/>
          <w:sz w:val="32"/>
          <w:szCs w:val="32"/>
          <w:lang w:eastAsia="zh-CN"/>
        </w:rPr>
        <w:t>2025</w:t>
      </w:r>
      <w:r>
        <w:rPr>
          <w:rFonts w:hint="eastAsia" w:ascii="仿宋_GB2312" w:hAnsi="仿宋_GB2312" w:eastAsia="仿宋_GB2312" w:cs="仿宋_GB2312"/>
          <w:b w:val="0"/>
          <w:bCs w:val="0"/>
          <w:sz w:val="32"/>
          <w:szCs w:val="32"/>
        </w:rPr>
        <w:t>年度，州林草局机关运行经费支出</w:t>
      </w:r>
      <w:r>
        <w:rPr>
          <w:rFonts w:hint="eastAsia" w:ascii="仿宋_GB2312" w:hAnsi="仿宋_GB2312" w:eastAsia="仿宋_GB2312" w:cs="仿宋_GB2312"/>
          <w:b w:val="0"/>
          <w:bCs w:val="0"/>
          <w:sz w:val="32"/>
          <w:szCs w:val="32"/>
          <w:lang w:val="en-US" w:eastAsia="zh-CN"/>
        </w:rPr>
        <w:t>245.77</w:t>
      </w:r>
      <w:r>
        <w:rPr>
          <w:rFonts w:hint="eastAsia" w:ascii="仿宋_GB2312" w:hAnsi="仿宋_GB2312" w:eastAsia="仿宋_GB2312" w:cs="仿宋_GB2312"/>
          <w:b w:val="0"/>
          <w:bCs w:val="0"/>
          <w:sz w:val="32"/>
          <w:szCs w:val="32"/>
        </w:rPr>
        <w:t>万元，比</w:t>
      </w:r>
      <w:r>
        <w:rPr>
          <w:rFonts w:hint="eastAsia" w:ascii="仿宋_GB2312" w:hAnsi="仿宋_GB2312" w:eastAsia="仿宋_GB2312" w:cs="仿宋_GB2312"/>
          <w:b w:val="0"/>
          <w:bCs w:val="0"/>
          <w:sz w:val="32"/>
          <w:szCs w:val="32"/>
          <w:lang w:eastAsia="zh-CN"/>
        </w:rPr>
        <w:t>202</w:t>
      </w: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年度</w:t>
      </w:r>
      <w:r>
        <w:rPr>
          <w:rFonts w:hint="eastAsia" w:ascii="仿宋_GB2312" w:hAnsi="仿宋_GB2312" w:eastAsia="仿宋_GB2312" w:cs="仿宋_GB2312"/>
          <w:b w:val="0"/>
          <w:bCs w:val="0"/>
          <w:sz w:val="32"/>
          <w:szCs w:val="32"/>
          <w:lang w:val="en-US" w:eastAsia="zh-CN"/>
        </w:rPr>
        <w:t>增加95.59</w:t>
      </w:r>
      <w:r>
        <w:rPr>
          <w:rFonts w:hint="eastAsia" w:ascii="仿宋_GB2312" w:hAnsi="仿宋_GB2312" w:eastAsia="仿宋_GB2312" w:cs="仿宋_GB2312"/>
          <w:b w:val="0"/>
          <w:bCs w:val="0"/>
          <w:sz w:val="32"/>
          <w:szCs w:val="32"/>
        </w:rPr>
        <w:t>万元，</w:t>
      </w:r>
      <w:r>
        <w:rPr>
          <w:rFonts w:hint="eastAsia" w:ascii="仿宋_GB2312" w:hAnsi="仿宋_GB2312" w:eastAsia="仿宋_GB2312" w:cs="仿宋_GB2312"/>
          <w:b w:val="0"/>
          <w:bCs w:val="0"/>
          <w:sz w:val="32"/>
          <w:szCs w:val="32"/>
          <w:lang w:val="en-US" w:eastAsia="zh-CN"/>
        </w:rPr>
        <w:t>上升63.6</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color w:val="auto"/>
          <w:sz w:val="32"/>
          <w:szCs w:val="32"/>
        </w:rPr>
        <w:t>主要原因是</w:t>
      </w:r>
      <w:r>
        <w:rPr>
          <w:rFonts w:hint="eastAsia" w:ascii="仿宋_GB2312" w:hAnsi="仿宋_GB2312" w:eastAsia="仿宋_GB2312" w:cs="仿宋_GB2312"/>
          <w:b w:val="0"/>
          <w:bCs w:val="0"/>
          <w:color w:val="auto"/>
          <w:sz w:val="32"/>
          <w:szCs w:val="32"/>
          <w:lang w:val="en-US" w:eastAsia="zh-CN"/>
        </w:rPr>
        <w:t>新进人员增多、项目工作增多，增加了机关运行成本</w:t>
      </w:r>
      <w:r>
        <w:rPr>
          <w:rFonts w:hint="eastAsia" w:ascii="仿宋_GB2312" w:hAnsi="仿宋_GB2312" w:eastAsia="仿宋_GB2312" w:cs="仿宋_GB2312"/>
          <w:b w:val="0"/>
          <w:bCs w:val="0"/>
          <w:sz w:val="32"/>
          <w:szCs w:val="32"/>
          <w:lang w:eastAsia="zh-CN"/>
        </w:rPr>
        <w:t>。</w:t>
      </w:r>
    </w:p>
    <w:p w14:paraId="65463E64">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47" w:name="_Toc15377223"/>
      <w:r>
        <w:rPr>
          <w:rFonts w:hint="eastAsia" w:ascii="仿宋" w:hAnsi="仿宋" w:eastAsia="仿宋"/>
          <w:b/>
          <w:color w:val="auto"/>
          <w:sz w:val="32"/>
          <w:szCs w:val="32"/>
          <w:highlight w:val="none"/>
        </w:rPr>
        <w:t>（二）政府采购支出情况</w:t>
      </w:r>
      <w:bookmarkEnd w:id="47"/>
    </w:p>
    <w:p w14:paraId="4F32F54E">
      <w:pPr>
        <w:autoSpaceDE w:val="0"/>
        <w:autoSpaceDN w:val="0"/>
        <w:adjustRightInd w:val="0"/>
        <w:spacing w:line="600" w:lineRule="exact"/>
        <w:ind w:firstLine="640" w:firstLineChars="200"/>
        <w:jc w:val="left"/>
        <w:outlineLvl w:val="2"/>
        <w:rPr>
          <w:rFonts w:hint="eastAsia" w:ascii="仿宋_GB2312" w:hAnsi="仿宋_GB2312" w:eastAsia="仿宋_GB2312" w:cs="仿宋_GB2312"/>
          <w:b w:val="0"/>
          <w:bCs w:val="0"/>
          <w:color w:val="0000FF"/>
          <w:sz w:val="32"/>
          <w:szCs w:val="32"/>
          <w:lang w:val="en-US" w:eastAsia="zh-CN"/>
        </w:rPr>
      </w:pPr>
      <w:r>
        <w:rPr>
          <w:rFonts w:hint="eastAsia" w:ascii="仿宋_GB2312" w:hAnsi="仿宋_GB2312" w:eastAsia="仿宋_GB2312" w:cs="仿宋_GB2312"/>
          <w:b w:val="0"/>
          <w:bCs w:val="0"/>
          <w:color w:val="auto"/>
          <w:sz w:val="32"/>
          <w:szCs w:val="32"/>
          <w:lang w:eastAsia="zh-CN"/>
        </w:rPr>
        <w:t>2025</w:t>
      </w:r>
      <w:r>
        <w:rPr>
          <w:rFonts w:hint="eastAsia" w:ascii="仿宋_GB2312" w:hAnsi="仿宋_GB2312" w:eastAsia="仿宋_GB2312" w:cs="仿宋_GB2312"/>
          <w:b w:val="0"/>
          <w:bCs w:val="0"/>
          <w:color w:val="auto"/>
          <w:sz w:val="32"/>
          <w:szCs w:val="32"/>
        </w:rPr>
        <w:t>年度，州林草部门政府采购支出总额</w:t>
      </w:r>
      <w:r>
        <w:rPr>
          <w:rFonts w:hint="eastAsia" w:ascii="仿宋_GB2312" w:hAnsi="仿宋_GB2312" w:eastAsia="仿宋_GB2312" w:cs="仿宋_GB2312"/>
          <w:b w:val="0"/>
          <w:bCs w:val="0"/>
          <w:color w:val="auto"/>
          <w:sz w:val="32"/>
          <w:szCs w:val="32"/>
          <w:lang w:val="en-US" w:eastAsia="zh-CN"/>
        </w:rPr>
        <w:t>2735.15</w:t>
      </w:r>
      <w:r>
        <w:rPr>
          <w:rFonts w:hint="eastAsia" w:ascii="仿宋_GB2312" w:hAnsi="仿宋_GB2312" w:eastAsia="仿宋_GB2312" w:cs="仿宋_GB2312"/>
          <w:b w:val="0"/>
          <w:bCs w:val="0"/>
          <w:color w:val="auto"/>
          <w:sz w:val="32"/>
          <w:szCs w:val="32"/>
        </w:rPr>
        <w:t>万元，其中：政府采购货物支出</w:t>
      </w:r>
      <w:r>
        <w:rPr>
          <w:rFonts w:hint="eastAsia" w:ascii="仿宋_GB2312" w:hAnsi="仿宋_GB2312" w:eastAsia="仿宋_GB2312" w:cs="仿宋_GB2312"/>
          <w:b w:val="0"/>
          <w:bCs w:val="0"/>
          <w:color w:val="auto"/>
          <w:sz w:val="32"/>
          <w:szCs w:val="32"/>
          <w:lang w:val="en-US" w:eastAsia="zh-CN"/>
        </w:rPr>
        <w:t>2421.14</w:t>
      </w:r>
      <w:r>
        <w:rPr>
          <w:rFonts w:hint="eastAsia" w:ascii="仿宋_GB2312" w:hAnsi="仿宋_GB2312" w:eastAsia="仿宋_GB2312" w:cs="仿宋_GB2312"/>
          <w:b w:val="0"/>
          <w:bCs w:val="0"/>
          <w:color w:val="auto"/>
          <w:sz w:val="32"/>
          <w:szCs w:val="32"/>
        </w:rPr>
        <w:t>万元、政府采购工程支出0万元、政府采购服务支出</w:t>
      </w:r>
      <w:r>
        <w:rPr>
          <w:rFonts w:hint="eastAsia" w:ascii="仿宋_GB2312" w:hAnsi="仿宋_GB2312" w:eastAsia="仿宋_GB2312" w:cs="仿宋_GB2312"/>
          <w:b w:val="0"/>
          <w:bCs w:val="0"/>
          <w:color w:val="auto"/>
          <w:sz w:val="32"/>
          <w:szCs w:val="32"/>
          <w:lang w:val="en-US" w:eastAsia="zh-CN"/>
        </w:rPr>
        <w:t>314.01</w:t>
      </w:r>
      <w:r>
        <w:rPr>
          <w:rFonts w:hint="eastAsia" w:ascii="仿宋_GB2312" w:hAnsi="仿宋_GB2312" w:eastAsia="仿宋_GB2312" w:cs="仿宋_GB2312"/>
          <w:b w:val="0"/>
          <w:bCs w:val="0"/>
          <w:color w:val="auto"/>
          <w:sz w:val="32"/>
          <w:szCs w:val="32"/>
        </w:rPr>
        <w:t>万元。主要用于</w:t>
      </w:r>
      <w:r>
        <w:rPr>
          <w:rFonts w:hint="eastAsia" w:ascii="仿宋_GB2312" w:hAnsi="仿宋_GB2312" w:eastAsia="仿宋_GB2312" w:cs="仿宋_GB2312"/>
          <w:b w:val="0"/>
          <w:bCs w:val="0"/>
          <w:color w:val="auto"/>
          <w:sz w:val="32"/>
          <w:szCs w:val="32"/>
          <w:lang w:val="en-US" w:eastAsia="zh-CN"/>
        </w:rPr>
        <w:t>林地草原核查、</w:t>
      </w:r>
      <w:r>
        <w:rPr>
          <w:rFonts w:hint="eastAsia" w:ascii="仿宋_GB2312" w:hAnsi="仿宋_GB2312" w:eastAsia="仿宋_GB2312" w:cs="仿宋_GB2312"/>
          <w:b w:val="0"/>
          <w:bCs w:val="0"/>
          <w:color w:val="auto"/>
          <w:sz w:val="32"/>
          <w:szCs w:val="32"/>
        </w:rPr>
        <w:t>防火项目、若尔盖国家公园项目的货物及服务采购。授予中小企业合同金额</w:t>
      </w:r>
      <w:r>
        <w:rPr>
          <w:rFonts w:hint="eastAsia" w:ascii="仿宋_GB2312" w:hAnsi="仿宋_GB2312" w:eastAsia="仿宋_GB2312" w:cs="仿宋_GB2312"/>
          <w:b w:val="0"/>
          <w:bCs w:val="0"/>
          <w:color w:val="auto"/>
          <w:sz w:val="32"/>
          <w:szCs w:val="32"/>
          <w:lang w:val="en-US" w:eastAsia="zh-CN"/>
        </w:rPr>
        <w:t>2735.15</w:t>
      </w:r>
      <w:r>
        <w:rPr>
          <w:rFonts w:hint="eastAsia" w:ascii="仿宋_GB2312" w:hAnsi="仿宋_GB2312" w:eastAsia="仿宋_GB2312" w:cs="仿宋_GB2312"/>
          <w:b w:val="0"/>
          <w:bCs w:val="0"/>
          <w:color w:val="auto"/>
          <w:sz w:val="32"/>
          <w:szCs w:val="32"/>
        </w:rPr>
        <w:t>万元，占政府采购支出总额的100%，其中：授予小微企业合同金额</w:t>
      </w:r>
      <w:r>
        <w:rPr>
          <w:rFonts w:hint="eastAsia" w:ascii="仿宋_GB2312" w:hAnsi="仿宋_GB2312" w:eastAsia="仿宋_GB2312" w:cs="仿宋_GB2312"/>
          <w:b w:val="0"/>
          <w:bCs w:val="0"/>
          <w:color w:val="auto"/>
          <w:sz w:val="32"/>
          <w:szCs w:val="32"/>
          <w:lang w:val="en-US" w:eastAsia="zh-CN"/>
        </w:rPr>
        <w:t>2735.15</w:t>
      </w:r>
      <w:r>
        <w:rPr>
          <w:rFonts w:hint="eastAsia" w:ascii="仿宋_GB2312" w:hAnsi="仿宋_GB2312" w:eastAsia="仿宋_GB2312" w:cs="仿宋_GB2312"/>
          <w:b w:val="0"/>
          <w:bCs w:val="0"/>
          <w:color w:val="auto"/>
          <w:sz w:val="32"/>
          <w:szCs w:val="32"/>
        </w:rPr>
        <w:t>万元，占政府采购支出总额的100%。</w:t>
      </w:r>
      <w:r>
        <w:rPr>
          <w:rFonts w:hint="eastAsia" w:ascii="仿宋_GB2312" w:hAnsi="仿宋_GB2312" w:eastAsia="仿宋_GB2312" w:cs="仿宋_GB2312"/>
          <w:b w:val="0"/>
          <w:bCs w:val="0"/>
          <w:color w:val="0000FF"/>
          <w:sz w:val="32"/>
          <w:szCs w:val="32"/>
          <w:lang w:val="en-US" w:eastAsia="zh-CN"/>
        </w:rPr>
        <w:t xml:space="preserve">    </w:t>
      </w:r>
    </w:p>
    <w:p w14:paraId="3A893461">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48" w:name="_Toc15377224"/>
      <w:r>
        <w:rPr>
          <w:rFonts w:hint="eastAsia" w:ascii="仿宋" w:hAnsi="仿宋" w:eastAsia="仿宋"/>
          <w:b/>
          <w:color w:val="auto"/>
          <w:sz w:val="32"/>
          <w:szCs w:val="32"/>
          <w:highlight w:val="none"/>
        </w:rPr>
        <w:t>（三）国有资产占有使用情况</w:t>
      </w:r>
      <w:bookmarkEnd w:id="48"/>
    </w:p>
    <w:p w14:paraId="535C5702">
      <w:pPr>
        <w:autoSpaceDE w:val="0"/>
        <w:autoSpaceDN w:val="0"/>
        <w:adjustRightInd w:val="0"/>
        <w:spacing w:line="600" w:lineRule="exact"/>
        <w:ind w:firstLine="640"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截至</w:t>
      </w: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年12月31日，</w:t>
      </w:r>
      <w:r>
        <w:rPr>
          <w:rFonts w:hint="eastAsia" w:ascii="仿宋_GB2312" w:hAnsi="仿宋_GB2312" w:eastAsia="仿宋_GB2312" w:cs="仿宋_GB2312"/>
          <w:color w:val="auto"/>
          <w:sz w:val="32"/>
          <w:szCs w:val="32"/>
          <w:highlight w:val="none"/>
          <w:lang w:eastAsia="zh-CN"/>
        </w:rPr>
        <w:t>阿坝州林草部门</w:t>
      </w:r>
      <w:r>
        <w:rPr>
          <w:rFonts w:hint="eastAsia" w:ascii="仿宋_GB2312" w:hAnsi="仿宋_GB2312" w:eastAsia="仿宋_GB2312" w:cs="仿宋_GB2312"/>
          <w:color w:val="auto"/>
          <w:sz w:val="32"/>
          <w:szCs w:val="32"/>
          <w:highlight w:val="none"/>
        </w:rPr>
        <w:t>共有车辆</w:t>
      </w: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rPr>
        <w:t>辆，其中：主要领导干部用车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辆、机要通信用车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w:t>
      </w:r>
      <w:r>
        <w:rPr>
          <w:rFonts w:hint="eastAsia" w:ascii="仿宋_GB2312" w:hAnsi="仿宋_GB2312" w:eastAsia="仿宋_GB2312" w:cs="仿宋_GB2312"/>
          <w:color w:val="auto"/>
          <w:sz w:val="32"/>
          <w:szCs w:val="32"/>
          <w:highlight w:val="none"/>
          <w:lang w:val="en-US" w:eastAsia="zh-CN"/>
        </w:rPr>
        <w:t>应急保障用车8</w:t>
      </w:r>
      <w:r>
        <w:rPr>
          <w:rFonts w:hint="eastAsia" w:ascii="仿宋_GB2312" w:hAnsi="仿宋_GB2312" w:eastAsia="仿宋_GB2312" w:cs="仿宋_GB2312"/>
          <w:color w:val="auto"/>
          <w:sz w:val="32"/>
          <w:szCs w:val="32"/>
          <w:highlight w:val="none"/>
        </w:rPr>
        <w:t>辆、</w:t>
      </w:r>
      <w:r>
        <w:rPr>
          <w:rFonts w:hint="eastAsia" w:ascii="仿宋_GB2312" w:hAnsi="仿宋_GB2312" w:eastAsia="仿宋_GB2312" w:cs="仿宋_GB2312"/>
          <w:color w:val="auto"/>
          <w:sz w:val="32"/>
          <w:szCs w:val="32"/>
          <w:highlight w:val="none"/>
          <w:lang w:val="en-US" w:eastAsia="zh-CN"/>
        </w:rPr>
        <w:t>执法执勤用车2</w:t>
      </w:r>
      <w:r>
        <w:rPr>
          <w:rFonts w:hint="eastAsia" w:ascii="仿宋_GB2312" w:hAnsi="仿宋_GB2312" w:eastAsia="仿宋_GB2312" w:cs="仿宋_GB2312"/>
          <w:color w:val="auto"/>
          <w:sz w:val="32"/>
          <w:szCs w:val="32"/>
          <w:highlight w:val="none"/>
        </w:rPr>
        <w:t>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其他用车2辆，</w:t>
      </w:r>
      <w:r>
        <w:rPr>
          <w:rFonts w:hint="eastAsia" w:ascii="仿宋_GB2312" w:hAnsi="仿宋_GB2312" w:eastAsia="仿宋_GB2312" w:cs="仿宋_GB2312"/>
          <w:color w:val="auto"/>
          <w:sz w:val="32"/>
          <w:szCs w:val="32"/>
          <w:highlight w:val="none"/>
        </w:rPr>
        <w:t>其他用车主要是用于</w:t>
      </w:r>
      <w:r>
        <w:rPr>
          <w:rFonts w:hint="eastAsia" w:ascii="仿宋_GB2312" w:hAnsi="仿宋_GB2312" w:eastAsia="仿宋_GB2312" w:cs="仿宋_GB2312"/>
          <w:color w:val="000000"/>
          <w:sz w:val="32"/>
          <w:szCs w:val="32"/>
        </w:rPr>
        <w:t>天保二期、退耕还林项目、造林绿化检查、草原检查监测、野生动物保护、林区改革、各项林草项目检查督导</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单价100万元以上设备</w:t>
      </w:r>
      <w:r>
        <w:rPr>
          <w:rFonts w:hint="eastAsia" w:ascii="仿宋_GB2312" w:hAnsi="仿宋_GB2312" w:eastAsia="仿宋_GB2312" w:cs="仿宋_GB2312"/>
          <w:color w:val="auto"/>
          <w:sz w:val="32"/>
          <w:szCs w:val="32"/>
          <w:highlight w:val="none"/>
          <w:lang w:eastAsia="zh-CN"/>
        </w:rPr>
        <w:t>（不含车辆）</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台（套）。</w:t>
      </w:r>
    </w:p>
    <w:p w14:paraId="258DE65C">
      <w:pPr>
        <w:numPr>
          <w:ilvl w:val="0"/>
          <w:numId w:val="0"/>
        </w:numPr>
        <w:autoSpaceDE w:val="0"/>
        <w:autoSpaceDN w:val="0"/>
        <w:adjustRightInd w:val="0"/>
        <w:spacing w:line="600" w:lineRule="exact"/>
        <w:ind w:firstLine="643" w:firstLineChars="200"/>
        <w:jc w:val="left"/>
        <w:outlineLvl w:val="2"/>
      </w:pP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lang w:val="en-US" w:eastAsia="zh-CN"/>
        </w:rPr>
        <w:t>四</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rPr>
        <w:t>预算绩效管理情况</w:t>
      </w:r>
    </w:p>
    <w:p w14:paraId="67B58326">
      <w:pPr>
        <w:spacing w:line="60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根据预算绩效管理要求，本</w:t>
      </w:r>
      <w:r>
        <w:rPr>
          <w:rFonts w:hint="eastAsia" w:ascii="仿宋_GB2312" w:eastAsia="仿宋_GB2312"/>
          <w:sz w:val="32"/>
          <w:szCs w:val="32"/>
          <w:lang w:eastAsia="zh-CN"/>
        </w:rPr>
        <w:t>部门</w:t>
      </w:r>
      <w:r>
        <w:rPr>
          <w:rFonts w:hint="eastAsia" w:ascii="仿宋_GB2312" w:eastAsia="仿宋_GB2312"/>
          <w:sz w:val="32"/>
          <w:szCs w:val="32"/>
        </w:rPr>
        <w:t>在</w:t>
      </w:r>
      <w:r>
        <w:rPr>
          <w:rFonts w:hint="eastAsia" w:ascii="仿宋_GB2312" w:eastAsia="仿宋_GB2312"/>
          <w:sz w:val="32"/>
          <w:szCs w:val="32"/>
          <w:lang w:eastAsia="zh-CN"/>
        </w:rPr>
        <w:t>2025</w:t>
      </w:r>
      <w:r>
        <w:rPr>
          <w:rFonts w:hint="eastAsia" w:ascii="仿宋_GB2312" w:eastAsia="仿宋_GB2312"/>
          <w:sz w:val="32"/>
          <w:szCs w:val="32"/>
        </w:rPr>
        <w:t>年度预算编制阶段，</w:t>
      </w:r>
      <w:r>
        <w:rPr>
          <w:rFonts w:hint="eastAsia" w:ascii="仿宋_GB2312" w:hAnsi="仿宋_GB2312" w:eastAsia="仿宋_GB2312" w:cs="仿宋_GB2312"/>
          <w:b w:val="0"/>
          <w:bCs w:val="0"/>
          <w:color w:val="auto"/>
          <w:sz w:val="32"/>
          <w:szCs w:val="32"/>
        </w:rPr>
        <w:t>组织对</w:t>
      </w:r>
      <w:r>
        <w:rPr>
          <w:rFonts w:hint="eastAsia" w:ascii="仿宋_GB2312" w:hAnsi="仿宋_GB2312" w:eastAsia="仿宋_GB2312" w:cs="仿宋_GB2312"/>
          <w:b w:val="0"/>
          <w:bCs w:val="0"/>
          <w:color w:val="auto"/>
          <w:sz w:val="32"/>
          <w:szCs w:val="32"/>
          <w:lang w:val="en-US" w:eastAsia="zh-CN"/>
        </w:rPr>
        <w:t>阿坝州林地、草地审核审批服务项目</w:t>
      </w:r>
      <w:r>
        <w:rPr>
          <w:rFonts w:hint="eastAsia" w:ascii="仿宋_GB2312" w:hAnsi="仿宋_GB2312" w:eastAsia="仿宋_GB2312" w:cs="仿宋_GB2312"/>
          <w:b w:val="0"/>
          <w:bCs w:val="0"/>
          <w:color w:val="auto"/>
          <w:sz w:val="32"/>
          <w:szCs w:val="32"/>
        </w:rPr>
        <w:t>等</w:t>
      </w:r>
      <w:r>
        <w:rPr>
          <w:rFonts w:hint="eastAsia" w:ascii="仿宋_GB2312" w:hAnsi="仿宋_GB2312" w:eastAsia="仿宋_GB2312" w:cs="仿宋_GB2312"/>
          <w:b w:val="0"/>
          <w:bCs w:val="0"/>
          <w:color w:val="auto"/>
          <w:sz w:val="32"/>
          <w:szCs w:val="32"/>
          <w:lang w:val="en-US" w:eastAsia="zh-CN"/>
        </w:rPr>
        <w:t>41</w:t>
      </w:r>
      <w:r>
        <w:rPr>
          <w:rFonts w:hint="eastAsia" w:ascii="仿宋_GB2312" w:hAnsi="仿宋_GB2312" w:eastAsia="仿宋_GB2312" w:cs="仿宋_GB2312"/>
          <w:b w:val="0"/>
          <w:bCs w:val="0"/>
          <w:color w:val="auto"/>
          <w:sz w:val="32"/>
          <w:szCs w:val="32"/>
        </w:rPr>
        <w:t>个项目开展了预算事前绩效评估，对</w:t>
      </w:r>
      <w:r>
        <w:rPr>
          <w:rFonts w:hint="eastAsia" w:ascii="仿宋_GB2312" w:hAnsi="仿宋_GB2312" w:eastAsia="仿宋_GB2312" w:cs="仿宋_GB2312"/>
          <w:b w:val="0"/>
          <w:bCs w:val="0"/>
          <w:color w:val="auto"/>
          <w:sz w:val="32"/>
          <w:szCs w:val="32"/>
          <w:lang w:val="en-US" w:eastAsia="zh-CN"/>
        </w:rPr>
        <w:t>41</w:t>
      </w:r>
      <w:r>
        <w:rPr>
          <w:rFonts w:hint="eastAsia" w:ascii="仿宋_GB2312" w:hAnsi="仿宋_GB2312" w:eastAsia="仿宋_GB2312" w:cs="仿宋_GB2312"/>
          <w:b w:val="0"/>
          <w:bCs w:val="0"/>
          <w:color w:val="auto"/>
          <w:sz w:val="32"/>
          <w:szCs w:val="32"/>
        </w:rPr>
        <w:t>个项目编制了绩效目标，预算执行过程中，选取</w:t>
      </w:r>
      <w:r>
        <w:rPr>
          <w:rFonts w:hint="eastAsia" w:ascii="仿宋_GB2312" w:hAnsi="仿宋_GB2312" w:eastAsia="仿宋_GB2312" w:cs="仿宋_GB2312"/>
          <w:b w:val="0"/>
          <w:bCs w:val="0"/>
          <w:color w:val="auto"/>
          <w:sz w:val="32"/>
          <w:szCs w:val="32"/>
          <w:lang w:val="en-US" w:eastAsia="zh-CN"/>
        </w:rPr>
        <w:t>41</w:t>
      </w:r>
      <w:r>
        <w:rPr>
          <w:rFonts w:hint="eastAsia" w:ascii="仿宋_GB2312" w:hAnsi="仿宋_GB2312" w:eastAsia="仿宋_GB2312" w:cs="仿宋_GB2312"/>
          <w:b w:val="0"/>
          <w:bCs w:val="0"/>
          <w:color w:val="auto"/>
          <w:sz w:val="32"/>
          <w:szCs w:val="32"/>
        </w:rPr>
        <w:t>个项目开展绩效监控，组织对</w:t>
      </w:r>
      <w:r>
        <w:rPr>
          <w:rFonts w:hint="eastAsia" w:ascii="仿宋_GB2312" w:hAnsi="仿宋_GB2312" w:eastAsia="仿宋_GB2312" w:cs="仿宋_GB2312"/>
          <w:b w:val="0"/>
          <w:bCs w:val="0"/>
          <w:color w:val="auto"/>
          <w:sz w:val="32"/>
          <w:szCs w:val="32"/>
          <w:lang w:val="en-US" w:eastAsia="zh-CN"/>
        </w:rPr>
        <w:t>41</w:t>
      </w:r>
      <w:r>
        <w:rPr>
          <w:rFonts w:hint="eastAsia" w:ascii="仿宋_GB2312" w:hAnsi="仿宋_GB2312" w:eastAsia="仿宋_GB2312" w:cs="仿宋_GB2312"/>
          <w:b w:val="0"/>
          <w:bCs w:val="0"/>
          <w:color w:val="auto"/>
          <w:sz w:val="32"/>
          <w:szCs w:val="32"/>
        </w:rPr>
        <w:t>个项目开展绩效自评，绩效自评表详见第四部分附件</w:t>
      </w:r>
      <w:r>
        <w:rPr>
          <w:rFonts w:hint="eastAsia" w:ascii="仿宋_GB2312" w:eastAsia="仿宋_GB2312"/>
          <w:sz w:val="32"/>
          <w:szCs w:val="32"/>
          <w:lang w:eastAsia="zh-CN"/>
        </w:rPr>
        <w:t>。</w:t>
      </w:r>
    </w:p>
    <w:p w14:paraId="6699AF4C">
      <w:pPr>
        <w:spacing w:line="58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组织</w:t>
      </w:r>
      <w:r>
        <w:rPr>
          <w:rFonts w:hint="eastAsia" w:ascii="仿宋_GB2312" w:hAnsi="仿宋_GB2312" w:eastAsia="仿宋_GB2312" w:cs="仿宋_GB2312"/>
          <w:color w:val="auto"/>
          <w:sz w:val="32"/>
          <w:szCs w:val="32"/>
          <w:highlight w:val="none"/>
        </w:rPr>
        <w:t>对</w:t>
      </w:r>
      <w:r>
        <w:rPr>
          <w:rFonts w:hint="eastAsia" w:ascii="仿宋_GB2312" w:hAnsi="仿宋_GB2312" w:eastAsia="仿宋_GB2312" w:cs="仿宋_GB2312"/>
          <w:color w:val="auto"/>
          <w:sz w:val="32"/>
          <w:szCs w:val="32"/>
          <w:highlight w:val="none"/>
          <w:lang w:val="en-US" w:eastAsia="zh-CN"/>
        </w:rPr>
        <w:t>2025年度一般公共预算形成阿坝州林草</w:t>
      </w:r>
      <w:r>
        <w:rPr>
          <w:rFonts w:hint="eastAsia" w:ascii="仿宋_GB2312" w:hAnsi="仿宋_GB2312" w:eastAsia="仿宋_GB2312" w:cs="仿宋_GB2312"/>
          <w:color w:val="auto"/>
          <w:sz w:val="32"/>
          <w:szCs w:val="32"/>
          <w:highlight w:val="none"/>
          <w:lang w:eastAsia="zh-CN"/>
        </w:rPr>
        <w:t>部门整体（含部门预算项目）</w:t>
      </w:r>
      <w:r>
        <w:rPr>
          <w:rFonts w:hint="eastAsia" w:ascii="仿宋_GB2312" w:hAnsi="仿宋_GB2312" w:eastAsia="仿宋_GB2312" w:cs="仿宋_GB2312"/>
          <w:color w:val="auto"/>
          <w:sz w:val="32"/>
          <w:szCs w:val="32"/>
          <w:highlight w:val="none"/>
          <w:lang w:val="en-US" w:eastAsia="zh-CN"/>
        </w:rPr>
        <w:t>绩效自评报告</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中央资金等</w:t>
      </w:r>
      <w:r>
        <w:rPr>
          <w:rFonts w:hint="eastAsia" w:ascii="仿宋_GB2312" w:hAnsi="仿宋_GB2312" w:eastAsia="仿宋_GB2312" w:cs="仿宋_GB2312"/>
          <w:color w:val="auto"/>
          <w:sz w:val="32"/>
          <w:szCs w:val="32"/>
          <w:highlight w:val="none"/>
          <w:lang w:eastAsia="zh-CN"/>
        </w:rPr>
        <w:t>专项预算项目</w:t>
      </w:r>
      <w:r>
        <w:rPr>
          <w:rFonts w:hint="eastAsia" w:ascii="仿宋_GB2312" w:hAnsi="仿宋_GB2312" w:eastAsia="仿宋_GB2312" w:cs="仿宋_GB2312"/>
          <w:color w:val="auto"/>
          <w:sz w:val="32"/>
          <w:szCs w:val="32"/>
          <w:highlight w:val="none"/>
          <w:lang w:val="en-US" w:eastAsia="zh-CN"/>
        </w:rPr>
        <w:t>绩效自评报告，其中，林草部门整体</w:t>
      </w:r>
      <w:r>
        <w:rPr>
          <w:rFonts w:hint="eastAsia" w:ascii="仿宋_GB2312" w:hAnsi="仿宋_GB2312" w:eastAsia="仿宋_GB2312" w:cs="仿宋_GB2312"/>
          <w:color w:val="auto"/>
          <w:sz w:val="32"/>
          <w:szCs w:val="32"/>
          <w:highlight w:val="none"/>
          <w:lang w:eastAsia="zh-CN"/>
        </w:rPr>
        <w:t>（含部门预算项目）</w:t>
      </w:r>
      <w:r>
        <w:rPr>
          <w:rFonts w:hint="eastAsia" w:ascii="仿宋_GB2312" w:hAnsi="仿宋_GB2312" w:eastAsia="仿宋_GB2312" w:cs="仿宋_GB2312"/>
          <w:color w:val="auto"/>
          <w:sz w:val="32"/>
          <w:szCs w:val="32"/>
          <w:highlight w:val="none"/>
          <w:lang w:val="en-US" w:eastAsia="zh-CN"/>
        </w:rPr>
        <w:t>绩效自评得分为94.5分，绩效自评报告详见附件。</w:t>
      </w:r>
    </w:p>
    <w:p w14:paraId="62A271CC">
      <w:pPr>
        <w:spacing w:line="580" w:lineRule="exact"/>
        <w:ind w:firstLine="640" w:firstLineChars="200"/>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2025年本部门不涉及、</w:t>
      </w:r>
      <w:r>
        <w:rPr>
          <w:rFonts w:hint="eastAsia" w:ascii="仿宋_GB2312" w:hAnsi="仿宋_GB2312" w:eastAsia="仿宋_GB2312" w:cs="仿宋_GB2312"/>
          <w:color w:val="auto"/>
          <w:sz w:val="32"/>
          <w:szCs w:val="32"/>
          <w:highlight w:val="none"/>
          <w:lang w:eastAsia="zh-CN"/>
        </w:rPr>
        <w:t>政府性基金预算、国有资本经营预算、社会保险基金预算以及资本资产、债券资金等</w:t>
      </w:r>
      <w:r>
        <w:rPr>
          <w:rFonts w:hint="eastAsia" w:ascii="仿宋_GB2312" w:hAnsi="仿宋_GB2312" w:eastAsia="仿宋_GB2312" w:cs="仿宋_GB2312"/>
          <w:color w:val="auto"/>
          <w:sz w:val="32"/>
          <w:szCs w:val="32"/>
          <w:highlight w:val="none"/>
          <w:lang w:val="en-US" w:eastAsia="zh-CN"/>
        </w:rPr>
        <w:t>.</w:t>
      </w:r>
    </w:p>
    <w:p w14:paraId="4D943721">
      <w:pPr>
        <w:widowControl/>
        <w:ind w:firstLine="643" w:firstLineChars="200"/>
        <w:jc w:val="left"/>
        <w:rPr>
          <w:rFonts w:ascii="仿宋_GB2312" w:eastAsia="仿宋_GB2312"/>
          <w:b/>
          <w:color w:val="auto"/>
          <w:sz w:val="32"/>
          <w:szCs w:val="32"/>
          <w:highlight w:val="none"/>
        </w:rPr>
      </w:pPr>
    </w:p>
    <w:p w14:paraId="49AEAA91">
      <w:pPr>
        <w:pStyle w:val="5"/>
        <w:rPr>
          <w:rFonts w:ascii="仿宋_GB2312" w:eastAsia="仿宋_GB2312"/>
          <w:b/>
          <w:color w:val="auto"/>
          <w:sz w:val="32"/>
          <w:szCs w:val="32"/>
          <w:highlight w:val="none"/>
        </w:rPr>
      </w:pPr>
    </w:p>
    <w:p w14:paraId="52DE0CDB">
      <w:pPr>
        <w:pStyle w:val="5"/>
      </w:pPr>
    </w:p>
    <w:p w14:paraId="401651DB">
      <w:pPr>
        <w:numPr>
          <w:ilvl w:val="0"/>
          <w:numId w:val="3"/>
        </w:numPr>
        <w:spacing w:line="600" w:lineRule="exact"/>
        <w:ind w:firstLine="660" w:firstLineChars="150"/>
        <w:jc w:val="center"/>
        <w:outlineLvl w:val="0"/>
        <w:rPr>
          <w:rStyle w:val="29"/>
          <w:rFonts w:ascii="黑体" w:hAnsi="黑体" w:eastAsia="黑体"/>
          <w:b w:val="0"/>
          <w:color w:val="auto"/>
          <w:highlight w:val="none"/>
        </w:rPr>
      </w:pPr>
      <w:bookmarkStart w:id="49" w:name="_Toc15396613"/>
      <w:bookmarkStart w:id="50" w:name="_Toc15377225"/>
      <w:r>
        <w:rPr>
          <w:rFonts w:hint="eastAsia" w:ascii="黑体" w:hAnsi="黑体" w:eastAsia="黑体"/>
          <w:color w:val="auto"/>
          <w:sz w:val="44"/>
          <w:szCs w:val="44"/>
          <w:highlight w:val="none"/>
        </w:rPr>
        <w:t>名</w:t>
      </w:r>
      <w:r>
        <w:rPr>
          <w:rStyle w:val="29"/>
          <w:rFonts w:hint="eastAsia" w:ascii="黑体" w:hAnsi="黑体" w:eastAsia="黑体"/>
          <w:b w:val="0"/>
          <w:color w:val="auto"/>
          <w:highlight w:val="none"/>
        </w:rPr>
        <w:t>词解释</w:t>
      </w:r>
      <w:bookmarkEnd w:id="49"/>
      <w:bookmarkEnd w:id="50"/>
    </w:p>
    <w:p w14:paraId="10237D83">
      <w:pPr>
        <w:spacing w:line="600" w:lineRule="exact"/>
        <w:jc w:val="left"/>
        <w:rPr>
          <w:rFonts w:ascii="宋体"/>
          <w:b/>
          <w:color w:val="auto"/>
          <w:sz w:val="44"/>
          <w:szCs w:val="44"/>
          <w:highlight w:val="none"/>
        </w:rPr>
      </w:pPr>
    </w:p>
    <w:p w14:paraId="278EC83E">
      <w:pPr>
        <w:pStyle w:val="27"/>
        <w:spacing w:line="560" w:lineRule="exact"/>
        <w:ind w:firstLine="640" w:firstLineChars="200"/>
        <w:rPr>
          <w:rFonts w:hint="eastAsia" w:ascii="仿宋_GB2312" w:hAnsi="仿宋_GB2312" w:eastAsia="仿宋_GB2312" w:cs="仿宋_GB2312"/>
          <w:color w:val="auto"/>
          <w:sz w:val="32"/>
          <w:szCs w:val="32"/>
        </w:rPr>
      </w:pPr>
      <w:bookmarkStart w:id="51" w:name="_Toc15377226"/>
      <w:r>
        <w:rPr>
          <w:rFonts w:hint="eastAsia" w:ascii="仿宋_GB2312" w:hAnsi="仿宋_GB2312" w:eastAsia="仿宋_GB2312" w:cs="仿宋_GB2312"/>
          <w:color w:val="auto"/>
          <w:sz w:val="32"/>
          <w:szCs w:val="32"/>
        </w:rPr>
        <w:t>1.财政拨款收入：指单位从同级财政部门取得的财政预算资金。</w:t>
      </w:r>
    </w:p>
    <w:p w14:paraId="17885889">
      <w:pPr>
        <w:pStyle w:val="27"/>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2.事业收入：指事业单位开展专业业务活动及辅助活动取得的收入。</w:t>
      </w:r>
    </w:p>
    <w:p w14:paraId="779591FC">
      <w:pPr>
        <w:pStyle w:val="27"/>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3.经营收入：指事业单位在专业业务活动及其辅助活动之外开展非独立核算经营活动取得的收入。</w:t>
      </w:r>
    </w:p>
    <w:p w14:paraId="497170E5">
      <w:pPr>
        <w:pStyle w:val="27"/>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4.其他收入：指单位取得的除上述收入以外的各项收入。</w:t>
      </w:r>
    </w:p>
    <w:p w14:paraId="022F4C9A">
      <w:pPr>
        <w:pStyle w:val="27"/>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5.使用非财政拨款结余：指事业单位使用以前年度积累的非财政拨款结余弥补当年收支差额的金额。 </w:t>
      </w:r>
    </w:p>
    <w:p w14:paraId="5928AC46">
      <w:pPr>
        <w:pStyle w:val="27"/>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6.年初结转和结余：指以前年度尚未完成、结转到本年按有关规定继续使用的资金。 </w:t>
      </w:r>
    </w:p>
    <w:p w14:paraId="66750B78">
      <w:pPr>
        <w:pStyle w:val="27"/>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7.结余分配：指事业单位按照会计制度规定缴纳的所得税、提取的专用结余以及转入非财政拨款结余的金额等。</w:t>
      </w:r>
    </w:p>
    <w:p w14:paraId="3CDBC6BF">
      <w:pPr>
        <w:pStyle w:val="27"/>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8、年末结转和结余：指单位按有关规定结转到下年或以后年度继续使用的资金。</w:t>
      </w:r>
    </w:p>
    <w:p w14:paraId="60767651">
      <w:p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r>
        <w:rPr>
          <w:rStyle w:val="18"/>
          <w:rFonts w:hint="eastAsia" w:ascii="仿宋_GB2312" w:hAnsi="仿宋_GB2312" w:eastAsia="仿宋_GB2312" w:cs="仿宋_GB2312"/>
          <w:b w:val="0"/>
          <w:sz w:val="32"/>
          <w:szCs w:val="32"/>
        </w:rPr>
        <w:t>一般公共服务支出（201类）政府办公厅（室）及相关机构事务（03款）一般行政管理事务（02项）:指反映行政单位（包括实行公务员管理的事业单位）未单独设置项级科目的其他项目支出。</w:t>
      </w:r>
    </w:p>
    <w:p w14:paraId="2E04A6F3">
      <w:pPr>
        <w:spacing w:line="600" w:lineRule="exact"/>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sz w:val="32"/>
          <w:szCs w:val="32"/>
        </w:rPr>
        <w:t>10.教育支出（205类）其他教育支出（99款）其他教育支出（99项）: 指反映除农村中小学校舍建设、农村中小学教学设施、城市中小学校舍建设、城市中小学教学设施、中等职业学校教学设施项目以外其他用于教育方面的支出。</w:t>
      </w:r>
    </w:p>
    <w:p w14:paraId="1906B903">
      <w:pPr>
        <w:spacing w:line="600" w:lineRule="exact"/>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sz w:val="32"/>
          <w:szCs w:val="32"/>
        </w:rPr>
        <w:t>11.科学技术支出（206类）技术研究与开发（04款）其他技术研究与开发支出（99项）:指反映除机构运行、科技成果转化与扩散、共性技术研究与开发项目以外的其他用于技术研究与开发方面的支出。</w:t>
      </w:r>
    </w:p>
    <w:p w14:paraId="3A2E069F">
      <w:pPr>
        <w:spacing w:line="600" w:lineRule="exact"/>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kern w:val="2"/>
          <w:sz w:val="32"/>
          <w:szCs w:val="32"/>
        </w:rPr>
        <w:t>12.社会保障和就业支出</w:t>
      </w:r>
      <w:r>
        <w:rPr>
          <w:rStyle w:val="18"/>
          <w:rFonts w:hint="eastAsia" w:ascii="仿宋_GB2312" w:hAnsi="仿宋_GB2312" w:eastAsia="仿宋_GB2312" w:cs="仿宋_GB2312"/>
          <w:b w:val="0"/>
          <w:sz w:val="32"/>
          <w:szCs w:val="32"/>
        </w:rPr>
        <w:t>（208类）行政事业单位养老支出（05款）机关事业单位基本养老保险缴费支出（05项）: 指反映机关事业单位实施养老保险制度有单位缴纳的基本养老保险费支出。</w:t>
      </w:r>
    </w:p>
    <w:p w14:paraId="3ECDF58C">
      <w:pPr>
        <w:spacing w:line="600" w:lineRule="exact"/>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sz w:val="32"/>
          <w:szCs w:val="32"/>
        </w:rPr>
        <w:t>13.社会保障和就业支出（208类）行政事业单位养老支出（05款）机关事业单位职业年金缴费支出（06项）: 指反映机关事业单位实施养老保险制度由单位实际缴纳的职业年金支出。</w:t>
      </w:r>
    </w:p>
    <w:p w14:paraId="310CFF7E">
      <w:pPr>
        <w:spacing w:line="600" w:lineRule="exact"/>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sz w:val="32"/>
          <w:szCs w:val="32"/>
        </w:rPr>
        <w:t>14.社会保障和就业支出（208类）抚恤（08款）死亡抚恤（01项）: 指反映按规定用于烈士和牺牲、病故人员家属的一次性和定期抚恤金以及丧葬补助费。</w:t>
      </w:r>
    </w:p>
    <w:p w14:paraId="76A4DB5B">
      <w:pPr>
        <w:spacing w:line="600" w:lineRule="exact"/>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sz w:val="32"/>
          <w:szCs w:val="32"/>
        </w:rPr>
        <w:t>15.卫生健康支出（210类）行政事业单位医疗（11款）行政单位医疗（01项）:指反映财政部门安排的行政单位（包括实行公务员管理的事业单位）基本医疗报销缴费经费，未参加医疗保险的行政单位的公费医疗经费，按国家规定享受离休人员、红军老战士待遇人员的医疗经费。</w:t>
      </w:r>
    </w:p>
    <w:p w14:paraId="123C6255">
      <w:pPr>
        <w:spacing w:line="600" w:lineRule="exact"/>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sz w:val="32"/>
          <w:szCs w:val="32"/>
        </w:rPr>
        <w:t>16.卫生健康支出（210类）行政事业单位医疗（11款）公务员医疗补助（03项）:指反映财政部安排的公务员医疗补助经费。</w:t>
      </w:r>
    </w:p>
    <w:p w14:paraId="6D2450EF">
      <w:pPr>
        <w:spacing w:line="600" w:lineRule="exact"/>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sz w:val="32"/>
          <w:szCs w:val="32"/>
        </w:rPr>
        <w:t>17.节能环保支出（211类）其他节能环保支出（99款）其他节能环保支出（99项）:指其他用于节能环保方面的支出。</w:t>
      </w:r>
    </w:p>
    <w:p w14:paraId="40338F58">
      <w:pPr>
        <w:spacing w:line="600" w:lineRule="exact"/>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sz w:val="32"/>
          <w:szCs w:val="32"/>
        </w:rPr>
        <w:t>18.农林水支出（213类）林业和草原（02款）行政运行（01项）:指反映行政单位（包括实行公务员管理的事业单位）用于农林水方面的基本支出。</w:t>
      </w:r>
    </w:p>
    <w:p w14:paraId="296B2147">
      <w:pPr>
        <w:spacing w:line="600" w:lineRule="exact"/>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sz w:val="32"/>
          <w:szCs w:val="32"/>
        </w:rPr>
        <w:t>19.农林水支出（213类）林业和草原（02款）一般行政管理事务（02项）:指反映行政单位（包括实行公务员管理的事业单位）未单独设置项级科目的其他项目支出。</w:t>
      </w:r>
    </w:p>
    <w:p w14:paraId="10B70DEC">
      <w:pPr>
        <w:spacing w:line="600" w:lineRule="exact"/>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sz w:val="32"/>
          <w:szCs w:val="32"/>
        </w:rPr>
        <w:t>20.农林水支出（213类）林业和草原（02款）森林资源培育（05项）:指反映育苗（种）、造林、抚育、退化林修复、义务植树以及生物质能源建设等方面的支出。</w:t>
      </w:r>
    </w:p>
    <w:p w14:paraId="7C7FB121">
      <w:pPr>
        <w:spacing w:line="600" w:lineRule="exact"/>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sz w:val="32"/>
          <w:szCs w:val="32"/>
        </w:rPr>
        <w:t>21.农林水支出（213类）林业和草原（02款）森林生态效益补偿（09项）:指反映用于公益林保护和管理等方面的支出。</w:t>
      </w:r>
    </w:p>
    <w:p w14:paraId="355832B3">
      <w:pPr>
        <w:pStyle w:val="5"/>
        <w:ind w:firstLine="640" w:firstLineChars="200"/>
        <w:rPr>
          <w:rFonts w:hint="eastAsia" w:ascii="仿宋_GB2312" w:hAnsi="仿宋_GB2312" w:eastAsia="仿宋_GB2312" w:cs="仿宋_GB2312"/>
          <w:sz w:val="32"/>
          <w:szCs w:val="32"/>
        </w:rPr>
      </w:pPr>
      <w:r>
        <w:rPr>
          <w:rStyle w:val="18"/>
          <w:rFonts w:hint="eastAsia" w:ascii="仿宋_GB2312" w:hAnsi="仿宋_GB2312" w:eastAsia="仿宋_GB2312" w:cs="仿宋_GB2312"/>
          <w:b w:val="0"/>
          <w:sz w:val="32"/>
          <w:szCs w:val="32"/>
        </w:rPr>
        <w:t>22.农林水支出（213类）林业和草原（02款）动植物保护（11项）:指反映动植物资源生存环境调查、监测、保护管理、野外放（回）归、巡护、野生动物疫源疫病监测防控、濒危野生动植物拯救、繁育及进出口管理等方面的支出。</w:t>
      </w:r>
    </w:p>
    <w:p w14:paraId="2B0B5264">
      <w:pPr>
        <w:pStyle w:val="5"/>
        <w:ind w:firstLine="640" w:firstLineChars="200"/>
        <w:rPr>
          <w:rFonts w:hint="eastAsia" w:ascii="仿宋_GB2312" w:hAnsi="仿宋_GB2312" w:eastAsia="仿宋_GB2312" w:cs="仿宋_GB2312"/>
          <w:sz w:val="32"/>
          <w:szCs w:val="32"/>
        </w:rPr>
      </w:pPr>
      <w:r>
        <w:rPr>
          <w:rStyle w:val="18"/>
          <w:rFonts w:hint="eastAsia" w:ascii="仿宋_GB2312" w:hAnsi="仿宋_GB2312" w:eastAsia="仿宋_GB2312" w:cs="仿宋_GB2312"/>
          <w:b w:val="0"/>
          <w:sz w:val="32"/>
          <w:szCs w:val="32"/>
        </w:rPr>
        <w:t>23.农林水支出（213类）林业和草原（02款）防沙治沙（17项）:指反映荒漠化和沙化土地普查、监测、防治和管理等方面的支出。</w:t>
      </w:r>
    </w:p>
    <w:p w14:paraId="2D8FE859">
      <w:pPr>
        <w:pStyle w:val="5"/>
        <w:ind w:firstLine="640" w:firstLineChars="200"/>
        <w:rPr>
          <w:rFonts w:hint="eastAsia" w:ascii="仿宋_GB2312" w:hAnsi="仿宋_GB2312" w:eastAsia="仿宋_GB2312" w:cs="仿宋_GB2312"/>
          <w:sz w:val="32"/>
          <w:szCs w:val="32"/>
        </w:rPr>
      </w:pPr>
      <w:r>
        <w:rPr>
          <w:rStyle w:val="18"/>
          <w:rFonts w:hint="eastAsia" w:ascii="仿宋_GB2312" w:hAnsi="仿宋_GB2312" w:eastAsia="仿宋_GB2312" w:cs="仿宋_GB2312"/>
          <w:b w:val="0"/>
          <w:sz w:val="32"/>
          <w:szCs w:val="32"/>
        </w:rPr>
        <w:t>24.农林水支出（213类）林业和草原（02款）林业草原防灾减灾（34项）:指反映用于病虫害等有害生物灾害、森林草原防火、野生动物疫病灾害等方面的支出。</w:t>
      </w:r>
    </w:p>
    <w:p w14:paraId="54471922">
      <w:pPr>
        <w:pStyle w:val="5"/>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sz w:val="32"/>
          <w:szCs w:val="32"/>
        </w:rPr>
        <w:t>25.农林水支出（213类）林业和草原（02款）其他林业和草原支出（99项）:指除技术推广与转化、森林资源管理、森林生态效益补偿、自然保护区等管理、动植物保护、湿地保护、执法与监督、防沙治沙、对外合作与交流、产业化管理、信息管理、林区公共支出、贷款贴息、成品油价格改革对林业的补贴、林业草原防灾减灾、国家公园、草原管理、行业业务管理项目以外其他用于林业和草原方面的支出。</w:t>
      </w:r>
    </w:p>
    <w:p w14:paraId="2A4E3670">
      <w:pPr>
        <w:pStyle w:val="5"/>
        <w:ind w:firstLine="640" w:firstLineChars="200"/>
        <w:rPr>
          <w:rFonts w:hint="eastAsia" w:ascii="仿宋_GB2312" w:hAnsi="仿宋_GB2312" w:eastAsia="仿宋_GB2312" w:cs="仿宋_GB2312"/>
          <w:sz w:val="32"/>
          <w:szCs w:val="32"/>
        </w:rPr>
      </w:pPr>
      <w:r>
        <w:rPr>
          <w:rStyle w:val="18"/>
          <w:rFonts w:hint="eastAsia" w:ascii="仿宋_GB2312" w:hAnsi="仿宋_GB2312" w:eastAsia="仿宋_GB2312" w:cs="仿宋_GB2312"/>
          <w:b w:val="0"/>
          <w:sz w:val="32"/>
          <w:szCs w:val="32"/>
        </w:rPr>
        <w:t>26.农林水支出（213类）其他农林水支出（99款）其他农林水支出（99项）:指反映除化解债务支出以外其他用于农林水方面的支出。</w:t>
      </w:r>
    </w:p>
    <w:p w14:paraId="058E808E">
      <w:pPr>
        <w:pStyle w:val="5"/>
        <w:ind w:firstLine="640" w:firstLineChars="200"/>
        <w:rPr>
          <w:rFonts w:hint="eastAsia" w:ascii="仿宋_GB2312" w:hAnsi="仿宋_GB2312" w:eastAsia="仿宋_GB2312" w:cs="仿宋_GB2312"/>
          <w:sz w:val="32"/>
          <w:szCs w:val="32"/>
        </w:rPr>
      </w:pPr>
      <w:r>
        <w:rPr>
          <w:rStyle w:val="18"/>
          <w:rFonts w:hint="eastAsia" w:ascii="仿宋_GB2312" w:hAnsi="仿宋_GB2312" w:eastAsia="仿宋_GB2312" w:cs="仿宋_GB2312"/>
          <w:b w:val="0"/>
          <w:sz w:val="32"/>
          <w:szCs w:val="32"/>
        </w:rPr>
        <w:t>27.资源勘探工业信息等支出（215类）建筑业（03款）其他建筑业支出（99项）:指除建筑业行政运行、一般行政管理事务、机关服务项目以外其他用于建筑业方面的支出。</w:t>
      </w:r>
    </w:p>
    <w:p w14:paraId="118EB5CF">
      <w:pPr>
        <w:pStyle w:val="5"/>
        <w:ind w:firstLine="640" w:firstLineChars="200"/>
        <w:rPr>
          <w:rFonts w:hint="eastAsia" w:ascii="仿宋_GB2312" w:hAnsi="仿宋_GB2312" w:eastAsia="仿宋_GB2312" w:cs="仿宋_GB2312"/>
          <w:sz w:val="32"/>
          <w:szCs w:val="32"/>
        </w:rPr>
      </w:pPr>
      <w:r>
        <w:rPr>
          <w:rStyle w:val="18"/>
          <w:rFonts w:hint="eastAsia" w:ascii="仿宋_GB2312" w:hAnsi="仿宋_GB2312" w:eastAsia="仿宋_GB2312" w:cs="仿宋_GB2312"/>
          <w:b w:val="0"/>
          <w:sz w:val="32"/>
          <w:szCs w:val="32"/>
        </w:rPr>
        <w:t>28.住房保障支出（221类）住房改革支出（02款）住房公积金（01项）:指反映行政事业单位按人力资源和社会保障部、财政部规定的基本工资和津贴补贴以及规定比例为职工缴纳的住房公积金。</w:t>
      </w:r>
    </w:p>
    <w:p w14:paraId="45809745">
      <w:pPr>
        <w:pStyle w:val="5"/>
        <w:ind w:firstLine="640" w:firstLineChars="200"/>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sz w:val="32"/>
          <w:szCs w:val="32"/>
        </w:rPr>
        <w:t>29.灾害防治及应急管理支出（224类）自然灾害救灾及恢复重建支出（07款）自然灾害灾后重建补助（04项）:指反映政府预算安排用于自然灾害恢复重建的补助支出。</w:t>
      </w:r>
    </w:p>
    <w:p w14:paraId="3DA5B413">
      <w:pPr>
        <w:pStyle w:val="5"/>
        <w:ind w:firstLine="640" w:firstLineChars="200"/>
        <w:rPr>
          <w:rFonts w:hint="eastAsia" w:ascii="仿宋_GB2312" w:hAnsi="仿宋_GB2312" w:eastAsia="仿宋_GB2312" w:cs="仿宋_GB2312"/>
          <w:sz w:val="32"/>
          <w:szCs w:val="32"/>
        </w:rPr>
      </w:pPr>
      <w:r>
        <w:rPr>
          <w:rStyle w:val="18"/>
          <w:rFonts w:hint="eastAsia" w:ascii="仿宋_GB2312" w:hAnsi="仿宋_GB2312" w:eastAsia="仿宋_GB2312" w:cs="仿宋_GB2312"/>
          <w:b w:val="0"/>
          <w:sz w:val="32"/>
          <w:szCs w:val="32"/>
        </w:rPr>
        <w:t>30.灾害防治及应急管理支出（224类）其他灾害防治及应急管理支出（99款）其他灾害防治及应急管理支出（99项）:指除应急管理事务、消防事务、森林消防事务、煤矿安全、地震事务、自然灾害防治、自然灾害救灾及恢复重建支出以外其他用于灾害防治及应急管理的支出。</w:t>
      </w:r>
    </w:p>
    <w:p w14:paraId="1F60924C">
      <w:pPr>
        <w:ind w:left="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31.基本支出：指为保障机构正常运转、完成日常工作任务而发生的人员支出和公用支出。</w:t>
      </w:r>
    </w:p>
    <w:p w14:paraId="393F3D9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32.项目支出：指在基本支出之外为完成特定行政任务和事业发展目标所发生的支出。 </w:t>
      </w:r>
    </w:p>
    <w:p w14:paraId="429A9EC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33.经营支出：指事业单位在专业业务活动及其辅助活动之外开展非独立核算经营活动发生的支出。</w:t>
      </w:r>
    </w:p>
    <w:p w14:paraId="74FC1538">
      <w:pPr>
        <w:pStyle w:val="27"/>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34.“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B648E87">
      <w:pPr>
        <w:pStyle w:val="27"/>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841FCFB">
      <w:pPr>
        <w:spacing w:line="600" w:lineRule="exact"/>
        <w:jc w:val="center"/>
        <w:outlineLvl w:val="0"/>
        <w:rPr>
          <w:rStyle w:val="29"/>
          <w:rFonts w:hint="eastAsia" w:ascii="黑体" w:hAnsi="黑体" w:eastAsia="黑体"/>
          <w:b w:val="0"/>
          <w:color w:val="auto"/>
          <w:highlight w:val="none"/>
          <w:lang w:eastAsia="zh-CN"/>
        </w:rPr>
      </w:pPr>
      <w:r>
        <w:rPr>
          <w:rFonts w:ascii="宋体"/>
          <w:b/>
          <w:color w:val="auto"/>
          <w:sz w:val="44"/>
          <w:szCs w:val="44"/>
          <w:highlight w:val="none"/>
        </w:rPr>
        <w:br w:type="page"/>
      </w:r>
      <w:bookmarkStart w:id="52" w:name="_Toc15396614"/>
      <w:r>
        <w:rPr>
          <w:rFonts w:hint="eastAsia" w:ascii="黑体" w:hAnsi="黑体" w:eastAsia="黑体"/>
          <w:color w:val="auto"/>
          <w:sz w:val="44"/>
          <w:szCs w:val="44"/>
          <w:highlight w:val="none"/>
        </w:rPr>
        <w:t>第</w:t>
      </w:r>
      <w:r>
        <w:rPr>
          <w:rStyle w:val="29"/>
          <w:rFonts w:hint="eastAsia" w:ascii="黑体" w:hAnsi="黑体" w:eastAsia="黑体"/>
          <w:b w:val="0"/>
          <w:color w:val="auto"/>
          <w:highlight w:val="none"/>
        </w:rPr>
        <w:t>四部分 附件</w:t>
      </w:r>
      <w:bookmarkEnd w:id="52"/>
    </w:p>
    <w:p w14:paraId="440EE3E1">
      <w:pPr>
        <w:keepNext w:val="0"/>
        <w:keepLines w:val="0"/>
        <w:pageBreakBefore w:val="0"/>
        <w:kinsoku/>
        <w:wordWrap/>
        <w:overflowPunct/>
        <w:topLinePunct w:val="0"/>
        <w:autoSpaceDE/>
        <w:autoSpaceDN/>
        <w:bidi w:val="0"/>
        <w:spacing w:line="572" w:lineRule="exact"/>
        <w:jc w:val="left"/>
        <w:textAlignment w:val="auto"/>
        <w:outlineLvl w:val="0"/>
        <w:rPr>
          <w:rFonts w:hint="eastAsia" w:ascii="黑体" w:hAnsi="黑体" w:eastAsia="黑体" w:cs="黑体"/>
          <w:color w:val="FF0000"/>
          <w:sz w:val="32"/>
          <w:szCs w:val="32"/>
          <w:highlight w:val="none"/>
        </w:rPr>
      </w:pPr>
    </w:p>
    <w:p w14:paraId="7A131F61">
      <w:pPr>
        <w:keepNext w:val="0"/>
        <w:keepLines w:val="0"/>
        <w:pageBreakBefore w:val="0"/>
        <w:kinsoku/>
        <w:wordWrap/>
        <w:overflowPunct/>
        <w:topLinePunct w:val="0"/>
        <w:autoSpaceDE/>
        <w:autoSpaceDN/>
        <w:bidi w:val="0"/>
        <w:spacing w:line="572" w:lineRule="exact"/>
        <w:jc w:val="left"/>
        <w:textAlignment w:val="auto"/>
        <w:outlineLvl w:val="0"/>
        <w:rPr>
          <w:rFonts w:hint="eastAsia" w:ascii="方正小标宋简体" w:hAnsi="方正小标宋简体" w:eastAsia="黑体" w:cs="方正小标宋简体"/>
          <w:color w:val="auto"/>
          <w:sz w:val="44"/>
          <w:szCs w:val="44"/>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1</w:t>
      </w:r>
    </w:p>
    <w:p w14:paraId="2B19788F">
      <w:pPr>
        <w:keepNext w:val="0"/>
        <w:keepLines w:val="0"/>
        <w:widowControl/>
        <w:suppressLineNumbers w:val="0"/>
        <w:spacing w:before="0" w:beforeAutospacing="0" w:after="0" w:afterAutospacing="0" w:line="618" w:lineRule="exact"/>
        <w:ind w:left="0" w:right="0"/>
        <w:contextualSpacing/>
        <w:jc w:val="center"/>
        <w:outlineLvl w:val="0"/>
        <w:rPr>
          <w:rFonts w:hint="default" w:ascii="Times New Roman" w:hAnsi="Times New Roman" w:eastAsia="方正小标宋简体" w:cs="Times New Roman"/>
          <w:bCs/>
          <w:kern w:val="2"/>
          <w:sz w:val="44"/>
          <w:szCs w:val="44"/>
          <w:shd w:val="clear" w:fill="FFFFFF"/>
        </w:rPr>
      </w:pPr>
      <w:r>
        <w:rPr>
          <w:rFonts w:hint="eastAsia" w:ascii="方正小标宋简体" w:hAnsi="方正小标宋简体" w:eastAsia="方正小标宋简体" w:cs="方正小标宋简体"/>
          <w:bCs/>
          <w:kern w:val="2"/>
          <w:sz w:val="44"/>
          <w:szCs w:val="44"/>
          <w:shd w:val="clear" w:fill="FFFFFF"/>
          <w:lang w:val="en-US" w:eastAsia="zh-CN" w:bidi="ar"/>
        </w:rPr>
        <w:t>阿坝藏族羌族自治州林业和草原局</w:t>
      </w:r>
    </w:p>
    <w:p w14:paraId="2F9249C3">
      <w:pPr>
        <w:keepNext w:val="0"/>
        <w:keepLines w:val="0"/>
        <w:widowControl/>
        <w:suppressLineNumbers w:val="0"/>
        <w:spacing w:before="0" w:beforeAutospacing="0" w:after="0" w:afterAutospacing="0" w:line="618" w:lineRule="exact"/>
        <w:ind w:left="0" w:leftChars="0" w:right="0" w:firstLine="638" w:firstLineChars="145"/>
        <w:contextualSpacing/>
        <w:jc w:val="center"/>
        <w:outlineLvl w:val="0"/>
        <w:rPr>
          <w:rFonts w:hint="default" w:ascii="Times New Roman" w:hAnsi="Times New Roman" w:eastAsia="仿宋_GB2312" w:cs="Times New Roman"/>
          <w:kern w:val="2"/>
          <w:sz w:val="32"/>
          <w:szCs w:val="32"/>
        </w:rPr>
      </w:pPr>
      <w:r>
        <w:rPr>
          <w:rFonts w:hint="eastAsia" w:ascii="方正小标宋简体" w:hAnsi="方正小标宋简体" w:eastAsia="方正小标宋简体" w:cs="方正小标宋简体"/>
          <w:bCs/>
          <w:kern w:val="2"/>
          <w:sz w:val="44"/>
          <w:szCs w:val="44"/>
          <w:shd w:val="clear" w:fill="FFFFFF"/>
          <w:lang w:val="en-US" w:eastAsia="zh-CN" w:bidi="ar"/>
        </w:rPr>
        <w:t>部门预算绩效自评报告</w:t>
      </w:r>
    </w:p>
    <w:p w14:paraId="3C8F03C4">
      <w:pPr>
        <w:keepNext w:val="0"/>
        <w:keepLines w:val="0"/>
        <w:widowControl/>
        <w:suppressLineNumbers w:val="0"/>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黑体" w:cs="Times New Roman"/>
          <w:kern w:val="0"/>
          <w:sz w:val="32"/>
          <w:szCs w:val="32"/>
          <w:shd w:val="clear" w:fill="FFFFFF"/>
        </w:rPr>
      </w:pPr>
      <w:r>
        <w:rPr>
          <w:rFonts w:hint="default" w:ascii="Times New Roman" w:hAnsi="Times New Roman" w:eastAsia="黑体" w:cs="Times New Roman"/>
          <w:kern w:val="0"/>
          <w:sz w:val="32"/>
          <w:szCs w:val="32"/>
          <w:shd w:val="clear" w:fill="FFFFFF"/>
          <w:lang w:val="en-US" w:eastAsia="zh-CN" w:bidi="ar"/>
        </w:rPr>
        <w:t xml:space="preserve"> </w:t>
      </w:r>
    </w:p>
    <w:p w14:paraId="503D0B35">
      <w:pPr>
        <w:keepNext w:val="0"/>
        <w:keepLines w:val="0"/>
        <w:widowControl/>
        <w:suppressLineNumbers w:val="0"/>
        <w:adjustRightInd w:val="0"/>
        <w:snapToGrid w:val="0"/>
        <w:spacing w:before="0" w:beforeAutospacing="0" w:after="0" w:afterAutospacing="0" w:line="578" w:lineRule="exact"/>
        <w:ind w:left="0" w:right="0" w:firstLine="640" w:firstLineChars="200"/>
        <w:contextualSpacing/>
        <w:jc w:val="left"/>
        <w:outlineLvl w:val="0"/>
        <w:rPr>
          <w:rFonts w:hint="default" w:ascii="Times New Roman" w:hAnsi="Times New Roman" w:eastAsia="仿宋_GB2312" w:cs="Times New Roman"/>
          <w:kern w:val="2"/>
          <w:sz w:val="32"/>
          <w:szCs w:val="32"/>
        </w:rPr>
      </w:pPr>
      <w:r>
        <w:rPr>
          <w:rFonts w:hint="eastAsia" w:ascii="黑体" w:hAnsi="宋体" w:eastAsia="黑体" w:cs="黑体"/>
          <w:kern w:val="0"/>
          <w:sz w:val="32"/>
          <w:szCs w:val="32"/>
          <w:shd w:val="clear" w:fill="FFFFFF"/>
          <w:lang w:val="en-US" w:eastAsia="zh-CN" w:bidi="ar"/>
        </w:rPr>
        <w:t>一、部门（单位）基本情况</w:t>
      </w:r>
    </w:p>
    <w:p w14:paraId="415D54DE">
      <w:pPr>
        <w:keepNext w:val="0"/>
        <w:keepLines w:val="0"/>
        <w:widowControl/>
        <w:suppressLineNumbers w:val="0"/>
        <w:adjustRightInd w:val="0"/>
        <w:snapToGrid w:val="0"/>
        <w:spacing w:before="0" w:beforeAutospacing="0" w:after="0" w:afterAutospacing="0" w:line="578" w:lineRule="exact"/>
        <w:ind w:left="0" w:right="0" w:firstLine="643" w:firstLineChars="200"/>
        <w:contextualSpacing/>
        <w:jc w:val="left"/>
        <w:outlineLvl w:val="1"/>
        <w:rPr>
          <w:rFonts w:hint="default" w:ascii="Times New Roman" w:hAnsi="Times New Roman" w:eastAsia="楷体_GB2312" w:cs="Times New Roman"/>
          <w:b/>
          <w:bCs/>
          <w:kern w:val="0"/>
          <w:sz w:val="32"/>
          <w:szCs w:val="32"/>
          <w:shd w:val="clear" w:fill="FFFFFF"/>
        </w:rPr>
      </w:pPr>
      <w:r>
        <w:rPr>
          <w:rFonts w:hint="eastAsia" w:ascii="楷体_GB2312" w:hAnsi="Times New Roman" w:eastAsia="楷体_GB2312" w:cs="楷体_GB2312"/>
          <w:b/>
          <w:bCs/>
          <w:kern w:val="0"/>
          <w:sz w:val="32"/>
          <w:szCs w:val="32"/>
          <w:shd w:val="clear" w:fill="FFFFFF"/>
          <w:lang w:val="en-US" w:eastAsia="zh-CN" w:bidi="ar"/>
        </w:rPr>
        <w:t>（一）机构组成。</w:t>
      </w:r>
    </w:p>
    <w:p w14:paraId="0799BA45">
      <w:pPr>
        <w:keepNext w:val="0"/>
        <w:keepLines w:val="0"/>
        <w:widowControl/>
        <w:suppressLineNumbers w:val="0"/>
        <w:adjustRightInd w:val="0"/>
        <w:snapToGrid w:val="0"/>
        <w:spacing w:before="0" w:beforeAutospacing="0" w:after="0" w:afterAutospacing="0" w:line="578" w:lineRule="exact"/>
        <w:ind w:left="210" w:leftChars="100" w:right="0" w:firstLine="320" w:firstLineChars="100"/>
        <w:contextualSpacing/>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阿坝藏族羌族自治州林业和草原局由领导班子统筹全局，下</w:t>
      </w:r>
    </w:p>
    <w:p w14:paraId="1793571C">
      <w:pPr>
        <w:keepNext w:val="0"/>
        <w:keepLines w:val="0"/>
        <w:widowControl/>
        <w:suppressLineNumbers w:val="0"/>
        <w:adjustRightInd w:val="0"/>
        <w:snapToGrid w:val="0"/>
        <w:spacing w:before="0" w:beforeAutospacing="0" w:after="0" w:afterAutospacing="0" w:line="578" w:lineRule="exact"/>
        <w:ind w:left="0" w:right="0"/>
        <w:contextualSpacing/>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设办公室、生态保护修复科、草原管理科等职能科室，负责森林草原资源保护、生态修复和灾害防治等工作，并管理林业发展中心、防火监测中心等事业单位，形成覆盖全州的林草资源管理与生态保护体系。</w:t>
      </w:r>
    </w:p>
    <w:p w14:paraId="1B0DDC76">
      <w:pPr>
        <w:keepNext w:val="0"/>
        <w:keepLines w:val="0"/>
        <w:widowControl/>
        <w:suppressLineNumbers w:val="0"/>
        <w:adjustRightInd w:val="0"/>
        <w:snapToGrid w:val="0"/>
        <w:spacing w:before="0" w:beforeAutospacing="0" w:after="0" w:afterAutospacing="0" w:line="578" w:lineRule="exact"/>
        <w:ind w:left="0" w:right="0" w:firstLine="643" w:firstLineChars="200"/>
        <w:contextualSpacing/>
        <w:jc w:val="left"/>
        <w:outlineLvl w:val="1"/>
        <w:rPr>
          <w:rFonts w:hint="default" w:ascii="Times New Roman" w:hAnsi="Times New Roman" w:eastAsia="仿宋_GB2312" w:cs="Times New Roman"/>
          <w:kern w:val="2"/>
          <w:sz w:val="32"/>
          <w:szCs w:val="32"/>
        </w:rPr>
      </w:pPr>
      <w:r>
        <w:rPr>
          <w:rFonts w:hint="eastAsia" w:ascii="楷体_GB2312" w:hAnsi="Times New Roman" w:eastAsia="楷体_GB2312" w:cs="楷体_GB2312"/>
          <w:b/>
          <w:bCs/>
          <w:kern w:val="0"/>
          <w:sz w:val="32"/>
          <w:szCs w:val="32"/>
          <w:shd w:val="clear" w:fill="FFFFFF"/>
          <w:lang w:val="en-US" w:eastAsia="zh-CN" w:bidi="ar"/>
        </w:rPr>
        <w:t>（二）机构职能。</w:t>
      </w:r>
    </w:p>
    <w:p w14:paraId="295B2402">
      <w:pPr>
        <w:keepNext w:val="0"/>
        <w:keepLines w:val="0"/>
        <w:widowControl w:val="0"/>
        <w:suppressLineNumbers w:val="0"/>
        <w:adjustRightInd w:val="0"/>
        <w:snapToGrid w:val="0"/>
        <w:spacing w:before="0" w:beforeAutospacing="0" w:after="0" w:afterAutospacing="0" w:line="578" w:lineRule="exact"/>
        <w:ind w:left="210" w:leftChars="100" w:right="0" w:firstLine="320" w:firstLineChars="100"/>
        <w:jc w:val="both"/>
        <w:outlineLvl w:val="2"/>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阿坝藏族羌族自治州林业和草原局是负责全州林业和草原</w:t>
      </w:r>
    </w:p>
    <w:p w14:paraId="4F18B154">
      <w:pPr>
        <w:keepNext w:val="0"/>
        <w:keepLines w:val="0"/>
        <w:widowControl w:val="0"/>
        <w:suppressLineNumbers w:val="0"/>
        <w:adjustRightInd w:val="0"/>
        <w:snapToGrid w:val="0"/>
        <w:spacing w:before="0" w:beforeAutospacing="0" w:after="0" w:afterAutospacing="0" w:line="578" w:lineRule="exact"/>
        <w:ind w:left="0" w:right="0"/>
        <w:jc w:val="both"/>
        <w:outlineLvl w:val="2"/>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资源保护管理的行政主管部门，主要承担森林、草原、湿地和自然保护地的生态保护修复与监督管理工作。具体负责组织实施国土绿化、生态修复工程，监督管理森林草原资源，开展森林草原防火和有害生物防治，推进国家公园建设与管理，指导林草产业发展和生态扶贫工作，并依法行使林业和草原行政执法职责，为维护长江黄河上游生态屏障安全提供重要保障。</w:t>
      </w:r>
    </w:p>
    <w:p w14:paraId="0D80B7F9">
      <w:pPr>
        <w:keepNext w:val="0"/>
        <w:keepLines w:val="0"/>
        <w:widowControl w:val="0"/>
        <w:suppressLineNumbers w:val="0"/>
        <w:spacing w:before="0" w:beforeAutospacing="0" w:after="0" w:afterAutospacing="0" w:line="578" w:lineRule="exact"/>
        <w:ind w:left="0" w:right="0" w:firstLine="643" w:firstLineChars="200"/>
        <w:jc w:val="both"/>
        <w:outlineLvl w:val="1"/>
        <w:rPr>
          <w:rFonts w:hint="default" w:ascii="Times New Roman" w:hAnsi="Times New Roman" w:eastAsia="楷体_GB2312" w:cs="Times New Roman"/>
          <w:b/>
          <w:bCs/>
          <w:kern w:val="0"/>
          <w:sz w:val="32"/>
          <w:szCs w:val="32"/>
          <w:shd w:val="clear" w:fill="FFFFFF"/>
        </w:rPr>
      </w:pPr>
      <w:r>
        <w:rPr>
          <w:rFonts w:hint="eastAsia" w:ascii="楷体_GB2312" w:hAnsi="Times New Roman" w:eastAsia="楷体_GB2312" w:cs="楷体_GB2312"/>
          <w:b/>
          <w:bCs/>
          <w:kern w:val="0"/>
          <w:sz w:val="32"/>
          <w:szCs w:val="32"/>
          <w:shd w:val="clear" w:fill="FFFFFF"/>
          <w:lang w:val="en-US" w:eastAsia="zh-CN" w:bidi="ar"/>
        </w:rPr>
        <w:t>（三）人员概况。</w:t>
      </w:r>
    </w:p>
    <w:p w14:paraId="2CC92A05">
      <w:pPr>
        <w:keepNext w:val="0"/>
        <w:keepLines w:val="0"/>
        <w:widowControl w:val="0"/>
        <w:suppressLineNumbers w:val="0"/>
        <w:adjustRightInd w:val="0"/>
        <w:snapToGrid w:val="0"/>
        <w:spacing w:before="0" w:beforeAutospacing="0" w:after="0" w:afterAutospacing="0" w:line="578" w:lineRule="exact"/>
        <w:ind w:left="210" w:leftChars="100" w:right="0" w:firstLine="320" w:firstLineChars="100"/>
        <w:jc w:val="both"/>
        <w:rPr>
          <w:rFonts w:hint="eastAsia"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截至</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年末，我部门编制内年末实有人数</w:t>
      </w:r>
      <w:r>
        <w:rPr>
          <w:rFonts w:hint="default" w:ascii="Times New Roman" w:hAnsi="Times New Roman" w:eastAsia="仿宋_GB2312" w:cs="Times New Roman"/>
          <w:kern w:val="2"/>
          <w:sz w:val="32"/>
          <w:szCs w:val="32"/>
          <w:lang w:val="en-US" w:eastAsia="zh-CN" w:bidi="ar"/>
        </w:rPr>
        <w:t>122</w:t>
      </w:r>
      <w:r>
        <w:rPr>
          <w:rFonts w:hint="eastAsia" w:ascii="仿宋_GB2312" w:hAnsi="Times New Roman" w:eastAsia="仿宋_GB2312" w:cs="仿宋_GB2312"/>
          <w:kern w:val="2"/>
          <w:sz w:val="32"/>
          <w:szCs w:val="32"/>
          <w:lang w:val="en-US" w:eastAsia="zh-CN" w:bidi="ar"/>
        </w:rPr>
        <w:t>人，其中</w:t>
      </w:r>
    </w:p>
    <w:p w14:paraId="2A355CBE">
      <w:pPr>
        <w:keepNext w:val="0"/>
        <w:keepLines w:val="0"/>
        <w:widowControl w:val="0"/>
        <w:suppressLineNumbers w:val="0"/>
        <w:adjustRightInd w:val="0"/>
        <w:snapToGrid w:val="0"/>
        <w:spacing w:before="0" w:beforeAutospacing="0" w:after="0" w:afterAutospacing="0" w:line="578" w:lineRule="exact"/>
        <w:ind w:left="0" w:right="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公务员</w:t>
      </w:r>
      <w:r>
        <w:rPr>
          <w:rFonts w:hint="default" w:ascii="Times New Roman" w:hAnsi="Times New Roman" w:eastAsia="仿宋_GB2312" w:cs="Times New Roman"/>
          <w:kern w:val="2"/>
          <w:sz w:val="32"/>
          <w:szCs w:val="32"/>
          <w:lang w:val="en-US" w:eastAsia="zh-CN" w:bidi="ar"/>
        </w:rPr>
        <w:t>35</w:t>
      </w:r>
      <w:r>
        <w:rPr>
          <w:rFonts w:hint="eastAsia" w:ascii="仿宋_GB2312" w:hAnsi="Times New Roman" w:eastAsia="仿宋_GB2312" w:cs="仿宋_GB2312"/>
          <w:kern w:val="2"/>
          <w:sz w:val="32"/>
          <w:szCs w:val="32"/>
          <w:lang w:val="en-US" w:eastAsia="zh-CN" w:bidi="ar"/>
        </w:rPr>
        <w:t>人、参照公务员法管理事业人员</w:t>
      </w:r>
      <w:r>
        <w:rPr>
          <w:rFonts w:hint="default" w:ascii="Times New Roman" w:hAnsi="Times New Roman" w:eastAsia="仿宋_GB2312" w:cs="Times New Roman"/>
          <w:kern w:val="2"/>
          <w:sz w:val="32"/>
          <w:szCs w:val="32"/>
          <w:lang w:val="en-US" w:eastAsia="zh-CN" w:bidi="ar"/>
        </w:rPr>
        <w:t>6</w:t>
      </w:r>
      <w:r>
        <w:rPr>
          <w:rFonts w:hint="eastAsia" w:ascii="仿宋_GB2312" w:hAnsi="Times New Roman" w:eastAsia="仿宋_GB2312" w:cs="仿宋_GB2312"/>
          <w:kern w:val="2"/>
          <w:sz w:val="32"/>
          <w:szCs w:val="32"/>
          <w:lang w:val="en-US" w:eastAsia="zh-CN" w:bidi="ar"/>
        </w:rPr>
        <w:t>人、事业管理人员和专业技术人员</w:t>
      </w:r>
      <w:r>
        <w:rPr>
          <w:rFonts w:hint="default" w:ascii="Times New Roman" w:hAnsi="Times New Roman" w:eastAsia="仿宋_GB2312" w:cs="Times New Roman"/>
          <w:kern w:val="2"/>
          <w:sz w:val="32"/>
          <w:szCs w:val="32"/>
          <w:lang w:val="en-US" w:eastAsia="zh-CN" w:bidi="ar"/>
        </w:rPr>
        <w:t>72</w:t>
      </w:r>
      <w:r>
        <w:rPr>
          <w:rFonts w:hint="eastAsia" w:ascii="仿宋_GB2312" w:hAnsi="Times New Roman" w:eastAsia="仿宋_GB2312" w:cs="仿宋_GB2312"/>
          <w:kern w:val="2"/>
          <w:sz w:val="32"/>
          <w:szCs w:val="32"/>
          <w:lang w:val="en-US" w:eastAsia="zh-CN" w:bidi="ar"/>
        </w:rPr>
        <w:t>人、机关和事业工人</w:t>
      </w:r>
      <w:r>
        <w:rPr>
          <w:rFonts w:hint="default" w:ascii="Times New Roman" w:hAnsi="Times New Roman" w:eastAsia="仿宋_GB2312" w:cs="Times New Roman"/>
          <w:kern w:val="2"/>
          <w:sz w:val="32"/>
          <w:szCs w:val="32"/>
          <w:lang w:val="en-US" w:eastAsia="zh-CN" w:bidi="ar"/>
        </w:rPr>
        <w:t>9</w:t>
      </w:r>
      <w:r>
        <w:rPr>
          <w:rFonts w:hint="eastAsia" w:ascii="仿宋_GB2312" w:hAnsi="Times New Roman" w:eastAsia="仿宋_GB2312" w:cs="仿宋_GB2312"/>
          <w:kern w:val="2"/>
          <w:sz w:val="32"/>
          <w:szCs w:val="32"/>
          <w:lang w:val="en-US" w:eastAsia="zh-CN" w:bidi="ar"/>
        </w:rPr>
        <w:t>人。</w:t>
      </w:r>
    </w:p>
    <w:p w14:paraId="37023323">
      <w:pPr>
        <w:keepNext w:val="0"/>
        <w:keepLines w:val="0"/>
        <w:widowControl/>
        <w:suppressLineNumbers w:val="0"/>
        <w:adjustRightInd w:val="0"/>
        <w:snapToGrid w:val="0"/>
        <w:spacing w:before="0" w:beforeAutospacing="0" w:after="0" w:afterAutospacing="0" w:line="578" w:lineRule="exact"/>
        <w:ind w:left="0" w:right="0" w:firstLine="640" w:firstLineChars="200"/>
        <w:contextualSpacing/>
        <w:jc w:val="left"/>
        <w:outlineLvl w:val="0"/>
        <w:rPr>
          <w:rFonts w:hint="default" w:ascii="Times New Roman" w:hAnsi="Times New Roman" w:eastAsia="黑体" w:cs="Times New Roman"/>
          <w:kern w:val="0"/>
          <w:sz w:val="32"/>
          <w:szCs w:val="32"/>
          <w:shd w:val="clear" w:fill="FFFFFF"/>
        </w:rPr>
      </w:pPr>
      <w:r>
        <w:rPr>
          <w:rFonts w:hint="eastAsia" w:ascii="黑体" w:hAnsi="宋体" w:eastAsia="黑体" w:cs="黑体"/>
          <w:kern w:val="0"/>
          <w:sz w:val="32"/>
          <w:szCs w:val="32"/>
          <w:shd w:val="clear" w:fill="FFFFFF"/>
          <w:lang w:val="en-US" w:eastAsia="zh-CN" w:bidi="ar"/>
        </w:rPr>
        <w:t>二、部门资金收支情况</w:t>
      </w:r>
    </w:p>
    <w:p w14:paraId="39ACE435">
      <w:pPr>
        <w:keepNext w:val="0"/>
        <w:keepLines w:val="0"/>
        <w:widowControl/>
        <w:suppressLineNumbers w:val="0"/>
        <w:adjustRightInd w:val="0"/>
        <w:snapToGrid w:val="0"/>
        <w:spacing w:before="0" w:beforeAutospacing="0" w:after="0" w:afterAutospacing="0" w:line="578" w:lineRule="exact"/>
        <w:ind w:left="0" w:right="0" w:firstLine="643" w:firstLineChars="200"/>
        <w:contextualSpacing/>
        <w:jc w:val="left"/>
        <w:outlineLvl w:val="1"/>
        <w:rPr>
          <w:rFonts w:hint="default" w:ascii="Times New Roman" w:hAnsi="Times New Roman" w:eastAsia="楷体_GB2312" w:cs="Times New Roman"/>
          <w:b/>
          <w:bCs/>
          <w:kern w:val="0"/>
          <w:sz w:val="32"/>
          <w:szCs w:val="32"/>
          <w:shd w:val="clear" w:fill="FFFFFF"/>
        </w:rPr>
      </w:pPr>
      <w:r>
        <w:rPr>
          <w:rFonts w:hint="eastAsia" w:ascii="楷体_GB2312" w:hAnsi="Times New Roman" w:eastAsia="楷体_GB2312" w:cs="楷体_GB2312"/>
          <w:b/>
          <w:bCs/>
          <w:kern w:val="0"/>
          <w:sz w:val="32"/>
          <w:szCs w:val="32"/>
          <w:shd w:val="clear" w:fill="FFFFFF"/>
          <w:lang w:val="en-US" w:eastAsia="zh-CN" w:bidi="ar"/>
        </w:rPr>
        <w:t>（一）收入情况。</w:t>
      </w:r>
    </w:p>
    <w:p w14:paraId="6EFEA098">
      <w:pPr>
        <w:keepNext w:val="0"/>
        <w:keepLines w:val="0"/>
        <w:widowControl/>
        <w:suppressLineNumbers w:val="0"/>
        <w:adjustRightInd w:val="0"/>
        <w:snapToGrid w:val="0"/>
        <w:spacing w:before="0" w:beforeAutospacing="0" w:after="0" w:afterAutospacing="0" w:line="578" w:lineRule="exact"/>
        <w:ind w:left="210" w:leftChars="100" w:right="0" w:firstLine="320" w:firstLineChars="100"/>
        <w:contextualSpacing/>
        <w:jc w:val="left"/>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本部门</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年年初预算收入</w:t>
      </w:r>
      <w:r>
        <w:rPr>
          <w:rFonts w:hint="default" w:ascii="Times New Roman" w:hAnsi="Times New Roman" w:eastAsia="仿宋_GB2312" w:cs="Times New Roman"/>
          <w:kern w:val="2"/>
          <w:sz w:val="32"/>
          <w:szCs w:val="32"/>
          <w:lang w:val="en-US" w:eastAsia="zh-CN" w:bidi="ar"/>
        </w:rPr>
        <w:t>6316.28</w:t>
      </w:r>
      <w:r>
        <w:rPr>
          <w:rFonts w:hint="eastAsia" w:ascii="仿宋_GB2312" w:hAnsi="Times New Roman" w:eastAsia="仿宋_GB2312" w:cs="仿宋_GB2312"/>
          <w:kern w:val="2"/>
          <w:sz w:val="32"/>
          <w:szCs w:val="32"/>
          <w:lang w:val="en-US" w:eastAsia="zh-CN" w:bidi="ar"/>
        </w:rPr>
        <w:t>万元，决算报表收入</w:t>
      </w:r>
    </w:p>
    <w:p w14:paraId="7F8C6C93">
      <w:pPr>
        <w:keepNext w:val="0"/>
        <w:keepLines w:val="0"/>
        <w:widowControl/>
        <w:suppressLineNumbers w:val="0"/>
        <w:adjustRightInd w:val="0"/>
        <w:snapToGrid w:val="0"/>
        <w:spacing w:before="0" w:beforeAutospacing="0" w:after="0" w:afterAutospacing="0" w:line="578" w:lineRule="exact"/>
        <w:ind w:left="0" w:right="0"/>
        <w:contextualSpacing/>
        <w:jc w:val="left"/>
        <w:rPr>
          <w:rFonts w:hint="default" w:ascii="Times New Roman" w:hAnsi="Times New Roman" w:eastAsia="楷体_GB2312" w:cs="Times New Roman"/>
          <w:b/>
          <w:bCs/>
          <w:kern w:val="0"/>
          <w:sz w:val="32"/>
          <w:szCs w:val="32"/>
          <w:shd w:val="clear" w:fill="FFFFFF"/>
        </w:rPr>
      </w:pPr>
      <w:r>
        <w:rPr>
          <w:rFonts w:hint="default" w:ascii="Times New Roman" w:hAnsi="Times New Roman" w:eastAsia="仿宋_GB2312" w:cs="Times New Roman"/>
          <w:kern w:val="2"/>
          <w:sz w:val="32"/>
          <w:szCs w:val="32"/>
          <w:lang w:val="en-US" w:eastAsia="zh-CN" w:bidi="ar"/>
        </w:rPr>
        <w:t>51372.51</w:t>
      </w:r>
      <w:r>
        <w:rPr>
          <w:rFonts w:hint="eastAsia" w:ascii="仿宋_GB2312" w:hAnsi="Times New Roman" w:eastAsia="仿宋_GB2312" w:cs="仿宋_GB2312"/>
          <w:kern w:val="2"/>
          <w:sz w:val="32"/>
          <w:szCs w:val="32"/>
          <w:lang w:val="en-US" w:eastAsia="zh-CN" w:bidi="ar"/>
        </w:rPr>
        <w:t>万元。其中：一般公共预算拨款收入</w:t>
      </w:r>
      <w:r>
        <w:rPr>
          <w:rFonts w:hint="default" w:ascii="Times New Roman" w:hAnsi="Times New Roman" w:eastAsia="仿宋_GB2312" w:cs="Times New Roman"/>
          <w:kern w:val="2"/>
          <w:sz w:val="32"/>
          <w:szCs w:val="32"/>
          <w:lang w:val="en-US" w:eastAsia="zh-CN" w:bidi="ar"/>
        </w:rPr>
        <w:t>5137.25</w:t>
      </w:r>
      <w:r>
        <w:rPr>
          <w:rFonts w:hint="eastAsia" w:ascii="仿宋_GB2312" w:hAnsi="Times New Roman" w:eastAsia="仿宋_GB2312" w:cs="仿宋_GB2312"/>
          <w:kern w:val="2"/>
          <w:sz w:val="32"/>
          <w:szCs w:val="32"/>
          <w:lang w:val="en-US" w:eastAsia="zh-CN" w:bidi="ar"/>
        </w:rPr>
        <w:t>万元，占</w:t>
      </w:r>
      <w:r>
        <w:rPr>
          <w:rFonts w:hint="default" w:ascii="Times New Roman" w:hAnsi="Times New Roman" w:eastAsia="宋体" w:cs="Times New Roman"/>
          <w:kern w:val="2"/>
          <w:sz w:val="32"/>
          <w:szCs w:val="32"/>
          <w:lang w:val="en-US" w:eastAsia="zh-CN" w:bidi="ar"/>
        </w:rPr>
        <w:t>100</w:t>
      </w:r>
      <w:r>
        <w:rPr>
          <w:rFonts w:hint="default" w:ascii="Times New Roman" w:hAnsi="Times New Roman" w:eastAsia="仿宋_GB2312" w:cs="Times New Roman"/>
          <w:kern w:val="2"/>
          <w:sz w:val="32"/>
          <w:szCs w:val="32"/>
          <w:lang w:val="en-US" w:eastAsia="zh-CN" w:bidi="ar"/>
        </w:rPr>
        <w:t>%</w:t>
      </w:r>
      <w:r>
        <w:rPr>
          <w:rFonts w:hint="eastAsia" w:ascii="仿宋_GB2312" w:hAnsi="Times New Roman" w:eastAsia="仿宋_GB2312" w:cs="仿宋_GB2312"/>
          <w:kern w:val="2"/>
          <w:sz w:val="32"/>
          <w:szCs w:val="32"/>
          <w:lang w:val="en-US" w:eastAsia="zh-CN" w:bidi="ar"/>
        </w:rPr>
        <w:t>；事业收入</w:t>
      </w:r>
      <w:r>
        <w:rPr>
          <w:rFonts w:hint="default" w:ascii="Times New Roman" w:hAnsi="Times New Roman" w:eastAsia="仿宋_GB2312" w:cs="Times New Roman"/>
          <w:kern w:val="2"/>
          <w:sz w:val="32"/>
          <w:szCs w:val="32"/>
          <w:lang w:val="en-US" w:eastAsia="zh-CN" w:bidi="ar"/>
        </w:rPr>
        <w:t>0.00</w:t>
      </w:r>
      <w:r>
        <w:rPr>
          <w:rFonts w:hint="eastAsia" w:ascii="仿宋_GB2312" w:hAnsi="Times New Roman" w:eastAsia="仿宋_GB2312" w:cs="仿宋_GB2312"/>
          <w:kern w:val="2"/>
          <w:sz w:val="32"/>
          <w:szCs w:val="32"/>
          <w:lang w:val="en-US" w:eastAsia="zh-CN" w:bidi="ar"/>
        </w:rPr>
        <w:t>万元，占</w:t>
      </w:r>
      <w:r>
        <w:rPr>
          <w:rFonts w:hint="default" w:ascii="Times New Roman" w:hAnsi="Times New Roman" w:eastAsia="仿宋_GB2312" w:cs="Times New Roman"/>
          <w:kern w:val="2"/>
          <w:sz w:val="32"/>
          <w:szCs w:val="32"/>
          <w:lang w:val="en-US" w:eastAsia="zh-CN" w:bidi="ar"/>
        </w:rPr>
        <w:t>0.00%</w:t>
      </w:r>
      <w:r>
        <w:rPr>
          <w:rFonts w:hint="eastAsia" w:ascii="仿宋_GB2312" w:hAnsi="Times New Roman" w:eastAsia="仿宋_GB2312" w:cs="仿宋_GB2312"/>
          <w:kern w:val="2"/>
          <w:sz w:val="32"/>
          <w:szCs w:val="32"/>
          <w:lang w:val="en-US" w:eastAsia="zh-CN" w:bidi="ar"/>
        </w:rPr>
        <w:t>；其他收入</w:t>
      </w:r>
      <w:r>
        <w:rPr>
          <w:rFonts w:hint="default" w:ascii="Times New Roman" w:hAnsi="Times New Roman" w:eastAsia="仿宋_GB2312" w:cs="Times New Roman"/>
          <w:kern w:val="2"/>
          <w:sz w:val="32"/>
          <w:szCs w:val="32"/>
          <w:lang w:val="en-US" w:eastAsia="zh-CN" w:bidi="ar"/>
        </w:rPr>
        <w:t>0</w:t>
      </w:r>
      <w:r>
        <w:rPr>
          <w:rFonts w:hint="eastAsia" w:ascii="仿宋_GB2312" w:hAnsi="Times New Roman" w:eastAsia="仿宋_GB2312" w:cs="仿宋_GB2312"/>
          <w:kern w:val="2"/>
          <w:sz w:val="32"/>
          <w:szCs w:val="32"/>
          <w:lang w:val="en-US" w:eastAsia="zh-CN" w:bidi="ar"/>
        </w:rPr>
        <w:t>万元，占</w:t>
      </w:r>
      <w:r>
        <w:rPr>
          <w:rFonts w:hint="default" w:ascii="Times New Roman" w:hAnsi="Times New Roman" w:eastAsia="仿宋_GB2312" w:cs="Times New Roman"/>
          <w:kern w:val="2"/>
          <w:sz w:val="32"/>
          <w:szCs w:val="32"/>
          <w:lang w:val="en-US" w:eastAsia="zh-CN" w:bidi="ar"/>
        </w:rPr>
        <w:t>0.00%</w:t>
      </w:r>
      <w:r>
        <w:rPr>
          <w:rFonts w:hint="eastAsia" w:ascii="宋体" w:hAnsi="宋体" w:eastAsia="宋体" w:cs="宋体"/>
          <w:kern w:val="2"/>
          <w:sz w:val="32"/>
          <w:szCs w:val="32"/>
          <w:lang w:val="en-US" w:eastAsia="zh-CN" w:bidi="ar"/>
        </w:rPr>
        <w:t>。</w:t>
      </w:r>
    </w:p>
    <w:p w14:paraId="76F4A30A">
      <w:pPr>
        <w:keepNext w:val="0"/>
        <w:keepLines w:val="0"/>
        <w:widowControl w:val="0"/>
        <w:suppressLineNumbers w:val="0"/>
        <w:tabs>
          <w:tab w:val="left" w:pos="982"/>
        </w:tabs>
        <w:adjustRightInd w:val="0"/>
        <w:snapToGrid w:val="0"/>
        <w:spacing w:before="0" w:beforeAutospacing="0" w:after="0" w:afterAutospacing="0" w:line="578" w:lineRule="exact"/>
        <w:ind w:left="0" w:right="0" w:firstLine="643" w:firstLineChars="200"/>
        <w:jc w:val="both"/>
        <w:outlineLvl w:val="1"/>
        <w:rPr>
          <w:rFonts w:hint="default" w:ascii="Times New Roman" w:hAnsi="Times New Roman" w:eastAsia="楷体_GB2312" w:cs="Times New Roman"/>
          <w:b/>
          <w:bCs/>
          <w:kern w:val="0"/>
          <w:sz w:val="32"/>
          <w:szCs w:val="32"/>
          <w:shd w:val="clear" w:fill="FFFFFF"/>
        </w:rPr>
      </w:pPr>
      <w:r>
        <w:rPr>
          <w:rFonts w:hint="eastAsia" w:ascii="楷体_GB2312" w:hAnsi="Times New Roman" w:eastAsia="楷体_GB2312" w:cs="楷体_GB2312"/>
          <w:b/>
          <w:bCs/>
          <w:kern w:val="0"/>
          <w:sz w:val="32"/>
          <w:szCs w:val="32"/>
          <w:shd w:val="clear" w:fill="FFFFFF"/>
          <w:lang w:val="en-US" w:eastAsia="zh-CN" w:bidi="ar"/>
        </w:rPr>
        <w:t>（二）支出情况。</w:t>
      </w:r>
    </w:p>
    <w:p w14:paraId="248F818F">
      <w:pPr>
        <w:keepNext w:val="0"/>
        <w:keepLines w:val="0"/>
        <w:widowControl w:val="0"/>
        <w:suppressLineNumbers w:val="0"/>
        <w:tabs>
          <w:tab w:val="left" w:pos="982"/>
        </w:tabs>
        <w:adjustRightInd w:val="0"/>
        <w:snapToGrid w:val="0"/>
        <w:spacing w:before="0" w:beforeAutospacing="0" w:after="0" w:afterAutospacing="0" w:line="578" w:lineRule="exact"/>
        <w:ind w:left="210" w:leftChars="100" w:right="0" w:firstLine="320" w:firstLineChars="1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本部门</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年年初预算支出</w:t>
      </w:r>
      <w:r>
        <w:rPr>
          <w:rFonts w:hint="default" w:ascii="Times New Roman" w:hAnsi="Times New Roman" w:eastAsia="仿宋_GB2312" w:cs="Times New Roman"/>
          <w:kern w:val="2"/>
          <w:sz w:val="32"/>
          <w:szCs w:val="32"/>
          <w:lang w:val="en-US" w:eastAsia="zh-CN" w:bidi="ar"/>
        </w:rPr>
        <w:t>6316.28</w:t>
      </w:r>
      <w:r>
        <w:rPr>
          <w:rFonts w:hint="eastAsia" w:ascii="仿宋_GB2312" w:hAnsi="Times New Roman" w:eastAsia="仿宋_GB2312" w:cs="仿宋_GB2312"/>
          <w:kern w:val="2"/>
          <w:sz w:val="32"/>
          <w:szCs w:val="32"/>
          <w:lang w:val="en-US" w:eastAsia="zh-CN" w:bidi="ar"/>
        </w:rPr>
        <w:t>万元，决算报表支出</w:t>
      </w:r>
    </w:p>
    <w:p w14:paraId="32041D05">
      <w:pPr>
        <w:keepNext w:val="0"/>
        <w:keepLines w:val="0"/>
        <w:widowControl w:val="0"/>
        <w:suppressLineNumbers w:val="0"/>
        <w:tabs>
          <w:tab w:val="left" w:pos="982"/>
        </w:tabs>
        <w:adjustRightInd w:val="0"/>
        <w:snapToGrid w:val="0"/>
        <w:spacing w:before="0" w:beforeAutospacing="0" w:after="0" w:afterAutospacing="0" w:line="578" w:lineRule="exact"/>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51372.51</w:t>
      </w:r>
      <w:r>
        <w:rPr>
          <w:rFonts w:hint="eastAsia" w:ascii="仿宋_GB2312" w:hAnsi="Times New Roman" w:eastAsia="仿宋_GB2312" w:cs="仿宋_GB2312"/>
          <w:kern w:val="2"/>
          <w:sz w:val="32"/>
          <w:szCs w:val="32"/>
          <w:lang w:val="en-US" w:eastAsia="zh-CN" w:bidi="ar"/>
        </w:rPr>
        <w:t>万元。其中：基本支出</w:t>
      </w:r>
      <w:r>
        <w:rPr>
          <w:rFonts w:hint="default" w:ascii="Times New Roman" w:hAnsi="Times New Roman" w:eastAsia="宋体" w:cs="Times New Roman"/>
          <w:kern w:val="2"/>
          <w:sz w:val="32"/>
          <w:szCs w:val="32"/>
          <w:lang w:val="en-US" w:eastAsia="zh-CN" w:bidi="ar"/>
        </w:rPr>
        <w:t>3446.72</w:t>
      </w:r>
      <w:r>
        <w:rPr>
          <w:rFonts w:hint="eastAsia" w:ascii="仿宋_GB2312" w:hAnsi="Times New Roman" w:eastAsia="仿宋_GB2312" w:cs="仿宋_GB2312"/>
          <w:kern w:val="2"/>
          <w:sz w:val="32"/>
          <w:szCs w:val="32"/>
          <w:lang w:val="en-US" w:eastAsia="zh-CN" w:bidi="ar"/>
        </w:rPr>
        <w:t>万元，占</w:t>
      </w:r>
      <w:r>
        <w:rPr>
          <w:rFonts w:hint="default" w:ascii="Times New Roman" w:hAnsi="Times New Roman" w:eastAsia="宋体" w:cs="Times New Roman"/>
          <w:kern w:val="2"/>
          <w:sz w:val="32"/>
          <w:szCs w:val="32"/>
          <w:lang w:val="en-US" w:eastAsia="zh-CN" w:bidi="ar"/>
        </w:rPr>
        <w:t>6.71%</w:t>
      </w:r>
      <w:r>
        <w:rPr>
          <w:rFonts w:hint="eastAsia" w:ascii="仿宋_GB2312" w:hAnsi="Times New Roman" w:eastAsia="仿宋_GB2312" w:cs="仿宋_GB2312"/>
          <w:kern w:val="2"/>
          <w:sz w:val="32"/>
          <w:szCs w:val="32"/>
          <w:lang w:val="en-US" w:eastAsia="zh-CN" w:bidi="ar"/>
        </w:rPr>
        <w:t>；项目支出</w:t>
      </w:r>
      <w:r>
        <w:rPr>
          <w:rFonts w:hint="default" w:ascii="Times New Roman" w:hAnsi="Times New Roman" w:eastAsia="宋体" w:cs="Times New Roman"/>
          <w:kern w:val="2"/>
          <w:sz w:val="32"/>
          <w:szCs w:val="32"/>
          <w:lang w:val="en-US" w:eastAsia="zh-CN" w:bidi="ar"/>
        </w:rPr>
        <w:t>47925.79</w:t>
      </w:r>
      <w:r>
        <w:rPr>
          <w:rFonts w:hint="eastAsia" w:ascii="仿宋_GB2312" w:hAnsi="Times New Roman" w:eastAsia="仿宋_GB2312" w:cs="仿宋_GB2312"/>
          <w:kern w:val="2"/>
          <w:sz w:val="32"/>
          <w:szCs w:val="32"/>
          <w:lang w:val="en-US" w:eastAsia="zh-CN" w:bidi="ar"/>
        </w:rPr>
        <w:t>万元，占</w:t>
      </w:r>
      <w:r>
        <w:rPr>
          <w:rFonts w:hint="default" w:ascii="Times New Roman" w:hAnsi="Times New Roman" w:eastAsia="宋体" w:cs="Times New Roman"/>
          <w:kern w:val="2"/>
          <w:sz w:val="32"/>
          <w:szCs w:val="32"/>
          <w:lang w:val="en-US" w:eastAsia="zh-CN" w:bidi="ar"/>
        </w:rPr>
        <w:t>93.29%</w:t>
      </w:r>
      <w:r>
        <w:rPr>
          <w:rFonts w:hint="eastAsia" w:ascii="仿宋_GB2312" w:hAnsi="Times New Roman" w:eastAsia="仿宋_GB2312" w:cs="仿宋_GB2312"/>
          <w:kern w:val="2"/>
          <w:sz w:val="32"/>
          <w:szCs w:val="32"/>
          <w:lang w:val="en-US" w:eastAsia="zh-CN" w:bidi="ar"/>
        </w:rPr>
        <w:t>。</w:t>
      </w:r>
    </w:p>
    <w:p w14:paraId="5EDEFA3A">
      <w:pPr>
        <w:keepNext w:val="0"/>
        <w:keepLines w:val="0"/>
        <w:widowControl/>
        <w:suppressLineNumbers w:val="0"/>
        <w:adjustRightInd w:val="0"/>
        <w:snapToGrid w:val="0"/>
        <w:spacing w:before="0" w:beforeAutospacing="0" w:after="0" w:afterAutospacing="0" w:line="578" w:lineRule="exact"/>
        <w:ind w:left="0" w:right="0" w:firstLine="643" w:firstLineChars="200"/>
        <w:contextualSpacing/>
        <w:jc w:val="left"/>
        <w:outlineLvl w:val="1"/>
        <w:rPr>
          <w:rFonts w:hint="default" w:ascii="Times New Roman" w:hAnsi="Times New Roman" w:eastAsia="楷体_GB2312" w:cs="Times New Roman"/>
          <w:b/>
          <w:bCs w:val="0"/>
          <w:kern w:val="2"/>
          <w:sz w:val="32"/>
          <w:szCs w:val="32"/>
        </w:rPr>
      </w:pPr>
      <w:r>
        <w:rPr>
          <w:rFonts w:hint="eastAsia" w:ascii="楷体_GB2312" w:hAnsi="Times New Roman" w:eastAsia="楷体_GB2312" w:cs="楷体_GB2312"/>
          <w:b/>
          <w:bCs/>
          <w:kern w:val="0"/>
          <w:sz w:val="32"/>
          <w:szCs w:val="32"/>
          <w:shd w:val="clear" w:fill="FFFFFF"/>
          <w:lang w:val="en-US" w:eastAsia="zh-CN" w:bidi="ar"/>
        </w:rPr>
        <w:t>（三）</w:t>
      </w:r>
      <w:r>
        <w:rPr>
          <w:rFonts w:hint="eastAsia" w:ascii="楷体_GB2312" w:hAnsi="Times New Roman" w:eastAsia="楷体_GB2312" w:cs="楷体_GB2312"/>
          <w:b/>
          <w:bCs w:val="0"/>
          <w:kern w:val="2"/>
          <w:sz w:val="32"/>
          <w:szCs w:val="32"/>
          <w:lang w:val="en-US" w:eastAsia="zh-CN" w:bidi="ar"/>
        </w:rPr>
        <w:t>结余分配和结转结余情况。</w:t>
      </w:r>
    </w:p>
    <w:p w14:paraId="5E3FEBBD">
      <w:pPr>
        <w:keepNext w:val="0"/>
        <w:keepLines w:val="0"/>
        <w:widowControl w:val="0"/>
        <w:suppressLineNumbers w:val="0"/>
        <w:adjustRightInd w:val="0"/>
        <w:snapToGrid w:val="0"/>
        <w:spacing w:before="0" w:beforeAutospacing="0" w:after="0" w:afterAutospacing="0" w:line="578" w:lineRule="exact"/>
        <w:ind w:left="210" w:leftChars="100" w:right="0" w:firstLine="320" w:firstLineChars="100"/>
        <w:jc w:val="both"/>
        <w:rPr>
          <w:rFonts w:hint="eastAsia"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结余分配情况：</w:t>
      </w:r>
      <w:r>
        <w:rPr>
          <w:rFonts w:hint="eastAsia" w:ascii="仿宋_GB2312" w:hAnsi="Times New Roman" w:eastAsia="仿宋_GB2312" w:cs="仿宋_GB2312"/>
          <w:kern w:val="2"/>
          <w:sz w:val="32"/>
          <w:szCs w:val="32"/>
          <w:lang w:val="en-US" w:eastAsia="zh-CN" w:bidi="ar"/>
        </w:rPr>
        <w:t>本部门</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年决算报表</w:t>
      </w:r>
      <w:r>
        <w:rPr>
          <w:rFonts w:hint="eastAsia" w:ascii="仿宋_GB2312" w:hAnsi="Times New Roman" w:eastAsia="仿宋_GB2312" w:cs="仿宋_GB2312"/>
          <w:kern w:val="0"/>
          <w:sz w:val="32"/>
          <w:szCs w:val="32"/>
          <w:shd w:val="clear" w:fill="FFFFFF"/>
          <w:lang w:val="en-US" w:eastAsia="zh-CN" w:bidi="ar"/>
        </w:rPr>
        <w:t>结余</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万元；</w:t>
      </w:r>
    </w:p>
    <w:p w14:paraId="76FED1B4">
      <w:pPr>
        <w:keepNext w:val="0"/>
        <w:keepLines w:val="0"/>
        <w:widowControl w:val="0"/>
        <w:suppressLineNumbers w:val="0"/>
        <w:adjustRightInd w:val="0"/>
        <w:snapToGrid w:val="0"/>
        <w:spacing w:before="0" w:beforeAutospacing="0" w:after="0" w:afterAutospacing="0" w:line="578" w:lineRule="exact"/>
        <w:ind w:left="0" w:right="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2"/>
          <w:sz w:val="32"/>
          <w:szCs w:val="32"/>
          <w:lang w:val="en-US" w:eastAsia="zh-CN" w:bidi="ar"/>
        </w:rPr>
        <w:t>结转结余情况：本部门</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年决算报表</w:t>
      </w:r>
      <w:r>
        <w:rPr>
          <w:rFonts w:hint="eastAsia" w:ascii="仿宋_GB2312" w:hAnsi="Times New Roman" w:eastAsia="仿宋_GB2312" w:cs="仿宋_GB2312"/>
          <w:kern w:val="0"/>
          <w:sz w:val="32"/>
          <w:szCs w:val="32"/>
          <w:shd w:val="clear" w:fill="FFFFFF"/>
          <w:lang w:val="en-US" w:eastAsia="zh-CN" w:bidi="ar"/>
        </w:rPr>
        <w:t>结转结余</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2"/>
          <w:sz w:val="32"/>
          <w:szCs w:val="32"/>
          <w:lang w:val="en-US" w:eastAsia="zh-CN" w:bidi="ar"/>
        </w:rPr>
        <w:t>万元。</w:t>
      </w:r>
    </w:p>
    <w:p w14:paraId="582EDCE3">
      <w:pPr>
        <w:keepNext w:val="0"/>
        <w:keepLines w:val="0"/>
        <w:widowControl/>
        <w:suppressLineNumbers w:val="0"/>
        <w:adjustRightInd w:val="0"/>
        <w:snapToGrid w:val="0"/>
        <w:spacing w:before="0" w:beforeAutospacing="0" w:after="0" w:afterAutospacing="0" w:line="578" w:lineRule="exact"/>
        <w:ind w:left="0" w:right="0" w:firstLine="640" w:firstLineChars="200"/>
        <w:contextualSpacing/>
        <w:jc w:val="left"/>
        <w:outlineLvl w:val="0"/>
        <w:rPr>
          <w:rFonts w:hint="default" w:ascii="Times New Roman" w:hAnsi="Times New Roman" w:eastAsia="黑体" w:cs="Times New Roman"/>
          <w:kern w:val="0"/>
          <w:sz w:val="32"/>
          <w:szCs w:val="32"/>
          <w:shd w:val="clear" w:fill="FFFFFF"/>
        </w:rPr>
      </w:pPr>
      <w:r>
        <w:rPr>
          <w:rFonts w:hint="eastAsia" w:ascii="黑体" w:hAnsi="宋体" w:eastAsia="黑体" w:cs="黑体"/>
          <w:kern w:val="0"/>
          <w:sz w:val="32"/>
          <w:szCs w:val="32"/>
          <w:shd w:val="clear" w:fill="FFFFFF"/>
          <w:lang w:val="en-US" w:eastAsia="zh-CN" w:bidi="ar"/>
        </w:rPr>
        <w:t>三、部门预算绩效分析</w:t>
      </w:r>
    </w:p>
    <w:p w14:paraId="5A32ECCC">
      <w:pPr>
        <w:keepNext w:val="0"/>
        <w:keepLines w:val="0"/>
        <w:widowControl w:val="0"/>
        <w:suppressLineNumbers w:val="0"/>
        <w:adjustRightInd w:val="0"/>
        <w:snapToGrid w:val="0"/>
        <w:spacing w:before="0" w:beforeAutospacing="0" w:after="0" w:afterAutospacing="0" w:line="578" w:lineRule="exact"/>
        <w:ind w:left="0" w:right="0" w:firstLine="643" w:firstLineChars="200"/>
        <w:contextualSpacing/>
        <w:jc w:val="left"/>
        <w:outlineLvl w:val="1"/>
        <w:rPr>
          <w:rFonts w:hint="default" w:ascii="Times New Roman" w:hAnsi="Times New Roman" w:eastAsia="楷体_GB2312" w:cs="Times New Roman"/>
          <w:b/>
          <w:bCs/>
          <w:kern w:val="0"/>
          <w:sz w:val="32"/>
          <w:szCs w:val="32"/>
          <w:shd w:val="clear" w:fill="FFFFFF"/>
        </w:rPr>
      </w:pPr>
      <w:r>
        <w:rPr>
          <w:rFonts w:hint="eastAsia" w:ascii="楷体_GB2312" w:hAnsi="Times New Roman" w:eastAsia="楷体_GB2312" w:cs="楷体_GB2312"/>
          <w:b/>
          <w:bCs/>
          <w:kern w:val="0"/>
          <w:sz w:val="32"/>
          <w:szCs w:val="32"/>
          <w:shd w:val="clear" w:fill="FFFFFF"/>
          <w:lang w:val="en-US" w:eastAsia="zh-CN" w:bidi="ar"/>
        </w:rPr>
        <w:t>（一）部门预算总体绩效分析。</w:t>
      </w:r>
    </w:p>
    <w:p w14:paraId="561F0C08">
      <w:pPr>
        <w:keepNext w:val="0"/>
        <w:keepLines w:val="0"/>
        <w:widowControl w:val="0"/>
        <w:suppressLineNumbers w:val="0"/>
        <w:adjustRightInd w:val="0"/>
        <w:snapToGrid w:val="0"/>
        <w:spacing w:before="0" w:beforeAutospacing="0" w:after="0" w:afterAutospacing="0" w:line="578" w:lineRule="exact"/>
        <w:ind w:left="0" w:right="0" w:firstLine="640" w:firstLineChars="200"/>
        <w:contextualSpacing/>
        <w:jc w:val="left"/>
        <w:outlineLvl w:val="2"/>
        <w:rPr>
          <w:rFonts w:hint="default" w:ascii="Times New Roman" w:hAnsi="Times New Roman" w:eastAsia="楷体_GB2312" w:cs="Times New Roman"/>
          <w:kern w:val="0"/>
          <w:sz w:val="32"/>
          <w:szCs w:val="32"/>
          <w:shd w:val="clear" w:fill="FFFFFF"/>
        </w:rPr>
      </w:pPr>
      <w:r>
        <w:rPr>
          <w:rFonts w:hint="default" w:ascii="Times New Roman" w:hAnsi="Times New Roman" w:eastAsia="楷体_GB2312" w:cs="Times New Roman"/>
          <w:kern w:val="0"/>
          <w:sz w:val="32"/>
          <w:szCs w:val="32"/>
          <w:shd w:val="clear" w:fill="FFFFFF"/>
          <w:lang w:val="en-US" w:eastAsia="zh-CN" w:bidi="ar"/>
        </w:rPr>
        <w:t>1</w:t>
      </w:r>
      <w:r>
        <w:rPr>
          <w:rFonts w:hint="eastAsia" w:ascii="楷体_GB2312" w:hAnsi="Times New Roman" w:eastAsia="楷体_GB2312" w:cs="楷体_GB2312"/>
          <w:kern w:val="0"/>
          <w:sz w:val="32"/>
          <w:szCs w:val="32"/>
          <w:shd w:val="clear" w:fill="FFFFFF"/>
          <w:lang w:val="en-US" w:eastAsia="zh-CN" w:bidi="ar"/>
        </w:rPr>
        <w:t>．履职效能。</w:t>
      </w:r>
    </w:p>
    <w:p w14:paraId="230E9FDC">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lang w:val="en-US" w:eastAsia="zh-CN" w:bidi="ar"/>
        </w:rPr>
        <w:t>2025</w:t>
      </w:r>
      <w:r>
        <w:rPr>
          <w:rFonts w:hint="eastAsia" w:ascii="仿宋_GB2312" w:hAnsi="Times New Roman" w:eastAsia="仿宋_GB2312" w:cs="仿宋_GB2312"/>
          <w:kern w:val="0"/>
          <w:sz w:val="32"/>
          <w:szCs w:val="32"/>
          <w:shd w:val="clear" w:fill="FFFFFF"/>
          <w:lang w:val="en-US" w:eastAsia="zh-CN" w:bidi="ar"/>
        </w:rPr>
        <w:t>年，常年有效管护天然林面积</w:t>
      </w:r>
      <w:r>
        <w:rPr>
          <w:rFonts w:hint="default" w:ascii="Times New Roman" w:hAnsi="Times New Roman" w:eastAsia="仿宋_GB2312" w:cs="Times New Roman"/>
          <w:kern w:val="0"/>
          <w:sz w:val="32"/>
          <w:szCs w:val="32"/>
          <w:shd w:val="clear" w:fill="FFFFFF"/>
          <w:lang w:val="en-US" w:eastAsia="zh-CN" w:bidi="ar"/>
        </w:rPr>
        <w:t>5580</w:t>
      </w:r>
      <w:r>
        <w:rPr>
          <w:rFonts w:hint="eastAsia" w:ascii="仿宋_GB2312" w:hAnsi="Times New Roman" w:eastAsia="仿宋_GB2312" w:cs="仿宋_GB2312"/>
          <w:kern w:val="0"/>
          <w:sz w:val="32"/>
          <w:szCs w:val="32"/>
          <w:shd w:val="clear" w:fill="FFFFFF"/>
          <w:lang w:val="en-US" w:eastAsia="zh-CN" w:bidi="ar"/>
        </w:rPr>
        <w:t>万亩、天然草原面积</w:t>
      </w:r>
      <w:r>
        <w:rPr>
          <w:rFonts w:hint="default" w:ascii="Times New Roman" w:hAnsi="Times New Roman" w:eastAsia="仿宋_GB2312" w:cs="Times New Roman"/>
          <w:kern w:val="0"/>
          <w:sz w:val="32"/>
          <w:szCs w:val="32"/>
          <w:shd w:val="clear" w:fill="FFFFFF"/>
          <w:lang w:val="en-US" w:eastAsia="zh-CN" w:bidi="ar"/>
        </w:rPr>
        <w:t>4728.38</w:t>
      </w:r>
      <w:r>
        <w:rPr>
          <w:rFonts w:hint="eastAsia" w:ascii="仿宋_GB2312" w:hAnsi="Times New Roman" w:eastAsia="仿宋_GB2312" w:cs="仿宋_GB2312"/>
          <w:kern w:val="0"/>
          <w:sz w:val="32"/>
          <w:szCs w:val="32"/>
          <w:shd w:val="clear" w:fill="FFFFFF"/>
          <w:lang w:val="en-US" w:eastAsia="zh-CN" w:bidi="ar"/>
        </w:rPr>
        <w:t>万亩、湿地</w:t>
      </w:r>
      <w:r>
        <w:rPr>
          <w:rFonts w:hint="default" w:ascii="Times New Roman" w:hAnsi="Times New Roman" w:eastAsia="仿宋_GB2312" w:cs="Times New Roman"/>
          <w:kern w:val="0"/>
          <w:sz w:val="32"/>
          <w:szCs w:val="32"/>
          <w:shd w:val="clear" w:fill="FFFFFF"/>
          <w:lang w:val="en-US" w:eastAsia="zh-CN" w:bidi="ar"/>
        </w:rPr>
        <w:t>883</w:t>
      </w:r>
      <w:r>
        <w:rPr>
          <w:rFonts w:hint="eastAsia" w:ascii="仿宋_GB2312" w:hAnsi="Times New Roman" w:eastAsia="仿宋_GB2312" w:cs="仿宋_GB2312"/>
          <w:kern w:val="0"/>
          <w:sz w:val="32"/>
          <w:szCs w:val="32"/>
          <w:shd w:val="clear" w:fill="FFFFFF"/>
          <w:lang w:val="en-US" w:eastAsia="zh-CN" w:bidi="ar"/>
        </w:rPr>
        <w:t>万亩，巩固退耕还林成果</w:t>
      </w:r>
      <w:r>
        <w:rPr>
          <w:rFonts w:hint="default" w:ascii="Times New Roman" w:hAnsi="Times New Roman" w:eastAsia="仿宋_GB2312" w:cs="Times New Roman"/>
          <w:kern w:val="0"/>
          <w:sz w:val="32"/>
          <w:szCs w:val="32"/>
          <w:shd w:val="clear" w:fill="FFFFFF"/>
          <w:lang w:val="en-US" w:eastAsia="zh-CN" w:bidi="ar"/>
        </w:rPr>
        <w:t>76.68</w:t>
      </w:r>
      <w:r>
        <w:rPr>
          <w:rFonts w:hint="eastAsia" w:ascii="仿宋_GB2312" w:hAnsi="Times New Roman" w:eastAsia="仿宋_GB2312" w:cs="仿宋_GB2312"/>
          <w:kern w:val="0"/>
          <w:sz w:val="32"/>
          <w:szCs w:val="32"/>
          <w:shd w:val="clear" w:fill="FFFFFF"/>
          <w:lang w:val="en-US" w:eastAsia="zh-CN" w:bidi="ar"/>
        </w:rPr>
        <w:t>万亩。强化林草灾害风险防范，科学防控森林草原火灾、林草有害生物，</w:t>
      </w:r>
      <w:r>
        <w:rPr>
          <w:rFonts w:hint="eastAsia" w:ascii="仿宋_GB2312" w:hAnsi="Times New Roman" w:eastAsia="仿宋_GB2312" w:cs="仿宋_GB2312"/>
          <w:b w:val="0"/>
          <w:bCs w:val="0"/>
          <w:color w:val="000000"/>
          <w:kern w:val="0"/>
          <w:sz w:val="32"/>
          <w:szCs w:val="32"/>
          <w:lang w:val="en-US" w:eastAsia="zh-CN" w:bidi="ar"/>
        </w:rPr>
        <w:t>建强森林草原防火体系，调整充实森防指及</w:t>
      </w:r>
      <w:r>
        <w:rPr>
          <w:rFonts w:hint="default" w:ascii="Times New Roman" w:hAnsi="Times New Roman" w:eastAsia="仿宋_GB2312" w:cs="Times New Roman"/>
          <w:b w:val="0"/>
          <w:bCs w:val="0"/>
          <w:color w:val="000000"/>
          <w:kern w:val="0"/>
          <w:sz w:val="32"/>
          <w:szCs w:val="32"/>
          <w:lang w:val="en-US" w:eastAsia="zh-CN" w:bidi="ar"/>
        </w:rPr>
        <w:t>“</w:t>
      </w:r>
      <w:r>
        <w:rPr>
          <w:rFonts w:hint="eastAsia" w:ascii="仿宋_GB2312" w:hAnsi="Times New Roman" w:eastAsia="仿宋_GB2312" w:cs="仿宋_GB2312"/>
          <w:b w:val="0"/>
          <w:bCs w:val="0"/>
          <w:color w:val="000000"/>
          <w:kern w:val="0"/>
          <w:sz w:val="32"/>
          <w:szCs w:val="32"/>
          <w:lang w:val="en-US" w:eastAsia="zh-CN" w:bidi="ar"/>
        </w:rPr>
        <w:t>一办六组</w:t>
      </w:r>
      <w:r>
        <w:rPr>
          <w:rFonts w:hint="default" w:ascii="Times New Roman" w:hAnsi="Times New Roman" w:eastAsia="仿宋_GB2312" w:cs="Times New Roman"/>
          <w:b w:val="0"/>
          <w:bCs w:val="0"/>
          <w:color w:val="000000"/>
          <w:kern w:val="0"/>
          <w:sz w:val="32"/>
          <w:szCs w:val="32"/>
          <w:lang w:val="en-US" w:eastAsia="zh-CN" w:bidi="ar"/>
        </w:rPr>
        <w:t>”</w:t>
      </w:r>
      <w:r>
        <w:rPr>
          <w:rFonts w:hint="eastAsia" w:ascii="仿宋_GB2312" w:hAnsi="Times New Roman" w:eastAsia="仿宋_GB2312" w:cs="仿宋_GB2312"/>
          <w:b w:val="0"/>
          <w:bCs w:val="0"/>
          <w:color w:val="000000"/>
          <w:kern w:val="0"/>
          <w:sz w:val="32"/>
          <w:szCs w:val="32"/>
          <w:lang w:val="en-US" w:eastAsia="zh-CN" w:bidi="ar"/>
        </w:rPr>
        <w:t>，补齐林火视频监控、营房、物资库等基础短板，改善高精尖灭火装备短缺问题，软硬件水平显著提升，实现连续</w:t>
      </w:r>
      <w:r>
        <w:rPr>
          <w:rFonts w:hint="default" w:ascii="Times New Roman" w:hAnsi="Times New Roman" w:eastAsia="仿宋_GB2312" w:cs="Times New Roman"/>
          <w:b w:val="0"/>
          <w:bCs w:val="0"/>
          <w:color w:val="000000"/>
          <w:kern w:val="0"/>
          <w:sz w:val="32"/>
          <w:szCs w:val="32"/>
          <w:lang w:val="en-US" w:eastAsia="zh-CN" w:bidi="ar"/>
        </w:rPr>
        <w:t>38</w:t>
      </w:r>
      <w:r>
        <w:rPr>
          <w:rFonts w:hint="eastAsia" w:ascii="仿宋_GB2312" w:hAnsi="Times New Roman" w:eastAsia="仿宋_GB2312" w:cs="仿宋_GB2312"/>
          <w:b w:val="0"/>
          <w:bCs w:val="0"/>
          <w:color w:val="000000"/>
          <w:kern w:val="0"/>
          <w:sz w:val="32"/>
          <w:szCs w:val="32"/>
          <w:lang w:val="en-US" w:eastAsia="zh-CN" w:bidi="ar"/>
        </w:rPr>
        <w:t>年无重特大森林火灾</w:t>
      </w:r>
      <w:r>
        <w:rPr>
          <w:rFonts w:hint="eastAsia" w:ascii="仿宋_GB2312" w:hAnsi="Times New Roman" w:eastAsia="仿宋_GB2312" w:cs="仿宋_GB2312"/>
          <w:kern w:val="0"/>
          <w:sz w:val="32"/>
          <w:szCs w:val="32"/>
          <w:shd w:val="clear" w:fill="FFFFFF"/>
          <w:lang w:val="en-US" w:eastAsia="zh-CN" w:bidi="ar"/>
        </w:rPr>
        <w:t>，严防松材线虫等外来林业有害生物入侵，实现产地检疫率</w:t>
      </w:r>
      <w:r>
        <w:rPr>
          <w:rFonts w:hint="default" w:ascii="Times New Roman" w:hAnsi="Times New Roman" w:eastAsia="仿宋_GB2312" w:cs="Times New Roman"/>
          <w:kern w:val="0"/>
          <w:sz w:val="32"/>
          <w:szCs w:val="32"/>
          <w:shd w:val="clear" w:fill="FFFFFF"/>
          <w:lang w:val="en-US" w:eastAsia="zh-CN" w:bidi="ar"/>
        </w:rPr>
        <w:t>100%</w:t>
      </w:r>
      <w:r>
        <w:rPr>
          <w:rFonts w:hint="eastAsia" w:ascii="仿宋_GB2312" w:hAnsi="Times New Roman" w:eastAsia="仿宋_GB2312" w:cs="仿宋_GB2312"/>
          <w:kern w:val="0"/>
          <w:sz w:val="32"/>
          <w:szCs w:val="32"/>
          <w:shd w:val="clear" w:fill="FFFFFF"/>
          <w:lang w:val="en-US" w:eastAsia="zh-CN" w:bidi="ar"/>
        </w:rPr>
        <w:t>，森林病虫害成灾率控制在省下达指标</w:t>
      </w:r>
      <w:r>
        <w:rPr>
          <w:rFonts w:hint="default" w:ascii="Times New Roman" w:hAnsi="Times New Roman" w:eastAsia="仿宋_GB2312" w:cs="Times New Roman"/>
          <w:kern w:val="0"/>
          <w:sz w:val="32"/>
          <w:szCs w:val="32"/>
          <w:shd w:val="clear" w:fill="FFFFFF"/>
          <w:lang w:val="en-US" w:eastAsia="zh-CN" w:bidi="ar"/>
        </w:rPr>
        <w:t>0.51‰</w:t>
      </w:r>
      <w:r>
        <w:rPr>
          <w:rFonts w:hint="eastAsia" w:ascii="仿宋_GB2312" w:hAnsi="Times New Roman" w:eastAsia="仿宋_GB2312" w:cs="仿宋_GB2312"/>
          <w:kern w:val="0"/>
          <w:sz w:val="32"/>
          <w:szCs w:val="32"/>
          <w:shd w:val="clear" w:fill="FFFFFF"/>
          <w:lang w:val="en-US" w:eastAsia="zh-CN" w:bidi="ar"/>
        </w:rPr>
        <w:t>之内。完成情况如下：</w:t>
      </w:r>
    </w:p>
    <w:p w14:paraId="0576AF21">
      <w:pPr>
        <w:keepNext w:val="0"/>
        <w:keepLines w:val="0"/>
        <w:widowControl w:val="0"/>
        <w:suppressLineNumbers w:val="0"/>
        <w:adjustRightInd w:val="0"/>
        <w:snapToGrid w:val="0"/>
        <w:spacing w:before="0" w:beforeAutospacing="0" w:after="0" w:afterAutospacing="0" w:line="578" w:lineRule="exact"/>
        <w:ind w:left="210" w:leftChars="100" w:right="0" w:firstLine="320" w:firstLineChars="100"/>
        <w:contextualSpacing/>
        <w:jc w:val="both"/>
        <w:rPr>
          <w:rFonts w:hint="eastAsia"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项目完成个数≥</w:t>
      </w:r>
      <w:r>
        <w:rPr>
          <w:rFonts w:hint="default" w:ascii="Times New Roman" w:hAnsi="Times New Roman" w:eastAsia="仿宋_GB2312" w:cs="Times New Roman"/>
          <w:kern w:val="0"/>
          <w:sz w:val="32"/>
          <w:szCs w:val="32"/>
          <w:shd w:val="clear" w:fill="FFFFFF"/>
          <w:lang w:val="en-US" w:eastAsia="zh-CN" w:bidi="ar"/>
        </w:rPr>
        <w:t>14</w:t>
      </w:r>
      <w:r>
        <w:rPr>
          <w:rFonts w:hint="eastAsia" w:ascii="仿宋_GB2312" w:hAnsi="Times New Roman" w:eastAsia="仿宋_GB2312" w:cs="仿宋_GB2312"/>
          <w:kern w:val="0"/>
          <w:sz w:val="32"/>
          <w:szCs w:val="32"/>
          <w:shd w:val="clear" w:fill="FFFFFF"/>
          <w:lang w:val="en-US" w:eastAsia="zh-CN" w:bidi="ar"/>
        </w:rPr>
        <w:t>个；州本级预算项目个数≥</w:t>
      </w:r>
      <w:r>
        <w:rPr>
          <w:rFonts w:hint="default" w:ascii="Times New Roman" w:hAnsi="Times New Roman" w:eastAsia="仿宋_GB2312" w:cs="Times New Roman"/>
          <w:kern w:val="0"/>
          <w:sz w:val="32"/>
          <w:szCs w:val="32"/>
          <w:shd w:val="clear" w:fill="FFFFFF"/>
          <w:lang w:val="en-US" w:eastAsia="zh-CN" w:bidi="ar"/>
        </w:rPr>
        <w:t>14</w:t>
      </w:r>
      <w:r>
        <w:rPr>
          <w:rFonts w:hint="eastAsia" w:ascii="仿宋_GB2312" w:hAnsi="Times New Roman" w:eastAsia="仿宋_GB2312" w:cs="仿宋_GB2312"/>
          <w:kern w:val="0"/>
          <w:sz w:val="32"/>
          <w:szCs w:val="32"/>
          <w:shd w:val="clear" w:fill="FFFFFF"/>
          <w:lang w:val="en-US" w:eastAsia="zh-CN" w:bidi="ar"/>
        </w:rPr>
        <w:t>个；造林</w:t>
      </w:r>
    </w:p>
    <w:p w14:paraId="4301693D">
      <w:pPr>
        <w:keepNext w:val="0"/>
        <w:keepLines w:val="0"/>
        <w:widowControl w:val="0"/>
        <w:suppressLineNumbers w:val="0"/>
        <w:adjustRightInd w:val="0"/>
        <w:snapToGrid w:val="0"/>
        <w:spacing w:before="0" w:beforeAutospacing="0" w:after="0" w:afterAutospacing="0" w:line="578" w:lineRule="exact"/>
        <w:ind w:left="0" w:right="0"/>
        <w:contextualSpacing/>
        <w:jc w:val="both"/>
        <w:rPr>
          <w:rFonts w:hint="eastAsia"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地苗木合格率</w:t>
      </w:r>
      <w:r>
        <w:rPr>
          <w:rFonts w:hint="default" w:ascii="Times New Roman" w:hAnsi="Times New Roman" w:eastAsia="仿宋_GB2312" w:cs="Times New Roman"/>
          <w:kern w:val="0"/>
          <w:sz w:val="32"/>
          <w:szCs w:val="32"/>
          <w:shd w:val="clear" w:fill="FFFFFF"/>
          <w:lang w:val="en-US" w:eastAsia="zh-CN" w:bidi="ar"/>
        </w:rPr>
        <w:t>100%</w:t>
      </w:r>
      <w:r>
        <w:rPr>
          <w:rFonts w:hint="eastAsia" w:ascii="仿宋_GB2312" w:hAnsi="Times New Roman" w:eastAsia="仿宋_GB2312" w:cs="仿宋_GB2312"/>
          <w:kern w:val="0"/>
          <w:sz w:val="32"/>
          <w:szCs w:val="32"/>
          <w:shd w:val="clear" w:fill="FFFFFF"/>
          <w:lang w:val="en-US" w:eastAsia="zh-CN" w:bidi="ar"/>
        </w:rPr>
        <w:t>；年度任务完成时间于年底较好完成。</w:t>
      </w:r>
    </w:p>
    <w:p w14:paraId="2B4BBA5E">
      <w:pPr>
        <w:keepNext w:val="0"/>
        <w:keepLines w:val="0"/>
        <w:widowControl w:val="0"/>
        <w:suppressLineNumbers w:val="0"/>
        <w:adjustRightInd w:val="0"/>
        <w:snapToGrid w:val="0"/>
        <w:spacing w:before="0" w:beforeAutospacing="0" w:after="0" w:afterAutospacing="0" w:line="578" w:lineRule="exact"/>
        <w:ind w:left="0" w:right="0" w:firstLine="640" w:firstLineChars="200"/>
        <w:contextualSpacing/>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15</w:t>
      </w:r>
      <w:r>
        <w:rPr>
          <w:rFonts w:hint="eastAsia" w:ascii="仿宋_GB2312" w:hAnsi="Times New Roman" w:eastAsia="仿宋_GB2312" w:cs="仿宋_GB2312"/>
          <w:kern w:val="0"/>
          <w:sz w:val="32"/>
          <w:szCs w:val="32"/>
          <w:shd w:val="clear" w:fill="FFFFFF"/>
          <w:lang w:val="en-US" w:eastAsia="zh-CN" w:bidi="ar"/>
        </w:rPr>
        <w:t>分。</w:t>
      </w:r>
    </w:p>
    <w:p w14:paraId="68D41144">
      <w:pPr>
        <w:keepNext w:val="0"/>
        <w:keepLines w:val="0"/>
        <w:widowControl w:val="0"/>
        <w:suppressLineNumbers w:val="0"/>
        <w:adjustRightInd w:val="0"/>
        <w:snapToGrid w:val="0"/>
        <w:spacing w:before="0" w:beforeAutospacing="0" w:after="0" w:afterAutospacing="0" w:line="578" w:lineRule="exact"/>
        <w:ind w:left="0" w:right="0" w:firstLine="640" w:firstLineChars="200"/>
        <w:contextualSpacing/>
        <w:jc w:val="left"/>
        <w:outlineLvl w:val="2"/>
        <w:rPr>
          <w:rFonts w:hint="default" w:ascii="Times New Roman" w:hAnsi="Times New Roman" w:eastAsia="楷体_GB2312" w:cs="Times New Roman"/>
          <w:kern w:val="0"/>
          <w:sz w:val="32"/>
          <w:szCs w:val="32"/>
          <w:shd w:val="clear" w:fill="FFFFFF"/>
        </w:rPr>
      </w:pPr>
      <w:r>
        <w:rPr>
          <w:rFonts w:hint="default" w:ascii="Times New Roman" w:hAnsi="Times New Roman" w:eastAsia="楷体_GB2312" w:cs="Times New Roman"/>
          <w:kern w:val="0"/>
          <w:sz w:val="32"/>
          <w:szCs w:val="32"/>
          <w:shd w:val="clear" w:fill="FFFFFF"/>
          <w:lang w:val="en-US" w:eastAsia="zh-CN" w:bidi="ar"/>
        </w:rPr>
        <w:t>2</w:t>
      </w:r>
      <w:r>
        <w:rPr>
          <w:rFonts w:hint="eastAsia" w:ascii="楷体_GB2312" w:hAnsi="Times New Roman" w:eastAsia="楷体_GB2312" w:cs="楷体_GB2312"/>
          <w:kern w:val="0"/>
          <w:sz w:val="32"/>
          <w:szCs w:val="32"/>
          <w:shd w:val="clear" w:fill="FFFFFF"/>
          <w:lang w:val="en-US" w:eastAsia="zh-CN" w:bidi="ar"/>
        </w:rPr>
        <w:t>．预算管理。</w:t>
      </w:r>
    </w:p>
    <w:p w14:paraId="06961DD8">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楷体_GB2312" w:hAnsi="Times New Roman" w:eastAsia="楷体_GB2312" w:cs="楷体_GB2312"/>
          <w:kern w:val="0"/>
          <w:sz w:val="32"/>
          <w:szCs w:val="32"/>
          <w:shd w:val="clear" w:fill="FFFFFF"/>
          <w:lang w:val="en-US" w:eastAsia="zh-CN" w:bidi="ar"/>
        </w:rPr>
        <w:t>（</w:t>
      </w:r>
      <w:r>
        <w:rPr>
          <w:rFonts w:hint="default" w:ascii="Times New Roman" w:hAnsi="Times New Roman" w:eastAsia="楷体_GB2312" w:cs="Times New Roman"/>
          <w:kern w:val="0"/>
          <w:sz w:val="32"/>
          <w:szCs w:val="32"/>
          <w:shd w:val="clear" w:fill="FFFFFF"/>
          <w:lang w:val="en-US" w:eastAsia="zh-CN" w:bidi="ar"/>
        </w:rPr>
        <w:t>1</w:t>
      </w:r>
      <w:r>
        <w:rPr>
          <w:rFonts w:hint="eastAsia" w:ascii="楷体_GB2312" w:hAnsi="Times New Roman" w:eastAsia="楷体_GB2312" w:cs="楷体_GB2312"/>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预算编制质量</w:t>
      </w:r>
    </w:p>
    <w:p w14:paraId="25B7446B">
      <w:pPr>
        <w:keepNext w:val="0"/>
        <w:keepLines w:val="0"/>
        <w:widowControl w:val="0"/>
        <w:suppressLineNumbers w:val="0"/>
        <w:adjustRightInd w:val="0"/>
        <w:snapToGrid w:val="0"/>
        <w:spacing w:before="0" w:beforeAutospacing="0" w:after="0" w:afterAutospacing="0" w:line="578"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根据预算报表和决算报表，本部门财政拨款年初预算数为</w:t>
      </w:r>
    </w:p>
    <w:p w14:paraId="20D36E66">
      <w:pPr>
        <w:keepNext w:val="0"/>
        <w:keepLines w:val="0"/>
        <w:widowControl w:val="0"/>
        <w:suppressLineNumbers w:val="0"/>
        <w:adjustRightInd w:val="0"/>
        <w:snapToGrid w:val="0"/>
        <w:spacing w:before="0" w:beforeAutospacing="0" w:after="0" w:afterAutospacing="0" w:line="578" w:lineRule="exact"/>
        <w:ind w:left="0" w:right="0"/>
        <w:jc w:val="both"/>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2"/>
          <w:sz w:val="32"/>
          <w:szCs w:val="32"/>
          <w:lang w:val="en-US" w:eastAsia="zh-CN" w:bidi="ar"/>
        </w:rPr>
        <w:t>51372.51</w:t>
      </w:r>
      <w:r>
        <w:rPr>
          <w:rFonts w:hint="eastAsia" w:ascii="仿宋_GB2312" w:hAnsi="Times New Roman" w:eastAsia="仿宋_GB2312" w:cs="仿宋_GB2312"/>
          <w:kern w:val="0"/>
          <w:sz w:val="32"/>
          <w:szCs w:val="32"/>
          <w:shd w:val="clear" w:fill="FFFFFF"/>
          <w:lang w:val="en-US" w:eastAsia="zh-CN" w:bidi="ar"/>
        </w:rPr>
        <w:t>万元，财政拨款预算执行数为</w:t>
      </w:r>
      <w:r>
        <w:rPr>
          <w:rFonts w:hint="default" w:ascii="Times New Roman" w:hAnsi="Times New Roman" w:eastAsia="仿宋_GB2312" w:cs="Times New Roman"/>
          <w:kern w:val="2"/>
          <w:sz w:val="32"/>
          <w:szCs w:val="32"/>
          <w:lang w:val="en-US" w:eastAsia="zh-CN" w:bidi="ar"/>
        </w:rPr>
        <w:t>51372.51</w:t>
      </w:r>
      <w:r>
        <w:rPr>
          <w:rFonts w:hint="eastAsia" w:ascii="仿宋_GB2312" w:hAnsi="Times New Roman" w:eastAsia="仿宋_GB2312" w:cs="仿宋_GB2312"/>
          <w:kern w:val="0"/>
          <w:sz w:val="32"/>
          <w:szCs w:val="32"/>
          <w:shd w:val="clear" w:fill="FFFFFF"/>
          <w:lang w:val="en-US" w:eastAsia="zh-CN" w:bidi="ar"/>
        </w:rPr>
        <w:t>万元，财政拨款预算偏离度</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w:t>
      </w:r>
    </w:p>
    <w:p w14:paraId="1D01E437">
      <w:pPr>
        <w:keepNext w:val="0"/>
        <w:keepLines w:val="0"/>
        <w:widowControl w:val="0"/>
        <w:suppressLineNumbers w:val="0"/>
        <w:adjustRightInd w:val="0"/>
        <w:snapToGrid w:val="0"/>
        <w:spacing w:before="0" w:beforeAutospacing="0" w:after="0" w:afterAutospacing="0" w:line="580"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根据</w:t>
      </w:r>
      <w:r>
        <w:rPr>
          <w:rFonts w:hint="default" w:ascii="Times New Roman" w:hAnsi="Times New Roman" w:eastAsia="仿宋_GB2312" w:cs="Times New Roman"/>
          <w:kern w:val="0"/>
          <w:sz w:val="32"/>
          <w:szCs w:val="32"/>
          <w:shd w:val="clear" w:fill="FFFFFF"/>
          <w:lang w:val="en-US" w:eastAsia="zh-CN" w:bidi="ar"/>
        </w:rPr>
        <w:t>2025</w:t>
      </w:r>
      <w:r>
        <w:rPr>
          <w:rFonts w:hint="eastAsia" w:ascii="仿宋_GB2312" w:hAnsi="Times New Roman" w:eastAsia="仿宋_GB2312" w:cs="仿宋_GB2312"/>
          <w:kern w:val="0"/>
          <w:sz w:val="32"/>
          <w:szCs w:val="32"/>
          <w:shd w:val="clear" w:fill="FFFFFF"/>
          <w:lang w:val="en-US" w:eastAsia="zh-CN" w:bidi="ar"/>
        </w:rPr>
        <w:t>年资产配置全年执行表，本部门资产配置预算执</w:t>
      </w:r>
    </w:p>
    <w:p w14:paraId="4817A450">
      <w:pPr>
        <w:keepNext w:val="0"/>
        <w:keepLines w:val="0"/>
        <w:widowControl w:val="0"/>
        <w:suppressLineNumbers w:val="0"/>
        <w:adjustRightInd w:val="0"/>
        <w:snapToGrid w:val="0"/>
        <w:spacing w:before="0" w:beforeAutospacing="0" w:after="0" w:afterAutospacing="0" w:line="580"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行数为</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万元，剔除结转因素，资产配置年初预算数为</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万元，资产配置预算偏离度</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w:t>
      </w:r>
    </w:p>
    <w:p w14:paraId="003D3B6F">
      <w:pPr>
        <w:keepNext w:val="0"/>
        <w:keepLines w:val="0"/>
        <w:widowControl w:val="0"/>
        <w:suppressLineNumbers w:val="0"/>
        <w:adjustRightInd w:val="0"/>
        <w:snapToGrid w:val="0"/>
        <w:spacing w:before="0" w:beforeAutospacing="0" w:after="0" w:afterAutospacing="0" w:line="580"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根据本部门决算报表，本部门政府采购预算执行数为</w:t>
      </w:r>
      <w:r>
        <w:rPr>
          <w:rFonts w:hint="default" w:ascii="Times New Roman" w:hAnsi="Times New Roman" w:eastAsia="仿宋_GB2312" w:cs="Times New Roman"/>
          <w:kern w:val="0"/>
          <w:sz w:val="32"/>
          <w:szCs w:val="32"/>
          <w:shd w:val="clear" w:fill="FFFFFF"/>
          <w:lang w:val="en-US" w:eastAsia="zh-CN" w:bidi="ar"/>
        </w:rPr>
        <w:t>2735.15</w:t>
      </w:r>
      <w:r>
        <w:rPr>
          <w:rFonts w:hint="eastAsia" w:ascii="仿宋_GB2312" w:hAnsi="Times New Roman" w:eastAsia="仿宋_GB2312" w:cs="仿宋_GB2312"/>
          <w:kern w:val="0"/>
          <w:sz w:val="32"/>
          <w:szCs w:val="32"/>
          <w:shd w:val="clear" w:fill="FFFFFF"/>
          <w:lang w:val="en-US" w:eastAsia="zh-CN" w:bidi="ar"/>
        </w:rPr>
        <w:t>万元，</w:t>
      </w:r>
      <w:r>
        <w:rPr>
          <w:rFonts w:hint="default" w:ascii="Times New Roman" w:hAnsi="Times New Roman" w:eastAsia="仿宋_GB2312" w:cs="Times New Roman"/>
          <w:kern w:val="0"/>
          <w:sz w:val="32"/>
          <w:szCs w:val="32"/>
          <w:shd w:val="clear" w:fill="FFFFFF"/>
          <w:lang w:val="en-US" w:eastAsia="zh-CN" w:bidi="ar"/>
        </w:rPr>
        <w:t>2025</w:t>
      </w:r>
      <w:r>
        <w:rPr>
          <w:rFonts w:hint="eastAsia" w:ascii="仿宋_GB2312" w:hAnsi="Times New Roman" w:eastAsia="仿宋_GB2312" w:cs="仿宋_GB2312"/>
          <w:kern w:val="0"/>
          <w:sz w:val="32"/>
          <w:szCs w:val="32"/>
          <w:shd w:val="clear" w:fill="FFFFFF"/>
          <w:lang w:val="en-US" w:eastAsia="zh-CN" w:bidi="ar"/>
        </w:rPr>
        <w:t>年政府采购年初预算数为</w:t>
      </w:r>
      <w:r>
        <w:rPr>
          <w:rFonts w:hint="default" w:ascii="Times New Roman" w:hAnsi="Times New Roman" w:eastAsia="仿宋_GB2312" w:cs="Times New Roman"/>
          <w:kern w:val="0"/>
          <w:sz w:val="32"/>
          <w:szCs w:val="32"/>
          <w:shd w:val="clear" w:fill="FFFFFF"/>
          <w:lang w:val="en-US" w:eastAsia="zh-CN" w:bidi="ar"/>
        </w:rPr>
        <w:t>0</w:t>
      </w:r>
      <w:r>
        <w:rPr>
          <w:rFonts w:hint="eastAsia" w:ascii="仿宋_GB2312" w:hAnsi="Times New Roman" w:eastAsia="仿宋_GB2312" w:cs="仿宋_GB2312"/>
          <w:kern w:val="0"/>
          <w:sz w:val="32"/>
          <w:szCs w:val="32"/>
          <w:shd w:val="clear" w:fill="FFFFFF"/>
          <w:lang w:val="en-US" w:eastAsia="zh-CN" w:bidi="ar"/>
        </w:rPr>
        <w:t>万元。偏离度</w:t>
      </w:r>
      <w:r>
        <w:rPr>
          <w:rFonts w:hint="default" w:ascii="Times New Roman" w:hAnsi="Times New Roman" w:eastAsia="仿宋_GB2312" w:cs="Times New Roman"/>
          <w:kern w:val="0"/>
          <w:sz w:val="32"/>
          <w:szCs w:val="32"/>
          <w:shd w:val="clear" w:fill="FFFFFF"/>
          <w:lang w:val="en-US" w:eastAsia="zh-CN" w:bidi="ar"/>
        </w:rPr>
        <w:t>=1</w:t>
      </w:r>
    </w:p>
    <w:p w14:paraId="3E0C83D1">
      <w:pPr>
        <w:pStyle w:val="15"/>
        <w:keepNext w:val="0"/>
        <w:keepLines w:val="0"/>
        <w:widowControl w:val="0"/>
        <w:suppressLineNumbers w:val="0"/>
        <w:adjustRightInd w:val="0"/>
        <w:snapToGrid w:val="0"/>
        <w:spacing w:before="0" w:beforeAutospacing="1" w:after="0" w:afterAutospacing="1" w:line="580" w:lineRule="exact"/>
        <w:ind w:left="210" w:leftChars="100" w:right="0" w:firstLine="320" w:firstLineChars="100"/>
        <w:jc w:val="both"/>
        <w:rPr>
          <w:rFonts w:hint="eastAsia"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综上，根据评分标准，该项指标得分</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财政拨款预算偏</w:t>
      </w:r>
    </w:p>
    <w:p w14:paraId="16026CA6">
      <w:pPr>
        <w:pStyle w:val="15"/>
        <w:keepNext w:val="0"/>
        <w:keepLines w:val="0"/>
        <w:widowControl w:val="0"/>
        <w:suppressLineNumbers w:val="0"/>
        <w:adjustRightInd w:val="0"/>
        <w:snapToGrid w:val="0"/>
        <w:spacing w:before="0" w:beforeAutospacing="1" w:after="0" w:afterAutospacing="1" w:line="580" w:lineRule="exact"/>
        <w:ind w:left="0" w:leftChars="0" w:right="0" w:firstLine="0" w:firstLineChars="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0"/>
          <w:sz w:val="32"/>
          <w:szCs w:val="32"/>
          <w:shd w:val="clear" w:fill="FFFFFF"/>
          <w:lang w:val="en-US" w:eastAsia="zh-CN" w:bidi="ar"/>
        </w:rPr>
        <w:t>离度）×</w:t>
      </w:r>
      <w:r>
        <w:rPr>
          <w:rFonts w:hint="default" w:ascii="Times New Roman" w:hAnsi="Times New Roman" w:eastAsia="仿宋_GB2312" w:cs="Times New Roman"/>
          <w:kern w:val="0"/>
          <w:sz w:val="32"/>
          <w:szCs w:val="32"/>
          <w:shd w:val="clear" w:fill="FFFFFF"/>
          <w:lang w:val="en-US" w:eastAsia="zh-CN" w:bidi="ar"/>
        </w:rPr>
        <w:t>100%</w:t>
      </w: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4+</w:t>
      </w: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资产配置预算偏离度）×</w:t>
      </w:r>
      <w:r>
        <w:rPr>
          <w:rFonts w:hint="default" w:ascii="Times New Roman" w:hAnsi="Times New Roman" w:eastAsia="仿宋_GB2312" w:cs="Times New Roman"/>
          <w:kern w:val="0"/>
          <w:sz w:val="32"/>
          <w:szCs w:val="32"/>
          <w:shd w:val="clear" w:fill="FFFFFF"/>
          <w:lang w:val="en-US" w:eastAsia="zh-CN" w:bidi="ar"/>
        </w:rPr>
        <w:t>100%</w:t>
      </w: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政府采购预算偏离度）×</w:t>
      </w:r>
      <w:r>
        <w:rPr>
          <w:rFonts w:hint="default" w:ascii="Times New Roman" w:hAnsi="Times New Roman" w:eastAsia="仿宋_GB2312" w:cs="Times New Roman"/>
          <w:kern w:val="0"/>
          <w:sz w:val="32"/>
          <w:szCs w:val="32"/>
          <w:shd w:val="clear" w:fill="FFFFFF"/>
          <w:lang w:val="en-US" w:eastAsia="zh-CN" w:bidi="ar"/>
        </w:rPr>
        <w:t>100%</w:t>
      </w: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。该项指标扣</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分，得</w:t>
      </w:r>
      <w:r>
        <w:rPr>
          <w:rFonts w:hint="default" w:ascii="Times New Roman" w:hAnsi="Times New Roman" w:eastAsia="仿宋_GB2312" w:cs="Times New Roman"/>
          <w:kern w:val="0"/>
          <w:sz w:val="32"/>
          <w:szCs w:val="32"/>
          <w:shd w:val="clear" w:fill="FFFFFF"/>
          <w:lang w:val="en-US" w:eastAsia="zh-CN" w:bidi="ar"/>
        </w:rPr>
        <w:t>6</w:t>
      </w:r>
      <w:r>
        <w:rPr>
          <w:rFonts w:hint="eastAsia" w:ascii="仿宋_GB2312" w:hAnsi="Times New Roman" w:eastAsia="仿宋_GB2312" w:cs="仿宋_GB2312"/>
          <w:kern w:val="0"/>
          <w:sz w:val="32"/>
          <w:szCs w:val="32"/>
          <w:shd w:val="clear" w:fill="FFFFFF"/>
          <w:lang w:val="en-US" w:eastAsia="zh-CN" w:bidi="ar"/>
        </w:rPr>
        <w:t>分。</w:t>
      </w:r>
    </w:p>
    <w:p w14:paraId="1E99188C">
      <w:pPr>
        <w:keepNext w:val="0"/>
        <w:keepLines w:val="0"/>
        <w:widowControl w:val="0"/>
        <w:suppressLineNumbers w:val="0"/>
        <w:adjustRightInd w:val="0"/>
        <w:snapToGrid w:val="0"/>
        <w:spacing w:before="0" w:beforeAutospacing="0" w:after="0" w:afterAutospacing="0" w:line="580"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）单位收入统筹</w:t>
      </w:r>
    </w:p>
    <w:p w14:paraId="65CEF8F3">
      <w:pPr>
        <w:pStyle w:val="15"/>
        <w:keepNext w:val="0"/>
        <w:keepLines w:val="0"/>
        <w:widowControl w:val="0"/>
        <w:suppressLineNumbers w:val="0"/>
        <w:adjustRightInd w:val="0"/>
        <w:snapToGrid w:val="0"/>
        <w:spacing w:before="0" w:beforeAutospacing="1" w:after="0" w:afterAutospacing="1" w:line="580" w:lineRule="exact"/>
        <w:ind w:left="210" w:leftChars="10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本部门实行财政全额拨款，不涉及自有收入。该项指标</w:t>
      </w:r>
    </w:p>
    <w:p w14:paraId="74159CDD">
      <w:pPr>
        <w:pStyle w:val="15"/>
        <w:keepNext w:val="0"/>
        <w:keepLines w:val="0"/>
        <w:widowControl w:val="0"/>
        <w:suppressLineNumbers w:val="0"/>
        <w:adjustRightInd w:val="0"/>
        <w:snapToGrid w:val="0"/>
        <w:spacing w:before="0" w:beforeAutospacing="1" w:after="0" w:afterAutospacing="1" w:line="580" w:lineRule="exact"/>
        <w:ind w:left="0" w:leftChars="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0"/>
          <w:sz w:val="32"/>
          <w:szCs w:val="32"/>
          <w:shd w:val="clear" w:fill="FFFFFF"/>
          <w:lang w:val="en-US" w:eastAsia="zh-CN" w:bidi="ar"/>
        </w:rPr>
        <w:t>不扣分，得</w:t>
      </w:r>
      <w:r>
        <w:rPr>
          <w:rFonts w:hint="default" w:ascii="Times New Roman" w:hAnsi="Times New Roman" w:eastAsia="仿宋_GB2312" w:cs="Times New Roman"/>
          <w:kern w:val="0"/>
          <w:sz w:val="32"/>
          <w:szCs w:val="32"/>
          <w:shd w:val="clear" w:fill="FFFFFF"/>
          <w:lang w:val="en-US" w:eastAsia="zh-CN" w:bidi="ar"/>
        </w:rPr>
        <w:t>4.00</w:t>
      </w:r>
      <w:r>
        <w:rPr>
          <w:rFonts w:hint="eastAsia" w:ascii="仿宋_GB2312" w:hAnsi="Times New Roman" w:eastAsia="仿宋_GB2312" w:cs="仿宋_GB2312"/>
          <w:kern w:val="0"/>
          <w:sz w:val="32"/>
          <w:szCs w:val="32"/>
          <w:shd w:val="clear" w:fill="FFFFFF"/>
          <w:lang w:val="en-US" w:eastAsia="zh-CN" w:bidi="ar"/>
        </w:rPr>
        <w:t>分。</w:t>
      </w:r>
    </w:p>
    <w:p w14:paraId="6F8423CF">
      <w:pPr>
        <w:keepNext w:val="0"/>
        <w:keepLines w:val="0"/>
        <w:widowControl w:val="0"/>
        <w:suppressLineNumbers w:val="0"/>
        <w:adjustRightInd w:val="0"/>
        <w:snapToGrid w:val="0"/>
        <w:spacing w:before="0" w:beforeAutospacing="0" w:after="0" w:afterAutospacing="0" w:line="580"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）支出执行进度</w:t>
      </w:r>
    </w:p>
    <w:p w14:paraId="06B8F697">
      <w:pPr>
        <w:pStyle w:val="15"/>
        <w:keepNext w:val="0"/>
        <w:keepLines w:val="0"/>
        <w:widowControl w:val="0"/>
        <w:suppressLineNumbers w:val="0"/>
        <w:adjustRightInd w:val="0"/>
        <w:snapToGrid w:val="0"/>
        <w:spacing w:before="0" w:beforeAutospacing="1" w:after="0" w:afterAutospacing="1" w:line="580" w:lineRule="exact"/>
        <w:ind w:left="0" w:leftChars="0" w:right="0" w:firstLine="0" w:firstLineChars="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根据可执行情况表，本部门无支出违规金额。</w:t>
      </w:r>
    </w:p>
    <w:p w14:paraId="6B973D19">
      <w:pPr>
        <w:pStyle w:val="15"/>
        <w:keepNext w:val="0"/>
        <w:keepLines w:val="0"/>
        <w:widowControl w:val="0"/>
        <w:suppressLineNumbers w:val="0"/>
        <w:adjustRightInd w:val="0"/>
        <w:snapToGrid w:val="0"/>
        <w:spacing w:before="0" w:beforeAutospacing="1" w:after="0" w:afterAutospacing="1" w:line="580" w:lineRule="exact"/>
        <w:ind w:left="0" w:leftChars="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6</w:t>
      </w:r>
      <w:r>
        <w:rPr>
          <w:rFonts w:hint="eastAsia" w:ascii="仿宋_GB2312" w:hAnsi="Times New Roman" w:eastAsia="仿宋_GB2312" w:cs="仿宋_GB2312"/>
          <w:kern w:val="0"/>
          <w:sz w:val="32"/>
          <w:szCs w:val="32"/>
          <w:shd w:val="clear" w:fill="FFFFFF"/>
          <w:lang w:val="en-US" w:eastAsia="zh-CN" w:bidi="ar"/>
        </w:rPr>
        <w:t>分。</w:t>
      </w:r>
    </w:p>
    <w:p w14:paraId="34A93D66">
      <w:pPr>
        <w:keepNext w:val="0"/>
        <w:keepLines w:val="0"/>
        <w:widowControl w:val="0"/>
        <w:suppressLineNumbers w:val="0"/>
        <w:adjustRightInd w:val="0"/>
        <w:snapToGrid w:val="0"/>
        <w:spacing w:before="0" w:beforeAutospacing="0" w:after="0" w:afterAutospacing="0" w:line="580"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4</w:t>
      </w:r>
      <w:r>
        <w:rPr>
          <w:rFonts w:hint="eastAsia" w:ascii="仿宋_GB2312" w:hAnsi="Times New Roman" w:eastAsia="仿宋_GB2312" w:cs="仿宋_GB2312"/>
          <w:kern w:val="0"/>
          <w:sz w:val="32"/>
          <w:szCs w:val="32"/>
          <w:shd w:val="clear" w:fill="FFFFFF"/>
          <w:lang w:val="en-US" w:eastAsia="zh-CN" w:bidi="ar"/>
        </w:rPr>
        <w:t>）预算年终结余</w:t>
      </w:r>
    </w:p>
    <w:p w14:paraId="35CC35D0">
      <w:pPr>
        <w:keepNext w:val="0"/>
        <w:keepLines w:val="0"/>
        <w:widowControl w:val="0"/>
        <w:suppressLineNumbers w:val="0"/>
        <w:adjustRightInd w:val="0"/>
        <w:snapToGrid w:val="0"/>
        <w:spacing w:before="0" w:beforeAutospacing="0" w:after="0" w:afterAutospacing="0" w:line="580"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根据决算报表，本部门预算总金额为</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万元，年终部门</w:t>
      </w:r>
    </w:p>
    <w:p w14:paraId="4AC44754">
      <w:pPr>
        <w:keepNext w:val="0"/>
        <w:keepLines w:val="0"/>
        <w:widowControl w:val="0"/>
        <w:suppressLineNumbers w:val="0"/>
        <w:adjustRightInd w:val="0"/>
        <w:snapToGrid w:val="0"/>
        <w:spacing w:before="0" w:beforeAutospacing="0" w:after="0" w:afterAutospacing="0" w:line="580"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预算注销金额为</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万元，结转金额为</w:t>
      </w:r>
      <w:r>
        <w:rPr>
          <w:rFonts w:hint="default" w:ascii="Times New Roman" w:hAnsi="Times New Roman" w:eastAsia="仿宋_GB2312" w:cs="Times New Roman"/>
          <w:kern w:val="2"/>
          <w:sz w:val="32"/>
          <w:szCs w:val="32"/>
          <w:lang w:val="en-US" w:eastAsia="zh-CN" w:bidi="ar"/>
        </w:rPr>
        <w:t>0.00</w:t>
      </w:r>
      <w:r>
        <w:rPr>
          <w:rFonts w:hint="eastAsia" w:ascii="仿宋_GB2312" w:hAnsi="Times New Roman" w:eastAsia="仿宋_GB2312" w:cs="仿宋_GB2312"/>
          <w:kern w:val="2"/>
          <w:sz w:val="32"/>
          <w:szCs w:val="32"/>
          <w:lang w:val="en-US" w:eastAsia="zh-CN" w:bidi="ar"/>
        </w:rPr>
        <w:t>万元</w:t>
      </w:r>
      <w:r>
        <w:rPr>
          <w:rFonts w:hint="eastAsia" w:ascii="仿宋_GB2312" w:hAnsi="Times New Roman" w:eastAsia="仿宋_GB2312" w:cs="仿宋_GB2312"/>
          <w:kern w:val="0"/>
          <w:sz w:val="32"/>
          <w:szCs w:val="32"/>
          <w:shd w:val="clear" w:fill="FFFFFF"/>
          <w:lang w:val="en-US" w:eastAsia="zh-CN" w:bidi="ar"/>
        </w:rPr>
        <w:t>，合计</w:t>
      </w:r>
      <w:r>
        <w:rPr>
          <w:rFonts w:hint="default" w:ascii="Times New Roman" w:hAnsi="Times New Roman" w:eastAsia="仿宋_GB2312" w:cs="Times New Roman"/>
          <w:kern w:val="2"/>
          <w:sz w:val="32"/>
          <w:szCs w:val="32"/>
          <w:lang w:val="en-US" w:eastAsia="zh-CN" w:bidi="ar"/>
        </w:rPr>
        <w:t>0.00</w:t>
      </w:r>
      <w:r>
        <w:rPr>
          <w:rFonts w:hint="eastAsia" w:ascii="仿宋_GB2312" w:hAnsi="Times New Roman" w:eastAsia="仿宋_GB2312" w:cs="仿宋_GB2312"/>
          <w:kern w:val="0"/>
          <w:sz w:val="32"/>
          <w:szCs w:val="32"/>
          <w:shd w:val="clear" w:fill="FFFFFF"/>
          <w:lang w:val="en-US" w:eastAsia="zh-CN" w:bidi="ar"/>
        </w:rPr>
        <w:t>万元，占比为</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w:t>
      </w:r>
    </w:p>
    <w:p w14:paraId="008A81C5">
      <w:pPr>
        <w:pStyle w:val="15"/>
        <w:keepNext w:val="0"/>
        <w:keepLines w:val="0"/>
        <w:widowControl w:val="0"/>
        <w:suppressLineNumbers w:val="0"/>
        <w:adjustRightInd w:val="0"/>
        <w:snapToGrid w:val="0"/>
        <w:spacing w:before="0" w:beforeAutospacing="1" w:after="0" w:afterAutospacing="1" w:line="580" w:lineRule="exact"/>
        <w:ind w:left="0" w:leftChars="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分。</w:t>
      </w:r>
    </w:p>
    <w:p w14:paraId="2086A17E">
      <w:pPr>
        <w:keepNext w:val="0"/>
        <w:keepLines w:val="0"/>
        <w:widowControl w:val="0"/>
        <w:suppressLineNumbers w:val="0"/>
        <w:adjustRightInd w:val="0"/>
        <w:snapToGrid w:val="0"/>
        <w:spacing w:before="0" w:beforeAutospacing="0" w:after="0" w:afterAutospacing="0" w:line="580"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5</w:t>
      </w:r>
      <w:r>
        <w:rPr>
          <w:rFonts w:hint="eastAsia" w:ascii="仿宋_GB2312" w:hAnsi="Times New Roman" w:eastAsia="仿宋_GB2312" w:cs="仿宋_GB2312"/>
          <w:kern w:val="0"/>
          <w:sz w:val="32"/>
          <w:szCs w:val="32"/>
          <w:shd w:val="clear" w:fill="FFFFFF"/>
          <w:lang w:val="en-US" w:eastAsia="zh-CN" w:bidi="ar"/>
        </w:rPr>
        <w:t>）严控一般性支出</w:t>
      </w:r>
    </w:p>
    <w:p w14:paraId="2E7BEDFA">
      <w:pPr>
        <w:keepNext w:val="0"/>
        <w:keepLines w:val="0"/>
        <w:widowControl w:val="0"/>
        <w:suppressLineNumbers w:val="0"/>
        <w:adjustRightInd w:val="0"/>
        <w:snapToGrid w:val="0"/>
        <w:spacing w:before="0" w:beforeAutospacing="0" w:after="0" w:afterAutospacing="0" w:line="580" w:lineRule="exact"/>
        <w:ind w:left="210" w:leftChars="100" w:right="0" w:firstLine="320" w:firstLineChars="100"/>
        <w:jc w:val="both"/>
        <w:rPr>
          <w:rFonts w:hint="eastAsia"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三公</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经费、会议费、培训费、差旅费、办节办展经</w:t>
      </w:r>
    </w:p>
    <w:p w14:paraId="43D26619">
      <w:pPr>
        <w:keepNext w:val="0"/>
        <w:keepLines w:val="0"/>
        <w:widowControl w:val="0"/>
        <w:suppressLineNumbers w:val="0"/>
        <w:adjustRightInd w:val="0"/>
        <w:snapToGrid w:val="0"/>
        <w:spacing w:before="0" w:beforeAutospacing="0" w:after="0" w:afterAutospacing="0" w:line="580"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费、办公设备购置费、信息网络及软件购置更新经费、课题费等</w:t>
      </w:r>
      <w:r>
        <w:rPr>
          <w:rFonts w:hint="default" w:ascii="Times New Roman" w:hAnsi="Times New Roman" w:eastAsia="仿宋_GB2312" w:cs="Times New Roman"/>
          <w:kern w:val="0"/>
          <w:sz w:val="32"/>
          <w:szCs w:val="32"/>
          <w:shd w:val="clear" w:fill="FFFFFF"/>
          <w:lang w:val="en-US" w:eastAsia="zh-CN" w:bidi="ar"/>
        </w:rPr>
        <w:t>8</w:t>
      </w:r>
      <w:r>
        <w:rPr>
          <w:rFonts w:hint="eastAsia" w:ascii="仿宋_GB2312" w:hAnsi="Times New Roman" w:eastAsia="仿宋_GB2312" w:cs="仿宋_GB2312"/>
          <w:kern w:val="0"/>
          <w:sz w:val="32"/>
          <w:szCs w:val="32"/>
          <w:shd w:val="clear" w:fill="FFFFFF"/>
          <w:lang w:val="en-US" w:eastAsia="zh-CN" w:bidi="ar"/>
        </w:rPr>
        <w:t>项一般性支出情况如下：</w:t>
      </w:r>
    </w:p>
    <w:p w14:paraId="54EB57E5">
      <w:pPr>
        <w:pStyle w:val="15"/>
        <w:keepNext w:val="0"/>
        <w:keepLines w:val="0"/>
        <w:widowControl w:val="0"/>
        <w:suppressLineNumbers w:val="0"/>
        <w:spacing w:before="0" w:beforeAutospacing="1" w:after="0" w:afterAutospacing="1" w:line="560" w:lineRule="exact"/>
        <w:ind w:left="0" w:leftChars="0" w:right="0" w:firstLine="640" w:firstLineChars="200"/>
        <w:jc w:val="both"/>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lang w:val="en-US" w:eastAsia="zh-CN" w:bidi="ar"/>
        </w:rPr>
        <w:t>2025</w:t>
      </w:r>
      <w:r>
        <w:rPr>
          <w:rFonts w:hint="eastAsia" w:ascii="仿宋_GB2312" w:hAnsi="Times New Roman" w:eastAsia="仿宋_GB2312" w:cs="仿宋_GB2312"/>
          <w:kern w:val="0"/>
          <w:sz w:val="32"/>
          <w:szCs w:val="32"/>
          <w:shd w:val="clear" w:fill="FFFFFF"/>
          <w:lang w:val="en-US" w:eastAsia="zh-CN" w:bidi="ar"/>
        </w:rPr>
        <w:t>年本部门</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三公</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经费</w:t>
      </w:r>
      <w:r>
        <w:rPr>
          <w:rFonts w:hint="default" w:ascii="Times New Roman" w:hAnsi="Times New Roman" w:eastAsia="仿宋_GB2312" w:cs="Times New Roman"/>
          <w:kern w:val="0"/>
          <w:sz w:val="32"/>
          <w:szCs w:val="32"/>
          <w:shd w:val="clear" w:fill="FFFFFF"/>
          <w:lang w:val="en-US" w:eastAsia="zh-CN" w:bidi="ar"/>
        </w:rPr>
        <w:t>100.61</w:t>
      </w:r>
      <w:r>
        <w:rPr>
          <w:rFonts w:hint="eastAsia" w:ascii="仿宋_GB2312" w:hAnsi="Times New Roman" w:eastAsia="仿宋_GB2312" w:cs="仿宋_GB2312"/>
          <w:kern w:val="0"/>
          <w:sz w:val="32"/>
          <w:szCs w:val="32"/>
          <w:shd w:val="clear" w:fill="FFFFFF"/>
          <w:lang w:val="en-US" w:eastAsia="zh-CN" w:bidi="ar"/>
        </w:rPr>
        <w:t>万元、会议费</w:t>
      </w:r>
      <w:r>
        <w:rPr>
          <w:rFonts w:hint="default" w:ascii="Times New Roman" w:hAnsi="Times New Roman" w:eastAsia="仿宋_GB2312" w:cs="Times New Roman"/>
          <w:kern w:val="0"/>
          <w:sz w:val="32"/>
          <w:szCs w:val="32"/>
          <w:shd w:val="clear" w:fill="FFFFFF"/>
          <w:lang w:val="en-US" w:eastAsia="zh-CN" w:bidi="ar"/>
        </w:rPr>
        <w:t>2.12</w:t>
      </w:r>
      <w:r>
        <w:rPr>
          <w:rFonts w:hint="eastAsia" w:ascii="仿宋_GB2312" w:hAnsi="Times New Roman" w:eastAsia="仿宋_GB2312" w:cs="仿宋_GB2312"/>
          <w:kern w:val="0"/>
          <w:sz w:val="32"/>
          <w:szCs w:val="32"/>
          <w:shd w:val="clear" w:fill="FFFFFF"/>
          <w:lang w:val="en-US" w:eastAsia="zh-CN" w:bidi="ar"/>
        </w:rPr>
        <w:t>万元、培训费</w:t>
      </w:r>
      <w:r>
        <w:rPr>
          <w:rFonts w:hint="default" w:ascii="Times New Roman" w:hAnsi="Times New Roman" w:eastAsia="仿宋_GB2312" w:cs="Times New Roman"/>
          <w:kern w:val="0"/>
          <w:sz w:val="32"/>
          <w:szCs w:val="32"/>
          <w:shd w:val="clear" w:fill="FFFFFF"/>
          <w:lang w:val="en-US" w:eastAsia="zh-CN" w:bidi="ar"/>
        </w:rPr>
        <w:t>10.73</w:t>
      </w:r>
      <w:r>
        <w:rPr>
          <w:rFonts w:hint="eastAsia" w:ascii="仿宋_GB2312" w:hAnsi="Times New Roman" w:eastAsia="仿宋_GB2312" w:cs="仿宋_GB2312"/>
          <w:kern w:val="0"/>
          <w:sz w:val="32"/>
          <w:szCs w:val="32"/>
          <w:shd w:val="clear" w:fill="FFFFFF"/>
          <w:lang w:val="en-US" w:eastAsia="zh-CN" w:bidi="ar"/>
        </w:rPr>
        <w:t>万元、差旅费</w:t>
      </w:r>
      <w:r>
        <w:rPr>
          <w:rFonts w:hint="default" w:ascii="Times New Roman" w:hAnsi="Times New Roman" w:eastAsia="仿宋_GB2312" w:cs="Times New Roman"/>
          <w:kern w:val="0"/>
          <w:sz w:val="32"/>
          <w:szCs w:val="32"/>
          <w:shd w:val="clear" w:fill="FFFFFF"/>
          <w:lang w:val="en-US" w:eastAsia="zh-CN" w:bidi="ar"/>
        </w:rPr>
        <w:t>193.93</w:t>
      </w:r>
      <w:r>
        <w:rPr>
          <w:rFonts w:hint="eastAsia" w:ascii="仿宋_GB2312" w:hAnsi="Times New Roman" w:eastAsia="仿宋_GB2312" w:cs="仿宋_GB2312"/>
          <w:kern w:val="0"/>
          <w:sz w:val="32"/>
          <w:szCs w:val="32"/>
          <w:shd w:val="clear" w:fill="FFFFFF"/>
          <w:lang w:val="en-US" w:eastAsia="zh-CN" w:bidi="ar"/>
        </w:rPr>
        <w:t>万元。</w:t>
      </w:r>
      <w:r>
        <w:rPr>
          <w:rFonts w:hint="default" w:ascii="Times New Roman" w:hAnsi="Times New Roman" w:eastAsia="仿宋_GB2312" w:cs="Times New Roman"/>
          <w:kern w:val="0"/>
          <w:sz w:val="32"/>
          <w:szCs w:val="32"/>
          <w:shd w:val="clear" w:fill="FFFFFF"/>
          <w:lang w:val="en-US" w:eastAsia="zh-CN" w:bidi="ar"/>
        </w:rPr>
        <w:t>2025</w:t>
      </w:r>
      <w:r>
        <w:rPr>
          <w:rFonts w:hint="eastAsia" w:ascii="仿宋_GB2312" w:hAnsi="Times New Roman" w:eastAsia="仿宋_GB2312" w:cs="仿宋_GB2312"/>
          <w:kern w:val="0"/>
          <w:sz w:val="32"/>
          <w:szCs w:val="32"/>
          <w:shd w:val="clear" w:fill="FFFFFF"/>
          <w:lang w:val="en-US" w:eastAsia="zh-CN" w:bidi="ar"/>
        </w:rPr>
        <w:t>年度财政拨款预算执行数较</w:t>
      </w:r>
      <w:r>
        <w:rPr>
          <w:rFonts w:hint="default" w:ascii="Times New Roman" w:hAnsi="Times New Roman" w:eastAsia="仿宋_GB2312" w:cs="Times New Roman"/>
          <w:kern w:val="0"/>
          <w:sz w:val="32"/>
          <w:szCs w:val="32"/>
          <w:shd w:val="clear" w:fill="FFFFFF"/>
          <w:lang w:val="en-US" w:eastAsia="zh-CN" w:bidi="ar"/>
        </w:rPr>
        <w:t>2024</w:t>
      </w:r>
      <w:r>
        <w:rPr>
          <w:rFonts w:hint="eastAsia" w:ascii="仿宋_GB2312" w:hAnsi="Times New Roman" w:eastAsia="仿宋_GB2312" w:cs="仿宋_GB2312"/>
          <w:kern w:val="0"/>
          <w:sz w:val="32"/>
          <w:szCs w:val="32"/>
          <w:shd w:val="clear" w:fill="FFFFFF"/>
          <w:lang w:val="en-US" w:eastAsia="zh-CN" w:bidi="ar"/>
        </w:rPr>
        <w:t>年度财政拨款预算执行数增多</w:t>
      </w:r>
      <w:r>
        <w:rPr>
          <w:rFonts w:hint="eastAsia" w:ascii="仿宋_GB2312" w:hAnsi="Times New Roman" w:eastAsia="仿宋_GB2312" w:cs="仿宋_GB2312"/>
          <w:kern w:val="2"/>
          <w:sz w:val="32"/>
          <w:szCs w:val="32"/>
          <w:lang w:val="en-US" w:eastAsia="zh-CN" w:bidi="ar"/>
        </w:rPr>
        <w:t>。</w:t>
      </w:r>
    </w:p>
    <w:p w14:paraId="0DA3C2C2">
      <w:pPr>
        <w:pStyle w:val="15"/>
        <w:keepNext w:val="0"/>
        <w:keepLines w:val="0"/>
        <w:widowControl w:val="0"/>
        <w:suppressLineNumbers w:val="0"/>
        <w:spacing w:before="0" w:beforeAutospacing="1" w:after="0" w:afterAutospacing="1" w:line="578" w:lineRule="exact"/>
        <w:ind w:left="0" w:leftChars="0" w:right="0" w:firstLine="640" w:firstLineChars="200"/>
        <w:jc w:val="both"/>
        <w:rPr>
          <w:rFonts w:hint="default" w:ascii="Times New Roman" w:hAnsi="Times New Roman" w:eastAsia="楷体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综上，根据评分标准，该项指标扣</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分，得</w:t>
      </w: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分。</w:t>
      </w:r>
    </w:p>
    <w:p w14:paraId="5E428696">
      <w:pPr>
        <w:keepNext w:val="0"/>
        <w:keepLines w:val="0"/>
        <w:widowControl w:val="0"/>
        <w:suppressLineNumbers w:val="0"/>
        <w:adjustRightInd w:val="0"/>
        <w:snapToGrid w:val="0"/>
        <w:spacing w:before="0" w:beforeAutospacing="0" w:after="0" w:afterAutospacing="0" w:line="578" w:lineRule="exact"/>
        <w:ind w:left="0" w:right="0" w:firstLine="640" w:firstLineChars="200"/>
        <w:contextualSpacing/>
        <w:jc w:val="left"/>
        <w:outlineLvl w:val="2"/>
        <w:rPr>
          <w:rFonts w:hint="default" w:ascii="Times New Roman" w:hAnsi="Times New Roman" w:eastAsia="楷体_GB2312" w:cs="Times New Roman"/>
          <w:kern w:val="0"/>
          <w:sz w:val="32"/>
          <w:szCs w:val="32"/>
          <w:shd w:val="clear" w:fill="FFFFFF"/>
        </w:rPr>
      </w:pPr>
      <w:r>
        <w:rPr>
          <w:rFonts w:hint="default" w:ascii="Times New Roman" w:hAnsi="Times New Roman" w:eastAsia="楷体_GB2312" w:cs="Times New Roman"/>
          <w:kern w:val="0"/>
          <w:sz w:val="32"/>
          <w:szCs w:val="32"/>
          <w:shd w:val="clear" w:fill="FFFFFF"/>
          <w:lang w:val="en-US" w:eastAsia="zh-CN" w:bidi="ar"/>
        </w:rPr>
        <w:t>3</w:t>
      </w:r>
      <w:r>
        <w:rPr>
          <w:rFonts w:hint="eastAsia" w:ascii="楷体_GB2312" w:hAnsi="Times New Roman" w:eastAsia="楷体_GB2312" w:cs="楷体_GB2312"/>
          <w:kern w:val="0"/>
          <w:sz w:val="32"/>
          <w:szCs w:val="32"/>
          <w:shd w:val="clear" w:fill="FFFFFF"/>
          <w:lang w:val="en-US" w:eastAsia="zh-CN" w:bidi="ar"/>
        </w:rPr>
        <w:t>．财务管理。</w:t>
      </w:r>
    </w:p>
    <w:p w14:paraId="1AABBF83">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）财务管理制度</w:t>
      </w:r>
    </w:p>
    <w:p w14:paraId="1B9F2B2B">
      <w:pPr>
        <w:keepNext w:val="0"/>
        <w:keepLines w:val="0"/>
        <w:widowControl w:val="0"/>
        <w:suppressLineNumbers w:val="0"/>
        <w:adjustRightInd w:val="0"/>
        <w:snapToGrid w:val="0"/>
        <w:spacing w:before="0" w:beforeAutospacing="0" w:after="0" w:afterAutospacing="0" w:line="578"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本部门已建立《财务管理办法》《重大经济事项决策管理办</w:t>
      </w:r>
    </w:p>
    <w:p w14:paraId="4B411954">
      <w:pPr>
        <w:keepNext w:val="0"/>
        <w:keepLines w:val="0"/>
        <w:widowControl w:val="0"/>
        <w:suppressLineNumbers w:val="0"/>
        <w:adjustRightInd w:val="0"/>
        <w:snapToGrid w:val="0"/>
        <w:spacing w:before="0" w:beforeAutospacing="0" w:after="0" w:afterAutospacing="0" w:line="578"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法》《政府采购管理办法》等财务管理制度，并将制度严格落到实处。</w:t>
      </w:r>
    </w:p>
    <w:p w14:paraId="7430E4CE">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楷体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4</w:t>
      </w:r>
      <w:r>
        <w:rPr>
          <w:rFonts w:hint="eastAsia" w:ascii="仿宋_GB2312" w:hAnsi="Times New Roman" w:eastAsia="仿宋_GB2312" w:cs="仿宋_GB2312"/>
          <w:kern w:val="0"/>
          <w:sz w:val="32"/>
          <w:szCs w:val="32"/>
          <w:shd w:val="clear" w:fill="FFFFFF"/>
          <w:lang w:val="en-US" w:eastAsia="zh-CN" w:bidi="ar"/>
        </w:rPr>
        <w:t>分。</w:t>
      </w:r>
    </w:p>
    <w:p w14:paraId="3455C403">
      <w:pPr>
        <w:keepNext w:val="0"/>
        <w:keepLines w:val="0"/>
        <w:widowControl w:val="0"/>
        <w:numPr>
          <w:ilvl w:val="0"/>
          <w:numId w:val="4"/>
        </w:numPr>
        <w:suppressLineNumbers w:val="0"/>
        <w:adjustRightInd w:val="0"/>
        <w:snapToGrid w:val="0"/>
        <w:spacing w:before="0" w:beforeAutospacing="0" w:after="0" w:afterAutospacing="0" w:line="578"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财务岗位设置</w:t>
      </w:r>
    </w:p>
    <w:p w14:paraId="066D4E53">
      <w:pPr>
        <w:keepNext w:val="0"/>
        <w:keepLines w:val="0"/>
        <w:widowControl w:val="0"/>
        <w:suppressLineNumbers w:val="0"/>
        <w:adjustRightInd w:val="0"/>
        <w:snapToGrid w:val="0"/>
        <w:spacing w:before="0" w:beforeAutospacing="0" w:after="0" w:afterAutospacing="0" w:line="578" w:lineRule="exact"/>
        <w:ind w:left="210" w:leftChars="100" w:right="0" w:firstLine="320" w:firstLineChars="100"/>
        <w:jc w:val="left"/>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本部门已合理设置财务工作岗位，明确职责权限，并严格实</w:t>
      </w:r>
    </w:p>
    <w:p w14:paraId="61AB6138">
      <w:pPr>
        <w:keepNext w:val="0"/>
        <w:keepLines w:val="0"/>
        <w:widowControl w:val="0"/>
        <w:suppressLineNumbers w:val="0"/>
        <w:adjustRightInd w:val="0"/>
        <w:snapToGrid w:val="0"/>
        <w:spacing w:before="0" w:beforeAutospacing="0" w:after="0" w:afterAutospacing="0" w:line="578" w:lineRule="exact"/>
        <w:ind w:left="0" w:right="0"/>
        <w:jc w:val="left"/>
        <w:rPr>
          <w:rFonts w:hint="default" w:ascii="Times New Roman" w:hAnsi="Times New Roman" w:eastAsia="仿宋_GB2312" w:cs="Times New Roman"/>
          <w:kern w:val="0"/>
          <w:sz w:val="28"/>
          <w:szCs w:val="28"/>
          <w:shd w:val="clear" w:fill="FFFFFF"/>
        </w:rPr>
      </w:pPr>
      <w:r>
        <w:rPr>
          <w:rFonts w:hint="eastAsia" w:ascii="仿宋_GB2312" w:hAnsi="Times New Roman" w:eastAsia="仿宋_GB2312" w:cs="仿宋_GB2312"/>
          <w:kern w:val="0"/>
          <w:sz w:val="32"/>
          <w:szCs w:val="32"/>
          <w:shd w:val="clear" w:fill="FFFFFF"/>
          <w:lang w:val="en-US" w:eastAsia="zh-CN" w:bidi="ar"/>
        </w:rPr>
        <w:t>行不相容岗位分离，岗位间职责清晰，各岗位按照工作流程有序进行。</w:t>
      </w:r>
    </w:p>
    <w:p w14:paraId="7C4DFA49">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分。</w:t>
      </w:r>
    </w:p>
    <w:p w14:paraId="2FE5F1FE">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）资金使用规范</w:t>
      </w:r>
    </w:p>
    <w:p w14:paraId="008B9E06">
      <w:pPr>
        <w:keepNext w:val="0"/>
        <w:keepLines w:val="0"/>
        <w:widowControl w:val="0"/>
        <w:suppressLineNumbers w:val="0"/>
        <w:adjustRightInd w:val="0"/>
        <w:snapToGrid w:val="0"/>
        <w:spacing w:before="0" w:beforeAutospacing="0" w:after="0" w:afterAutospacing="0" w:line="578"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本部门资金严格按照《财务管理办法》《重大经济事项决策</w:t>
      </w:r>
    </w:p>
    <w:p w14:paraId="0A79E534">
      <w:pPr>
        <w:keepNext w:val="0"/>
        <w:keepLines w:val="0"/>
        <w:widowControl w:val="0"/>
        <w:suppressLineNumbers w:val="0"/>
        <w:adjustRightInd w:val="0"/>
        <w:snapToGrid w:val="0"/>
        <w:spacing w:before="0" w:beforeAutospacing="0" w:after="0" w:afterAutospacing="0" w:line="578"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管理办法》《项目预算绩效管理办法》等相关办法进行使用，坚持量入为出、确保重点、厉行节约、注重实效、重大经济事项支出由集体决策研究决定的原则，保证资金使用合法合规。</w:t>
      </w:r>
    </w:p>
    <w:p w14:paraId="78FD9CB8">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4</w:t>
      </w:r>
      <w:r>
        <w:rPr>
          <w:rFonts w:hint="eastAsia" w:ascii="仿宋_GB2312" w:hAnsi="Times New Roman" w:eastAsia="仿宋_GB2312" w:cs="仿宋_GB2312"/>
          <w:kern w:val="0"/>
          <w:sz w:val="32"/>
          <w:szCs w:val="32"/>
          <w:shd w:val="clear" w:fill="FFFFFF"/>
          <w:lang w:val="en-US" w:eastAsia="zh-CN" w:bidi="ar"/>
        </w:rPr>
        <w:t>分。</w:t>
      </w:r>
    </w:p>
    <w:p w14:paraId="048D21B6">
      <w:pPr>
        <w:keepNext w:val="0"/>
        <w:keepLines w:val="0"/>
        <w:widowControl w:val="0"/>
        <w:suppressLineNumbers w:val="0"/>
        <w:adjustRightInd w:val="0"/>
        <w:snapToGrid w:val="0"/>
        <w:spacing w:before="0" w:beforeAutospacing="0" w:after="0" w:afterAutospacing="0" w:line="578" w:lineRule="exact"/>
        <w:ind w:left="0" w:right="0" w:firstLine="640" w:firstLineChars="200"/>
        <w:contextualSpacing/>
        <w:jc w:val="left"/>
        <w:outlineLvl w:val="2"/>
        <w:rPr>
          <w:rFonts w:hint="default" w:ascii="Times New Roman" w:hAnsi="Times New Roman" w:eastAsia="楷体_GB2312" w:cs="Times New Roman"/>
          <w:kern w:val="0"/>
          <w:sz w:val="32"/>
          <w:szCs w:val="32"/>
          <w:shd w:val="clear" w:fill="FFFFFF"/>
        </w:rPr>
      </w:pPr>
      <w:r>
        <w:rPr>
          <w:rFonts w:hint="default" w:ascii="Times New Roman" w:hAnsi="Times New Roman" w:eastAsia="楷体_GB2312" w:cs="Times New Roman"/>
          <w:kern w:val="0"/>
          <w:sz w:val="32"/>
          <w:szCs w:val="32"/>
          <w:shd w:val="clear" w:fill="FFFFFF"/>
          <w:lang w:val="en-US" w:eastAsia="zh-CN" w:bidi="ar"/>
        </w:rPr>
        <w:t>4</w:t>
      </w:r>
      <w:r>
        <w:rPr>
          <w:rFonts w:hint="eastAsia" w:ascii="楷体_GB2312" w:hAnsi="Times New Roman" w:eastAsia="楷体_GB2312" w:cs="楷体_GB2312"/>
          <w:kern w:val="0"/>
          <w:sz w:val="32"/>
          <w:szCs w:val="32"/>
          <w:shd w:val="clear" w:fill="FFFFFF"/>
          <w:lang w:val="en-US" w:eastAsia="zh-CN" w:bidi="ar"/>
        </w:rPr>
        <w:t>．资产管理。</w:t>
      </w:r>
    </w:p>
    <w:p w14:paraId="6A6EE970">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）人均资产变化率</w:t>
      </w:r>
    </w:p>
    <w:p w14:paraId="5FBAD813">
      <w:pPr>
        <w:keepNext w:val="0"/>
        <w:keepLines w:val="0"/>
        <w:widowControl w:val="0"/>
        <w:suppressLineNumbers w:val="0"/>
        <w:adjustRightInd w:val="0"/>
        <w:snapToGrid w:val="0"/>
        <w:spacing w:before="0" w:beforeAutospacing="0" w:after="0" w:afterAutospacing="0" w:line="576"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根据决算报表和国有资产年报表，本部门</w:t>
      </w:r>
      <w:r>
        <w:rPr>
          <w:rFonts w:hint="default" w:ascii="Times New Roman" w:hAnsi="Times New Roman" w:eastAsia="仿宋_GB2312" w:cs="Times New Roman"/>
          <w:kern w:val="0"/>
          <w:sz w:val="32"/>
          <w:szCs w:val="32"/>
          <w:shd w:val="clear" w:fill="FFFFFF"/>
          <w:lang w:val="en-US" w:eastAsia="zh-CN" w:bidi="ar"/>
        </w:rPr>
        <w:t>2024</w:t>
      </w:r>
      <w:r>
        <w:rPr>
          <w:rFonts w:hint="eastAsia" w:ascii="仿宋_GB2312" w:hAnsi="Times New Roman" w:eastAsia="仿宋_GB2312" w:cs="仿宋_GB2312"/>
          <w:kern w:val="0"/>
          <w:sz w:val="32"/>
          <w:szCs w:val="32"/>
          <w:shd w:val="clear" w:fill="FFFFFF"/>
          <w:lang w:val="en-US" w:eastAsia="zh-CN" w:bidi="ar"/>
        </w:rPr>
        <w:t>年末实有人</w:t>
      </w:r>
    </w:p>
    <w:p w14:paraId="6ED113B6">
      <w:pPr>
        <w:keepNext w:val="0"/>
        <w:keepLines w:val="0"/>
        <w:widowControl w:val="0"/>
        <w:suppressLineNumbers w:val="0"/>
        <w:adjustRightInd w:val="0"/>
        <w:snapToGrid w:val="0"/>
        <w:spacing w:before="0" w:beforeAutospacing="0" w:after="0" w:afterAutospacing="0" w:line="576"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数为</w:t>
      </w:r>
      <w:r>
        <w:rPr>
          <w:rFonts w:hint="default" w:ascii="Times New Roman" w:hAnsi="Times New Roman" w:eastAsia="仿宋_GB2312" w:cs="Times New Roman"/>
          <w:kern w:val="0"/>
          <w:sz w:val="32"/>
          <w:szCs w:val="32"/>
          <w:shd w:val="clear" w:fill="FFFFFF"/>
          <w:lang w:val="en-US" w:eastAsia="zh-CN" w:bidi="ar"/>
        </w:rPr>
        <w:t>106</w:t>
      </w:r>
      <w:r>
        <w:rPr>
          <w:rFonts w:hint="eastAsia" w:ascii="仿宋_GB2312" w:hAnsi="Times New Roman" w:eastAsia="仿宋_GB2312" w:cs="仿宋_GB2312"/>
          <w:kern w:val="0"/>
          <w:sz w:val="32"/>
          <w:szCs w:val="32"/>
          <w:shd w:val="clear" w:fill="FFFFFF"/>
          <w:lang w:val="en-US" w:eastAsia="zh-CN" w:bidi="ar"/>
        </w:rPr>
        <w:t>人，固定资产和无形资产净值合计</w:t>
      </w:r>
      <w:r>
        <w:rPr>
          <w:rFonts w:hint="default" w:ascii="Times New Roman" w:hAnsi="Times New Roman" w:eastAsia="仿宋_GB2312" w:cs="Times New Roman"/>
          <w:kern w:val="0"/>
          <w:sz w:val="32"/>
          <w:szCs w:val="32"/>
          <w:shd w:val="clear" w:fill="FFFFFF"/>
          <w:lang w:val="en-US" w:eastAsia="zh-CN" w:bidi="ar"/>
        </w:rPr>
        <w:t>455.07</w:t>
      </w:r>
      <w:r>
        <w:rPr>
          <w:rFonts w:hint="eastAsia" w:ascii="仿宋_GB2312" w:hAnsi="Times New Roman" w:eastAsia="仿宋_GB2312" w:cs="仿宋_GB2312"/>
          <w:kern w:val="0"/>
          <w:sz w:val="32"/>
          <w:szCs w:val="32"/>
          <w:shd w:val="clear" w:fill="FFFFFF"/>
          <w:lang w:val="en-US" w:eastAsia="zh-CN" w:bidi="ar"/>
        </w:rPr>
        <w:t>万元。</w:t>
      </w:r>
      <w:r>
        <w:rPr>
          <w:rFonts w:hint="default" w:ascii="Times New Roman" w:hAnsi="Times New Roman" w:eastAsia="仿宋_GB2312" w:cs="Times New Roman"/>
          <w:kern w:val="0"/>
          <w:sz w:val="32"/>
          <w:szCs w:val="32"/>
          <w:shd w:val="clear" w:fill="FFFFFF"/>
          <w:lang w:val="en-US" w:eastAsia="zh-CN" w:bidi="ar"/>
        </w:rPr>
        <w:t>2025</w:t>
      </w:r>
      <w:r>
        <w:rPr>
          <w:rFonts w:hint="eastAsia" w:ascii="仿宋_GB2312" w:hAnsi="Times New Roman" w:eastAsia="仿宋_GB2312" w:cs="仿宋_GB2312"/>
          <w:kern w:val="0"/>
          <w:sz w:val="32"/>
          <w:szCs w:val="32"/>
          <w:shd w:val="clear" w:fill="FFFFFF"/>
          <w:lang w:val="en-US" w:eastAsia="zh-CN" w:bidi="ar"/>
        </w:rPr>
        <w:t>年末实有人数为</w:t>
      </w:r>
      <w:r>
        <w:rPr>
          <w:rFonts w:hint="default" w:ascii="Times New Roman" w:hAnsi="Times New Roman" w:eastAsia="仿宋_GB2312" w:cs="Times New Roman"/>
          <w:kern w:val="2"/>
          <w:sz w:val="32"/>
          <w:szCs w:val="32"/>
          <w:lang w:val="en-US" w:eastAsia="zh-CN" w:bidi="ar"/>
        </w:rPr>
        <w:t>122</w:t>
      </w:r>
      <w:r>
        <w:rPr>
          <w:rFonts w:hint="eastAsia" w:ascii="仿宋_GB2312" w:hAnsi="Times New Roman" w:eastAsia="仿宋_GB2312" w:cs="仿宋_GB2312"/>
          <w:kern w:val="0"/>
          <w:sz w:val="32"/>
          <w:szCs w:val="32"/>
          <w:shd w:val="clear" w:fill="FFFFFF"/>
          <w:lang w:val="en-US" w:eastAsia="zh-CN" w:bidi="ar"/>
        </w:rPr>
        <w:t>人，固定资产和无形资产净值合计</w:t>
      </w:r>
      <w:r>
        <w:rPr>
          <w:rFonts w:hint="default" w:ascii="Times New Roman" w:hAnsi="Times New Roman" w:eastAsia="仿宋_GB2312" w:cs="Times New Roman"/>
          <w:kern w:val="0"/>
          <w:sz w:val="32"/>
          <w:szCs w:val="32"/>
          <w:shd w:val="clear" w:fill="FFFFFF"/>
          <w:lang w:val="en-US" w:eastAsia="zh-CN" w:bidi="ar"/>
        </w:rPr>
        <w:t>313.53</w:t>
      </w:r>
      <w:r>
        <w:rPr>
          <w:rFonts w:hint="eastAsia" w:ascii="仿宋_GB2312" w:hAnsi="Times New Roman" w:eastAsia="仿宋_GB2312" w:cs="仿宋_GB2312"/>
          <w:kern w:val="0"/>
          <w:sz w:val="32"/>
          <w:szCs w:val="32"/>
          <w:shd w:val="clear" w:fill="FFFFFF"/>
          <w:lang w:val="en-US" w:eastAsia="zh-CN" w:bidi="ar"/>
        </w:rPr>
        <w:t>万元。</w:t>
      </w:r>
    </w:p>
    <w:p w14:paraId="2FD13D7F">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）资产利用率</w:t>
      </w:r>
    </w:p>
    <w:p w14:paraId="0AF17EF6">
      <w:pPr>
        <w:keepNext w:val="0"/>
        <w:keepLines w:val="0"/>
        <w:widowControl w:val="0"/>
        <w:suppressLineNumbers w:val="0"/>
        <w:adjustRightInd w:val="0"/>
        <w:snapToGrid w:val="0"/>
        <w:spacing w:before="0" w:beforeAutospacing="0" w:after="0" w:afterAutospacing="0" w:line="576"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根据资产卡片账，本部门超最低使用年限的办公家具账面价</w:t>
      </w:r>
    </w:p>
    <w:p w14:paraId="4EFC8EED">
      <w:pPr>
        <w:keepNext w:val="0"/>
        <w:keepLines w:val="0"/>
        <w:widowControl w:val="0"/>
        <w:suppressLineNumbers w:val="0"/>
        <w:adjustRightInd w:val="0"/>
        <w:snapToGrid w:val="0"/>
        <w:spacing w:before="0" w:beforeAutospacing="0" w:after="0" w:afterAutospacing="0" w:line="576"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值为</w:t>
      </w:r>
      <w:r>
        <w:rPr>
          <w:rFonts w:hint="default" w:ascii="Times New Roman" w:hAnsi="Times New Roman" w:eastAsia="仿宋_GB2312" w:cs="Times New Roman"/>
          <w:kern w:val="0"/>
          <w:sz w:val="32"/>
          <w:szCs w:val="32"/>
          <w:shd w:val="clear" w:fill="FFFFFF"/>
          <w:lang w:val="en-US" w:eastAsia="zh-CN" w:bidi="ar"/>
        </w:rPr>
        <w:t>0</w:t>
      </w:r>
      <w:r>
        <w:rPr>
          <w:rFonts w:hint="eastAsia" w:ascii="仿宋_GB2312" w:hAnsi="Times New Roman" w:eastAsia="仿宋_GB2312" w:cs="仿宋_GB2312"/>
          <w:kern w:val="0"/>
          <w:sz w:val="32"/>
          <w:szCs w:val="32"/>
          <w:shd w:val="clear" w:fill="FFFFFF"/>
          <w:lang w:val="en-US" w:eastAsia="zh-CN" w:bidi="ar"/>
        </w:rPr>
        <w:t>万元，办公家具账面价值为</w:t>
      </w:r>
      <w:r>
        <w:rPr>
          <w:rFonts w:hint="default" w:ascii="Times New Roman" w:hAnsi="Times New Roman" w:eastAsia="仿宋_GB2312" w:cs="Times New Roman"/>
          <w:kern w:val="0"/>
          <w:sz w:val="32"/>
          <w:szCs w:val="32"/>
          <w:shd w:val="clear" w:fill="FFFFFF"/>
          <w:lang w:val="en-US" w:eastAsia="zh-CN" w:bidi="ar"/>
        </w:rPr>
        <w:t>56.07</w:t>
      </w:r>
      <w:r>
        <w:rPr>
          <w:rFonts w:hint="eastAsia" w:ascii="仿宋_GB2312" w:hAnsi="Times New Roman" w:eastAsia="仿宋_GB2312" w:cs="仿宋_GB2312"/>
          <w:kern w:val="0"/>
          <w:sz w:val="32"/>
          <w:szCs w:val="32"/>
          <w:shd w:val="clear" w:fill="FFFFFF"/>
          <w:lang w:val="en-US" w:eastAsia="zh-CN" w:bidi="ar"/>
        </w:rPr>
        <w:t>万元，办公家具超最低使用年限资产利用率为</w:t>
      </w:r>
      <w:r>
        <w:rPr>
          <w:rFonts w:hint="default" w:ascii="Times New Roman" w:hAnsi="Times New Roman" w:eastAsia="仿宋_GB2312" w:cs="Times New Roman"/>
          <w:kern w:val="0"/>
          <w:sz w:val="32"/>
          <w:szCs w:val="32"/>
          <w:shd w:val="clear" w:fill="FFFFFF"/>
          <w:lang w:val="en-US" w:eastAsia="zh-CN" w:bidi="ar"/>
        </w:rPr>
        <w:t>0%</w:t>
      </w:r>
      <w:r>
        <w:rPr>
          <w:rFonts w:hint="eastAsia" w:ascii="仿宋_GB2312" w:hAnsi="Times New Roman" w:eastAsia="仿宋_GB2312" w:cs="仿宋_GB2312"/>
          <w:kern w:val="0"/>
          <w:sz w:val="32"/>
          <w:szCs w:val="32"/>
          <w:shd w:val="clear" w:fill="FFFFFF"/>
          <w:lang w:val="en-US" w:eastAsia="zh-CN" w:bidi="ar"/>
        </w:rPr>
        <w:t>。</w:t>
      </w:r>
    </w:p>
    <w:p w14:paraId="51D4CA81">
      <w:pPr>
        <w:keepNext w:val="0"/>
        <w:keepLines w:val="0"/>
        <w:widowControl w:val="0"/>
        <w:suppressLineNumbers w:val="0"/>
        <w:adjustRightInd w:val="0"/>
        <w:snapToGrid w:val="0"/>
        <w:spacing w:before="0" w:beforeAutospacing="0" w:after="0" w:afterAutospacing="0" w:line="576"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根据资产卡片账，本部门</w:t>
      </w:r>
      <w:r>
        <w:rPr>
          <w:rFonts w:hint="default" w:ascii="Times New Roman" w:hAnsi="Times New Roman" w:eastAsia="仿宋_GB2312" w:cs="Times New Roman"/>
          <w:kern w:val="0"/>
          <w:sz w:val="32"/>
          <w:szCs w:val="32"/>
          <w:shd w:val="clear" w:fill="FFFFFF"/>
          <w:lang w:val="en-US" w:eastAsia="zh-CN" w:bidi="ar"/>
        </w:rPr>
        <w:t>2025</w:t>
      </w:r>
      <w:r>
        <w:rPr>
          <w:rFonts w:hint="eastAsia" w:ascii="仿宋_GB2312" w:hAnsi="Times New Roman" w:eastAsia="仿宋_GB2312" w:cs="仿宋_GB2312"/>
          <w:kern w:val="0"/>
          <w:sz w:val="32"/>
          <w:szCs w:val="32"/>
          <w:shd w:val="clear" w:fill="FFFFFF"/>
          <w:lang w:val="en-US" w:eastAsia="zh-CN" w:bidi="ar"/>
        </w:rPr>
        <w:t>年办公设备超最低使用年限</w:t>
      </w:r>
    </w:p>
    <w:p w14:paraId="65EDEB8A">
      <w:pPr>
        <w:keepNext w:val="0"/>
        <w:keepLines w:val="0"/>
        <w:widowControl w:val="0"/>
        <w:suppressLineNumbers w:val="0"/>
        <w:adjustRightInd w:val="0"/>
        <w:snapToGrid w:val="0"/>
        <w:spacing w:before="0" w:beforeAutospacing="0" w:after="0" w:afterAutospacing="0" w:line="576" w:lineRule="exact"/>
        <w:ind w:left="0" w:right="0"/>
        <w:jc w:val="both"/>
        <w:rPr>
          <w:rFonts w:hint="eastAsia"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账面价值为</w:t>
      </w:r>
      <w:r>
        <w:rPr>
          <w:rFonts w:hint="default" w:ascii="Times New Roman" w:hAnsi="Times New Roman" w:eastAsia="仿宋_GB2312" w:cs="Times New Roman"/>
          <w:kern w:val="0"/>
          <w:sz w:val="32"/>
          <w:szCs w:val="32"/>
          <w:shd w:val="clear" w:fill="FFFFFF"/>
          <w:lang w:val="en-US" w:eastAsia="zh-CN" w:bidi="ar"/>
        </w:rPr>
        <w:t>9.51</w:t>
      </w:r>
      <w:r>
        <w:rPr>
          <w:rFonts w:hint="eastAsia" w:ascii="仿宋_GB2312" w:hAnsi="Times New Roman" w:eastAsia="仿宋_GB2312" w:cs="仿宋_GB2312"/>
          <w:kern w:val="0"/>
          <w:sz w:val="32"/>
          <w:szCs w:val="32"/>
          <w:shd w:val="clear" w:fill="FFFFFF"/>
          <w:lang w:val="en-US" w:eastAsia="zh-CN" w:bidi="ar"/>
        </w:rPr>
        <w:t>万元，办公设备账面价值为</w:t>
      </w:r>
      <w:r>
        <w:rPr>
          <w:rFonts w:hint="default" w:ascii="Times New Roman" w:hAnsi="Times New Roman" w:eastAsia="仿宋_GB2312" w:cs="Times New Roman"/>
          <w:kern w:val="0"/>
          <w:sz w:val="32"/>
          <w:szCs w:val="32"/>
          <w:shd w:val="clear" w:fill="FFFFFF"/>
          <w:lang w:val="en-US" w:eastAsia="zh-CN" w:bidi="ar"/>
        </w:rPr>
        <w:t>538.73</w:t>
      </w:r>
      <w:r>
        <w:rPr>
          <w:rFonts w:hint="eastAsia" w:ascii="仿宋_GB2312" w:hAnsi="Times New Roman" w:eastAsia="仿宋_GB2312" w:cs="仿宋_GB2312"/>
          <w:kern w:val="0"/>
          <w:sz w:val="32"/>
          <w:szCs w:val="32"/>
          <w:shd w:val="clear" w:fill="FFFFFF"/>
          <w:lang w:val="en-US" w:eastAsia="zh-CN" w:bidi="ar"/>
        </w:rPr>
        <w:t>万元。</w:t>
      </w:r>
    </w:p>
    <w:p w14:paraId="09A41469">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综上，根据评分标准，该项指标得</w:t>
      </w:r>
      <w:r>
        <w:rPr>
          <w:rFonts w:hint="default" w:ascii="Times New Roman" w:hAnsi="Times New Roman" w:eastAsia="仿宋_GB2312" w:cs="Times New Roman"/>
          <w:kern w:val="0"/>
          <w:sz w:val="32"/>
          <w:szCs w:val="32"/>
          <w:shd w:val="clear" w:fill="FFFFFF"/>
          <w:lang w:val="en-US" w:eastAsia="zh-CN" w:bidi="ar"/>
        </w:rPr>
        <w:t>0+1.5=1.5</w:t>
      </w:r>
      <w:r>
        <w:rPr>
          <w:rFonts w:hint="eastAsia" w:ascii="仿宋_GB2312" w:hAnsi="Times New Roman" w:eastAsia="仿宋_GB2312" w:cs="仿宋_GB2312"/>
          <w:kern w:val="0"/>
          <w:sz w:val="32"/>
          <w:szCs w:val="32"/>
          <w:shd w:val="clear" w:fill="FFFFFF"/>
          <w:lang w:val="en-US" w:eastAsia="zh-CN" w:bidi="ar"/>
        </w:rPr>
        <w:t>分。</w:t>
      </w:r>
    </w:p>
    <w:p w14:paraId="36EAE929">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）资产盘活率</w:t>
      </w:r>
    </w:p>
    <w:p w14:paraId="0C5F150B">
      <w:pPr>
        <w:keepNext w:val="0"/>
        <w:keepLines w:val="0"/>
        <w:widowControl w:val="0"/>
        <w:suppressLineNumbers w:val="0"/>
        <w:adjustRightInd w:val="0"/>
        <w:snapToGrid w:val="0"/>
        <w:spacing w:before="0" w:beforeAutospacing="0" w:after="0" w:afterAutospacing="0" w:line="576"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根据资产卡片，本部门本年闲置资产账面价值为</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万元，</w:t>
      </w:r>
    </w:p>
    <w:p w14:paraId="7EDA9EBA">
      <w:pPr>
        <w:keepNext w:val="0"/>
        <w:keepLines w:val="0"/>
        <w:widowControl w:val="0"/>
        <w:suppressLineNumbers w:val="0"/>
        <w:adjustRightInd w:val="0"/>
        <w:snapToGrid w:val="0"/>
        <w:spacing w:before="0" w:beforeAutospacing="0" w:after="0" w:afterAutospacing="0" w:line="576"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本年总资产账面价值</w:t>
      </w:r>
      <w:r>
        <w:rPr>
          <w:rFonts w:hint="default" w:ascii="Times New Roman" w:hAnsi="Times New Roman" w:eastAsia="仿宋_GB2312" w:cs="Times New Roman"/>
          <w:kern w:val="0"/>
          <w:sz w:val="32"/>
          <w:szCs w:val="32"/>
          <w:shd w:val="clear" w:fill="FFFFFF"/>
          <w:lang w:val="en-US" w:eastAsia="zh-CN" w:bidi="ar"/>
        </w:rPr>
        <w:t>1214.15</w:t>
      </w:r>
      <w:r>
        <w:rPr>
          <w:rFonts w:hint="eastAsia" w:ascii="仿宋_GB2312" w:hAnsi="Times New Roman" w:eastAsia="仿宋_GB2312" w:cs="仿宋_GB2312"/>
          <w:kern w:val="0"/>
          <w:sz w:val="32"/>
          <w:szCs w:val="32"/>
          <w:shd w:val="clear" w:fill="FFFFFF"/>
          <w:lang w:val="en-US" w:eastAsia="zh-CN" w:bidi="ar"/>
        </w:rPr>
        <w:t>万元，上一年度闲置资产账面价值为</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万元。</w:t>
      </w:r>
    </w:p>
    <w:p w14:paraId="327D8FC2">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楷体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分。</w:t>
      </w:r>
    </w:p>
    <w:p w14:paraId="2AE1A49D">
      <w:pPr>
        <w:keepNext w:val="0"/>
        <w:keepLines w:val="0"/>
        <w:widowControl w:val="0"/>
        <w:suppressLineNumbers w:val="0"/>
        <w:adjustRightInd w:val="0"/>
        <w:snapToGrid w:val="0"/>
        <w:spacing w:before="0" w:beforeAutospacing="0" w:after="0" w:afterAutospacing="0" w:line="578" w:lineRule="exact"/>
        <w:ind w:left="0" w:right="0" w:firstLine="640" w:firstLineChars="200"/>
        <w:contextualSpacing/>
        <w:jc w:val="left"/>
        <w:outlineLvl w:val="2"/>
        <w:rPr>
          <w:rFonts w:hint="default" w:ascii="Times New Roman" w:hAnsi="Times New Roman" w:eastAsia="楷体_GB2312" w:cs="Times New Roman"/>
          <w:kern w:val="0"/>
          <w:sz w:val="32"/>
          <w:szCs w:val="32"/>
          <w:shd w:val="clear" w:fill="FFFFFF"/>
        </w:rPr>
      </w:pPr>
      <w:r>
        <w:rPr>
          <w:rFonts w:hint="default" w:ascii="Times New Roman" w:hAnsi="Times New Roman" w:eastAsia="楷体_GB2312" w:cs="Times New Roman"/>
          <w:kern w:val="0"/>
          <w:sz w:val="32"/>
          <w:szCs w:val="32"/>
          <w:shd w:val="clear" w:fill="FFFFFF"/>
          <w:lang w:val="en-US" w:eastAsia="zh-CN" w:bidi="ar"/>
        </w:rPr>
        <w:t>5</w:t>
      </w:r>
      <w:r>
        <w:rPr>
          <w:rFonts w:hint="eastAsia" w:ascii="楷体_GB2312" w:hAnsi="Times New Roman" w:eastAsia="楷体_GB2312" w:cs="楷体_GB2312"/>
          <w:kern w:val="0"/>
          <w:sz w:val="32"/>
          <w:szCs w:val="32"/>
          <w:shd w:val="clear" w:fill="FFFFFF"/>
          <w:lang w:val="en-US" w:eastAsia="zh-CN" w:bidi="ar"/>
        </w:rPr>
        <w:t>．采购管理。</w:t>
      </w:r>
    </w:p>
    <w:p w14:paraId="122755D2">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）支持中小企业发展</w:t>
      </w:r>
    </w:p>
    <w:p w14:paraId="2BABA5DF">
      <w:pPr>
        <w:keepNext w:val="0"/>
        <w:keepLines w:val="0"/>
        <w:widowControl w:val="0"/>
        <w:suppressLineNumbers w:val="0"/>
        <w:adjustRightInd w:val="0"/>
        <w:snapToGrid w:val="0"/>
        <w:spacing w:before="0" w:beforeAutospacing="0" w:after="0" w:afterAutospacing="0" w:line="576"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本部门已预留采购份额专门面向中小企业采购，并在采购预</w:t>
      </w:r>
    </w:p>
    <w:p w14:paraId="5507965A">
      <w:pPr>
        <w:keepNext w:val="0"/>
        <w:keepLines w:val="0"/>
        <w:widowControl w:val="0"/>
        <w:suppressLineNumbers w:val="0"/>
        <w:adjustRightInd w:val="0"/>
        <w:snapToGrid w:val="0"/>
        <w:spacing w:before="0" w:beforeAutospacing="0" w:after="0" w:afterAutospacing="0" w:line="576"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算中单独列示，根据决算报表，政府采购授予中小企业合同金额为</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万元。</w:t>
      </w:r>
    </w:p>
    <w:p w14:paraId="270EDD4C">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分。</w:t>
      </w:r>
    </w:p>
    <w:p w14:paraId="135B3C10">
      <w:pPr>
        <w:keepNext w:val="0"/>
        <w:keepLines w:val="0"/>
        <w:widowControl/>
        <w:suppressLineNumbers w:val="0"/>
        <w:adjustRightInd w:val="0"/>
        <w:snapToGrid w:val="0"/>
        <w:spacing w:before="0" w:beforeAutospacing="0" w:after="0" w:afterAutospacing="0" w:line="576"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）采购执行率</w:t>
      </w:r>
    </w:p>
    <w:p w14:paraId="0E6C343F">
      <w:pPr>
        <w:keepNext w:val="0"/>
        <w:keepLines w:val="0"/>
        <w:widowControl w:val="0"/>
        <w:suppressLineNumbers w:val="0"/>
        <w:tabs>
          <w:tab w:val="left" w:pos="1100"/>
        </w:tabs>
        <w:adjustRightInd w:val="0"/>
        <w:snapToGrid w:val="0"/>
        <w:spacing w:before="0" w:beforeAutospacing="0" w:after="0" w:afterAutospacing="0" w:line="576"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lang w:val="en-US" w:eastAsia="zh-CN" w:bidi="ar"/>
        </w:rPr>
        <w:t>本部门</w:t>
      </w:r>
      <w:r>
        <w:rPr>
          <w:rFonts w:hint="eastAsia" w:ascii="仿宋_GB2312" w:hAnsi="Times New Roman" w:eastAsia="仿宋_GB2312" w:cs="仿宋_GB2312"/>
          <w:kern w:val="0"/>
          <w:sz w:val="32"/>
          <w:szCs w:val="32"/>
          <w:shd w:val="clear" w:fill="FFFFFF"/>
          <w:lang w:val="en-US" w:eastAsia="zh-CN" w:bidi="ar"/>
        </w:rPr>
        <w:t>当年政府采购实际支付总金额为</w:t>
      </w:r>
      <w:r>
        <w:rPr>
          <w:rFonts w:hint="default" w:ascii="Times New Roman" w:hAnsi="Times New Roman" w:eastAsia="仿宋_GB2312" w:cs="Times New Roman"/>
          <w:kern w:val="0"/>
          <w:sz w:val="32"/>
          <w:szCs w:val="32"/>
          <w:shd w:val="clear" w:fill="FFFFFF"/>
          <w:lang w:val="en-US" w:eastAsia="zh-CN" w:bidi="ar"/>
        </w:rPr>
        <w:t>2735.15</w:t>
      </w:r>
      <w:r>
        <w:rPr>
          <w:rFonts w:hint="eastAsia" w:ascii="仿宋_GB2312" w:hAnsi="Times New Roman" w:eastAsia="仿宋_GB2312" w:cs="仿宋_GB2312"/>
          <w:kern w:val="0"/>
          <w:sz w:val="32"/>
          <w:szCs w:val="32"/>
          <w:shd w:val="clear" w:fill="FFFFFF"/>
          <w:lang w:val="en-US" w:eastAsia="zh-CN" w:bidi="ar"/>
        </w:rPr>
        <w:t>万元，当年</w:t>
      </w:r>
    </w:p>
    <w:p w14:paraId="581F7DA7">
      <w:pPr>
        <w:keepNext w:val="0"/>
        <w:keepLines w:val="0"/>
        <w:widowControl w:val="0"/>
        <w:suppressLineNumbers w:val="0"/>
        <w:tabs>
          <w:tab w:val="left" w:pos="1100"/>
        </w:tabs>
        <w:adjustRightInd w:val="0"/>
        <w:snapToGrid w:val="0"/>
        <w:spacing w:before="0" w:beforeAutospacing="0" w:after="0" w:afterAutospacing="0" w:line="576"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政府采购总预算数为</w:t>
      </w:r>
      <w:r>
        <w:rPr>
          <w:rFonts w:hint="default" w:ascii="Times New Roman" w:hAnsi="Times New Roman" w:eastAsia="仿宋_GB2312" w:cs="Times New Roman"/>
          <w:kern w:val="0"/>
          <w:sz w:val="32"/>
          <w:szCs w:val="32"/>
          <w:shd w:val="clear" w:fill="FFFFFF"/>
          <w:lang w:val="en-US" w:eastAsia="zh-CN" w:bidi="ar"/>
        </w:rPr>
        <w:t>2735.15</w:t>
      </w:r>
      <w:r>
        <w:rPr>
          <w:rFonts w:hint="eastAsia" w:ascii="仿宋_GB2312" w:hAnsi="Times New Roman" w:eastAsia="仿宋_GB2312" w:cs="仿宋_GB2312"/>
          <w:kern w:val="0"/>
          <w:sz w:val="32"/>
          <w:szCs w:val="32"/>
          <w:lang w:val="en-US" w:eastAsia="zh-CN" w:bidi="ar"/>
        </w:rPr>
        <w:t>万元</w:t>
      </w:r>
      <w:r>
        <w:rPr>
          <w:rFonts w:hint="eastAsia" w:ascii="仿宋_GB2312" w:hAnsi="Times New Roman" w:eastAsia="仿宋_GB2312" w:cs="仿宋_GB2312"/>
          <w:kern w:val="0"/>
          <w:sz w:val="32"/>
          <w:szCs w:val="32"/>
          <w:shd w:val="clear" w:fill="FFFFFF"/>
          <w:lang w:val="en-US" w:eastAsia="zh-CN" w:bidi="ar"/>
        </w:rPr>
        <w:t>，当年已完成采购项目节约金额为</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万元。</w:t>
      </w:r>
    </w:p>
    <w:p w14:paraId="0F699804">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楷体_GB2312" w:cs="Times New Roman"/>
          <w:b/>
          <w:bCs/>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综上，根据评分标准，该项指标得</w:t>
      </w:r>
      <w:r>
        <w:rPr>
          <w:rFonts w:hint="default" w:ascii="Times New Roman" w:hAnsi="Times New Roman" w:eastAsia="仿宋_GB2312" w:cs="Times New Roman"/>
          <w:kern w:val="0"/>
          <w:sz w:val="32"/>
          <w:szCs w:val="32"/>
          <w:shd w:val="clear" w:fill="FFFFFF"/>
          <w:lang w:val="en-US" w:eastAsia="zh-CN" w:bidi="ar"/>
        </w:rPr>
        <w:t>3.00</w:t>
      </w:r>
      <w:r>
        <w:rPr>
          <w:rFonts w:hint="eastAsia" w:ascii="仿宋_GB2312" w:hAnsi="Times New Roman" w:eastAsia="仿宋_GB2312" w:cs="仿宋_GB2312"/>
          <w:kern w:val="0"/>
          <w:sz w:val="32"/>
          <w:szCs w:val="32"/>
          <w:shd w:val="clear" w:fill="FFFFFF"/>
          <w:lang w:val="en-US" w:eastAsia="zh-CN" w:bidi="ar"/>
        </w:rPr>
        <w:t>分。</w:t>
      </w:r>
    </w:p>
    <w:p w14:paraId="2ACB7BBD">
      <w:pPr>
        <w:keepNext w:val="0"/>
        <w:keepLines w:val="0"/>
        <w:widowControl/>
        <w:suppressLineNumbers w:val="0"/>
        <w:adjustRightInd w:val="0"/>
        <w:snapToGrid w:val="0"/>
        <w:spacing w:before="0" w:beforeAutospacing="0" w:after="0" w:afterAutospacing="0" w:line="578" w:lineRule="exact"/>
        <w:ind w:left="0" w:right="0" w:firstLine="643" w:firstLineChars="200"/>
        <w:contextualSpacing/>
        <w:jc w:val="left"/>
        <w:outlineLvl w:val="1"/>
        <w:rPr>
          <w:rFonts w:hint="default" w:ascii="Times New Roman" w:hAnsi="Times New Roman" w:eastAsia="仿宋_GB2312" w:cs="Times New Roman"/>
          <w:kern w:val="0"/>
          <w:sz w:val="32"/>
          <w:szCs w:val="32"/>
          <w:shd w:val="clear" w:fill="FFFFFF"/>
        </w:rPr>
      </w:pPr>
      <w:r>
        <w:rPr>
          <w:rFonts w:hint="eastAsia" w:ascii="楷体_GB2312" w:hAnsi="Times New Roman" w:eastAsia="楷体_GB2312" w:cs="楷体_GB2312"/>
          <w:b/>
          <w:bCs/>
          <w:kern w:val="0"/>
          <w:sz w:val="32"/>
          <w:szCs w:val="32"/>
          <w:shd w:val="clear" w:fill="FFFFFF"/>
          <w:lang w:val="en-US" w:eastAsia="zh-CN" w:bidi="ar"/>
        </w:rPr>
        <w:t>（二）部门预算项目绩效分析。</w:t>
      </w:r>
    </w:p>
    <w:p w14:paraId="0F4A409B">
      <w:pPr>
        <w:keepNext w:val="0"/>
        <w:keepLines w:val="0"/>
        <w:widowControl w:val="0"/>
        <w:suppressLineNumbers w:val="0"/>
        <w:adjustRightInd w:val="0"/>
        <w:snapToGrid w:val="0"/>
        <w:spacing w:before="0" w:beforeAutospacing="0" w:after="0" w:afterAutospacing="0" w:line="578" w:lineRule="exact"/>
        <w:ind w:left="0" w:right="0" w:firstLine="640" w:firstLineChars="200"/>
        <w:contextualSpacing/>
        <w:jc w:val="left"/>
        <w:rPr>
          <w:rFonts w:hint="eastAsia" w:ascii="Times New Roman" w:hAnsi="Times New Roman" w:eastAsia="仿宋_GB2312" w:cs="Times New Roman"/>
          <w:b w:val="0"/>
          <w:bCs w:val="0"/>
          <w:kern w:val="0"/>
          <w:sz w:val="32"/>
          <w:szCs w:val="32"/>
          <w:shd w:val="clear" w:fill="FFFFFF"/>
        </w:rPr>
      </w:pPr>
      <w:r>
        <w:rPr>
          <w:rFonts w:hint="default" w:ascii="Times New Roman" w:hAnsi="Times New Roman" w:eastAsia="仿宋_GB2312" w:cs="Times New Roman"/>
          <w:b w:val="0"/>
          <w:bCs w:val="0"/>
          <w:kern w:val="0"/>
          <w:sz w:val="32"/>
          <w:szCs w:val="32"/>
          <w:shd w:val="clear" w:fill="FFFFFF"/>
          <w:lang w:val="en-US" w:eastAsia="zh-CN" w:bidi="ar"/>
        </w:rPr>
        <w:t>1</w:t>
      </w:r>
      <w:r>
        <w:rPr>
          <w:rFonts w:hint="eastAsia" w:ascii="仿宋_GB2312" w:hAnsi="Times New Roman" w:eastAsia="仿宋_GB2312" w:cs="仿宋_GB2312"/>
          <w:b w:val="0"/>
          <w:bCs w:val="0"/>
          <w:kern w:val="0"/>
          <w:sz w:val="32"/>
          <w:szCs w:val="32"/>
          <w:shd w:val="clear" w:fill="FFFFFF"/>
          <w:lang w:val="en-US" w:eastAsia="zh-CN" w:bidi="ar"/>
        </w:rPr>
        <w:t>．</w:t>
      </w:r>
      <w:r>
        <w:rPr>
          <w:rFonts w:hint="eastAsia" w:ascii="楷体_GB2312" w:hAnsi="Times New Roman" w:eastAsia="楷体_GB2312" w:cs="楷体_GB2312"/>
          <w:b w:val="0"/>
          <w:bCs w:val="0"/>
          <w:kern w:val="0"/>
          <w:sz w:val="32"/>
          <w:szCs w:val="32"/>
          <w:shd w:val="clear" w:fill="FFFFFF"/>
          <w:lang w:val="en-US" w:eastAsia="zh-CN" w:bidi="ar"/>
        </w:rPr>
        <w:t>预算项目绩效分析</w:t>
      </w:r>
    </w:p>
    <w:p w14:paraId="101547ED">
      <w:pPr>
        <w:keepNext w:val="0"/>
        <w:keepLines w:val="0"/>
        <w:widowControl w:val="0"/>
        <w:suppressLineNumbers w:val="0"/>
        <w:adjustRightInd w:val="0"/>
        <w:snapToGrid w:val="0"/>
        <w:spacing w:before="0" w:beforeAutospacing="0" w:after="0" w:afterAutospacing="0" w:line="578" w:lineRule="exact"/>
        <w:ind w:left="210" w:leftChars="100" w:right="0" w:firstLine="320" w:firstLineChars="100"/>
        <w:contextualSpacing/>
        <w:jc w:val="left"/>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常年项目绩效分析。该类项目总数</w:t>
      </w:r>
      <w:r>
        <w:rPr>
          <w:rFonts w:hint="default" w:ascii="Times New Roman" w:hAnsi="Times New Roman" w:eastAsia="仿宋_GB2312" w:cs="Times New Roman"/>
          <w:kern w:val="0"/>
          <w:sz w:val="32"/>
          <w:szCs w:val="32"/>
          <w:shd w:val="clear" w:fill="FFFFFF"/>
          <w:lang w:val="en-US" w:eastAsia="zh-CN" w:bidi="ar"/>
        </w:rPr>
        <w:t>41</w:t>
      </w:r>
      <w:r>
        <w:rPr>
          <w:rFonts w:hint="eastAsia" w:ascii="仿宋_GB2312" w:hAnsi="Times New Roman" w:eastAsia="仿宋_GB2312" w:cs="仿宋_GB2312"/>
          <w:kern w:val="0"/>
          <w:sz w:val="32"/>
          <w:szCs w:val="32"/>
          <w:shd w:val="clear" w:fill="FFFFFF"/>
          <w:lang w:val="en-US" w:eastAsia="zh-CN" w:bidi="ar"/>
        </w:rPr>
        <w:t>个，涉及预算总金额</w:t>
      </w:r>
    </w:p>
    <w:p w14:paraId="25F0CC94">
      <w:pPr>
        <w:keepNext w:val="0"/>
        <w:keepLines w:val="0"/>
        <w:widowControl w:val="0"/>
        <w:suppressLineNumbers w:val="0"/>
        <w:adjustRightInd w:val="0"/>
        <w:snapToGrid w:val="0"/>
        <w:spacing w:before="0" w:beforeAutospacing="0" w:after="0" w:afterAutospacing="0" w:line="578" w:lineRule="exact"/>
        <w:ind w:left="0" w:right="0"/>
        <w:contextualSpacing/>
        <w:jc w:val="left"/>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lang w:val="en-US" w:eastAsia="zh-CN" w:bidi="ar"/>
        </w:rPr>
        <w:t>47925.79</w:t>
      </w:r>
      <w:r>
        <w:rPr>
          <w:rFonts w:hint="eastAsia" w:ascii="仿宋_GB2312" w:hAnsi="Times New Roman" w:eastAsia="仿宋_GB2312" w:cs="仿宋_GB2312"/>
          <w:kern w:val="0"/>
          <w:sz w:val="32"/>
          <w:szCs w:val="32"/>
          <w:shd w:val="clear" w:fill="FFFFFF"/>
          <w:lang w:val="en-US" w:eastAsia="zh-CN" w:bidi="ar"/>
        </w:rPr>
        <w:t>万元，</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12</w:t>
      </w:r>
      <w:r>
        <w:rPr>
          <w:rFonts w:hint="eastAsia" w:ascii="仿宋_GB2312" w:hAnsi="Times New Roman" w:eastAsia="仿宋_GB2312" w:cs="仿宋_GB2312"/>
          <w:kern w:val="0"/>
          <w:sz w:val="32"/>
          <w:szCs w:val="32"/>
          <w:shd w:val="clear" w:fill="FFFFFF"/>
          <w:lang w:val="en-US" w:eastAsia="zh-CN" w:bidi="ar"/>
        </w:rPr>
        <w:t>月预算执行总体进度为</w:t>
      </w:r>
      <w:r>
        <w:rPr>
          <w:rFonts w:hint="default" w:ascii="Times New Roman" w:hAnsi="Times New Roman" w:eastAsia="仿宋_GB2312" w:cs="Times New Roman"/>
          <w:kern w:val="0"/>
          <w:sz w:val="32"/>
          <w:szCs w:val="32"/>
          <w:shd w:val="clear" w:fill="FFFFFF"/>
          <w:lang w:val="en-US" w:eastAsia="zh-CN" w:bidi="ar"/>
        </w:rPr>
        <w:t>100%</w:t>
      </w:r>
      <w:r>
        <w:rPr>
          <w:rFonts w:hint="eastAsia" w:ascii="仿宋_GB2312" w:hAnsi="Times New Roman" w:eastAsia="仿宋_GB2312" w:cs="仿宋_GB2312"/>
          <w:kern w:val="0"/>
          <w:sz w:val="32"/>
          <w:szCs w:val="32"/>
          <w:shd w:val="clear" w:fill="FFFFFF"/>
          <w:lang w:val="en-US" w:eastAsia="zh-CN" w:bidi="ar"/>
        </w:rPr>
        <w:t>，其中：预算结余率大于</w:t>
      </w:r>
      <w:r>
        <w:rPr>
          <w:rFonts w:hint="default" w:ascii="Times New Roman" w:hAnsi="Times New Roman" w:eastAsia="仿宋_GB2312" w:cs="Times New Roman"/>
          <w:kern w:val="0"/>
          <w:sz w:val="32"/>
          <w:szCs w:val="32"/>
          <w:shd w:val="clear" w:fill="FFFFFF"/>
          <w:lang w:val="en-US" w:eastAsia="zh-CN" w:bidi="ar"/>
        </w:rPr>
        <w:t>10%</w:t>
      </w:r>
      <w:r>
        <w:rPr>
          <w:rFonts w:hint="eastAsia" w:ascii="仿宋_GB2312" w:hAnsi="Times New Roman" w:eastAsia="仿宋_GB2312" w:cs="仿宋_GB2312"/>
          <w:kern w:val="0"/>
          <w:sz w:val="32"/>
          <w:szCs w:val="32"/>
          <w:shd w:val="clear" w:fill="FFFFFF"/>
          <w:lang w:val="en-US" w:eastAsia="zh-CN" w:bidi="ar"/>
        </w:rPr>
        <w:t>的项目共计</w:t>
      </w:r>
      <w:r>
        <w:rPr>
          <w:rFonts w:hint="default" w:ascii="Times New Roman" w:hAnsi="Times New Roman" w:eastAsia="仿宋_GB2312" w:cs="Times New Roman"/>
          <w:kern w:val="0"/>
          <w:sz w:val="32"/>
          <w:szCs w:val="32"/>
          <w:shd w:val="clear" w:fill="FFFFFF"/>
          <w:lang w:val="en-US" w:eastAsia="zh-CN" w:bidi="ar"/>
        </w:rPr>
        <w:t>0</w:t>
      </w:r>
      <w:r>
        <w:rPr>
          <w:rFonts w:hint="eastAsia" w:ascii="仿宋_GB2312" w:hAnsi="Times New Roman" w:eastAsia="仿宋_GB2312" w:cs="仿宋_GB2312"/>
          <w:kern w:val="0"/>
          <w:sz w:val="32"/>
          <w:szCs w:val="32"/>
          <w:shd w:val="clear" w:fill="FFFFFF"/>
          <w:lang w:val="en-US" w:eastAsia="zh-CN" w:bidi="ar"/>
        </w:rPr>
        <w:t>个。</w:t>
      </w:r>
    </w:p>
    <w:p w14:paraId="79FCCDDA">
      <w:pPr>
        <w:keepNext w:val="0"/>
        <w:keepLines w:val="0"/>
        <w:widowControl w:val="0"/>
        <w:suppressLineNumbers w:val="0"/>
        <w:adjustRightInd w:val="0"/>
        <w:snapToGrid w:val="0"/>
        <w:spacing w:before="0" w:beforeAutospacing="0" w:after="0" w:afterAutospacing="0" w:line="578" w:lineRule="exact"/>
        <w:ind w:left="210" w:leftChars="100" w:right="0" w:firstLine="320" w:firstLineChars="100"/>
        <w:contextualSpacing/>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阶段（含一次性）项目绩效分析。该类项目总数</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个，涉及</w:t>
      </w:r>
    </w:p>
    <w:p w14:paraId="3EFD8683">
      <w:pPr>
        <w:keepNext w:val="0"/>
        <w:keepLines w:val="0"/>
        <w:widowControl w:val="0"/>
        <w:suppressLineNumbers w:val="0"/>
        <w:adjustRightInd w:val="0"/>
        <w:snapToGrid w:val="0"/>
        <w:spacing w:before="0" w:beforeAutospacing="0" w:after="0" w:afterAutospacing="0" w:line="578" w:lineRule="exact"/>
        <w:ind w:left="0" w:right="0"/>
        <w:contextualSpacing/>
        <w:jc w:val="both"/>
        <w:rPr>
          <w:rFonts w:hint="eastAsia"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预算总金额</w:t>
      </w:r>
      <w:r>
        <w:rPr>
          <w:rFonts w:hint="default" w:ascii="Times New Roman" w:hAnsi="Times New Roman" w:eastAsia="仿宋_GB2312" w:cs="Times New Roman"/>
          <w:kern w:val="0"/>
          <w:sz w:val="32"/>
          <w:szCs w:val="32"/>
          <w:shd w:val="clear" w:fill="FFFFFF"/>
          <w:lang w:val="en-US" w:eastAsia="zh-CN" w:bidi="ar"/>
        </w:rPr>
        <w:t>3446.72</w:t>
      </w:r>
      <w:r>
        <w:rPr>
          <w:rFonts w:hint="eastAsia" w:ascii="仿宋_GB2312" w:hAnsi="Times New Roman" w:eastAsia="仿宋_GB2312" w:cs="仿宋_GB2312"/>
          <w:kern w:val="0"/>
          <w:sz w:val="32"/>
          <w:szCs w:val="32"/>
          <w:shd w:val="clear" w:fill="FFFFFF"/>
          <w:lang w:val="en-US" w:eastAsia="zh-CN" w:bidi="ar"/>
        </w:rPr>
        <w:t>万元。</w:t>
      </w:r>
    </w:p>
    <w:p w14:paraId="3736449B">
      <w:pPr>
        <w:keepNext w:val="0"/>
        <w:keepLines w:val="0"/>
        <w:widowControl w:val="0"/>
        <w:suppressLineNumbers w:val="0"/>
        <w:adjustRightInd w:val="0"/>
        <w:snapToGrid w:val="0"/>
        <w:spacing w:before="0" w:beforeAutospacing="0" w:after="0" w:afterAutospacing="0" w:line="600" w:lineRule="exact"/>
        <w:ind w:left="0" w:right="0" w:firstLine="640" w:firstLineChars="200"/>
        <w:contextualSpacing/>
        <w:jc w:val="both"/>
        <w:rPr>
          <w:rFonts w:hint="default" w:ascii="Times New Roman" w:hAnsi="Times New Roman" w:eastAsia="楷体_GB2312" w:cs="Times New Roman"/>
          <w:kern w:val="0"/>
          <w:sz w:val="32"/>
          <w:szCs w:val="32"/>
          <w:shd w:val="clear" w:fill="FFFFFF"/>
        </w:rPr>
      </w:pPr>
      <w:r>
        <w:rPr>
          <w:rFonts w:hint="eastAsia" w:ascii="楷体_GB2312" w:hAnsi="Times New Roman" w:eastAsia="楷体_GB2312" w:cs="楷体_GB2312"/>
          <w:kern w:val="0"/>
          <w:sz w:val="32"/>
          <w:szCs w:val="32"/>
          <w:shd w:val="clear" w:fill="FFFFFF"/>
          <w:lang w:val="en-US" w:eastAsia="zh-CN" w:bidi="ar"/>
        </w:rPr>
        <w:t>具体项目完成情况如下：</w:t>
      </w:r>
    </w:p>
    <w:p w14:paraId="3E2315E7">
      <w:pPr>
        <w:keepNext w:val="0"/>
        <w:keepLines w:val="0"/>
        <w:widowControl w:val="0"/>
        <w:numPr>
          <w:ilvl w:val="0"/>
          <w:numId w:val="5"/>
        </w:numPr>
        <w:suppressLineNumbers w:val="0"/>
        <w:adjustRightInd w:val="0"/>
        <w:snapToGrid w:val="0"/>
        <w:spacing w:before="0" w:beforeAutospacing="0" w:after="0" w:afterAutospacing="0" w:line="600" w:lineRule="exact"/>
        <w:ind w:left="210" w:leftChars="100" w:right="0" w:firstLine="320" w:firstLineChars="100"/>
        <w:contextualSpacing/>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人员类项目。包含工资性支出、其他人员支出、单位</w:t>
      </w:r>
    </w:p>
    <w:p w14:paraId="60E1CDC5">
      <w:pPr>
        <w:keepNext w:val="0"/>
        <w:keepLines w:val="0"/>
        <w:widowControl w:val="0"/>
        <w:suppressLineNumbers w:val="0"/>
        <w:adjustRightInd w:val="0"/>
        <w:snapToGrid w:val="0"/>
        <w:spacing w:before="0" w:beforeAutospacing="0" w:after="0" w:afterAutospacing="0" w:line="600" w:lineRule="exact"/>
        <w:ind w:left="0" w:right="0"/>
        <w:contextualSpacing/>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缴费、离退休费支出、其他补助支出等，绩效目标根据预算一体化自动生成，主要涉及科目调整次数、足额保障率、发放（缴纳）覆盖率、按时发放率、结余率等指标，绩效目标编制科学合理、规范完整、细化量化并与预算安排相匹配。本年度人员类项目</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个，年初预算数</w:t>
      </w:r>
      <w:r>
        <w:rPr>
          <w:rFonts w:hint="default" w:ascii="Times New Roman" w:hAnsi="Times New Roman" w:eastAsia="仿宋_GB2312" w:cs="Times New Roman"/>
          <w:kern w:val="0"/>
          <w:sz w:val="32"/>
          <w:szCs w:val="32"/>
          <w:shd w:val="clear" w:fill="FFFFFF"/>
          <w:lang w:val="en-US" w:eastAsia="zh-CN" w:bidi="ar"/>
        </w:rPr>
        <w:t>3223.3</w:t>
      </w:r>
      <w:r>
        <w:rPr>
          <w:rFonts w:hint="eastAsia" w:ascii="仿宋_GB2312" w:hAnsi="Times New Roman" w:eastAsia="仿宋_GB2312" w:cs="仿宋_GB2312"/>
          <w:kern w:val="0"/>
          <w:sz w:val="32"/>
          <w:szCs w:val="32"/>
          <w:shd w:val="clear" w:fill="FFFFFF"/>
          <w:lang w:val="en-US" w:eastAsia="zh-CN" w:bidi="ar"/>
        </w:rPr>
        <w:t>万元，调整预算数</w:t>
      </w:r>
      <w:r>
        <w:rPr>
          <w:rFonts w:hint="default" w:ascii="Times New Roman" w:hAnsi="Times New Roman" w:eastAsia="仿宋_GB2312" w:cs="Times New Roman"/>
          <w:kern w:val="0"/>
          <w:sz w:val="32"/>
          <w:szCs w:val="32"/>
          <w:shd w:val="clear" w:fill="FFFFFF"/>
          <w:lang w:val="en-US" w:eastAsia="zh-CN" w:bidi="ar"/>
        </w:rPr>
        <w:t>3068.12</w:t>
      </w:r>
      <w:r>
        <w:rPr>
          <w:rFonts w:hint="eastAsia" w:ascii="仿宋_GB2312" w:hAnsi="Times New Roman" w:eastAsia="仿宋_GB2312" w:cs="仿宋_GB2312"/>
          <w:kern w:val="0"/>
          <w:sz w:val="32"/>
          <w:szCs w:val="32"/>
          <w:shd w:val="clear" w:fill="FFFFFF"/>
          <w:lang w:val="en-US" w:eastAsia="zh-CN" w:bidi="ar"/>
        </w:rPr>
        <w:t>万元，决算数</w:t>
      </w:r>
      <w:r>
        <w:rPr>
          <w:rFonts w:hint="default" w:ascii="Times New Roman" w:hAnsi="Times New Roman" w:eastAsia="仿宋_GB2312" w:cs="Times New Roman"/>
          <w:kern w:val="0"/>
          <w:sz w:val="32"/>
          <w:szCs w:val="32"/>
          <w:shd w:val="clear" w:fill="FFFFFF"/>
          <w:lang w:val="en-US" w:eastAsia="zh-CN" w:bidi="ar"/>
        </w:rPr>
        <w:t>3068.12</w:t>
      </w:r>
      <w:r>
        <w:rPr>
          <w:rFonts w:hint="eastAsia" w:ascii="仿宋_GB2312" w:hAnsi="Times New Roman" w:eastAsia="仿宋_GB2312" w:cs="仿宋_GB2312"/>
          <w:kern w:val="0"/>
          <w:sz w:val="32"/>
          <w:szCs w:val="32"/>
          <w:shd w:val="clear" w:fill="FFFFFF"/>
          <w:lang w:val="en-US" w:eastAsia="zh-CN" w:bidi="ar"/>
        </w:rPr>
        <w:t>万元，预算执行率</w:t>
      </w:r>
      <w:r>
        <w:rPr>
          <w:rFonts w:hint="default" w:ascii="Times New Roman" w:hAnsi="Times New Roman" w:eastAsia="仿宋_GB2312" w:cs="Times New Roman"/>
          <w:kern w:val="0"/>
          <w:sz w:val="32"/>
          <w:szCs w:val="32"/>
          <w:shd w:val="clear" w:fill="FFFFFF"/>
          <w:lang w:val="en-US" w:eastAsia="zh-CN" w:bidi="ar"/>
        </w:rPr>
        <w:t>100%</w:t>
      </w:r>
      <w:r>
        <w:rPr>
          <w:rFonts w:hint="eastAsia" w:ascii="仿宋_GB2312" w:hAnsi="Times New Roman" w:eastAsia="仿宋_GB2312" w:cs="仿宋_GB2312"/>
          <w:kern w:val="0"/>
          <w:sz w:val="32"/>
          <w:szCs w:val="32"/>
          <w:shd w:val="clear" w:fill="FFFFFF"/>
          <w:lang w:val="en-US" w:eastAsia="zh-CN" w:bidi="ar"/>
        </w:rPr>
        <w:t>。主要用于工资性支出、单位缴费支出、离退休人员经费支出等。</w:t>
      </w:r>
    </w:p>
    <w:p w14:paraId="20FB6441">
      <w:pPr>
        <w:keepNext w:val="0"/>
        <w:keepLines w:val="0"/>
        <w:widowControl w:val="0"/>
        <w:numPr>
          <w:ilvl w:val="0"/>
          <w:numId w:val="5"/>
        </w:numPr>
        <w:suppressLineNumbers w:val="0"/>
        <w:adjustRightInd w:val="0"/>
        <w:snapToGrid w:val="0"/>
        <w:spacing w:before="0" w:beforeAutospacing="0" w:after="0" w:afterAutospacing="0" w:line="600" w:lineRule="exact"/>
        <w:ind w:left="210" w:leftChars="100" w:right="0" w:firstLine="320" w:firstLineChars="100"/>
        <w:contextualSpacing/>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公用经费项目。包含日常公用经费、非定额公用经费、</w:t>
      </w:r>
    </w:p>
    <w:p w14:paraId="504E36D7">
      <w:pPr>
        <w:keepNext w:val="0"/>
        <w:keepLines w:val="0"/>
        <w:widowControl w:val="0"/>
        <w:suppressLineNumbers w:val="0"/>
        <w:adjustRightInd w:val="0"/>
        <w:snapToGrid w:val="0"/>
        <w:spacing w:before="0" w:beforeAutospacing="0" w:after="0" w:afterAutospacing="0" w:line="600" w:lineRule="exact"/>
        <w:ind w:left="0" w:right="0"/>
        <w:contextualSpacing/>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离退休公用和其他运转支出。具体用于培训费、差旅费、机关人员日常公用支出、事业单位离退休人员公用经费支出等。本年度运转类公用经费项目</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个，年初预算数</w:t>
      </w:r>
      <w:r>
        <w:rPr>
          <w:rFonts w:hint="default" w:ascii="Times New Roman" w:hAnsi="Times New Roman" w:eastAsia="仿宋_GB2312" w:cs="Times New Roman"/>
          <w:kern w:val="0"/>
          <w:sz w:val="32"/>
          <w:szCs w:val="32"/>
          <w:shd w:val="clear" w:fill="FFFFFF"/>
          <w:lang w:val="en-US" w:eastAsia="zh-CN" w:bidi="ar"/>
        </w:rPr>
        <w:t>404.78</w:t>
      </w:r>
      <w:r>
        <w:rPr>
          <w:rFonts w:hint="eastAsia" w:ascii="仿宋_GB2312" w:hAnsi="Times New Roman" w:eastAsia="仿宋_GB2312" w:cs="仿宋_GB2312"/>
          <w:kern w:val="0"/>
          <w:sz w:val="32"/>
          <w:szCs w:val="32"/>
          <w:shd w:val="clear" w:fill="FFFFFF"/>
          <w:lang w:val="en-US" w:eastAsia="zh-CN" w:bidi="ar"/>
        </w:rPr>
        <w:t>万元，调整后预算数</w:t>
      </w:r>
      <w:r>
        <w:rPr>
          <w:rFonts w:hint="default" w:ascii="Times New Roman" w:hAnsi="Times New Roman" w:eastAsia="仿宋_GB2312" w:cs="Times New Roman"/>
          <w:kern w:val="0"/>
          <w:sz w:val="32"/>
          <w:szCs w:val="32"/>
          <w:shd w:val="clear" w:fill="FFFFFF"/>
          <w:lang w:val="en-US" w:eastAsia="zh-CN" w:bidi="ar"/>
        </w:rPr>
        <w:t>378.6</w:t>
      </w:r>
      <w:r>
        <w:rPr>
          <w:rFonts w:hint="eastAsia" w:ascii="仿宋_GB2312" w:hAnsi="Times New Roman" w:eastAsia="仿宋_GB2312" w:cs="仿宋_GB2312"/>
          <w:kern w:val="0"/>
          <w:sz w:val="32"/>
          <w:szCs w:val="32"/>
          <w:shd w:val="clear" w:fill="FFFFFF"/>
          <w:lang w:val="en-US" w:eastAsia="zh-CN" w:bidi="ar"/>
        </w:rPr>
        <w:t>万元，决算数</w:t>
      </w:r>
      <w:r>
        <w:rPr>
          <w:rFonts w:hint="default" w:ascii="Times New Roman" w:hAnsi="Times New Roman" w:eastAsia="仿宋_GB2312" w:cs="Times New Roman"/>
          <w:kern w:val="0"/>
          <w:sz w:val="32"/>
          <w:szCs w:val="32"/>
          <w:shd w:val="clear" w:fill="FFFFFF"/>
          <w:lang w:val="en-US" w:eastAsia="zh-CN" w:bidi="ar"/>
        </w:rPr>
        <w:t>378.6</w:t>
      </w:r>
      <w:r>
        <w:rPr>
          <w:rFonts w:hint="eastAsia" w:ascii="仿宋_GB2312" w:hAnsi="Times New Roman" w:eastAsia="仿宋_GB2312" w:cs="仿宋_GB2312"/>
          <w:kern w:val="0"/>
          <w:sz w:val="32"/>
          <w:szCs w:val="32"/>
          <w:shd w:val="clear" w:fill="FFFFFF"/>
          <w:lang w:val="en-US" w:eastAsia="zh-CN" w:bidi="ar"/>
        </w:rPr>
        <w:t>万元，执行率</w:t>
      </w:r>
      <w:r>
        <w:rPr>
          <w:rFonts w:hint="default" w:ascii="Times New Roman" w:hAnsi="Times New Roman" w:eastAsia="仿宋_GB2312" w:cs="Times New Roman"/>
          <w:kern w:val="0"/>
          <w:sz w:val="32"/>
          <w:szCs w:val="32"/>
          <w:shd w:val="clear" w:fill="FFFFFF"/>
          <w:lang w:val="en-US" w:eastAsia="zh-CN" w:bidi="ar"/>
        </w:rPr>
        <w:t>100%</w:t>
      </w:r>
      <w:r>
        <w:rPr>
          <w:rFonts w:hint="eastAsia" w:ascii="仿宋_GB2312" w:hAnsi="Times New Roman" w:eastAsia="仿宋_GB2312" w:cs="仿宋_GB2312"/>
          <w:kern w:val="0"/>
          <w:sz w:val="32"/>
          <w:szCs w:val="32"/>
          <w:shd w:val="clear" w:fill="FFFFFF"/>
          <w:lang w:val="en-US" w:eastAsia="zh-CN" w:bidi="ar"/>
        </w:rPr>
        <w:t>，保障了机关的正常运转和离退休人员活动的正常开展。</w:t>
      </w:r>
    </w:p>
    <w:p w14:paraId="62F4347C">
      <w:pPr>
        <w:keepNext w:val="0"/>
        <w:keepLines w:val="0"/>
        <w:widowControl w:val="0"/>
        <w:numPr>
          <w:ilvl w:val="0"/>
          <w:numId w:val="5"/>
        </w:numPr>
        <w:suppressLineNumbers w:val="0"/>
        <w:adjustRightInd w:val="0"/>
        <w:snapToGrid w:val="0"/>
        <w:spacing w:before="0" w:beforeAutospacing="0" w:after="0" w:afterAutospacing="0" w:line="578" w:lineRule="exact"/>
        <w:ind w:left="210" w:leftChars="100" w:right="0" w:firstLine="320" w:firstLineChars="100"/>
        <w:contextualSpacing/>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阶段项目（一次性项目）</w:t>
      </w:r>
      <w:r>
        <w:rPr>
          <w:rFonts w:hint="default" w:ascii="Times New Roman" w:hAnsi="Times New Roman" w:eastAsia="仿宋_GB2312" w:cs="Times New Roman"/>
          <w:kern w:val="0"/>
          <w:sz w:val="32"/>
          <w:szCs w:val="32"/>
          <w:shd w:val="clear" w:fill="FFFFFF"/>
          <w:lang w:val="en-US" w:eastAsia="zh-CN" w:bidi="ar"/>
        </w:rPr>
        <w:t>0</w:t>
      </w:r>
      <w:r>
        <w:rPr>
          <w:rFonts w:hint="eastAsia" w:ascii="仿宋_GB2312" w:hAnsi="Times New Roman" w:eastAsia="仿宋_GB2312" w:cs="仿宋_GB2312"/>
          <w:kern w:val="0"/>
          <w:sz w:val="32"/>
          <w:szCs w:val="32"/>
          <w:shd w:val="clear" w:fill="FFFFFF"/>
          <w:lang w:val="en-US" w:eastAsia="zh-CN" w:bidi="ar"/>
        </w:rPr>
        <w:t>个。年初预算数</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万元，</w:t>
      </w:r>
    </w:p>
    <w:p w14:paraId="52C264AA">
      <w:pPr>
        <w:keepNext w:val="0"/>
        <w:keepLines w:val="0"/>
        <w:widowControl w:val="0"/>
        <w:suppressLineNumbers w:val="0"/>
        <w:adjustRightInd w:val="0"/>
        <w:snapToGrid w:val="0"/>
        <w:spacing w:before="0" w:beforeAutospacing="0" w:after="0" w:afterAutospacing="0" w:line="578" w:lineRule="exact"/>
        <w:ind w:left="0" w:right="0"/>
        <w:contextualSpacing/>
        <w:jc w:val="both"/>
        <w:rPr>
          <w:rFonts w:hint="eastAsia"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调整后预算数为</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万元，决算数</w:t>
      </w:r>
      <w:r>
        <w:rPr>
          <w:rFonts w:hint="default" w:ascii="Times New Roman" w:hAnsi="Times New Roman" w:eastAsia="仿宋_GB2312" w:cs="Times New Roman"/>
          <w:kern w:val="0"/>
          <w:sz w:val="32"/>
          <w:szCs w:val="32"/>
          <w:shd w:val="clear" w:fill="FFFFFF"/>
          <w:lang w:val="en-US" w:eastAsia="zh-CN" w:bidi="ar"/>
        </w:rPr>
        <w:t>0.00</w:t>
      </w:r>
      <w:r>
        <w:rPr>
          <w:rFonts w:hint="eastAsia" w:ascii="仿宋_GB2312" w:hAnsi="Times New Roman" w:eastAsia="仿宋_GB2312" w:cs="仿宋_GB2312"/>
          <w:kern w:val="0"/>
          <w:sz w:val="32"/>
          <w:szCs w:val="32"/>
          <w:shd w:val="clear" w:fill="FFFFFF"/>
          <w:lang w:val="en-US" w:eastAsia="zh-CN" w:bidi="ar"/>
        </w:rPr>
        <w:t>万元，执行率</w:t>
      </w:r>
      <w:r>
        <w:rPr>
          <w:rFonts w:hint="default" w:ascii="Times New Roman" w:hAnsi="Times New Roman" w:eastAsia="仿宋_GB2312" w:cs="Times New Roman"/>
          <w:kern w:val="0"/>
          <w:sz w:val="32"/>
          <w:szCs w:val="32"/>
          <w:shd w:val="clear" w:fill="FFFFFF"/>
          <w:lang w:val="en-US" w:eastAsia="zh-CN" w:bidi="ar"/>
        </w:rPr>
        <w:t>0%</w:t>
      </w:r>
      <w:r>
        <w:rPr>
          <w:rFonts w:hint="eastAsia" w:ascii="仿宋_GB2312" w:hAnsi="Times New Roman" w:eastAsia="仿宋_GB2312" w:cs="仿宋_GB2312"/>
          <w:kern w:val="0"/>
          <w:sz w:val="32"/>
          <w:szCs w:val="32"/>
          <w:shd w:val="clear" w:fill="FFFFFF"/>
          <w:lang w:val="en-US" w:eastAsia="zh-CN" w:bidi="ar"/>
        </w:rPr>
        <w:t>。</w:t>
      </w:r>
    </w:p>
    <w:p w14:paraId="637F000D">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2"/>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b w:val="0"/>
          <w:bCs w:val="0"/>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项目决策</w:t>
      </w:r>
    </w:p>
    <w:p w14:paraId="44BECF34">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）决策程序</w:t>
      </w:r>
    </w:p>
    <w:p w14:paraId="3EE4F067">
      <w:pPr>
        <w:keepNext w:val="0"/>
        <w:keepLines w:val="0"/>
        <w:widowControl w:val="0"/>
        <w:suppressLineNumbers w:val="0"/>
        <w:adjustRightInd w:val="0"/>
        <w:snapToGrid w:val="0"/>
        <w:spacing w:before="0" w:beforeAutospacing="0" w:after="0" w:afterAutospacing="0" w:line="576"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根据可执行情况表，本部门预算阶段项目（含一次性项目）</w:t>
      </w:r>
    </w:p>
    <w:p w14:paraId="1309B40C">
      <w:pPr>
        <w:keepNext w:val="0"/>
        <w:keepLines w:val="0"/>
        <w:widowControl w:val="0"/>
        <w:suppressLineNumbers w:val="0"/>
        <w:adjustRightInd w:val="0"/>
        <w:snapToGrid w:val="0"/>
        <w:spacing w:before="0" w:beforeAutospacing="0" w:after="0" w:afterAutospacing="0" w:line="576"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总数为</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个，无未履行事前评估程序的部门预算阶段项目。</w:t>
      </w:r>
    </w:p>
    <w:p w14:paraId="1C937FB6">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4</w:t>
      </w:r>
      <w:r>
        <w:rPr>
          <w:rFonts w:hint="eastAsia" w:ascii="仿宋_GB2312" w:hAnsi="Times New Roman" w:eastAsia="仿宋_GB2312" w:cs="仿宋_GB2312"/>
          <w:kern w:val="0"/>
          <w:sz w:val="32"/>
          <w:szCs w:val="32"/>
          <w:shd w:val="clear" w:fill="FFFFFF"/>
          <w:lang w:val="en-US" w:eastAsia="zh-CN" w:bidi="ar"/>
        </w:rPr>
        <w:t>分。</w:t>
      </w:r>
    </w:p>
    <w:p w14:paraId="7BA886AD">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）目标设置</w:t>
      </w:r>
    </w:p>
    <w:p w14:paraId="1C5858C3">
      <w:pPr>
        <w:keepNext w:val="0"/>
        <w:keepLines w:val="0"/>
        <w:widowControl w:val="0"/>
        <w:suppressLineNumbers w:val="0"/>
        <w:adjustRightInd w:val="0"/>
        <w:snapToGrid w:val="0"/>
        <w:spacing w:before="0" w:beforeAutospacing="0" w:after="0" w:afterAutospacing="0" w:line="576"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本部门预算阶段项目（含一次性项目）总数为</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个，无绩效</w:t>
      </w:r>
    </w:p>
    <w:p w14:paraId="48B7A788">
      <w:pPr>
        <w:keepNext w:val="0"/>
        <w:keepLines w:val="0"/>
        <w:widowControl w:val="0"/>
        <w:suppressLineNumbers w:val="0"/>
        <w:adjustRightInd w:val="0"/>
        <w:snapToGrid w:val="0"/>
        <w:spacing w:before="0" w:beforeAutospacing="0" w:after="0" w:afterAutospacing="0" w:line="576"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目标与计划期内的任务量、预算安排不相匹配的部门预算阶段项目（含一次性项目）。</w:t>
      </w:r>
    </w:p>
    <w:p w14:paraId="00CDAFC3">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4</w:t>
      </w:r>
      <w:r>
        <w:rPr>
          <w:rFonts w:hint="eastAsia" w:ascii="仿宋_GB2312" w:hAnsi="Times New Roman" w:eastAsia="仿宋_GB2312" w:cs="仿宋_GB2312"/>
          <w:kern w:val="0"/>
          <w:sz w:val="32"/>
          <w:szCs w:val="32"/>
          <w:shd w:val="clear" w:fill="FFFFFF"/>
          <w:lang w:val="en-US" w:eastAsia="zh-CN" w:bidi="ar"/>
        </w:rPr>
        <w:t>分。</w:t>
      </w:r>
    </w:p>
    <w:p w14:paraId="1C954DC8">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）项目入库</w:t>
      </w:r>
    </w:p>
    <w:p w14:paraId="14FF7375">
      <w:pPr>
        <w:keepNext w:val="0"/>
        <w:keepLines w:val="0"/>
        <w:widowControl w:val="0"/>
        <w:suppressLineNumbers w:val="0"/>
        <w:adjustRightInd w:val="0"/>
        <w:snapToGrid w:val="0"/>
        <w:spacing w:before="0" w:beforeAutospacing="0" w:after="0" w:afterAutospacing="0" w:line="576"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本部门预算阶段项目（含一次性项目）总数为</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个，均已在</w:t>
      </w:r>
    </w:p>
    <w:p w14:paraId="699B5CD2">
      <w:pPr>
        <w:keepNext w:val="0"/>
        <w:keepLines w:val="0"/>
        <w:widowControl w:val="0"/>
        <w:suppressLineNumbers w:val="0"/>
        <w:adjustRightInd w:val="0"/>
        <w:snapToGrid w:val="0"/>
        <w:spacing w:before="0" w:beforeAutospacing="0" w:after="0" w:afterAutospacing="0" w:line="576"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规定时间内入财政库。</w:t>
      </w:r>
    </w:p>
    <w:p w14:paraId="3C93A489">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4</w:t>
      </w:r>
      <w:r>
        <w:rPr>
          <w:rFonts w:hint="eastAsia" w:ascii="仿宋_GB2312" w:hAnsi="Times New Roman" w:eastAsia="仿宋_GB2312" w:cs="仿宋_GB2312"/>
          <w:kern w:val="0"/>
          <w:sz w:val="32"/>
          <w:szCs w:val="32"/>
          <w:shd w:val="clear" w:fill="FFFFFF"/>
          <w:lang w:val="en-US" w:eastAsia="zh-CN" w:bidi="ar"/>
        </w:rPr>
        <w:t>分。</w:t>
      </w:r>
    </w:p>
    <w:p w14:paraId="1CB76BE1">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2"/>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．项目执行</w:t>
      </w:r>
    </w:p>
    <w:p w14:paraId="78A9CFA2">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）资金执行同向</w:t>
      </w:r>
    </w:p>
    <w:p w14:paraId="25DE6A18">
      <w:pPr>
        <w:keepNext w:val="0"/>
        <w:keepLines w:val="0"/>
        <w:widowControl w:val="0"/>
        <w:suppressLineNumbers w:val="0"/>
        <w:adjustRightInd w:val="0"/>
        <w:snapToGrid w:val="0"/>
        <w:spacing w:before="0" w:beforeAutospacing="0" w:after="0" w:afterAutospacing="0" w:line="576"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本部门预算阶段项目（含一次性项目）总数为</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个，无实际</w:t>
      </w:r>
    </w:p>
    <w:p w14:paraId="3562EB2A">
      <w:pPr>
        <w:keepNext w:val="0"/>
        <w:keepLines w:val="0"/>
        <w:widowControl w:val="0"/>
        <w:suppressLineNumbers w:val="0"/>
        <w:adjustRightInd w:val="0"/>
        <w:snapToGrid w:val="0"/>
        <w:spacing w:before="0" w:beforeAutospacing="0" w:after="0" w:afterAutospacing="0" w:line="576"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列支内容与绩效目标设置方向不相符的部门预算阶段项目（含</w:t>
      </w:r>
      <w:r>
        <w:rPr>
          <w:rFonts w:hint="eastAsia" w:ascii="Times New Roman" w:hAnsi="Times New Roman" w:eastAsia="仿宋_GB2312" w:cs="Times New Roman"/>
          <w:kern w:val="0"/>
          <w:sz w:val="32"/>
          <w:szCs w:val="32"/>
          <w:shd w:val="clear" w:fill="FFFFFF"/>
          <w:lang w:val="en-US" w:eastAsia="zh-CN" w:bidi="ar"/>
        </w:rPr>
        <w:t xml:space="preserve"> </w:t>
      </w:r>
      <w:r>
        <w:rPr>
          <w:rFonts w:hint="eastAsia" w:ascii="仿宋_GB2312" w:hAnsi="Times New Roman" w:eastAsia="仿宋_GB2312" w:cs="仿宋_GB2312"/>
          <w:kern w:val="0"/>
          <w:sz w:val="32"/>
          <w:szCs w:val="32"/>
          <w:shd w:val="clear" w:fill="FFFFFF"/>
          <w:lang w:val="en-US" w:eastAsia="zh-CN" w:bidi="ar"/>
        </w:rPr>
        <w:t>一次性项目）。</w:t>
      </w:r>
    </w:p>
    <w:p w14:paraId="346E602E">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4</w:t>
      </w:r>
      <w:r>
        <w:rPr>
          <w:rFonts w:hint="eastAsia" w:ascii="仿宋_GB2312" w:hAnsi="Times New Roman" w:eastAsia="仿宋_GB2312" w:cs="仿宋_GB2312"/>
          <w:kern w:val="0"/>
          <w:sz w:val="32"/>
          <w:szCs w:val="32"/>
          <w:shd w:val="clear" w:fill="FFFFFF"/>
          <w:lang w:val="en-US" w:eastAsia="zh-CN" w:bidi="ar"/>
        </w:rPr>
        <w:t>分。</w:t>
      </w:r>
    </w:p>
    <w:p w14:paraId="2315663A">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）项目调整</w:t>
      </w:r>
    </w:p>
    <w:p w14:paraId="1DC4D77B">
      <w:pPr>
        <w:keepNext w:val="0"/>
        <w:keepLines w:val="0"/>
        <w:widowControl w:val="0"/>
        <w:suppressLineNumbers w:val="0"/>
        <w:adjustRightInd w:val="0"/>
        <w:snapToGrid w:val="0"/>
        <w:spacing w:before="0" w:beforeAutospacing="0" w:after="0" w:afterAutospacing="0" w:line="576"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本部门应采取收回预算、调整目标等处置措施的部门预算阶</w:t>
      </w:r>
    </w:p>
    <w:p w14:paraId="381F0C69">
      <w:pPr>
        <w:keepNext w:val="0"/>
        <w:keepLines w:val="0"/>
        <w:widowControl w:val="0"/>
        <w:suppressLineNumbers w:val="0"/>
        <w:adjustRightInd w:val="0"/>
        <w:snapToGrid w:val="0"/>
        <w:spacing w:before="0" w:beforeAutospacing="0" w:after="0" w:afterAutospacing="0" w:line="576"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段项目（含一次性项目）个数为</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个，均按程序进行预算收回和</w:t>
      </w:r>
      <w:r>
        <w:rPr>
          <w:rFonts w:hint="eastAsia" w:ascii="Times New Roman" w:hAnsi="Times New Roman" w:eastAsia="仿宋_GB2312" w:cs="Times New Roman"/>
          <w:kern w:val="0"/>
          <w:sz w:val="32"/>
          <w:szCs w:val="32"/>
          <w:shd w:val="clear" w:fill="FFFFFF"/>
          <w:lang w:val="en-US" w:eastAsia="zh-CN" w:bidi="ar"/>
        </w:rPr>
        <w:t xml:space="preserve"> </w:t>
      </w:r>
      <w:r>
        <w:rPr>
          <w:rFonts w:hint="eastAsia" w:ascii="仿宋_GB2312" w:hAnsi="Times New Roman" w:eastAsia="仿宋_GB2312" w:cs="仿宋_GB2312"/>
          <w:kern w:val="0"/>
          <w:sz w:val="32"/>
          <w:szCs w:val="32"/>
          <w:shd w:val="clear" w:fill="FFFFFF"/>
          <w:lang w:val="en-US" w:eastAsia="zh-CN" w:bidi="ar"/>
        </w:rPr>
        <w:t>目标调整。</w:t>
      </w:r>
    </w:p>
    <w:p w14:paraId="6135F623">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4</w:t>
      </w:r>
      <w:r>
        <w:rPr>
          <w:rFonts w:hint="eastAsia" w:ascii="仿宋_GB2312" w:hAnsi="Times New Roman" w:eastAsia="仿宋_GB2312" w:cs="仿宋_GB2312"/>
          <w:kern w:val="0"/>
          <w:sz w:val="32"/>
          <w:szCs w:val="32"/>
          <w:shd w:val="clear" w:fill="FFFFFF"/>
          <w:lang w:val="en-US" w:eastAsia="zh-CN" w:bidi="ar"/>
        </w:rPr>
        <w:t>分。</w:t>
      </w:r>
    </w:p>
    <w:p w14:paraId="709A1886">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3"/>
        <w:rPr>
          <w:rFonts w:hint="default" w:ascii="Times New Roman" w:hAnsi="Times New Roman" w:eastAsia="楷体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）执行结果</w:t>
      </w:r>
    </w:p>
    <w:p w14:paraId="72AB04D8">
      <w:pPr>
        <w:keepNext w:val="0"/>
        <w:keepLines w:val="0"/>
        <w:widowControl w:val="0"/>
        <w:suppressLineNumbers w:val="0"/>
        <w:adjustRightInd w:val="0"/>
        <w:snapToGrid w:val="0"/>
        <w:spacing w:before="0" w:beforeAutospacing="0" w:after="0" w:afterAutospacing="0" w:line="576"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本部门预算常年项目总数为</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个，预算结余率小于</w:t>
      </w:r>
      <w:r>
        <w:rPr>
          <w:rFonts w:hint="default" w:ascii="Times New Roman" w:hAnsi="Times New Roman" w:eastAsia="仿宋_GB2312" w:cs="Times New Roman"/>
          <w:kern w:val="0"/>
          <w:sz w:val="32"/>
          <w:szCs w:val="32"/>
          <w:shd w:val="clear" w:fill="FFFFFF"/>
          <w:lang w:val="en-US" w:eastAsia="zh-CN" w:bidi="ar"/>
        </w:rPr>
        <w:t>10%</w:t>
      </w:r>
      <w:r>
        <w:rPr>
          <w:rFonts w:hint="eastAsia" w:ascii="仿宋_GB2312" w:hAnsi="Times New Roman" w:eastAsia="仿宋_GB2312" w:cs="仿宋_GB2312"/>
          <w:kern w:val="0"/>
          <w:sz w:val="32"/>
          <w:szCs w:val="32"/>
          <w:shd w:val="clear" w:fill="FFFFFF"/>
          <w:lang w:val="en-US" w:eastAsia="zh-CN" w:bidi="ar"/>
        </w:rPr>
        <w:t>的常</w:t>
      </w:r>
    </w:p>
    <w:p w14:paraId="37F083BA">
      <w:pPr>
        <w:keepNext w:val="0"/>
        <w:keepLines w:val="0"/>
        <w:widowControl w:val="0"/>
        <w:suppressLineNumbers w:val="0"/>
        <w:adjustRightInd w:val="0"/>
        <w:snapToGrid w:val="0"/>
        <w:spacing w:before="0" w:beforeAutospacing="0" w:after="0" w:afterAutospacing="0" w:line="576"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年项目数量为</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个。本部门预算一次性项目和阶段项目总数为</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个，预算结余率小于</w:t>
      </w:r>
      <w:r>
        <w:rPr>
          <w:rFonts w:hint="default" w:ascii="Times New Roman" w:hAnsi="Times New Roman" w:eastAsia="仿宋_GB2312" w:cs="Times New Roman"/>
          <w:kern w:val="0"/>
          <w:sz w:val="32"/>
          <w:szCs w:val="32"/>
          <w:shd w:val="clear" w:fill="FFFFFF"/>
          <w:lang w:val="en-US" w:eastAsia="zh-CN" w:bidi="ar"/>
        </w:rPr>
        <w:t>10%</w:t>
      </w:r>
      <w:r>
        <w:rPr>
          <w:rFonts w:hint="eastAsia" w:ascii="仿宋_GB2312" w:hAnsi="Times New Roman" w:eastAsia="仿宋_GB2312" w:cs="仿宋_GB2312"/>
          <w:kern w:val="0"/>
          <w:sz w:val="32"/>
          <w:szCs w:val="32"/>
          <w:shd w:val="clear" w:fill="FFFFFF"/>
          <w:lang w:val="en-US" w:eastAsia="zh-CN" w:bidi="ar"/>
        </w:rPr>
        <w:t>的一次性项目和阶段项目数量为</w:t>
      </w:r>
      <w:r>
        <w:rPr>
          <w:rFonts w:hint="default" w:ascii="Times New Roman" w:hAnsi="Times New Roman" w:eastAsia="仿宋_GB2312" w:cs="Times New Roman"/>
          <w:kern w:val="0"/>
          <w:sz w:val="32"/>
          <w:szCs w:val="32"/>
          <w:shd w:val="clear" w:fill="FFFFFF"/>
          <w:lang w:val="en-US" w:eastAsia="zh-CN" w:bidi="ar"/>
        </w:rPr>
        <w:t>0</w:t>
      </w:r>
      <w:r>
        <w:rPr>
          <w:rFonts w:hint="eastAsia" w:ascii="仿宋_GB2312" w:hAnsi="Times New Roman" w:eastAsia="仿宋_GB2312" w:cs="仿宋_GB2312"/>
          <w:kern w:val="0"/>
          <w:sz w:val="32"/>
          <w:szCs w:val="32"/>
          <w:shd w:val="clear" w:fill="FFFFFF"/>
          <w:lang w:val="en-US" w:eastAsia="zh-CN" w:bidi="ar"/>
        </w:rPr>
        <w:t>个。</w:t>
      </w:r>
    </w:p>
    <w:p w14:paraId="128FD1C7">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分。</w:t>
      </w:r>
    </w:p>
    <w:p w14:paraId="46E5DA49">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2"/>
        <w:rPr>
          <w:rFonts w:hint="default" w:ascii="Times New Roman" w:hAnsi="Times New Roman" w:eastAsia="仿宋_GB2312" w:cs="Times New Roman"/>
          <w:kern w:val="0"/>
          <w:sz w:val="32"/>
          <w:szCs w:val="32"/>
          <w:shd w:val="clear" w:fill="FFFFFF"/>
        </w:rPr>
      </w:pP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．目标实现</w:t>
      </w:r>
    </w:p>
    <w:p w14:paraId="383F532F">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）目标完成</w:t>
      </w:r>
    </w:p>
    <w:p w14:paraId="464416AE">
      <w:pPr>
        <w:keepNext w:val="0"/>
        <w:keepLines w:val="0"/>
        <w:widowControl w:val="0"/>
        <w:suppressLineNumbers w:val="0"/>
        <w:adjustRightInd w:val="0"/>
        <w:snapToGrid w:val="0"/>
        <w:spacing w:before="0" w:beforeAutospacing="0" w:after="0" w:afterAutospacing="0" w:line="576" w:lineRule="exact"/>
        <w:ind w:left="210" w:leftChars="100" w:right="0" w:firstLine="320" w:firstLineChars="1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本部门预算阶段项目（含一次性项目）总数为</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个，已完成</w:t>
      </w:r>
    </w:p>
    <w:p w14:paraId="7392CE20">
      <w:pPr>
        <w:keepNext w:val="0"/>
        <w:keepLines w:val="0"/>
        <w:widowControl w:val="0"/>
        <w:suppressLineNumbers w:val="0"/>
        <w:adjustRightInd w:val="0"/>
        <w:snapToGrid w:val="0"/>
        <w:spacing w:before="0" w:beforeAutospacing="0" w:after="0" w:afterAutospacing="0" w:line="576" w:lineRule="exact"/>
        <w:ind w:left="0" w:right="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绩效目标数量指标的部门预算阶段项目（含一次性项目）数量</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w:t>
      </w:r>
    </w:p>
    <w:p w14:paraId="284982F7">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4</w:t>
      </w:r>
      <w:r>
        <w:rPr>
          <w:rFonts w:hint="eastAsia" w:ascii="仿宋_GB2312" w:hAnsi="Times New Roman" w:eastAsia="仿宋_GB2312" w:cs="仿宋_GB2312"/>
          <w:kern w:val="0"/>
          <w:sz w:val="32"/>
          <w:szCs w:val="32"/>
          <w:shd w:val="clear" w:fill="FFFFFF"/>
          <w:lang w:val="en-US" w:eastAsia="zh-CN" w:bidi="ar"/>
        </w:rPr>
        <w:t>分。</w:t>
      </w:r>
    </w:p>
    <w:p w14:paraId="1F05983F">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3"/>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）目标偏离</w:t>
      </w:r>
    </w:p>
    <w:p w14:paraId="44E5F517">
      <w:pPr>
        <w:keepNext w:val="0"/>
        <w:keepLines w:val="0"/>
        <w:widowControl w:val="0"/>
        <w:suppressLineNumbers w:val="0"/>
        <w:adjustRightInd w:val="0"/>
        <w:snapToGrid w:val="0"/>
        <w:spacing w:before="0" w:beforeAutospacing="0" w:after="0" w:afterAutospacing="0" w:line="576" w:lineRule="exact"/>
        <w:ind w:left="0" w:leftChars="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本部门项目中数量指标全部完成。</w:t>
      </w:r>
    </w:p>
    <w:p w14:paraId="332377F3">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综上，根据评分标准，该项指标得分</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已完成预期指标值的数量指标中偏离度在</w:t>
      </w:r>
      <w:r>
        <w:rPr>
          <w:rFonts w:hint="default" w:ascii="Times New Roman" w:hAnsi="Times New Roman" w:eastAsia="仿宋_GB2312" w:cs="Times New Roman"/>
          <w:kern w:val="0"/>
          <w:sz w:val="32"/>
          <w:szCs w:val="32"/>
          <w:shd w:val="clear" w:fill="FFFFFF"/>
          <w:lang w:val="en-US" w:eastAsia="zh-CN" w:bidi="ar"/>
        </w:rPr>
        <w:t>30%</w:t>
      </w:r>
      <w:r>
        <w:rPr>
          <w:rFonts w:hint="eastAsia" w:ascii="仿宋_GB2312" w:hAnsi="Times New Roman" w:eastAsia="仿宋_GB2312" w:cs="仿宋_GB2312"/>
          <w:kern w:val="0"/>
          <w:sz w:val="32"/>
          <w:szCs w:val="32"/>
          <w:shd w:val="clear" w:fill="FFFFFF"/>
          <w:lang w:val="en-US" w:eastAsia="zh-CN" w:bidi="ar"/>
        </w:rPr>
        <w:t>内的指标个数÷已完成预期指标值的数量指标个数×</w:t>
      </w:r>
      <w:r>
        <w:rPr>
          <w:rFonts w:hint="default" w:ascii="Times New Roman" w:hAnsi="Times New Roman" w:eastAsia="仿宋_GB2312" w:cs="Times New Roman"/>
          <w:kern w:val="0"/>
          <w:sz w:val="32"/>
          <w:szCs w:val="32"/>
          <w:shd w:val="clear" w:fill="FFFFFF"/>
          <w:lang w:val="en-US" w:eastAsia="zh-CN" w:bidi="ar"/>
        </w:rPr>
        <w:t>100%</w:t>
      </w: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4</w:t>
      </w:r>
      <w:r>
        <w:rPr>
          <w:rFonts w:hint="eastAsia" w:ascii="仿宋_GB2312" w:hAnsi="Times New Roman" w:eastAsia="仿宋_GB2312" w:cs="仿宋_GB2312"/>
          <w:kern w:val="0"/>
          <w:sz w:val="32"/>
          <w:szCs w:val="32"/>
          <w:shd w:val="clear" w:fill="FFFFFF"/>
          <w:lang w:val="en-US" w:eastAsia="zh-CN" w:bidi="ar"/>
        </w:rPr>
        <w:t>。偏离度</w:t>
      </w:r>
      <w:r>
        <w:rPr>
          <w:rFonts w:hint="default" w:ascii="Times New Roman" w:hAnsi="Times New Roman" w:eastAsia="仿宋_GB2312" w:cs="Times New Roman"/>
          <w:kern w:val="0"/>
          <w:sz w:val="32"/>
          <w:szCs w:val="32"/>
          <w:shd w:val="clear" w:fill="FFFFFF"/>
          <w:lang w:val="en-US" w:eastAsia="zh-CN" w:bidi="ar"/>
        </w:rPr>
        <w:t>=0</w:t>
      </w:r>
      <w:r>
        <w:rPr>
          <w:rFonts w:hint="eastAsia" w:ascii="仿宋_GB2312" w:hAnsi="Times New Roman" w:eastAsia="仿宋_GB2312" w:cs="仿宋_GB2312"/>
          <w:kern w:val="0"/>
          <w:sz w:val="32"/>
          <w:szCs w:val="32"/>
          <w:shd w:val="clear" w:fill="FFFFFF"/>
          <w:lang w:val="en-US" w:eastAsia="zh-CN" w:bidi="ar"/>
        </w:rPr>
        <w:t>（绩效指标实际完成值</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设定预期指标值）÷设定预期指标值</w:t>
      </w:r>
      <w:r>
        <w:rPr>
          <w:rFonts w:hint="default" w:ascii="Times New Roman" w:hAnsi="Times New Roman" w:eastAsia="仿宋_GB2312" w:cs="Times New Roman"/>
          <w:kern w:val="0"/>
          <w:sz w:val="32"/>
          <w:szCs w:val="32"/>
          <w:shd w:val="clear" w:fill="FFFFFF"/>
          <w:lang w:val="en-US" w:eastAsia="zh-CN" w:bidi="ar"/>
        </w:rPr>
        <w:t>|</w:t>
      </w:r>
      <w:r>
        <w:rPr>
          <w:rFonts w:hint="eastAsia" w:ascii="仿宋_GB2312" w:hAnsi="Times New Roman" w:eastAsia="仿宋_GB2312" w:cs="仿宋_GB2312"/>
          <w:kern w:val="0"/>
          <w:sz w:val="32"/>
          <w:szCs w:val="32"/>
          <w:shd w:val="clear" w:fill="FFFFFF"/>
          <w:lang w:val="en-US" w:eastAsia="zh-CN" w:bidi="ar"/>
        </w:rPr>
        <w:t>，该项指标不扣分，得</w:t>
      </w:r>
      <w:r>
        <w:rPr>
          <w:rFonts w:hint="default" w:ascii="Times New Roman" w:hAnsi="Times New Roman" w:eastAsia="仿宋_GB2312" w:cs="Times New Roman"/>
          <w:kern w:val="0"/>
          <w:sz w:val="32"/>
          <w:szCs w:val="32"/>
          <w:shd w:val="clear" w:fill="FFFFFF"/>
          <w:lang w:val="en-US" w:eastAsia="zh-CN" w:bidi="ar"/>
        </w:rPr>
        <w:t>4</w:t>
      </w:r>
      <w:r>
        <w:rPr>
          <w:rFonts w:hint="eastAsia" w:ascii="仿宋_GB2312" w:hAnsi="Times New Roman" w:eastAsia="仿宋_GB2312" w:cs="仿宋_GB2312"/>
          <w:kern w:val="0"/>
          <w:sz w:val="32"/>
          <w:szCs w:val="32"/>
          <w:shd w:val="clear" w:fill="FFFFFF"/>
          <w:lang w:val="en-US" w:eastAsia="zh-CN" w:bidi="ar"/>
        </w:rPr>
        <w:t>分。</w:t>
      </w:r>
    </w:p>
    <w:p w14:paraId="59F2ACA1">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outlineLvl w:val="3"/>
        <w:rPr>
          <w:rFonts w:hint="default" w:ascii="Times New Roman" w:hAnsi="Times New Roman" w:eastAsia="楷体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w:t>
      </w: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）实现效果</w:t>
      </w:r>
    </w:p>
    <w:p w14:paraId="533DF4E9">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本部门预算阶段项目（含一次性项目）总数为</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个，完成绩效目标效益指标的部门预算阶段项目（含一次性项目）数量为</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个，本部门预算项目绩效目标效益指标实施效果较好，均已达到设定指标值。</w:t>
      </w:r>
    </w:p>
    <w:p w14:paraId="4719CB0B">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综上，根据评分标准，该项指标不扣分，得</w:t>
      </w: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分。</w:t>
      </w:r>
    </w:p>
    <w:p w14:paraId="09A2DD34">
      <w:pPr>
        <w:keepNext w:val="0"/>
        <w:keepLines w:val="0"/>
        <w:widowControl w:val="0"/>
        <w:suppressLineNumbers w:val="0"/>
        <w:snapToGrid w:val="0"/>
        <w:spacing w:before="0" w:beforeAutospacing="0" w:after="0" w:afterAutospacing="0" w:line="600" w:lineRule="exact"/>
        <w:ind w:left="0" w:right="0" w:firstLine="643" w:firstLineChars="200"/>
        <w:jc w:val="both"/>
        <w:outlineLvl w:val="1"/>
        <w:rPr>
          <w:rFonts w:hint="default" w:ascii="Times New Roman" w:hAnsi="Times New Roman" w:eastAsia="楷体_GB2312" w:cs="Times New Roman"/>
          <w:b/>
          <w:bCs/>
          <w:kern w:val="2"/>
          <w:sz w:val="32"/>
          <w:szCs w:val="32"/>
        </w:rPr>
      </w:pPr>
      <w:r>
        <w:rPr>
          <w:rFonts w:hint="eastAsia" w:ascii="楷体_GB2312" w:hAnsi="Times New Roman" w:eastAsia="楷体_GB2312" w:cs="楷体_GB2312"/>
          <w:b/>
          <w:bCs/>
          <w:kern w:val="0"/>
          <w:sz w:val="32"/>
          <w:szCs w:val="32"/>
          <w:shd w:val="clear" w:fill="FFFFFF"/>
          <w:lang w:val="en-US" w:eastAsia="zh-CN" w:bidi="ar"/>
        </w:rPr>
        <w:t>（三）</w:t>
      </w:r>
      <w:r>
        <w:rPr>
          <w:rFonts w:hint="eastAsia" w:ascii="楷体_GB2312" w:hAnsi="Times New Roman" w:eastAsia="楷体_GB2312" w:cs="楷体_GB2312"/>
          <w:b/>
          <w:bCs/>
          <w:kern w:val="2"/>
          <w:sz w:val="32"/>
          <w:szCs w:val="32"/>
          <w:lang w:val="en-US" w:eastAsia="zh-CN" w:bidi="ar"/>
        </w:rPr>
        <w:t>绩效结果应用情况。</w:t>
      </w:r>
    </w:p>
    <w:p w14:paraId="6BB81D75">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本部门严格按照规定，项目绩效与预算资金安排挂钩；项目实施未达预期效果、预算执行进度不符合要求的，进行通报并作为年度评优时的参考依据；对于造成财政资金损失的，按照有关规定追究责任。</w:t>
      </w:r>
    </w:p>
    <w:p w14:paraId="7D00A153">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本部门严格按照规定，经批复的项目绩效目标、绩效评价结果按规定向社会公开。同时，</w:t>
      </w:r>
      <w:r>
        <w:rPr>
          <w:rFonts w:hint="default" w:ascii="Times New Roman" w:hAnsi="Times New Roman" w:eastAsia="仿宋_GB2312" w:cs="Times New Roman"/>
          <w:kern w:val="0"/>
          <w:sz w:val="32"/>
          <w:szCs w:val="32"/>
          <w:shd w:val="clear" w:fill="FFFFFF"/>
          <w:lang w:val="en-US" w:eastAsia="zh-CN" w:bidi="ar"/>
        </w:rPr>
        <w:t>2025</w:t>
      </w:r>
      <w:r>
        <w:rPr>
          <w:rFonts w:hint="eastAsia" w:ascii="仿宋_GB2312" w:hAnsi="Times New Roman" w:eastAsia="仿宋_GB2312" w:cs="仿宋_GB2312"/>
          <w:kern w:val="0"/>
          <w:sz w:val="32"/>
          <w:szCs w:val="32"/>
          <w:shd w:val="clear" w:fill="FFFFFF"/>
          <w:lang w:val="en-US" w:eastAsia="zh-CN" w:bidi="ar"/>
        </w:rPr>
        <w:t>年我部门在门户网站上公开的</w:t>
      </w:r>
      <w:r>
        <w:rPr>
          <w:rFonts w:hint="default" w:ascii="Times New Roman" w:hAnsi="Times New Roman" w:eastAsia="仿宋_GB2312" w:cs="Times New Roman"/>
          <w:kern w:val="0"/>
          <w:sz w:val="32"/>
          <w:szCs w:val="32"/>
          <w:shd w:val="clear" w:fill="FFFFFF"/>
          <w:lang w:val="en-US" w:eastAsia="zh-CN" w:bidi="ar"/>
        </w:rPr>
        <w:t>2025</w:t>
      </w:r>
      <w:r>
        <w:rPr>
          <w:rFonts w:hint="eastAsia" w:ascii="仿宋_GB2312" w:hAnsi="Times New Roman" w:eastAsia="仿宋_GB2312" w:cs="仿宋_GB2312"/>
          <w:kern w:val="0"/>
          <w:sz w:val="32"/>
          <w:szCs w:val="32"/>
          <w:shd w:val="clear" w:fill="FFFFFF"/>
          <w:lang w:val="en-US" w:eastAsia="zh-CN" w:bidi="ar"/>
        </w:rPr>
        <w:t>年部门预算编制说明中同步公开绩效目标。</w:t>
      </w:r>
      <w:r>
        <w:rPr>
          <w:rFonts w:hint="default" w:ascii="Times New Roman" w:hAnsi="Times New Roman" w:eastAsia="仿宋_GB2312" w:cs="Times New Roman"/>
          <w:kern w:val="0"/>
          <w:sz w:val="32"/>
          <w:szCs w:val="32"/>
          <w:shd w:val="clear" w:fill="FFFFFF"/>
          <w:lang w:val="en-US" w:eastAsia="zh-CN" w:bidi="ar"/>
        </w:rPr>
        <w:t>2025</w:t>
      </w:r>
      <w:r>
        <w:rPr>
          <w:rFonts w:hint="eastAsia" w:ascii="仿宋_GB2312" w:hAnsi="Times New Roman" w:eastAsia="仿宋_GB2312" w:cs="仿宋_GB2312"/>
          <w:kern w:val="0"/>
          <w:sz w:val="32"/>
          <w:szCs w:val="32"/>
          <w:shd w:val="clear" w:fill="FFFFFF"/>
          <w:lang w:val="en-US" w:eastAsia="zh-CN" w:bidi="ar"/>
        </w:rPr>
        <w:t>年</w:t>
      </w:r>
      <w:r>
        <w:rPr>
          <w:rFonts w:hint="default" w:ascii="Times New Roman" w:hAnsi="Times New Roman" w:eastAsia="仿宋_GB2312" w:cs="Times New Roman"/>
          <w:kern w:val="0"/>
          <w:sz w:val="32"/>
          <w:szCs w:val="32"/>
          <w:shd w:val="clear" w:fill="FFFFFF"/>
          <w:lang w:val="en-US" w:eastAsia="zh-CN" w:bidi="ar"/>
        </w:rPr>
        <w:t>3</w:t>
      </w:r>
      <w:r>
        <w:rPr>
          <w:rFonts w:hint="eastAsia" w:ascii="仿宋_GB2312" w:hAnsi="Times New Roman" w:eastAsia="仿宋_GB2312" w:cs="仿宋_GB2312"/>
          <w:kern w:val="0"/>
          <w:sz w:val="32"/>
          <w:szCs w:val="32"/>
          <w:shd w:val="clear" w:fill="FFFFFF"/>
          <w:lang w:val="en-US" w:eastAsia="zh-CN" w:bidi="ar"/>
        </w:rPr>
        <w:t>月按照相关要求完成全州林草系统</w:t>
      </w:r>
      <w:r>
        <w:rPr>
          <w:rFonts w:hint="default" w:ascii="Times New Roman" w:hAnsi="Times New Roman" w:eastAsia="仿宋_GB2312" w:cs="Times New Roman"/>
          <w:kern w:val="0"/>
          <w:sz w:val="32"/>
          <w:szCs w:val="32"/>
          <w:shd w:val="clear" w:fill="FFFFFF"/>
          <w:lang w:val="en-US" w:eastAsia="zh-CN" w:bidi="ar"/>
        </w:rPr>
        <w:t>2025</w:t>
      </w:r>
      <w:r>
        <w:rPr>
          <w:rFonts w:hint="eastAsia" w:ascii="仿宋_GB2312" w:hAnsi="Times New Roman" w:eastAsia="仿宋_GB2312" w:cs="仿宋_GB2312"/>
          <w:kern w:val="0"/>
          <w:sz w:val="32"/>
          <w:szCs w:val="32"/>
          <w:shd w:val="clear" w:fill="FFFFFF"/>
          <w:lang w:val="en-US" w:eastAsia="zh-CN" w:bidi="ar"/>
        </w:rPr>
        <w:t>年中央对地方转移支付资金绩效评价，并在门户网站上进行了公开。</w:t>
      </w:r>
    </w:p>
    <w:p w14:paraId="7FD78BDF">
      <w:pPr>
        <w:keepNext w:val="0"/>
        <w:keepLines w:val="0"/>
        <w:widowControl/>
        <w:suppressLineNumbers w:val="0"/>
        <w:adjustRightInd w:val="0"/>
        <w:snapToGrid w:val="0"/>
        <w:spacing w:before="0" w:beforeAutospacing="0" w:after="0" w:afterAutospacing="0" w:line="578" w:lineRule="exact"/>
        <w:ind w:left="0" w:right="0" w:firstLine="640" w:firstLineChars="200"/>
        <w:contextualSpacing/>
        <w:jc w:val="left"/>
        <w:outlineLvl w:val="0"/>
        <w:rPr>
          <w:rFonts w:hint="default" w:ascii="Times New Roman" w:hAnsi="Times New Roman" w:eastAsia="黑体" w:cs="Times New Roman"/>
          <w:kern w:val="0"/>
          <w:sz w:val="32"/>
          <w:szCs w:val="32"/>
          <w:shd w:val="clear" w:fill="FFFFFF"/>
        </w:rPr>
      </w:pPr>
      <w:r>
        <w:rPr>
          <w:rFonts w:hint="eastAsia" w:ascii="黑体" w:hAnsi="宋体" w:eastAsia="黑体" w:cs="黑体"/>
          <w:kern w:val="0"/>
          <w:sz w:val="32"/>
          <w:szCs w:val="32"/>
          <w:shd w:val="clear" w:fill="FFFFFF"/>
          <w:lang w:val="en-US" w:eastAsia="zh-CN" w:bidi="ar"/>
        </w:rPr>
        <w:t>四、评价结论及建议</w:t>
      </w:r>
    </w:p>
    <w:p w14:paraId="630BB9B1">
      <w:pPr>
        <w:keepNext w:val="0"/>
        <w:keepLines w:val="0"/>
        <w:widowControl w:val="0"/>
        <w:suppressLineNumbers w:val="0"/>
        <w:adjustRightInd w:val="0"/>
        <w:snapToGrid w:val="0"/>
        <w:spacing w:before="0" w:beforeAutospacing="0" w:after="0" w:afterAutospacing="0" w:line="576" w:lineRule="exact"/>
        <w:ind w:left="0" w:right="0" w:firstLine="643" w:firstLineChars="200"/>
        <w:jc w:val="both"/>
        <w:outlineLvl w:val="1"/>
        <w:rPr>
          <w:rFonts w:hint="default" w:ascii="Times New Roman" w:hAnsi="Times New Roman" w:eastAsia="楷体_GB2312" w:cs="Times New Roman"/>
          <w:b/>
          <w:bCs w:val="0"/>
          <w:kern w:val="0"/>
          <w:sz w:val="32"/>
          <w:szCs w:val="32"/>
          <w:shd w:val="clear" w:fill="FFFFFF"/>
        </w:rPr>
      </w:pPr>
      <w:r>
        <w:rPr>
          <w:rFonts w:hint="eastAsia" w:ascii="楷体_GB2312" w:hAnsi="Times New Roman" w:eastAsia="楷体_GB2312" w:cs="楷体_GB2312"/>
          <w:b/>
          <w:bCs w:val="0"/>
          <w:kern w:val="0"/>
          <w:sz w:val="32"/>
          <w:szCs w:val="32"/>
          <w:shd w:val="clear" w:fill="FFFFFF"/>
          <w:lang w:val="en-US" w:eastAsia="zh-CN" w:bidi="ar"/>
        </w:rPr>
        <w:t>（一）评价结论</w:t>
      </w:r>
    </w:p>
    <w:p w14:paraId="7CCFA0A6">
      <w:pPr>
        <w:keepNext w:val="0"/>
        <w:keepLines w:val="0"/>
        <w:widowControl w:val="0"/>
        <w:suppressLineNumbers w:val="0"/>
        <w:adjustRightInd w:val="0"/>
        <w:snapToGrid w:val="0"/>
        <w:spacing w:before="0" w:beforeAutospacing="0" w:after="0" w:afterAutospacing="0" w:line="576" w:lineRule="exact"/>
        <w:ind w:left="0" w:right="0" w:firstLine="640" w:firstLineChars="200"/>
        <w:jc w:val="both"/>
        <w:rPr>
          <w:rFonts w:hint="default" w:ascii="Times New Roman" w:hAnsi="Times New Roman" w:eastAsia="仿宋_GB2312" w:cs="Times New Roman"/>
          <w:kern w:val="0"/>
          <w:sz w:val="32"/>
          <w:szCs w:val="32"/>
        </w:rPr>
      </w:pPr>
      <w:r>
        <w:rPr>
          <w:rFonts w:hint="eastAsia" w:ascii="仿宋_GB2312" w:hAnsi="Times New Roman" w:eastAsia="仿宋_GB2312" w:cs="仿宋_GB2312"/>
          <w:kern w:val="0"/>
          <w:sz w:val="32"/>
          <w:szCs w:val="32"/>
          <w:lang w:val="en-US" w:eastAsia="zh-CN" w:bidi="ar"/>
        </w:rPr>
        <w:t>本部门履职效果和预算管理效果较好，财务管理、资产管理、采购管理规范，项目决策程序严格，项目执行进度和绩效目标实现程度良好，完成一般公共预算和阶段性（一次性）项目绩效目标自评表的填报，完成专项预算项目（含中央转移支付）自评工作，实现部门预算项目自评全覆盖。根据《部门整体支出绩效评价指标体系》，本部门</w:t>
      </w:r>
      <w:r>
        <w:rPr>
          <w:rFonts w:hint="default" w:ascii="Times New Roman" w:hAnsi="Times New Roman" w:eastAsia="仿宋_GB2312" w:cs="Times New Roman"/>
          <w:kern w:val="0"/>
          <w:sz w:val="32"/>
          <w:szCs w:val="32"/>
          <w:lang w:val="en-US" w:eastAsia="zh-CN" w:bidi="ar"/>
        </w:rPr>
        <w:t>2025</w:t>
      </w:r>
      <w:r>
        <w:rPr>
          <w:rFonts w:hint="eastAsia" w:ascii="仿宋_GB2312" w:hAnsi="Times New Roman" w:eastAsia="仿宋_GB2312" w:cs="仿宋_GB2312"/>
          <w:kern w:val="0"/>
          <w:sz w:val="32"/>
          <w:szCs w:val="32"/>
          <w:lang w:val="en-US" w:eastAsia="zh-CN" w:bidi="ar"/>
        </w:rPr>
        <w:t>年度自评得分为</w:t>
      </w:r>
      <w:r>
        <w:rPr>
          <w:rFonts w:hint="default" w:ascii="Times New Roman" w:hAnsi="Times New Roman" w:eastAsia="仿宋_GB2312" w:cs="Times New Roman"/>
          <w:kern w:val="0"/>
          <w:sz w:val="32"/>
          <w:szCs w:val="32"/>
          <w:lang w:val="en-US" w:eastAsia="zh-CN" w:bidi="ar"/>
        </w:rPr>
        <w:t>94.5</w:t>
      </w:r>
      <w:r>
        <w:rPr>
          <w:rFonts w:hint="eastAsia" w:ascii="仿宋_GB2312" w:hAnsi="Times New Roman" w:eastAsia="仿宋_GB2312" w:cs="仿宋_GB2312"/>
          <w:kern w:val="0"/>
          <w:sz w:val="32"/>
          <w:szCs w:val="32"/>
          <w:lang w:val="en-US" w:eastAsia="zh-CN" w:bidi="ar"/>
        </w:rPr>
        <w:t>分。</w:t>
      </w:r>
    </w:p>
    <w:p w14:paraId="26488A43">
      <w:pPr>
        <w:keepNext w:val="0"/>
        <w:keepLines w:val="0"/>
        <w:widowControl w:val="0"/>
        <w:suppressLineNumbers w:val="0"/>
        <w:adjustRightInd w:val="0"/>
        <w:snapToGrid w:val="0"/>
        <w:spacing w:before="0" w:beforeAutospacing="0" w:after="0" w:afterAutospacing="0" w:line="576" w:lineRule="exact"/>
        <w:ind w:left="0" w:right="0" w:firstLine="643" w:firstLineChars="200"/>
        <w:jc w:val="both"/>
        <w:outlineLvl w:val="1"/>
        <w:rPr>
          <w:rFonts w:hint="default" w:ascii="Times New Roman" w:hAnsi="Times New Roman" w:eastAsia="楷体_GB2312" w:cs="Times New Roman"/>
          <w:b/>
          <w:bCs w:val="0"/>
          <w:kern w:val="0"/>
          <w:sz w:val="32"/>
          <w:szCs w:val="32"/>
          <w:shd w:val="clear" w:fill="FFFFFF"/>
        </w:rPr>
      </w:pPr>
      <w:r>
        <w:rPr>
          <w:rFonts w:hint="eastAsia" w:ascii="楷体_GB2312" w:hAnsi="Times New Roman" w:eastAsia="楷体_GB2312" w:cs="楷体_GB2312"/>
          <w:b/>
          <w:bCs w:val="0"/>
          <w:kern w:val="0"/>
          <w:sz w:val="32"/>
          <w:szCs w:val="32"/>
          <w:shd w:val="clear" w:fill="FFFFFF"/>
          <w:lang w:val="en-US" w:eastAsia="zh-CN" w:bidi="ar"/>
        </w:rPr>
        <w:t>（二）存在问题</w:t>
      </w:r>
    </w:p>
    <w:p w14:paraId="188BD96F">
      <w:pPr>
        <w:keepNext w:val="0"/>
        <w:keepLines w:val="0"/>
        <w:widowControl w:val="0"/>
        <w:suppressLineNumbers w:val="0"/>
        <w:adjustRightInd w:val="0"/>
        <w:snapToGrid w:val="0"/>
        <w:spacing w:before="0" w:beforeAutospacing="0" w:after="0" w:afterAutospacing="0" w:line="576" w:lineRule="exact"/>
        <w:ind w:left="0" w:right="0" w:firstLine="643" w:firstLineChars="200"/>
        <w:jc w:val="both"/>
        <w:rPr>
          <w:rFonts w:hint="default" w:ascii="Times New Roman" w:hAnsi="Times New Roman" w:eastAsia="楷体_GB2312" w:cs="Times New Roman"/>
          <w:b/>
          <w:bCs/>
          <w:kern w:val="0"/>
          <w:sz w:val="32"/>
          <w:szCs w:val="32"/>
          <w:shd w:val="clear" w:fill="FFFFFF"/>
        </w:rPr>
      </w:pPr>
      <w:r>
        <w:rPr>
          <w:rFonts w:hint="eastAsia" w:ascii="楷体_GB2312" w:hAnsi="Times New Roman" w:eastAsia="楷体_GB2312" w:cs="楷体_GB2312"/>
          <w:b/>
          <w:bCs/>
          <w:kern w:val="0"/>
          <w:sz w:val="32"/>
          <w:szCs w:val="32"/>
          <w:shd w:val="clear" w:fill="FFFFFF"/>
          <w:lang w:val="en-US" w:eastAsia="zh-CN" w:bidi="ar"/>
        </w:rPr>
        <w:t>整体支出进度不均衡。</w:t>
      </w:r>
      <w:r>
        <w:rPr>
          <w:rFonts w:hint="eastAsia" w:ascii="仿宋_GB2312" w:hAnsi="Times New Roman" w:eastAsia="仿宋_GB2312" w:cs="仿宋_GB2312"/>
          <w:kern w:val="0"/>
          <w:sz w:val="32"/>
          <w:szCs w:val="32"/>
          <w:lang w:val="en-US" w:eastAsia="zh-CN" w:bidi="ar"/>
        </w:rPr>
        <w:t>本部门整体支出执行进度不均衡，年初预算数为</w:t>
      </w:r>
      <w:r>
        <w:rPr>
          <w:rFonts w:hint="default" w:ascii="Times New Roman" w:hAnsi="Times New Roman" w:eastAsia="仿宋_GB2312" w:cs="Times New Roman"/>
          <w:kern w:val="0"/>
          <w:sz w:val="32"/>
          <w:szCs w:val="32"/>
          <w:lang w:val="en-US" w:eastAsia="zh-CN" w:bidi="ar"/>
        </w:rPr>
        <w:t>0</w:t>
      </w:r>
      <w:r>
        <w:rPr>
          <w:rFonts w:hint="eastAsia" w:ascii="仿宋_GB2312" w:hAnsi="Times New Roman" w:eastAsia="仿宋_GB2312" w:cs="仿宋_GB2312"/>
          <w:kern w:val="0"/>
          <w:sz w:val="32"/>
          <w:szCs w:val="32"/>
          <w:lang w:val="en-US" w:eastAsia="zh-CN" w:bidi="ar"/>
        </w:rPr>
        <w:t>，项目资金均为中期调整追加，</w:t>
      </w:r>
      <w:r>
        <w:rPr>
          <w:rFonts w:hint="eastAsia" w:ascii="仿宋_GB2312" w:hAnsi="Times New Roman" w:eastAsia="仿宋_GB2312" w:cs="仿宋_GB2312"/>
          <w:kern w:val="0"/>
          <w:sz w:val="32"/>
          <w:szCs w:val="32"/>
          <w:shd w:val="clear" w:fill="FFFFFF"/>
          <w:lang w:val="en-US" w:eastAsia="zh-CN" w:bidi="ar"/>
        </w:rPr>
        <w:t>使得资金执行的进度前期较缓。</w:t>
      </w:r>
    </w:p>
    <w:p w14:paraId="5969BF9C">
      <w:pPr>
        <w:keepNext w:val="0"/>
        <w:keepLines w:val="0"/>
        <w:widowControl w:val="0"/>
        <w:suppressLineNumbers w:val="0"/>
        <w:adjustRightInd w:val="0"/>
        <w:snapToGrid w:val="0"/>
        <w:spacing w:before="0" w:beforeAutospacing="0" w:after="0" w:afterAutospacing="0" w:line="576" w:lineRule="exact"/>
        <w:ind w:left="0" w:right="0" w:firstLine="643" w:firstLineChars="200"/>
        <w:jc w:val="both"/>
        <w:outlineLvl w:val="1"/>
        <w:rPr>
          <w:rFonts w:hint="default" w:ascii="Times New Roman" w:hAnsi="Times New Roman" w:eastAsia="楷体_GB2312" w:cs="Times New Roman"/>
          <w:b/>
          <w:bCs w:val="0"/>
          <w:kern w:val="0"/>
          <w:sz w:val="32"/>
          <w:szCs w:val="32"/>
          <w:shd w:val="clear" w:fill="FFFFFF"/>
        </w:rPr>
      </w:pPr>
      <w:r>
        <w:rPr>
          <w:rFonts w:hint="eastAsia" w:ascii="楷体_GB2312" w:hAnsi="Times New Roman" w:eastAsia="楷体_GB2312" w:cs="楷体_GB2312"/>
          <w:b/>
          <w:bCs w:val="0"/>
          <w:kern w:val="0"/>
          <w:sz w:val="32"/>
          <w:szCs w:val="32"/>
          <w:shd w:val="clear" w:fill="FFFFFF"/>
          <w:lang w:val="en-US" w:eastAsia="zh-CN" w:bidi="ar"/>
        </w:rPr>
        <w:t>（三）改进建议</w:t>
      </w:r>
    </w:p>
    <w:p w14:paraId="2D5B45F9">
      <w:pPr>
        <w:keepNext w:val="0"/>
        <w:keepLines w:val="0"/>
        <w:widowControl w:val="0"/>
        <w:suppressLineNumbers w:val="0"/>
        <w:adjustRightInd w:val="0"/>
        <w:snapToGrid w:val="0"/>
        <w:spacing w:before="0" w:beforeAutospacing="0" w:after="0" w:afterAutospacing="0" w:line="576" w:lineRule="exact"/>
        <w:ind w:left="0" w:right="0" w:firstLine="643" w:firstLineChars="200"/>
        <w:jc w:val="both"/>
        <w:rPr>
          <w:rFonts w:hint="default" w:ascii="Times New Roman" w:hAnsi="Times New Roman" w:eastAsia="楷体_GB2312" w:cs="Times New Roman"/>
          <w:b/>
          <w:bCs/>
          <w:kern w:val="0"/>
          <w:sz w:val="32"/>
          <w:szCs w:val="32"/>
          <w:shd w:val="clear" w:fill="FFFFFF"/>
        </w:rPr>
      </w:pPr>
      <w:r>
        <w:rPr>
          <w:rFonts w:hint="eastAsia" w:ascii="楷体_GB2312" w:hAnsi="Times New Roman" w:eastAsia="楷体_GB2312" w:cs="楷体_GB2312"/>
          <w:b/>
          <w:bCs/>
          <w:kern w:val="0"/>
          <w:sz w:val="32"/>
          <w:szCs w:val="32"/>
          <w:shd w:val="clear" w:fill="FFFFFF"/>
          <w:lang w:val="en-US" w:eastAsia="zh-CN" w:bidi="ar"/>
        </w:rPr>
        <w:t>支出进度有待进一步优化。</w:t>
      </w:r>
      <w:r>
        <w:rPr>
          <w:rFonts w:hint="eastAsia" w:ascii="仿宋_GB2312" w:hAnsi="Times New Roman" w:eastAsia="仿宋_GB2312" w:cs="仿宋_GB2312"/>
          <w:kern w:val="0"/>
          <w:sz w:val="32"/>
          <w:szCs w:val="32"/>
          <w:shd w:val="clear" w:fill="FFFFFF"/>
          <w:lang w:val="en-US" w:eastAsia="zh-CN" w:bidi="ar"/>
        </w:rPr>
        <w:t>本部门将加强绩效监控工作，梳理各阶段实施内容和预算的执行进度，比较目标实现程度，分析执行过程存在的偏差，及时纠偏整改，定期通报项目执行情况，督促各部门实施项目，保障项目顺利合规地完成支付。</w:t>
      </w:r>
    </w:p>
    <w:p w14:paraId="0AE5C145">
      <w:pPr>
        <w:keepNext w:val="0"/>
        <w:keepLines w:val="0"/>
        <w:widowControl w:val="0"/>
        <w:suppressLineNumbers w:val="0"/>
        <w:spacing w:before="0" w:beforeAutospacing="0" w:after="0" w:afterAutospacing="0" w:line="578" w:lineRule="exact"/>
        <w:ind w:left="0" w:right="0"/>
        <w:contextualSpacing/>
        <w:jc w:val="both"/>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 xml:space="preserve"> </w:t>
      </w:r>
    </w:p>
    <w:p w14:paraId="54CCF0DD">
      <w:pPr>
        <w:keepNext w:val="0"/>
        <w:keepLines w:val="0"/>
        <w:widowControl w:val="0"/>
        <w:suppressLineNumbers w:val="0"/>
        <w:spacing w:before="0" w:beforeAutospacing="0" w:after="0" w:afterAutospacing="0" w:line="578" w:lineRule="exact"/>
        <w:ind w:left="0" w:right="0"/>
        <w:contextualSpacing/>
        <w:jc w:val="both"/>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 xml:space="preserve"> </w:t>
      </w:r>
    </w:p>
    <w:p w14:paraId="7EC4312B">
      <w:pPr>
        <w:keepNext w:val="0"/>
        <w:keepLines w:val="0"/>
        <w:widowControl w:val="0"/>
        <w:suppressLineNumbers w:val="0"/>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kern w:val="0"/>
          <w:sz w:val="32"/>
          <w:szCs w:val="32"/>
          <w:shd w:val="clear" w:fill="FFFFFF"/>
          <w:lang w:val="en-US" w:eastAsia="zh-CN" w:bidi="ar"/>
        </w:rPr>
        <w:t>附表：</w:t>
      </w:r>
      <w:r>
        <w:rPr>
          <w:rFonts w:hint="default" w:ascii="Times New Roman" w:hAnsi="Times New Roman" w:eastAsia="仿宋_GB2312" w:cs="Times New Roman"/>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w:t>
      </w:r>
      <w:r>
        <w:rPr>
          <w:rFonts w:hint="eastAsia" w:ascii="仿宋_GB2312" w:hAnsi="Times New Roman" w:eastAsia="仿宋_GB2312" w:cs="仿宋_GB2312"/>
          <w:kern w:val="2"/>
          <w:sz w:val="32"/>
          <w:szCs w:val="32"/>
          <w:lang w:val="en-US" w:eastAsia="zh-CN" w:bidi="ar"/>
        </w:rPr>
        <w:t>部门预算绩效自评打分表</w:t>
      </w:r>
    </w:p>
    <w:p w14:paraId="6652FE6B">
      <w:pPr>
        <w:keepNext w:val="0"/>
        <w:keepLines w:val="0"/>
        <w:widowControl w:val="0"/>
        <w:suppressLineNumbers w:val="0"/>
        <w:spacing w:before="0" w:beforeAutospacing="0" w:after="0" w:afterAutospacing="0" w:line="578" w:lineRule="exact"/>
        <w:ind w:left="0" w:right="0" w:firstLine="1600" w:firstLineChars="5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2</w:t>
      </w:r>
      <w:r>
        <w:rPr>
          <w:rFonts w:hint="eastAsia" w:ascii="仿宋_GB2312" w:hAnsi="Times New Roman" w:eastAsia="仿宋_GB2312" w:cs="仿宋_GB2312"/>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年度部门绩效目标表</w:t>
      </w:r>
    </w:p>
    <w:p w14:paraId="1C715B7F">
      <w:pPr>
        <w:keepNext w:val="0"/>
        <w:keepLines w:val="0"/>
        <w:widowControl w:val="0"/>
        <w:suppressLineNumbers w:val="0"/>
        <w:spacing w:before="0" w:beforeAutospacing="0" w:after="0" w:afterAutospacing="0" w:line="578" w:lineRule="exact"/>
        <w:ind w:left="0" w:right="0" w:firstLine="1600" w:firstLineChars="5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549739A9">
      <w:pPr>
        <w:keepNext w:val="0"/>
        <w:keepLines w:val="0"/>
        <w:widowControl w:val="0"/>
        <w:suppressLineNumbers w:val="0"/>
        <w:spacing w:before="0" w:beforeAutospacing="0" w:after="0" w:afterAutospacing="0" w:line="578" w:lineRule="exact"/>
        <w:ind w:left="0" w:right="0" w:firstLine="1600" w:firstLineChars="5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0A2937F6">
      <w:pPr>
        <w:keepNext w:val="0"/>
        <w:keepLines w:val="0"/>
        <w:widowControl w:val="0"/>
        <w:suppressLineNumbers w:val="0"/>
        <w:spacing w:before="0" w:beforeAutospacing="0" w:after="0" w:afterAutospacing="0" w:line="578" w:lineRule="exact"/>
        <w:ind w:left="0" w:right="0" w:firstLine="1600" w:firstLineChars="5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0DFA8953">
      <w:pPr>
        <w:keepNext w:val="0"/>
        <w:keepLines w:val="0"/>
        <w:widowControl w:val="0"/>
        <w:suppressLineNumbers w:val="0"/>
        <w:spacing w:before="0" w:beforeAutospacing="0" w:after="0" w:afterAutospacing="0" w:line="578" w:lineRule="exact"/>
        <w:ind w:left="0" w:right="0" w:firstLine="1600" w:firstLineChars="5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67C49390">
      <w:pPr>
        <w:keepNext w:val="0"/>
        <w:keepLines w:val="0"/>
        <w:widowControl w:val="0"/>
        <w:suppressLineNumbers w:val="0"/>
        <w:spacing w:before="0" w:beforeAutospacing="0" w:after="0" w:afterAutospacing="0" w:line="578" w:lineRule="exact"/>
        <w:ind w:left="0" w:right="0" w:firstLine="1600" w:firstLineChars="5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0C98E71C">
      <w:pPr>
        <w:keepNext w:val="0"/>
        <w:keepLines w:val="0"/>
        <w:widowControl w:val="0"/>
        <w:suppressLineNumbers w:val="0"/>
        <w:spacing w:before="0" w:beforeAutospacing="0" w:after="0" w:afterAutospacing="0" w:line="578" w:lineRule="exact"/>
        <w:ind w:left="0" w:right="0" w:firstLine="1600" w:firstLineChars="5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579AE367">
      <w:pPr>
        <w:keepNext w:val="0"/>
        <w:keepLines w:val="0"/>
        <w:widowControl w:val="0"/>
        <w:suppressLineNumbers w:val="0"/>
        <w:spacing w:before="0" w:beforeAutospacing="0" w:after="0" w:afterAutospacing="0" w:line="578" w:lineRule="exact"/>
        <w:ind w:left="0" w:right="0" w:firstLine="1600" w:firstLineChars="5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7A4B6FFB">
      <w:pPr>
        <w:keepNext w:val="0"/>
        <w:keepLines w:val="0"/>
        <w:widowControl w:val="0"/>
        <w:suppressLineNumbers w:val="0"/>
        <w:spacing w:before="0" w:beforeAutospacing="0" w:after="0" w:afterAutospacing="0" w:line="578" w:lineRule="exact"/>
        <w:ind w:left="0" w:right="0" w:firstLine="1600" w:firstLineChars="5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05B3E580">
      <w:pPr>
        <w:keepNext w:val="0"/>
        <w:keepLines w:val="0"/>
        <w:widowControl w:val="0"/>
        <w:suppressLineNumbers w:val="0"/>
        <w:spacing w:before="0" w:beforeAutospacing="0" w:after="0" w:afterAutospacing="0" w:line="578" w:lineRule="exact"/>
        <w:ind w:left="0" w:right="0" w:firstLine="1600" w:firstLineChars="5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0F32CDEC">
      <w:pPr>
        <w:keepNext w:val="0"/>
        <w:keepLines w:val="0"/>
        <w:widowControl w:val="0"/>
        <w:suppressLineNumbers w:val="0"/>
        <w:spacing w:before="0" w:beforeAutospacing="0" w:after="0" w:afterAutospacing="0" w:line="578" w:lineRule="exact"/>
        <w:ind w:left="0" w:right="0"/>
        <w:jc w:val="left"/>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附表</w:t>
      </w:r>
      <w:r>
        <w:rPr>
          <w:rFonts w:hint="default" w:ascii="Times New Roman" w:hAnsi="Times New Roman" w:eastAsia="黑体" w:cs="Times New Roman"/>
          <w:kern w:val="2"/>
          <w:sz w:val="32"/>
          <w:szCs w:val="32"/>
          <w:lang w:val="en-US" w:eastAsia="zh-CN" w:bidi="ar"/>
        </w:rPr>
        <w:t>1</w:t>
      </w:r>
    </w:p>
    <w:p w14:paraId="3283A157">
      <w:pPr>
        <w:keepNext w:val="0"/>
        <w:keepLines w:val="0"/>
        <w:widowControl/>
        <w:suppressLineNumbers w:val="0"/>
        <w:spacing w:before="0" w:beforeAutospacing="0" w:after="0" w:afterAutospacing="0" w:line="600" w:lineRule="exact"/>
        <w:ind w:left="0" w:right="0"/>
        <w:jc w:val="center"/>
        <w:textAlignment w:val="center"/>
        <w:outlineLvl w:val="0"/>
        <w:rPr>
          <w:rFonts w:hint="eastAsia" w:ascii="方正小标宋简体" w:hAnsi="方正小标宋简体" w:eastAsia="方正小标宋简体" w:cs="方正小标宋简体"/>
          <w:b/>
          <w:bCs/>
          <w:kern w:val="0"/>
          <w:sz w:val="44"/>
          <w:szCs w:val="44"/>
        </w:rPr>
      </w:pPr>
      <w:r>
        <w:rPr>
          <w:rFonts w:hint="eastAsia" w:ascii="方正小标宋简体" w:hAnsi="方正小标宋简体" w:eastAsia="方正小标宋简体" w:cs="方正小标宋简体"/>
          <w:b/>
          <w:bCs/>
          <w:kern w:val="0"/>
          <w:sz w:val="44"/>
          <w:szCs w:val="44"/>
          <w:lang w:val="en-US" w:eastAsia="zh-CN" w:bidi="ar"/>
        </w:rPr>
        <w:t>部门预算绩效自评打分表</w:t>
      </w:r>
    </w:p>
    <w:tbl>
      <w:tblPr>
        <w:tblStyle w:val="16"/>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67"/>
        <w:gridCol w:w="1299"/>
        <w:gridCol w:w="1665"/>
        <w:gridCol w:w="684"/>
        <w:gridCol w:w="4819"/>
        <w:gridCol w:w="707"/>
        <w:gridCol w:w="478"/>
      </w:tblGrid>
      <w:tr w14:paraId="54B94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48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871EFE">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绩效评价指标分值</w:t>
            </w:r>
          </w:p>
        </w:tc>
        <w:tc>
          <w:tcPr>
            <w:tcW w:w="4819" w:type="dxa"/>
            <w:vMerge w:val="restart"/>
            <w:tcBorders>
              <w:top w:val="single" w:color="000000" w:sz="4" w:space="0"/>
              <w:left w:val="nil"/>
              <w:bottom w:val="single" w:color="000000" w:sz="4" w:space="0"/>
              <w:right w:val="single" w:color="000000" w:sz="4" w:space="0"/>
            </w:tcBorders>
            <w:shd w:val="clear" w:color="auto" w:fill="auto"/>
            <w:vAlign w:val="center"/>
          </w:tcPr>
          <w:p w14:paraId="272C8B6E">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指标解释</w:t>
            </w:r>
          </w:p>
        </w:tc>
        <w:tc>
          <w:tcPr>
            <w:tcW w:w="707" w:type="dxa"/>
            <w:vMerge w:val="restart"/>
            <w:tcBorders>
              <w:top w:val="single" w:color="000000" w:sz="4" w:space="0"/>
              <w:left w:val="nil"/>
              <w:bottom w:val="nil"/>
              <w:right w:val="single" w:color="000000" w:sz="4" w:space="0"/>
            </w:tcBorders>
            <w:shd w:val="clear" w:color="auto" w:fill="auto"/>
            <w:vAlign w:val="center"/>
          </w:tcPr>
          <w:p w14:paraId="1F26398D">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0"/>
                <w:sz w:val="21"/>
                <w:szCs w:val="21"/>
              </w:rPr>
            </w:pPr>
            <w:r>
              <w:rPr>
                <w:rFonts w:hint="eastAsia" w:ascii="仿宋_GB2312" w:hAnsi="Times New Roman Regular" w:eastAsia="仿宋_GB2312" w:cs="仿宋_GB2312"/>
                <w:kern w:val="0"/>
                <w:sz w:val="21"/>
                <w:szCs w:val="21"/>
                <w:lang w:val="en-US" w:eastAsia="zh-CN" w:bidi="ar"/>
              </w:rPr>
              <w:t>自评得分</w:t>
            </w:r>
          </w:p>
        </w:tc>
        <w:tc>
          <w:tcPr>
            <w:tcW w:w="478" w:type="dxa"/>
            <w:vMerge w:val="restart"/>
            <w:tcBorders>
              <w:top w:val="single" w:color="000000" w:sz="4" w:space="0"/>
              <w:left w:val="nil"/>
              <w:bottom w:val="nil"/>
              <w:right w:val="single" w:color="000000" w:sz="4" w:space="0"/>
            </w:tcBorders>
            <w:shd w:val="clear" w:color="auto" w:fill="auto"/>
            <w:vAlign w:val="center"/>
          </w:tcPr>
          <w:p w14:paraId="6F590B23">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0"/>
                <w:sz w:val="21"/>
                <w:szCs w:val="21"/>
              </w:rPr>
            </w:pPr>
            <w:r>
              <w:rPr>
                <w:rFonts w:hint="eastAsia" w:ascii="仿宋_GB2312" w:hAnsi="Times New Roman Regular" w:eastAsia="仿宋_GB2312" w:cs="仿宋_GB2312"/>
                <w:kern w:val="0"/>
                <w:sz w:val="21"/>
                <w:szCs w:val="21"/>
                <w:lang w:val="en-US" w:eastAsia="zh-CN" w:bidi="ar"/>
              </w:rPr>
              <w:t>备注</w:t>
            </w:r>
          </w:p>
        </w:tc>
      </w:tr>
      <w:tr w14:paraId="73ED1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tcBorders>
              <w:top w:val="single" w:color="000000" w:sz="4" w:space="0"/>
              <w:left w:val="single" w:color="000000" w:sz="4" w:space="0"/>
              <w:bottom w:val="single" w:color="000000" w:sz="4" w:space="0"/>
              <w:right w:val="nil"/>
            </w:tcBorders>
            <w:shd w:val="clear" w:color="auto" w:fill="auto"/>
            <w:vAlign w:val="center"/>
          </w:tcPr>
          <w:p w14:paraId="7F040622">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一级指标</w:t>
            </w:r>
          </w:p>
        </w:tc>
        <w:tc>
          <w:tcPr>
            <w:tcW w:w="12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3F30">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二级指标</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3A423EF4">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三级指标</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523CB14A">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指标</w:t>
            </w:r>
            <w:r>
              <w:rPr>
                <w:rFonts w:hint="default" w:ascii="Times New Roman Regular" w:hAnsi="Times New Roman Regular" w:eastAsia="仿宋_GB2312" w:cs="Times New Roman Regular"/>
                <w:kern w:val="0"/>
                <w:sz w:val="21"/>
                <w:szCs w:val="21"/>
                <w:lang w:val="en-US" w:eastAsia="zh-CN" w:bidi="ar"/>
              </w:rPr>
              <w:br w:type="textWrapping"/>
            </w:r>
            <w:r>
              <w:rPr>
                <w:rFonts w:hint="eastAsia" w:ascii="仿宋_GB2312" w:hAnsi="Times New Roman Regular" w:eastAsia="仿宋_GB2312" w:cs="仿宋_GB2312"/>
                <w:kern w:val="0"/>
                <w:sz w:val="21"/>
                <w:szCs w:val="21"/>
                <w:lang w:val="en-US" w:eastAsia="zh-CN" w:bidi="ar"/>
              </w:rPr>
              <w:t>分值</w:t>
            </w:r>
          </w:p>
        </w:tc>
        <w:tc>
          <w:tcPr>
            <w:tcW w:w="4819" w:type="dxa"/>
            <w:vMerge w:val="continue"/>
            <w:tcBorders>
              <w:top w:val="single" w:color="000000" w:sz="4" w:space="0"/>
              <w:left w:val="nil"/>
              <w:bottom w:val="single" w:color="000000" w:sz="4" w:space="0"/>
              <w:right w:val="single" w:color="000000" w:sz="4" w:space="0"/>
            </w:tcBorders>
            <w:shd w:val="clear" w:color="auto" w:fill="auto"/>
            <w:vAlign w:val="center"/>
          </w:tcPr>
          <w:p w14:paraId="6DBBAD1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707" w:type="dxa"/>
            <w:vMerge w:val="continue"/>
            <w:tcBorders>
              <w:top w:val="single" w:color="000000" w:sz="4" w:space="0"/>
              <w:left w:val="nil"/>
              <w:bottom w:val="nil"/>
              <w:right w:val="single" w:color="000000" w:sz="4" w:space="0"/>
            </w:tcBorders>
            <w:shd w:val="clear" w:color="auto" w:fill="auto"/>
            <w:vAlign w:val="center"/>
          </w:tcPr>
          <w:p w14:paraId="1F3B307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478" w:type="dxa"/>
            <w:vMerge w:val="continue"/>
            <w:tcBorders>
              <w:top w:val="single" w:color="000000" w:sz="4" w:space="0"/>
              <w:left w:val="nil"/>
              <w:bottom w:val="nil"/>
              <w:right w:val="single" w:color="000000" w:sz="4" w:space="0"/>
            </w:tcBorders>
            <w:shd w:val="clear" w:color="auto" w:fill="auto"/>
            <w:vAlign w:val="center"/>
          </w:tcPr>
          <w:p w14:paraId="33F776E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0C320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restart"/>
            <w:tcBorders>
              <w:top w:val="nil"/>
              <w:left w:val="single" w:color="000000" w:sz="4" w:space="0"/>
              <w:bottom w:val="single" w:color="000000" w:sz="4" w:space="0"/>
              <w:right w:val="single" w:color="000000" w:sz="4" w:space="0"/>
            </w:tcBorders>
            <w:shd w:val="clear" w:color="auto" w:fill="auto"/>
            <w:vAlign w:val="center"/>
          </w:tcPr>
          <w:p w14:paraId="7B96D8B8">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b/>
                <w:bCs w:val="0"/>
                <w:kern w:val="2"/>
                <w:sz w:val="21"/>
                <w:szCs w:val="21"/>
              </w:rPr>
            </w:pPr>
            <w:r>
              <w:rPr>
                <w:rFonts w:hint="eastAsia" w:ascii="仿宋_GB2312" w:hAnsi="Times New Roman Regular" w:eastAsia="仿宋_GB2312" w:cs="仿宋_GB2312"/>
                <w:b/>
                <w:bCs w:val="0"/>
                <w:kern w:val="0"/>
                <w:sz w:val="21"/>
                <w:szCs w:val="21"/>
                <w:lang w:val="en-US" w:eastAsia="zh-CN" w:bidi="ar"/>
              </w:rPr>
              <w:t>总体绩效</w:t>
            </w:r>
            <w:r>
              <w:rPr>
                <w:rFonts w:hint="default" w:ascii="Times New Roman Regular" w:hAnsi="Times New Roman Regular" w:eastAsia="仿宋_GB2312" w:cs="Times New Roman Regular"/>
                <w:b/>
                <w:bCs w:val="0"/>
                <w:kern w:val="0"/>
                <w:sz w:val="21"/>
                <w:szCs w:val="21"/>
                <w:lang w:val="en-US" w:eastAsia="zh-CN" w:bidi="ar"/>
              </w:rPr>
              <w:br w:type="textWrapping"/>
            </w:r>
            <w:r>
              <w:rPr>
                <w:rFonts w:hint="eastAsia" w:ascii="仿宋_GB2312" w:hAnsi="Times New Roman Regular" w:eastAsia="仿宋_GB2312" w:cs="仿宋_GB2312"/>
                <w:b/>
                <w:bCs w:val="0"/>
                <w:kern w:val="0"/>
                <w:sz w:val="21"/>
                <w:szCs w:val="21"/>
                <w:lang w:val="en-US" w:eastAsia="zh-CN" w:bidi="ar"/>
              </w:rPr>
              <w:t>（</w:t>
            </w:r>
            <w:r>
              <w:rPr>
                <w:rFonts w:hint="default" w:ascii="Times New Roman Regular" w:hAnsi="Times New Roman Regular" w:eastAsia="仿宋_GB2312" w:cs="Times New Roman Regular"/>
                <w:b/>
                <w:bCs w:val="0"/>
                <w:kern w:val="0"/>
                <w:sz w:val="21"/>
                <w:szCs w:val="21"/>
                <w:lang w:val="en-US" w:eastAsia="zh-CN" w:bidi="ar"/>
              </w:rPr>
              <w:t>65</w:t>
            </w:r>
            <w:r>
              <w:rPr>
                <w:rFonts w:hint="eastAsia" w:ascii="仿宋_GB2312" w:hAnsi="Times New Roman Regular" w:eastAsia="仿宋_GB2312" w:cs="仿宋_GB2312"/>
                <w:b/>
                <w:bCs w:val="0"/>
                <w:kern w:val="0"/>
                <w:sz w:val="21"/>
                <w:szCs w:val="21"/>
                <w:lang w:val="en-US" w:eastAsia="zh-CN" w:bidi="ar"/>
              </w:rPr>
              <w:t>分）</w:t>
            </w:r>
          </w:p>
        </w:tc>
        <w:tc>
          <w:tcPr>
            <w:tcW w:w="1299" w:type="dxa"/>
            <w:tcBorders>
              <w:top w:val="single" w:color="000000" w:sz="4" w:space="0"/>
              <w:left w:val="nil"/>
              <w:bottom w:val="single" w:color="000000" w:sz="4" w:space="0"/>
              <w:right w:val="single" w:color="000000" w:sz="4" w:space="0"/>
            </w:tcBorders>
            <w:shd w:val="clear" w:color="auto" w:fill="auto"/>
            <w:vAlign w:val="center"/>
          </w:tcPr>
          <w:p w14:paraId="5E4B14FF">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b/>
                <w:bCs w:val="0"/>
                <w:kern w:val="2"/>
                <w:sz w:val="21"/>
                <w:szCs w:val="21"/>
              </w:rPr>
            </w:pPr>
            <w:r>
              <w:rPr>
                <w:rFonts w:hint="eastAsia" w:ascii="仿宋_GB2312" w:hAnsi="Times New Roman Regular" w:eastAsia="仿宋_GB2312" w:cs="仿宋_GB2312"/>
                <w:b/>
                <w:bCs w:val="0"/>
                <w:kern w:val="0"/>
                <w:sz w:val="21"/>
                <w:szCs w:val="21"/>
                <w:lang w:val="en-US" w:eastAsia="zh-CN" w:bidi="ar"/>
              </w:rPr>
              <w:t>履职效能</w:t>
            </w:r>
            <w:r>
              <w:rPr>
                <w:rFonts w:hint="default" w:ascii="Times New Roman Regular" w:hAnsi="Times New Roman Regular" w:eastAsia="仿宋_GB2312" w:cs="Times New Roman Regular"/>
                <w:b/>
                <w:bCs w:val="0"/>
                <w:kern w:val="0"/>
                <w:sz w:val="21"/>
                <w:szCs w:val="21"/>
                <w:lang w:val="en-US" w:eastAsia="zh-CN" w:bidi="ar"/>
              </w:rPr>
              <w:br w:type="textWrapping"/>
            </w:r>
            <w:r>
              <w:rPr>
                <w:rFonts w:hint="eastAsia" w:ascii="仿宋_GB2312" w:hAnsi="Times New Roman Regular" w:eastAsia="仿宋_GB2312" w:cs="仿宋_GB2312"/>
                <w:b/>
                <w:bCs w:val="0"/>
                <w:kern w:val="0"/>
                <w:sz w:val="21"/>
                <w:szCs w:val="21"/>
                <w:lang w:val="en-US" w:eastAsia="zh-CN" w:bidi="ar"/>
              </w:rPr>
              <w:t>（</w:t>
            </w:r>
            <w:r>
              <w:rPr>
                <w:rFonts w:hint="default" w:ascii="Times New Roman Regular" w:hAnsi="Times New Roman Regular" w:eastAsia="仿宋_GB2312" w:cs="Times New Roman Regular"/>
                <w:b/>
                <w:bCs w:val="0"/>
                <w:kern w:val="0"/>
                <w:sz w:val="21"/>
                <w:szCs w:val="21"/>
                <w:lang w:val="en-US" w:eastAsia="zh-CN" w:bidi="ar"/>
              </w:rPr>
              <w:t>15</w:t>
            </w:r>
            <w:r>
              <w:rPr>
                <w:rFonts w:hint="eastAsia" w:ascii="仿宋_GB2312" w:hAnsi="Times New Roman Regular" w:eastAsia="仿宋_GB2312" w:cs="仿宋_GB2312"/>
                <w:b/>
                <w:bCs w:val="0"/>
                <w:kern w:val="0"/>
                <w:sz w:val="21"/>
                <w:szCs w:val="21"/>
                <w:lang w:val="en-US" w:eastAsia="zh-CN" w:bidi="ar"/>
              </w:rPr>
              <w:t>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793A493D">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履职效果</w:t>
            </w:r>
          </w:p>
        </w:tc>
        <w:tc>
          <w:tcPr>
            <w:tcW w:w="684" w:type="dxa"/>
            <w:tcBorders>
              <w:top w:val="nil"/>
              <w:left w:val="nil"/>
              <w:bottom w:val="single" w:color="000000" w:sz="4" w:space="0"/>
              <w:right w:val="single" w:color="000000" w:sz="4" w:space="0"/>
            </w:tcBorders>
            <w:shd w:val="clear" w:color="auto" w:fill="auto"/>
            <w:vAlign w:val="center"/>
          </w:tcPr>
          <w:p w14:paraId="40E2095A">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15</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671E066B">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部门整体绩效目标中选定</w:t>
            </w:r>
            <w:r>
              <w:rPr>
                <w:rFonts w:hint="default" w:ascii="Times New Roman Regular" w:hAnsi="Times New Roman Regular" w:eastAsia="仿宋_GB2312" w:cs="Times New Roman Regular"/>
                <w:kern w:val="0"/>
                <w:sz w:val="21"/>
                <w:szCs w:val="21"/>
                <w:lang w:val="en-US" w:eastAsia="zh-CN" w:bidi="ar"/>
              </w:rPr>
              <w:t>3</w:t>
            </w:r>
            <w:r>
              <w:rPr>
                <w:rFonts w:hint="eastAsia" w:ascii="仿宋_GB2312" w:hAnsi="Times New Roman Regular" w:eastAsia="仿宋_GB2312" w:cs="仿宋_GB2312"/>
                <w:kern w:val="0"/>
                <w:sz w:val="21"/>
                <w:szCs w:val="21"/>
                <w:lang w:val="en-US" w:eastAsia="zh-CN" w:bidi="ar"/>
              </w:rPr>
              <w:t>—</w:t>
            </w:r>
            <w:r>
              <w:rPr>
                <w:rFonts w:hint="default" w:ascii="Times New Roman Regular" w:hAnsi="Times New Roman Regular" w:eastAsia="仿宋_GB2312" w:cs="Times New Roman Regular"/>
                <w:kern w:val="0"/>
                <w:sz w:val="21"/>
                <w:szCs w:val="21"/>
                <w:lang w:val="en-US" w:eastAsia="zh-CN" w:bidi="ar"/>
              </w:rPr>
              <w:t>5</w:t>
            </w:r>
            <w:r>
              <w:rPr>
                <w:rFonts w:hint="eastAsia" w:ascii="仿宋_GB2312" w:hAnsi="Times New Roman Regular" w:eastAsia="仿宋_GB2312" w:cs="仿宋_GB2312"/>
                <w:kern w:val="0"/>
                <w:sz w:val="21"/>
                <w:szCs w:val="21"/>
                <w:lang w:val="en-US" w:eastAsia="zh-CN" w:bidi="ar"/>
              </w:rPr>
              <w:t>个核心职能目标，反映该项职能目标完成效果情况</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219C8CC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15</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A29DBBF">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4E686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3A85BF4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restart"/>
            <w:tcBorders>
              <w:top w:val="nil"/>
              <w:left w:val="nil"/>
              <w:bottom w:val="single" w:color="000000" w:sz="4" w:space="0"/>
              <w:right w:val="single" w:color="000000" w:sz="4" w:space="0"/>
            </w:tcBorders>
            <w:shd w:val="clear" w:color="auto" w:fill="auto"/>
            <w:vAlign w:val="center"/>
          </w:tcPr>
          <w:p w14:paraId="0F10D8A3">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b/>
                <w:bCs w:val="0"/>
                <w:kern w:val="2"/>
                <w:sz w:val="21"/>
                <w:szCs w:val="21"/>
              </w:rPr>
            </w:pPr>
            <w:r>
              <w:rPr>
                <w:rFonts w:hint="eastAsia" w:ascii="仿宋_GB2312" w:hAnsi="Times New Roman Regular" w:eastAsia="仿宋_GB2312" w:cs="仿宋_GB2312"/>
                <w:b/>
                <w:bCs w:val="0"/>
                <w:kern w:val="0"/>
                <w:sz w:val="21"/>
                <w:szCs w:val="21"/>
                <w:lang w:val="en-US" w:eastAsia="zh-CN" w:bidi="ar"/>
              </w:rPr>
              <w:t>预算管理</w:t>
            </w:r>
            <w:r>
              <w:rPr>
                <w:rFonts w:hint="default" w:ascii="Times New Roman Regular" w:hAnsi="Times New Roman Regular" w:eastAsia="仿宋_GB2312" w:cs="Times New Roman Regular"/>
                <w:b/>
                <w:bCs w:val="0"/>
                <w:kern w:val="0"/>
                <w:sz w:val="21"/>
                <w:szCs w:val="21"/>
                <w:lang w:val="en-US" w:eastAsia="zh-CN" w:bidi="ar"/>
              </w:rPr>
              <w:br w:type="textWrapping"/>
            </w:r>
            <w:r>
              <w:rPr>
                <w:rFonts w:hint="eastAsia" w:ascii="仿宋_GB2312" w:hAnsi="Times New Roman Regular" w:eastAsia="仿宋_GB2312" w:cs="仿宋_GB2312"/>
                <w:b/>
                <w:bCs w:val="0"/>
                <w:kern w:val="0"/>
                <w:sz w:val="21"/>
                <w:szCs w:val="21"/>
                <w:lang w:val="en-US" w:eastAsia="zh-CN" w:bidi="ar"/>
              </w:rPr>
              <w:t>（</w:t>
            </w:r>
            <w:r>
              <w:rPr>
                <w:rFonts w:hint="default" w:ascii="Times New Roman Regular" w:hAnsi="Times New Roman Regular" w:eastAsia="仿宋_GB2312" w:cs="Times New Roman Regular"/>
                <w:b/>
                <w:bCs w:val="0"/>
                <w:kern w:val="0"/>
                <w:sz w:val="21"/>
                <w:szCs w:val="21"/>
                <w:lang w:val="en-US" w:eastAsia="zh-CN" w:bidi="ar"/>
              </w:rPr>
              <w:t>25</w:t>
            </w:r>
            <w:r>
              <w:rPr>
                <w:rFonts w:hint="eastAsia" w:ascii="仿宋_GB2312" w:hAnsi="Times New Roman Regular" w:eastAsia="仿宋_GB2312" w:cs="仿宋_GB2312"/>
                <w:b/>
                <w:bCs w:val="0"/>
                <w:kern w:val="0"/>
                <w:sz w:val="21"/>
                <w:szCs w:val="21"/>
                <w:lang w:val="en-US" w:eastAsia="zh-CN" w:bidi="ar"/>
              </w:rPr>
              <w:t>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2A1E1B10">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预算编制质量</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3ED0B942">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8</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48A9C6E7">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部门是否严格按要求编制年初部门预算，年初预算编制的科学性和准确性</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756E9A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6</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41E00920">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2E5D5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4"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1875AD0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nil"/>
              <w:left w:val="nil"/>
              <w:bottom w:val="single" w:color="000000" w:sz="4" w:space="0"/>
              <w:right w:val="single" w:color="000000" w:sz="4" w:space="0"/>
            </w:tcBorders>
            <w:shd w:val="clear" w:color="auto" w:fill="auto"/>
            <w:vAlign w:val="center"/>
          </w:tcPr>
          <w:p w14:paraId="7C8545F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32847B45">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单位收入统筹</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1D2C9C43">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4</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46DBFCBD">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部门统筹自有收入程度</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40BEC4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6518C22">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229D2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4B9DD74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nil"/>
              <w:left w:val="nil"/>
              <w:bottom w:val="single" w:color="000000" w:sz="4" w:space="0"/>
              <w:right w:val="single" w:color="000000" w:sz="4" w:space="0"/>
            </w:tcBorders>
            <w:shd w:val="clear" w:color="auto" w:fill="auto"/>
            <w:vAlign w:val="center"/>
          </w:tcPr>
          <w:p w14:paraId="276820F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1FC99509">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支出执行进度</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1AECDC45">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6</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06EB7BE5">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w:t>
            </w:r>
            <w:r>
              <w:rPr>
                <w:rFonts w:hint="default" w:ascii="Times New Roman Regular" w:hAnsi="Times New Roman Regular" w:eastAsia="仿宋_GB2312" w:cs="Times New Roman Regular"/>
                <w:kern w:val="0"/>
                <w:sz w:val="21"/>
                <w:szCs w:val="21"/>
                <w:lang w:val="en-US" w:eastAsia="zh-CN" w:bidi="ar"/>
              </w:rPr>
              <w:t>1</w:t>
            </w:r>
            <w:r>
              <w:rPr>
                <w:rFonts w:hint="eastAsia" w:ascii="仿宋_GB2312" w:hAnsi="Times New Roman Regular" w:eastAsia="仿宋_GB2312" w:cs="仿宋_GB2312"/>
                <w:kern w:val="0"/>
                <w:sz w:val="21"/>
                <w:szCs w:val="21"/>
                <w:lang w:val="en-US" w:eastAsia="zh-CN" w:bidi="ar"/>
              </w:rPr>
              <w:t>至</w:t>
            </w:r>
            <w:r>
              <w:rPr>
                <w:rFonts w:hint="default" w:ascii="Times New Roman Regular" w:hAnsi="Times New Roman Regular" w:eastAsia="Times New Roman Regular" w:cs="Times New Roman Regular"/>
                <w:kern w:val="0"/>
                <w:sz w:val="21"/>
                <w:szCs w:val="21"/>
                <w:lang w:val="en-US" w:eastAsia="zh-CN" w:bidi="ar"/>
              </w:rPr>
              <w:t>6</w:t>
            </w:r>
            <w:r>
              <w:rPr>
                <w:rFonts w:hint="eastAsia" w:ascii="仿宋_GB2312" w:hAnsi="Times New Roman Regular" w:eastAsia="仿宋_GB2312" w:cs="仿宋_GB2312"/>
                <w:kern w:val="0"/>
                <w:sz w:val="21"/>
                <w:szCs w:val="21"/>
                <w:lang w:val="en-US" w:eastAsia="zh-CN" w:bidi="ar"/>
              </w:rPr>
              <w:t>月、</w:t>
            </w:r>
            <w:r>
              <w:rPr>
                <w:rFonts w:hint="default" w:ascii="Times New Roman Regular" w:hAnsi="Times New Roman Regular" w:eastAsia="Times New Roman Regular" w:cs="Times New Roman Regular"/>
                <w:kern w:val="0"/>
                <w:sz w:val="21"/>
                <w:szCs w:val="21"/>
                <w:lang w:val="en-US" w:eastAsia="zh-CN" w:bidi="ar"/>
              </w:rPr>
              <w:t>1</w:t>
            </w:r>
            <w:r>
              <w:rPr>
                <w:rFonts w:hint="eastAsia" w:ascii="仿宋_GB2312" w:hAnsi="Times New Roman Regular" w:eastAsia="仿宋_GB2312" w:cs="仿宋_GB2312"/>
                <w:kern w:val="0"/>
                <w:sz w:val="21"/>
                <w:szCs w:val="21"/>
                <w:lang w:val="en-US" w:eastAsia="zh-CN" w:bidi="ar"/>
              </w:rPr>
              <w:t>至</w:t>
            </w:r>
            <w:r>
              <w:rPr>
                <w:rFonts w:hint="default" w:ascii="Times New Roman Regular" w:hAnsi="Times New Roman Regular" w:eastAsia="Times New Roman Regular" w:cs="Times New Roman Regular"/>
                <w:kern w:val="0"/>
                <w:sz w:val="21"/>
                <w:szCs w:val="21"/>
                <w:lang w:val="en-US" w:eastAsia="zh-CN" w:bidi="ar"/>
              </w:rPr>
              <w:t>10</w:t>
            </w:r>
            <w:r>
              <w:rPr>
                <w:rFonts w:hint="eastAsia" w:ascii="仿宋_GB2312" w:hAnsi="Times New Roman Regular" w:eastAsia="仿宋_GB2312" w:cs="仿宋_GB2312"/>
                <w:kern w:val="0"/>
                <w:sz w:val="21"/>
                <w:szCs w:val="21"/>
                <w:lang w:val="en-US" w:eastAsia="zh-CN" w:bidi="ar"/>
              </w:rPr>
              <w:t>月预算执行情况</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095B3973">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6</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6E2C2613">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785FC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514E914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nil"/>
              <w:left w:val="nil"/>
              <w:bottom w:val="single" w:color="000000" w:sz="4" w:space="0"/>
              <w:right w:val="single" w:color="000000" w:sz="4" w:space="0"/>
            </w:tcBorders>
            <w:shd w:val="clear" w:color="auto" w:fill="auto"/>
            <w:vAlign w:val="center"/>
          </w:tcPr>
          <w:p w14:paraId="06E91AF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65F125D5">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预算年终结余</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72832A15">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2</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67EDDB19">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部门整体年终预算结余情况</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6E48CF5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2</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E6FB4A5">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71A55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3923B5B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nil"/>
              <w:left w:val="nil"/>
              <w:bottom w:val="single" w:color="000000" w:sz="4" w:space="0"/>
              <w:right w:val="single" w:color="000000" w:sz="4" w:space="0"/>
            </w:tcBorders>
            <w:shd w:val="clear" w:color="auto" w:fill="auto"/>
            <w:vAlign w:val="center"/>
          </w:tcPr>
          <w:p w14:paraId="14ECC145">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36803985">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严控一般性支出</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23E906D7">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5</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1A4327F0">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部门严控</w:t>
            </w:r>
            <w:r>
              <w:rPr>
                <w:rFonts w:hint="default" w:ascii="Times New Roman Regular" w:hAnsi="Times New Roman Regular" w:eastAsia="Times New Roman Regular" w:cs="Times New Roman Regular"/>
                <w:kern w:val="0"/>
                <w:sz w:val="21"/>
                <w:szCs w:val="21"/>
                <w:lang w:val="en-US" w:eastAsia="zh-CN" w:bidi="ar"/>
              </w:rPr>
              <w:t>“</w:t>
            </w:r>
            <w:r>
              <w:rPr>
                <w:rFonts w:hint="eastAsia" w:ascii="仿宋_GB2312" w:hAnsi="Times New Roman Regular" w:eastAsia="仿宋_GB2312" w:cs="仿宋_GB2312"/>
                <w:kern w:val="0"/>
                <w:sz w:val="21"/>
                <w:szCs w:val="21"/>
                <w:lang w:val="en-US" w:eastAsia="zh-CN" w:bidi="ar"/>
              </w:rPr>
              <w:t>三公</w:t>
            </w:r>
            <w:r>
              <w:rPr>
                <w:rFonts w:hint="default" w:ascii="Times New Roman Regular" w:hAnsi="Times New Roman Regular" w:eastAsia="Times New Roman Regular" w:cs="Times New Roman Regular"/>
                <w:kern w:val="0"/>
                <w:sz w:val="21"/>
                <w:szCs w:val="21"/>
                <w:lang w:val="en-US" w:eastAsia="zh-CN" w:bidi="ar"/>
              </w:rPr>
              <w:t>”</w:t>
            </w:r>
            <w:r>
              <w:rPr>
                <w:rFonts w:hint="eastAsia" w:ascii="仿宋_GB2312" w:hAnsi="Times New Roman Regular" w:eastAsia="仿宋_GB2312" w:cs="仿宋_GB2312"/>
                <w:kern w:val="0"/>
                <w:sz w:val="21"/>
                <w:szCs w:val="21"/>
                <w:lang w:val="en-US" w:eastAsia="zh-CN" w:bidi="ar"/>
              </w:rPr>
              <w:t>经费、会议、培训、差旅、办节办展、办公设备购置、信息网络及软件购置更新、课题经费等</w:t>
            </w:r>
            <w:r>
              <w:rPr>
                <w:rFonts w:hint="default" w:ascii="Times New Roman Regular" w:hAnsi="Times New Roman Regular" w:eastAsia="Times New Roman Regular" w:cs="Times New Roman Regular"/>
                <w:kern w:val="0"/>
                <w:sz w:val="21"/>
                <w:szCs w:val="21"/>
                <w:lang w:val="en-US" w:eastAsia="zh-CN" w:bidi="ar"/>
              </w:rPr>
              <w:t>8</w:t>
            </w:r>
            <w:r>
              <w:rPr>
                <w:rFonts w:hint="eastAsia" w:ascii="仿宋_GB2312" w:hAnsi="Times New Roman Regular" w:eastAsia="仿宋_GB2312" w:cs="仿宋_GB2312"/>
                <w:kern w:val="0"/>
                <w:sz w:val="21"/>
                <w:szCs w:val="21"/>
                <w:lang w:val="en-US" w:eastAsia="zh-CN" w:bidi="ar"/>
              </w:rPr>
              <w:t>项一般性支出情况</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2B74D91F">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88DF50A">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4FEA7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09812CC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restart"/>
            <w:tcBorders>
              <w:top w:val="nil"/>
              <w:left w:val="nil"/>
              <w:bottom w:val="single" w:color="000000" w:sz="4" w:space="0"/>
              <w:right w:val="single" w:color="000000" w:sz="4" w:space="0"/>
            </w:tcBorders>
            <w:shd w:val="clear" w:color="auto" w:fill="auto"/>
            <w:vAlign w:val="center"/>
          </w:tcPr>
          <w:p w14:paraId="6D7BF292">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b/>
                <w:bCs w:val="0"/>
                <w:kern w:val="2"/>
                <w:sz w:val="21"/>
                <w:szCs w:val="21"/>
              </w:rPr>
            </w:pPr>
            <w:r>
              <w:rPr>
                <w:rFonts w:hint="eastAsia" w:ascii="仿宋_GB2312" w:hAnsi="Times New Roman Regular" w:eastAsia="仿宋_GB2312" w:cs="仿宋_GB2312"/>
                <w:b/>
                <w:bCs w:val="0"/>
                <w:kern w:val="0"/>
                <w:sz w:val="21"/>
                <w:szCs w:val="21"/>
                <w:lang w:val="en-US" w:eastAsia="zh-CN" w:bidi="ar"/>
              </w:rPr>
              <w:t>财务管理</w:t>
            </w:r>
            <w:r>
              <w:rPr>
                <w:rFonts w:hint="default" w:ascii="Times New Roman Regular" w:hAnsi="Times New Roman Regular" w:eastAsia="仿宋_GB2312" w:cs="Times New Roman Regular"/>
                <w:b/>
                <w:bCs w:val="0"/>
                <w:kern w:val="0"/>
                <w:sz w:val="21"/>
                <w:szCs w:val="21"/>
                <w:lang w:val="en-US" w:eastAsia="zh-CN" w:bidi="ar"/>
              </w:rPr>
              <w:br w:type="textWrapping"/>
            </w:r>
            <w:r>
              <w:rPr>
                <w:rFonts w:hint="eastAsia" w:ascii="仿宋_GB2312" w:hAnsi="Times New Roman Regular" w:eastAsia="仿宋_GB2312" w:cs="仿宋_GB2312"/>
                <w:b/>
                <w:bCs w:val="0"/>
                <w:kern w:val="0"/>
                <w:sz w:val="21"/>
                <w:szCs w:val="21"/>
                <w:lang w:val="en-US" w:eastAsia="zh-CN" w:bidi="ar"/>
              </w:rPr>
              <w:t>（</w:t>
            </w:r>
            <w:r>
              <w:rPr>
                <w:rFonts w:hint="default" w:ascii="Times New Roman Regular" w:hAnsi="Times New Roman Regular" w:eastAsia="仿宋_GB2312" w:cs="Times New Roman Regular"/>
                <w:b/>
                <w:bCs w:val="0"/>
                <w:kern w:val="0"/>
                <w:sz w:val="21"/>
                <w:szCs w:val="21"/>
                <w:lang w:val="en-US" w:eastAsia="zh-CN" w:bidi="ar"/>
              </w:rPr>
              <w:t>10</w:t>
            </w:r>
            <w:r>
              <w:rPr>
                <w:rFonts w:hint="eastAsia" w:ascii="仿宋_GB2312" w:hAnsi="Times New Roman Regular" w:eastAsia="仿宋_GB2312" w:cs="仿宋_GB2312"/>
                <w:b/>
                <w:bCs w:val="0"/>
                <w:kern w:val="0"/>
                <w:sz w:val="21"/>
                <w:szCs w:val="21"/>
                <w:lang w:val="en-US" w:eastAsia="zh-CN" w:bidi="ar"/>
              </w:rPr>
              <w:t>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734D9EC0">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财务管理制度</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21DF5935">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4</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16D239F2">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部门财务管理制度建立情况</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29FAD52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29A80A37">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0916D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799C373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nil"/>
              <w:left w:val="nil"/>
              <w:bottom w:val="single" w:color="000000" w:sz="4" w:space="0"/>
              <w:right w:val="single" w:color="000000" w:sz="4" w:space="0"/>
            </w:tcBorders>
            <w:shd w:val="clear" w:color="auto" w:fill="auto"/>
            <w:vAlign w:val="center"/>
          </w:tcPr>
          <w:p w14:paraId="54E7801D">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379E8F2C">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财务岗位设置</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5352BE4B">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2</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10AFC58E">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部门财务岗位设置是否符合相关财务管理制度要求</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7FF626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2</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0EBCFE2E">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4A35D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38BD5FE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nil"/>
              <w:left w:val="nil"/>
              <w:bottom w:val="single" w:color="000000" w:sz="4" w:space="0"/>
              <w:right w:val="single" w:color="000000" w:sz="4" w:space="0"/>
            </w:tcBorders>
            <w:shd w:val="clear" w:color="auto" w:fill="auto"/>
            <w:vAlign w:val="center"/>
          </w:tcPr>
          <w:p w14:paraId="0084FEB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52F4BFE1">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资金使用规范</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67561496">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4</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46C16F07">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部门资金使用是否符合相关财务管理制度规定</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535A17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2D51ABC">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7303A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17CB167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restart"/>
            <w:tcBorders>
              <w:top w:val="nil"/>
              <w:left w:val="nil"/>
              <w:bottom w:val="single" w:color="000000" w:sz="4" w:space="0"/>
              <w:right w:val="single" w:color="000000" w:sz="4" w:space="0"/>
            </w:tcBorders>
            <w:shd w:val="clear" w:color="auto" w:fill="auto"/>
            <w:vAlign w:val="center"/>
          </w:tcPr>
          <w:p w14:paraId="3D9EF9B9">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b/>
                <w:bCs w:val="0"/>
                <w:kern w:val="2"/>
                <w:sz w:val="21"/>
                <w:szCs w:val="21"/>
              </w:rPr>
            </w:pPr>
            <w:r>
              <w:rPr>
                <w:rFonts w:hint="eastAsia" w:ascii="仿宋_GB2312" w:hAnsi="Times New Roman Regular" w:eastAsia="仿宋_GB2312" w:cs="仿宋_GB2312"/>
                <w:b/>
                <w:bCs w:val="0"/>
                <w:kern w:val="0"/>
                <w:sz w:val="21"/>
                <w:szCs w:val="21"/>
                <w:lang w:val="en-US" w:eastAsia="zh-CN" w:bidi="ar"/>
              </w:rPr>
              <w:t>资产管理</w:t>
            </w:r>
            <w:r>
              <w:rPr>
                <w:rFonts w:hint="default" w:ascii="Times New Roman Regular" w:hAnsi="Times New Roman Regular" w:eastAsia="仿宋_GB2312" w:cs="Times New Roman Regular"/>
                <w:b/>
                <w:bCs w:val="0"/>
                <w:kern w:val="0"/>
                <w:sz w:val="21"/>
                <w:szCs w:val="21"/>
                <w:lang w:val="en-US" w:eastAsia="zh-CN" w:bidi="ar"/>
              </w:rPr>
              <w:br w:type="textWrapping"/>
            </w:r>
            <w:r>
              <w:rPr>
                <w:rFonts w:hint="eastAsia" w:ascii="仿宋_GB2312" w:hAnsi="Times New Roman Regular" w:eastAsia="仿宋_GB2312" w:cs="仿宋_GB2312"/>
                <w:b/>
                <w:bCs w:val="0"/>
                <w:kern w:val="0"/>
                <w:sz w:val="21"/>
                <w:szCs w:val="21"/>
                <w:lang w:val="en-US" w:eastAsia="zh-CN" w:bidi="ar"/>
              </w:rPr>
              <w:t>（</w:t>
            </w:r>
            <w:r>
              <w:rPr>
                <w:rFonts w:hint="default" w:ascii="Times New Roman Regular" w:hAnsi="Times New Roman Regular" w:eastAsia="仿宋_GB2312" w:cs="Times New Roman Regular"/>
                <w:b/>
                <w:bCs w:val="0"/>
                <w:kern w:val="0"/>
                <w:sz w:val="21"/>
                <w:szCs w:val="21"/>
                <w:lang w:val="en-US" w:eastAsia="zh-CN" w:bidi="ar"/>
              </w:rPr>
              <w:t>9</w:t>
            </w:r>
            <w:r>
              <w:rPr>
                <w:rFonts w:hint="eastAsia" w:ascii="仿宋_GB2312" w:hAnsi="Times New Roman Regular" w:eastAsia="仿宋_GB2312" w:cs="仿宋_GB2312"/>
                <w:b/>
                <w:bCs w:val="0"/>
                <w:kern w:val="0"/>
                <w:sz w:val="21"/>
                <w:szCs w:val="21"/>
                <w:lang w:val="en-US" w:eastAsia="zh-CN" w:bidi="ar"/>
              </w:rPr>
              <w:t>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56E35EF2">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人均资产变化率</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5AA86E5A">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3</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37EA4DC4">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部门人均资产变化情况</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1576B93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21ABCDEB">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17116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51101C5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nil"/>
              <w:left w:val="nil"/>
              <w:bottom w:val="single" w:color="000000" w:sz="4" w:space="0"/>
              <w:right w:val="single" w:color="000000" w:sz="4" w:space="0"/>
            </w:tcBorders>
            <w:shd w:val="clear" w:color="auto" w:fill="auto"/>
            <w:vAlign w:val="center"/>
          </w:tcPr>
          <w:p w14:paraId="6BE554DA">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606B32D6">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资产利用率</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032874B0">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3</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1E9EE656">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部门资产超最低使用年限情况</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3D4BDC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1.5</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2D6A3279">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21DA3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restart"/>
            <w:tcBorders>
              <w:top w:val="nil"/>
              <w:left w:val="single" w:color="000000" w:sz="4" w:space="0"/>
              <w:bottom w:val="single" w:color="000000" w:sz="4" w:space="0"/>
              <w:right w:val="single" w:color="000000" w:sz="4" w:space="0"/>
            </w:tcBorders>
            <w:shd w:val="clear" w:color="auto" w:fill="auto"/>
            <w:vAlign w:val="center"/>
          </w:tcPr>
          <w:p w14:paraId="51394F03">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b/>
                <w:bCs w:val="0"/>
                <w:kern w:val="2"/>
                <w:sz w:val="21"/>
                <w:szCs w:val="21"/>
              </w:rPr>
            </w:pPr>
            <w:r>
              <w:rPr>
                <w:rFonts w:hint="eastAsia" w:ascii="仿宋_GB2312" w:hAnsi="Times New Roman Regular" w:eastAsia="仿宋_GB2312" w:cs="仿宋_GB2312"/>
                <w:b/>
                <w:bCs w:val="0"/>
                <w:kern w:val="0"/>
                <w:sz w:val="21"/>
                <w:szCs w:val="21"/>
                <w:lang w:val="en-US" w:eastAsia="zh-CN" w:bidi="ar"/>
              </w:rPr>
              <w:t>总体绩效</w:t>
            </w:r>
            <w:r>
              <w:rPr>
                <w:rFonts w:hint="default" w:ascii="Times New Roman Regular" w:hAnsi="Times New Roman Regular" w:eastAsia="仿宋_GB2312" w:cs="Times New Roman Regular"/>
                <w:b/>
                <w:bCs w:val="0"/>
                <w:kern w:val="0"/>
                <w:sz w:val="21"/>
                <w:szCs w:val="21"/>
                <w:lang w:val="en-US" w:eastAsia="zh-CN" w:bidi="ar"/>
              </w:rPr>
              <w:br w:type="textWrapping"/>
            </w:r>
            <w:r>
              <w:rPr>
                <w:rFonts w:hint="eastAsia" w:ascii="仿宋_GB2312" w:hAnsi="Times New Roman Regular" w:eastAsia="仿宋_GB2312" w:cs="仿宋_GB2312"/>
                <w:b/>
                <w:bCs w:val="0"/>
                <w:kern w:val="0"/>
                <w:sz w:val="21"/>
                <w:szCs w:val="21"/>
                <w:lang w:val="en-US" w:eastAsia="zh-CN" w:bidi="ar"/>
              </w:rPr>
              <w:t>（</w:t>
            </w:r>
            <w:r>
              <w:rPr>
                <w:rFonts w:hint="default" w:ascii="Times New Roman Regular" w:hAnsi="Times New Roman Regular" w:eastAsia="仿宋_GB2312" w:cs="Times New Roman Regular"/>
                <w:b/>
                <w:bCs w:val="0"/>
                <w:kern w:val="0"/>
                <w:sz w:val="21"/>
                <w:szCs w:val="21"/>
                <w:lang w:val="en-US" w:eastAsia="zh-CN" w:bidi="ar"/>
              </w:rPr>
              <w:t>65</w:t>
            </w:r>
            <w:r>
              <w:rPr>
                <w:rFonts w:hint="eastAsia" w:ascii="仿宋_GB2312" w:hAnsi="Times New Roman Regular" w:eastAsia="仿宋_GB2312" w:cs="仿宋_GB2312"/>
                <w:b/>
                <w:bCs w:val="0"/>
                <w:kern w:val="0"/>
                <w:sz w:val="21"/>
                <w:szCs w:val="21"/>
                <w:lang w:val="en-US" w:eastAsia="zh-CN" w:bidi="ar"/>
              </w:rPr>
              <w:t>分）</w:t>
            </w:r>
          </w:p>
        </w:tc>
        <w:tc>
          <w:tcPr>
            <w:tcW w:w="1299" w:type="dxa"/>
            <w:tcBorders>
              <w:top w:val="single" w:color="000000" w:sz="4" w:space="0"/>
              <w:left w:val="nil"/>
              <w:bottom w:val="single" w:color="000000" w:sz="4" w:space="0"/>
              <w:right w:val="single" w:color="000000" w:sz="4" w:space="0"/>
            </w:tcBorders>
            <w:shd w:val="clear" w:color="auto" w:fill="auto"/>
            <w:vAlign w:val="center"/>
          </w:tcPr>
          <w:p w14:paraId="03AC5CF3">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b/>
                <w:bCs w:val="0"/>
                <w:kern w:val="2"/>
                <w:sz w:val="21"/>
                <w:szCs w:val="21"/>
              </w:rPr>
            </w:pPr>
            <w:r>
              <w:rPr>
                <w:rFonts w:hint="eastAsia" w:ascii="仿宋_GB2312" w:hAnsi="Times New Roman Regular" w:eastAsia="仿宋_GB2312" w:cs="仿宋_GB2312"/>
                <w:b/>
                <w:bCs w:val="0"/>
                <w:kern w:val="0"/>
                <w:sz w:val="21"/>
                <w:szCs w:val="21"/>
                <w:lang w:val="en-US" w:eastAsia="zh-CN" w:bidi="ar"/>
              </w:rPr>
              <w:t>资产管理</w:t>
            </w:r>
            <w:r>
              <w:rPr>
                <w:rFonts w:hint="default" w:ascii="Times New Roman Regular" w:hAnsi="Times New Roman Regular" w:eastAsia="仿宋_GB2312" w:cs="Times New Roman Regular"/>
                <w:b/>
                <w:bCs w:val="0"/>
                <w:kern w:val="0"/>
                <w:sz w:val="21"/>
                <w:szCs w:val="21"/>
                <w:lang w:val="en-US" w:eastAsia="zh-CN" w:bidi="ar"/>
              </w:rPr>
              <w:br w:type="textWrapping"/>
            </w:r>
            <w:r>
              <w:rPr>
                <w:rFonts w:hint="eastAsia" w:ascii="仿宋_GB2312" w:hAnsi="Times New Roman Regular" w:eastAsia="仿宋_GB2312" w:cs="仿宋_GB2312"/>
                <w:b/>
                <w:bCs w:val="0"/>
                <w:kern w:val="0"/>
                <w:sz w:val="21"/>
                <w:szCs w:val="21"/>
                <w:lang w:val="en-US" w:eastAsia="zh-CN" w:bidi="ar"/>
              </w:rPr>
              <w:t>（</w:t>
            </w:r>
            <w:r>
              <w:rPr>
                <w:rFonts w:hint="default" w:ascii="Times New Roman Regular" w:hAnsi="Times New Roman Regular" w:eastAsia="仿宋_GB2312" w:cs="Times New Roman Regular"/>
                <w:b/>
                <w:bCs w:val="0"/>
                <w:kern w:val="0"/>
                <w:sz w:val="21"/>
                <w:szCs w:val="21"/>
                <w:lang w:val="en-US" w:eastAsia="zh-CN" w:bidi="ar"/>
              </w:rPr>
              <w:t>9</w:t>
            </w:r>
            <w:r>
              <w:rPr>
                <w:rFonts w:hint="eastAsia" w:ascii="仿宋_GB2312" w:hAnsi="Times New Roman Regular" w:eastAsia="仿宋_GB2312" w:cs="仿宋_GB2312"/>
                <w:b/>
                <w:bCs w:val="0"/>
                <w:kern w:val="0"/>
                <w:sz w:val="21"/>
                <w:szCs w:val="21"/>
                <w:lang w:val="en-US" w:eastAsia="zh-CN" w:bidi="ar"/>
              </w:rPr>
              <w:t>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6C38B5DD">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资产盘活率</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10143A89">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3</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61DC0152">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部门闲置一年以上的资产盘活情况</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5B6FD17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123D3B96">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1D45D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2A132F0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restart"/>
            <w:tcBorders>
              <w:top w:val="nil"/>
              <w:left w:val="nil"/>
              <w:bottom w:val="single" w:color="000000" w:sz="4" w:space="0"/>
              <w:right w:val="single" w:color="000000" w:sz="4" w:space="0"/>
            </w:tcBorders>
            <w:shd w:val="clear" w:color="auto" w:fill="auto"/>
            <w:vAlign w:val="center"/>
          </w:tcPr>
          <w:p w14:paraId="7F0CFC70">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b/>
                <w:bCs w:val="0"/>
                <w:kern w:val="2"/>
                <w:sz w:val="21"/>
                <w:szCs w:val="21"/>
              </w:rPr>
            </w:pPr>
            <w:r>
              <w:rPr>
                <w:rFonts w:hint="eastAsia" w:ascii="仿宋_GB2312" w:hAnsi="Times New Roman Regular" w:eastAsia="仿宋_GB2312" w:cs="仿宋_GB2312"/>
                <w:b/>
                <w:bCs w:val="0"/>
                <w:kern w:val="0"/>
                <w:sz w:val="21"/>
                <w:szCs w:val="21"/>
                <w:lang w:val="en-US" w:eastAsia="zh-CN" w:bidi="ar"/>
              </w:rPr>
              <w:t>采购管理</w:t>
            </w:r>
            <w:r>
              <w:rPr>
                <w:rFonts w:hint="default" w:ascii="Times New Roman Regular" w:hAnsi="Times New Roman Regular" w:eastAsia="仿宋_GB2312" w:cs="Times New Roman Regular"/>
                <w:b/>
                <w:bCs w:val="0"/>
                <w:kern w:val="0"/>
                <w:sz w:val="21"/>
                <w:szCs w:val="21"/>
                <w:lang w:val="en-US" w:eastAsia="zh-CN" w:bidi="ar"/>
              </w:rPr>
              <w:br w:type="textWrapping"/>
            </w:r>
            <w:r>
              <w:rPr>
                <w:rFonts w:hint="eastAsia" w:ascii="仿宋_GB2312" w:hAnsi="Times New Roman Regular" w:eastAsia="仿宋_GB2312" w:cs="仿宋_GB2312"/>
                <w:b/>
                <w:bCs w:val="0"/>
                <w:kern w:val="0"/>
                <w:sz w:val="21"/>
                <w:szCs w:val="21"/>
                <w:lang w:val="en-US" w:eastAsia="zh-CN" w:bidi="ar"/>
              </w:rPr>
              <w:t>（</w:t>
            </w:r>
            <w:r>
              <w:rPr>
                <w:rFonts w:hint="default" w:ascii="Times New Roman Regular" w:hAnsi="Times New Roman Regular" w:eastAsia="仿宋_GB2312" w:cs="Times New Roman Regular"/>
                <w:b/>
                <w:bCs w:val="0"/>
                <w:kern w:val="0"/>
                <w:sz w:val="21"/>
                <w:szCs w:val="21"/>
                <w:lang w:val="en-US" w:eastAsia="zh-CN" w:bidi="ar"/>
              </w:rPr>
              <w:t>6</w:t>
            </w:r>
            <w:r>
              <w:rPr>
                <w:rFonts w:hint="eastAsia" w:ascii="仿宋_GB2312" w:hAnsi="Times New Roman Regular" w:eastAsia="仿宋_GB2312" w:cs="仿宋_GB2312"/>
                <w:b/>
                <w:bCs w:val="0"/>
                <w:kern w:val="0"/>
                <w:sz w:val="21"/>
                <w:szCs w:val="21"/>
                <w:lang w:val="en-US" w:eastAsia="zh-CN" w:bidi="ar"/>
              </w:rPr>
              <w:t>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03C3120A">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支持中小企业发展</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45C1B0A1">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3</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63690017">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部门是否严格执行政府采购促进中小企业发展相关管理办法</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304928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328A64E">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0EBB0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3D2A525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nil"/>
              <w:left w:val="nil"/>
              <w:bottom w:val="single" w:color="000000" w:sz="4" w:space="0"/>
              <w:right w:val="single" w:color="000000" w:sz="4" w:space="0"/>
            </w:tcBorders>
            <w:shd w:val="clear" w:color="auto" w:fill="auto"/>
            <w:vAlign w:val="center"/>
          </w:tcPr>
          <w:p w14:paraId="483C10D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7E19454B">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采购执行率</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085971E2">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3</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721DBE2E">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部门政府采购项目资金支付比例情况</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74F0A60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189D48BA">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151F2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67" w:type="dxa"/>
            <w:vMerge w:val="restart"/>
            <w:tcBorders>
              <w:top w:val="nil"/>
              <w:left w:val="single" w:color="000000" w:sz="4" w:space="0"/>
              <w:bottom w:val="single" w:color="000000" w:sz="4" w:space="0"/>
              <w:right w:val="single" w:color="000000" w:sz="4" w:space="0"/>
            </w:tcBorders>
            <w:shd w:val="clear" w:color="auto" w:fill="auto"/>
            <w:vAlign w:val="center"/>
          </w:tcPr>
          <w:p w14:paraId="25AF2D92">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b/>
                <w:bCs w:val="0"/>
                <w:kern w:val="2"/>
                <w:sz w:val="21"/>
                <w:szCs w:val="21"/>
              </w:rPr>
            </w:pPr>
            <w:r>
              <w:rPr>
                <w:rFonts w:hint="eastAsia" w:ascii="仿宋_GB2312" w:hAnsi="Times New Roman Regular" w:eastAsia="仿宋_GB2312" w:cs="仿宋_GB2312"/>
                <w:b/>
                <w:bCs w:val="0"/>
                <w:kern w:val="0"/>
                <w:sz w:val="21"/>
                <w:szCs w:val="21"/>
                <w:lang w:val="en-US" w:eastAsia="zh-CN" w:bidi="ar"/>
              </w:rPr>
              <w:t>项目绩效</w:t>
            </w:r>
            <w:r>
              <w:rPr>
                <w:rFonts w:hint="default" w:ascii="Times New Roman Regular" w:hAnsi="Times New Roman Regular" w:eastAsia="仿宋_GB2312" w:cs="Times New Roman Regular"/>
                <w:b/>
                <w:bCs w:val="0"/>
                <w:kern w:val="0"/>
                <w:sz w:val="21"/>
                <w:szCs w:val="21"/>
                <w:lang w:val="en-US" w:eastAsia="zh-CN" w:bidi="ar"/>
              </w:rPr>
              <w:br w:type="textWrapping"/>
            </w:r>
            <w:r>
              <w:rPr>
                <w:rFonts w:hint="eastAsia" w:ascii="仿宋_GB2312" w:hAnsi="Times New Roman Regular" w:eastAsia="仿宋_GB2312" w:cs="仿宋_GB2312"/>
                <w:b/>
                <w:bCs w:val="0"/>
                <w:kern w:val="0"/>
                <w:sz w:val="21"/>
                <w:szCs w:val="21"/>
                <w:lang w:val="en-US" w:eastAsia="zh-CN" w:bidi="ar"/>
              </w:rPr>
              <w:t>（</w:t>
            </w:r>
            <w:r>
              <w:rPr>
                <w:rFonts w:hint="default" w:ascii="Times New Roman Regular" w:hAnsi="Times New Roman Regular" w:eastAsia="仿宋_GB2312" w:cs="Times New Roman Regular"/>
                <w:b/>
                <w:bCs w:val="0"/>
                <w:kern w:val="0"/>
                <w:sz w:val="21"/>
                <w:szCs w:val="21"/>
                <w:lang w:val="en-US" w:eastAsia="zh-CN" w:bidi="ar"/>
              </w:rPr>
              <w:t>35</w:t>
            </w:r>
            <w:r>
              <w:rPr>
                <w:rFonts w:hint="eastAsia" w:ascii="仿宋_GB2312" w:hAnsi="Times New Roman Regular" w:eastAsia="仿宋_GB2312" w:cs="仿宋_GB2312"/>
                <w:b/>
                <w:bCs w:val="0"/>
                <w:kern w:val="0"/>
                <w:sz w:val="21"/>
                <w:szCs w:val="21"/>
                <w:lang w:val="en-US" w:eastAsia="zh-CN" w:bidi="ar"/>
              </w:rPr>
              <w:t>分）</w:t>
            </w:r>
          </w:p>
        </w:tc>
        <w:tc>
          <w:tcPr>
            <w:tcW w:w="1299" w:type="dxa"/>
            <w:vMerge w:val="restart"/>
            <w:tcBorders>
              <w:top w:val="nil"/>
              <w:left w:val="nil"/>
              <w:bottom w:val="nil"/>
              <w:right w:val="single" w:color="000000" w:sz="4" w:space="0"/>
            </w:tcBorders>
            <w:shd w:val="clear" w:color="auto" w:fill="auto"/>
            <w:vAlign w:val="center"/>
          </w:tcPr>
          <w:p w14:paraId="7458D3BD">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b/>
                <w:bCs w:val="0"/>
                <w:kern w:val="2"/>
                <w:sz w:val="21"/>
                <w:szCs w:val="21"/>
              </w:rPr>
            </w:pPr>
            <w:r>
              <w:rPr>
                <w:rFonts w:hint="eastAsia" w:ascii="仿宋_GB2312" w:hAnsi="Times New Roman Regular" w:eastAsia="仿宋_GB2312" w:cs="仿宋_GB2312"/>
                <w:b/>
                <w:bCs w:val="0"/>
                <w:kern w:val="0"/>
                <w:sz w:val="21"/>
                <w:szCs w:val="21"/>
                <w:lang w:val="en-US" w:eastAsia="zh-CN" w:bidi="ar"/>
              </w:rPr>
              <w:t>项目决策</w:t>
            </w:r>
            <w:r>
              <w:rPr>
                <w:rFonts w:hint="default" w:ascii="Times New Roman Regular" w:hAnsi="Times New Roman Regular" w:eastAsia="仿宋_GB2312" w:cs="Times New Roman Regular"/>
                <w:b/>
                <w:bCs w:val="0"/>
                <w:kern w:val="0"/>
                <w:sz w:val="21"/>
                <w:szCs w:val="21"/>
                <w:lang w:val="en-US" w:eastAsia="zh-CN" w:bidi="ar"/>
              </w:rPr>
              <w:br w:type="textWrapping"/>
            </w:r>
            <w:r>
              <w:rPr>
                <w:rFonts w:hint="eastAsia" w:ascii="仿宋_GB2312" w:hAnsi="Times New Roman Regular" w:eastAsia="仿宋_GB2312" w:cs="仿宋_GB2312"/>
                <w:b/>
                <w:bCs w:val="0"/>
                <w:kern w:val="0"/>
                <w:sz w:val="21"/>
                <w:szCs w:val="21"/>
                <w:lang w:val="en-US" w:eastAsia="zh-CN" w:bidi="ar"/>
              </w:rPr>
              <w:t>（</w:t>
            </w:r>
            <w:r>
              <w:rPr>
                <w:rFonts w:hint="default" w:ascii="Times New Roman Regular" w:hAnsi="Times New Roman Regular" w:eastAsia="仿宋_GB2312" w:cs="Times New Roman Regular"/>
                <w:b/>
                <w:bCs w:val="0"/>
                <w:kern w:val="0"/>
                <w:sz w:val="21"/>
                <w:szCs w:val="21"/>
                <w:lang w:val="en-US" w:eastAsia="zh-CN" w:bidi="ar"/>
              </w:rPr>
              <w:t>12</w:t>
            </w:r>
            <w:r>
              <w:rPr>
                <w:rFonts w:hint="eastAsia" w:ascii="仿宋_GB2312" w:hAnsi="Times New Roman Regular" w:eastAsia="仿宋_GB2312" w:cs="仿宋_GB2312"/>
                <w:b/>
                <w:bCs w:val="0"/>
                <w:kern w:val="0"/>
                <w:sz w:val="21"/>
                <w:szCs w:val="21"/>
                <w:lang w:val="en-US" w:eastAsia="zh-CN" w:bidi="ar"/>
              </w:rPr>
              <w:t>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3E7AD51F">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决策程序</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7CA96AE9">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4</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1A67FB4E">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部门预算项目设立是否按规定履行评估论证、申报程序</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4F4E2E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4851764E">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23711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32AF44C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nil"/>
              <w:left w:val="nil"/>
              <w:bottom w:val="nil"/>
              <w:right w:val="single" w:color="000000" w:sz="4" w:space="0"/>
            </w:tcBorders>
            <w:shd w:val="clear" w:color="auto" w:fill="auto"/>
            <w:vAlign w:val="center"/>
          </w:tcPr>
          <w:p w14:paraId="062E371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0280D450">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目标设置</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01D6C483">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4</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76300876">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部门预算项目绩效目标与计划期内的任务量、预算安排的资金量匹配情况，绩效目标设置是否科学合理、规范完整、量化细化、预算匹配</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058495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1F38020">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4A661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120FC7D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nil"/>
              <w:left w:val="nil"/>
              <w:bottom w:val="nil"/>
              <w:right w:val="single" w:color="000000" w:sz="4" w:space="0"/>
            </w:tcBorders>
            <w:shd w:val="clear" w:color="auto" w:fill="auto"/>
            <w:vAlign w:val="center"/>
          </w:tcPr>
          <w:p w14:paraId="622FA8A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58EA3868">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项目入库</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12FC0A01">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4</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3F8416D3">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部门预算项目是否在规定时间完成项目入库</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434A75E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6679DA56">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45F53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4353DAD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restart"/>
            <w:tcBorders>
              <w:top w:val="single" w:color="000000" w:sz="4" w:space="0"/>
              <w:left w:val="nil"/>
              <w:bottom w:val="nil"/>
              <w:right w:val="single" w:color="000000" w:sz="4" w:space="0"/>
            </w:tcBorders>
            <w:shd w:val="clear" w:color="auto" w:fill="auto"/>
            <w:vAlign w:val="center"/>
          </w:tcPr>
          <w:p w14:paraId="401C5EA7">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b/>
                <w:bCs w:val="0"/>
                <w:kern w:val="2"/>
                <w:sz w:val="21"/>
                <w:szCs w:val="21"/>
              </w:rPr>
            </w:pPr>
            <w:r>
              <w:rPr>
                <w:rFonts w:hint="eastAsia" w:ascii="仿宋_GB2312" w:hAnsi="Times New Roman Regular" w:eastAsia="仿宋_GB2312" w:cs="仿宋_GB2312"/>
                <w:b/>
                <w:bCs w:val="0"/>
                <w:kern w:val="0"/>
                <w:sz w:val="21"/>
                <w:szCs w:val="21"/>
                <w:lang w:val="en-US" w:eastAsia="zh-CN" w:bidi="ar"/>
              </w:rPr>
              <w:t>项目执行</w:t>
            </w:r>
            <w:r>
              <w:rPr>
                <w:rFonts w:hint="default" w:ascii="Times New Roman Regular" w:hAnsi="Times New Roman Regular" w:eastAsia="仿宋_GB2312" w:cs="Times New Roman Regular"/>
                <w:b/>
                <w:bCs w:val="0"/>
                <w:kern w:val="0"/>
                <w:sz w:val="21"/>
                <w:szCs w:val="21"/>
                <w:lang w:val="en-US" w:eastAsia="zh-CN" w:bidi="ar"/>
              </w:rPr>
              <w:br w:type="textWrapping"/>
            </w:r>
            <w:r>
              <w:rPr>
                <w:rFonts w:hint="eastAsia" w:ascii="仿宋_GB2312" w:hAnsi="Times New Roman Regular" w:eastAsia="仿宋_GB2312" w:cs="仿宋_GB2312"/>
                <w:b/>
                <w:bCs w:val="0"/>
                <w:kern w:val="0"/>
                <w:sz w:val="21"/>
                <w:szCs w:val="21"/>
                <w:lang w:val="en-US" w:eastAsia="zh-CN" w:bidi="ar"/>
              </w:rPr>
              <w:t>（</w:t>
            </w:r>
            <w:r>
              <w:rPr>
                <w:rFonts w:hint="default" w:ascii="Times New Roman Regular" w:hAnsi="Times New Roman Regular" w:eastAsia="仿宋_GB2312" w:cs="Times New Roman Regular"/>
                <w:b/>
                <w:bCs w:val="0"/>
                <w:kern w:val="0"/>
                <w:sz w:val="21"/>
                <w:szCs w:val="21"/>
                <w:lang w:val="en-US" w:eastAsia="zh-CN" w:bidi="ar"/>
              </w:rPr>
              <w:t>12</w:t>
            </w:r>
            <w:r>
              <w:rPr>
                <w:rFonts w:hint="eastAsia" w:ascii="仿宋_GB2312" w:hAnsi="Times New Roman Regular" w:eastAsia="仿宋_GB2312" w:cs="仿宋_GB2312"/>
                <w:b/>
                <w:bCs w:val="0"/>
                <w:kern w:val="0"/>
                <w:sz w:val="21"/>
                <w:szCs w:val="21"/>
                <w:lang w:val="en-US" w:eastAsia="zh-CN" w:bidi="ar"/>
              </w:rPr>
              <w:t>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774B7858">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执行同向</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510DFDD7">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4</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4AE95588">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部门预算项目实际列支内容是否与绩效目标设置方向相符</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080783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39D71EF3">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4E9EB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7A4A26B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single" w:color="000000" w:sz="4" w:space="0"/>
              <w:left w:val="nil"/>
              <w:bottom w:val="nil"/>
              <w:right w:val="single" w:color="000000" w:sz="4" w:space="0"/>
            </w:tcBorders>
            <w:shd w:val="clear" w:color="auto" w:fill="auto"/>
            <w:vAlign w:val="center"/>
          </w:tcPr>
          <w:p w14:paraId="74F0D557">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nil"/>
              <w:right w:val="single" w:color="000000" w:sz="4" w:space="0"/>
            </w:tcBorders>
            <w:shd w:val="clear" w:color="auto" w:fill="auto"/>
            <w:vAlign w:val="center"/>
          </w:tcPr>
          <w:p w14:paraId="652C8E67">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项目调整</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19B4DF6F">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4</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3ACECCC8">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部门预算项目是否采取对应调整措施</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444455A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76FEF079">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76D12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77886B1B">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single" w:color="000000" w:sz="4" w:space="0"/>
              <w:left w:val="nil"/>
              <w:bottom w:val="nil"/>
              <w:right w:val="single" w:color="000000" w:sz="4" w:space="0"/>
            </w:tcBorders>
            <w:shd w:val="clear" w:color="auto" w:fill="auto"/>
            <w:vAlign w:val="center"/>
          </w:tcPr>
          <w:p w14:paraId="0363963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776BB53D">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执行结果</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74D965EC">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4</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3583468E">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部门预算项目预算执行情况</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22C375E5">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C648F12">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3A984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7BCEF6E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restart"/>
            <w:tcBorders>
              <w:top w:val="single" w:color="000000" w:sz="4" w:space="0"/>
              <w:left w:val="nil"/>
              <w:bottom w:val="single" w:color="000000" w:sz="4" w:space="0"/>
              <w:right w:val="single" w:color="000000" w:sz="4" w:space="0"/>
            </w:tcBorders>
            <w:shd w:val="clear" w:color="auto" w:fill="auto"/>
            <w:vAlign w:val="center"/>
          </w:tcPr>
          <w:p w14:paraId="31639F71">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b/>
                <w:bCs w:val="0"/>
                <w:kern w:val="2"/>
                <w:sz w:val="21"/>
                <w:szCs w:val="21"/>
              </w:rPr>
            </w:pPr>
            <w:r>
              <w:rPr>
                <w:rFonts w:hint="eastAsia" w:ascii="仿宋_GB2312" w:hAnsi="Times New Roman Regular" w:eastAsia="仿宋_GB2312" w:cs="仿宋_GB2312"/>
                <w:b/>
                <w:bCs w:val="0"/>
                <w:kern w:val="0"/>
                <w:sz w:val="21"/>
                <w:szCs w:val="21"/>
                <w:lang w:val="en-US" w:eastAsia="zh-CN" w:bidi="ar"/>
              </w:rPr>
              <w:t>目标实现</w:t>
            </w:r>
            <w:r>
              <w:rPr>
                <w:rFonts w:hint="default" w:ascii="Times New Roman Regular" w:hAnsi="Times New Roman Regular" w:eastAsia="仿宋_GB2312" w:cs="Times New Roman Regular"/>
                <w:b/>
                <w:bCs w:val="0"/>
                <w:kern w:val="0"/>
                <w:sz w:val="21"/>
                <w:szCs w:val="21"/>
                <w:lang w:val="en-US" w:eastAsia="zh-CN" w:bidi="ar"/>
              </w:rPr>
              <w:br w:type="textWrapping"/>
            </w:r>
            <w:r>
              <w:rPr>
                <w:rFonts w:hint="eastAsia" w:ascii="仿宋_GB2312" w:hAnsi="Times New Roman Regular" w:eastAsia="仿宋_GB2312" w:cs="仿宋_GB2312"/>
                <w:b/>
                <w:bCs w:val="0"/>
                <w:kern w:val="0"/>
                <w:sz w:val="21"/>
                <w:szCs w:val="21"/>
                <w:lang w:val="en-US" w:eastAsia="zh-CN" w:bidi="ar"/>
              </w:rPr>
              <w:t>（</w:t>
            </w:r>
            <w:r>
              <w:rPr>
                <w:rFonts w:hint="default" w:ascii="Times New Roman Regular" w:hAnsi="Times New Roman Regular" w:eastAsia="仿宋_GB2312" w:cs="Times New Roman Regular"/>
                <w:b/>
                <w:bCs w:val="0"/>
                <w:kern w:val="0"/>
                <w:sz w:val="21"/>
                <w:szCs w:val="21"/>
                <w:lang w:val="en-US" w:eastAsia="zh-CN" w:bidi="ar"/>
              </w:rPr>
              <w:t>11</w:t>
            </w:r>
            <w:r>
              <w:rPr>
                <w:rFonts w:hint="eastAsia" w:ascii="仿宋_GB2312" w:hAnsi="Times New Roman Regular" w:eastAsia="仿宋_GB2312" w:cs="仿宋_GB2312"/>
                <w:b/>
                <w:bCs w:val="0"/>
                <w:kern w:val="0"/>
                <w:sz w:val="21"/>
                <w:szCs w:val="21"/>
                <w:lang w:val="en-US" w:eastAsia="zh-CN" w:bidi="ar"/>
              </w:rPr>
              <w:t>分）</w:t>
            </w: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65174706">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目标完成</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1C2208E2">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4</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4A16B5BD">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部门预算项目绩效目标数量指标完成情况</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5515FEC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104420F9">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7D13F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418FF39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single" w:color="000000" w:sz="4" w:space="0"/>
              <w:left w:val="nil"/>
              <w:bottom w:val="single" w:color="000000" w:sz="4" w:space="0"/>
              <w:right w:val="single" w:color="000000" w:sz="4" w:space="0"/>
            </w:tcBorders>
            <w:shd w:val="clear" w:color="auto" w:fill="auto"/>
            <w:vAlign w:val="center"/>
          </w:tcPr>
          <w:p w14:paraId="0A7DC5C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20838C1B">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目标偏离</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73CD0110">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4</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267EEC80">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部门预算项目绩效目标数量指标实现程度与预期目标的偏离情况</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7805547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4</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1C7A2851">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3D745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vMerge w:val="continue"/>
            <w:tcBorders>
              <w:top w:val="nil"/>
              <w:left w:val="single" w:color="000000" w:sz="4" w:space="0"/>
              <w:bottom w:val="single" w:color="000000" w:sz="4" w:space="0"/>
              <w:right w:val="single" w:color="000000" w:sz="4" w:space="0"/>
            </w:tcBorders>
            <w:shd w:val="clear" w:color="auto" w:fill="auto"/>
            <w:vAlign w:val="center"/>
          </w:tcPr>
          <w:p w14:paraId="3DDA7F6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99" w:type="dxa"/>
            <w:vMerge w:val="continue"/>
            <w:tcBorders>
              <w:top w:val="single" w:color="000000" w:sz="4" w:space="0"/>
              <w:left w:val="nil"/>
              <w:bottom w:val="single" w:color="000000" w:sz="4" w:space="0"/>
              <w:right w:val="single" w:color="000000" w:sz="4" w:space="0"/>
            </w:tcBorders>
            <w:shd w:val="clear" w:color="auto" w:fill="auto"/>
            <w:vAlign w:val="center"/>
          </w:tcPr>
          <w:p w14:paraId="1F12DCD6">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665" w:type="dxa"/>
            <w:tcBorders>
              <w:top w:val="single" w:color="000000" w:sz="4" w:space="0"/>
              <w:left w:val="nil"/>
              <w:bottom w:val="single" w:color="000000" w:sz="4" w:space="0"/>
              <w:right w:val="single" w:color="000000" w:sz="4" w:space="0"/>
            </w:tcBorders>
            <w:shd w:val="clear" w:color="auto" w:fill="auto"/>
            <w:vAlign w:val="center"/>
          </w:tcPr>
          <w:p w14:paraId="6B441AD1">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实现效果</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668A2FAD">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3</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7A6B8086">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部门预算项目绩效目标效益指标实施效果</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3620119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仿宋_GB2312" w:cs="Times New Roman"/>
                <w:kern w:val="0"/>
                <w:sz w:val="21"/>
                <w:szCs w:val="21"/>
              </w:rPr>
            </w:pPr>
            <w:r>
              <w:rPr>
                <w:rFonts w:hint="default" w:ascii="Times New Roman" w:hAnsi="Times New Roman" w:eastAsia="宋体" w:cs="Times New Roman"/>
                <w:kern w:val="0"/>
                <w:sz w:val="21"/>
                <w:szCs w:val="21"/>
                <w:lang w:val="en-US" w:eastAsia="zh-CN" w:bidi="ar"/>
              </w:rPr>
              <w:t>3</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89C3ADB">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r w14:paraId="73F12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2D49">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b/>
                <w:bCs w:val="0"/>
                <w:kern w:val="2"/>
                <w:sz w:val="21"/>
                <w:szCs w:val="21"/>
              </w:rPr>
            </w:pPr>
            <w:r>
              <w:rPr>
                <w:rFonts w:hint="eastAsia" w:ascii="仿宋_GB2312" w:hAnsi="Times New Roman Regular" w:eastAsia="仿宋_GB2312" w:cs="仿宋_GB2312"/>
                <w:b/>
                <w:bCs w:val="0"/>
                <w:kern w:val="0"/>
                <w:sz w:val="21"/>
                <w:szCs w:val="21"/>
                <w:lang w:val="en-US" w:eastAsia="zh-CN" w:bidi="ar"/>
              </w:rPr>
              <w:t>扣分项</w:t>
            </w:r>
            <w:r>
              <w:rPr>
                <w:rFonts w:hint="default" w:ascii="Times New Roman Regular" w:hAnsi="Times New Roman Regular" w:eastAsia="仿宋_GB2312" w:cs="Times New Roman Regular"/>
                <w:b/>
                <w:bCs w:val="0"/>
                <w:kern w:val="0"/>
                <w:sz w:val="21"/>
                <w:szCs w:val="21"/>
                <w:lang w:val="en-US" w:eastAsia="zh-CN" w:bidi="ar"/>
              </w:rPr>
              <w:br w:type="textWrapping"/>
            </w:r>
            <w:r>
              <w:rPr>
                <w:rFonts w:hint="eastAsia" w:ascii="仿宋_GB2312" w:hAnsi="Times New Roman Regular" w:eastAsia="仿宋_GB2312" w:cs="仿宋_GB2312"/>
                <w:b/>
                <w:bCs w:val="0"/>
                <w:kern w:val="0"/>
                <w:sz w:val="21"/>
                <w:szCs w:val="21"/>
                <w:lang w:val="en-US" w:eastAsia="zh-CN" w:bidi="ar"/>
              </w:rPr>
              <w:t>（</w:t>
            </w:r>
            <w:r>
              <w:rPr>
                <w:rFonts w:hint="default" w:ascii="Times New Roman Regular" w:hAnsi="Times New Roman Regular" w:eastAsia="仿宋_GB2312" w:cs="Times New Roman Regular"/>
                <w:b/>
                <w:bCs w:val="0"/>
                <w:kern w:val="0"/>
                <w:sz w:val="21"/>
                <w:szCs w:val="21"/>
                <w:lang w:val="en-US" w:eastAsia="zh-CN" w:bidi="ar"/>
              </w:rPr>
              <w:t>10</w:t>
            </w:r>
            <w:r>
              <w:rPr>
                <w:rFonts w:hint="eastAsia" w:ascii="仿宋_GB2312" w:hAnsi="Times New Roman Regular" w:eastAsia="仿宋_GB2312" w:cs="仿宋_GB2312"/>
                <w:b/>
                <w:bCs w:val="0"/>
                <w:kern w:val="0"/>
                <w:sz w:val="21"/>
                <w:szCs w:val="21"/>
                <w:lang w:val="en-US" w:eastAsia="zh-CN" w:bidi="ar"/>
              </w:rPr>
              <w:t>分）</w:t>
            </w:r>
          </w:p>
        </w:tc>
        <w:tc>
          <w:tcPr>
            <w:tcW w:w="2964" w:type="dxa"/>
            <w:gridSpan w:val="2"/>
            <w:tcBorders>
              <w:top w:val="single" w:color="000000" w:sz="4" w:space="0"/>
              <w:left w:val="nil"/>
              <w:bottom w:val="single" w:color="000000" w:sz="4" w:space="0"/>
              <w:right w:val="single" w:color="000000" w:sz="4" w:space="0"/>
            </w:tcBorders>
            <w:shd w:val="clear" w:color="auto" w:fill="auto"/>
            <w:vAlign w:val="center"/>
          </w:tcPr>
          <w:p w14:paraId="62F81CB0">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被评价部门配合度</w:t>
            </w:r>
          </w:p>
        </w:tc>
        <w:tc>
          <w:tcPr>
            <w:tcW w:w="684" w:type="dxa"/>
            <w:tcBorders>
              <w:top w:val="single" w:color="000000" w:sz="4" w:space="0"/>
              <w:left w:val="nil"/>
              <w:bottom w:val="single" w:color="000000" w:sz="4" w:space="0"/>
              <w:right w:val="single" w:color="000000" w:sz="4" w:space="0"/>
            </w:tcBorders>
            <w:shd w:val="clear" w:color="auto" w:fill="auto"/>
            <w:vAlign w:val="center"/>
          </w:tcPr>
          <w:p w14:paraId="29677FC8">
            <w:pPr>
              <w:keepNext w:val="0"/>
              <w:keepLines w:val="0"/>
              <w:widowControl/>
              <w:suppressLineNumbers w:val="0"/>
              <w:spacing w:before="0" w:beforeAutospacing="0" w:after="0" w:afterAutospacing="0" w:line="240" w:lineRule="exact"/>
              <w:ind w:left="0" w:right="0"/>
              <w:jc w:val="center"/>
              <w:textAlignment w:val="center"/>
              <w:rPr>
                <w:rFonts w:hint="default" w:ascii="Times New Roman Regular" w:hAnsi="Times New Roman Regular" w:eastAsia="仿宋_GB2312" w:cs="Times New Roman Regular"/>
                <w:kern w:val="2"/>
                <w:sz w:val="21"/>
                <w:szCs w:val="21"/>
              </w:rPr>
            </w:pPr>
            <w:r>
              <w:rPr>
                <w:rFonts w:hint="default" w:ascii="Times New Roman Regular" w:hAnsi="Times New Roman Regular" w:eastAsia="仿宋_GB2312" w:cs="Times New Roman Regular"/>
                <w:kern w:val="0"/>
                <w:sz w:val="21"/>
                <w:szCs w:val="21"/>
                <w:lang w:val="en-US" w:eastAsia="zh-CN" w:bidi="ar"/>
              </w:rPr>
              <w:t>-</w:t>
            </w:r>
          </w:p>
        </w:tc>
        <w:tc>
          <w:tcPr>
            <w:tcW w:w="4819" w:type="dxa"/>
            <w:tcBorders>
              <w:top w:val="single" w:color="000000" w:sz="4" w:space="0"/>
              <w:left w:val="nil"/>
              <w:bottom w:val="single" w:color="000000" w:sz="4" w:space="0"/>
              <w:right w:val="single" w:color="000000" w:sz="4" w:space="0"/>
            </w:tcBorders>
            <w:shd w:val="clear" w:color="auto" w:fill="auto"/>
            <w:vAlign w:val="center"/>
          </w:tcPr>
          <w:p w14:paraId="32C1FD35">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2"/>
                <w:sz w:val="21"/>
                <w:szCs w:val="21"/>
              </w:rPr>
            </w:pPr>
            <w:r>
              <w:rPr>
                <w:rFonts w:hint="eastAsia" w:ascii="仿宋_GB2312" w:hAnsi="Times New Roman Regular" w:eastAsia="仿宋_GB2312" w:cs="仿宋_GB2312"/>
                <w:kern w:val="0"/>
                <w:sz w:val="21"/>
                <w:szCs w:val="21"/>
                <w:lang w:val="en-US" w:eastAsia="zh-CN" w:bidi="ar"/>
              </w:rPr>
              <w:t>被评价对象工作配合情况</w:t>
            </w:r>
          </w:p>
        </w:tc>
        <w:tc>
          <w:tcPr>
            <w:tcW w:w="707" w:type="dxa"/>
            <w:tcBorders>
              <w:top w:val="single" w:color="000000" w:sz="4" w:space="0"/>
              <w:left w:val="nil"/>
              <w:bottom w:val="single" w:color="000000" w:sz="4" w:space="0"/>
              <w:right w:val="single" w:color="000000" w:sz="4" w:space="0"/>
            </w:tcBorders>
            <w:shd w:val="clear" w:color="auto" w:fill="auto"/>
            <w:vAlign w:val="center"/>
          </w:tcPr>
          <w:p w14:paraId="6597ACB7">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r>
              <w:rPr>
                <w:rFonts w:hint="default" w:ascii="Times New Roman Regular" w:hAnsi="Times New Roman Regular" w:eastAsia="Times New Roman Regular" w:cs="Times New Roman Regular"/>
                <w:kern w:val="0"/>
                <w:sz w:val="21"/>
                <w:szCs w:val="21"/>
                <w:lang w:val="en-US" w:eastAsia="zh-CN" w:bidi="ar"/>
              </w:rPr>
              <w:t xml:space="preserve"> </w:t>
            </w:r>
          </w:p>
        </w:tc>
        <w:tc>
          <w:tcPr>
            <w:tcW w:w="478" w:type="dxa"/>
            <w:tcBorders>
              <w:top w:val="single" w:color="000000" w:sz="4" w:space="0"/>
              <w:left w:val="nil"/>
              <w:bottom w:val="single" w:color="000000" w:sz="4" w:space="0"/>
              <w:right w:val="single" w:color="000000" w:sz="4" w:space="0"/>
            </w:tcBorders>
            <w:shd w:val="clear" w:color="auto" w:fill="auto"/>
            <w:vAlign w:val="center"/>
          </w:tcPr>
          <w:p w14:paraId="54F39E39">
            <w:pPr>
              <w:keepNext w:val="0"/>
              <w:keepLines w:val="0"/>
              <w:widowControl/>
              <w:suppressLineNumbers w:val="0"/>
              <w:spacing w:before="0" w:beforeAutospacing="0" w:after="0" w:afterAutospacing="0" w:line="240" w:lineRule="exact"/>
              <w:ind w:left="0" w:right="0"/>
              <w:jc w:val="left"/>
              <w:textAlignment w:val="center"/>
              <w:rPr>
                <w:rFonts w:hint="default" w:ascii="Times New Roman Regular" w:hAnsi="Times New Roman Regular" w:eastAsia="仿宋_GB2312" w:cs="Times New Roman Regular"/>
                <w:kern w:val="0"/>
                <w:sz w:val="21"/>
                <w:szCs w:val="21"/>
              </w:rPr>
            </w:pPr>
          </w:p>
        </w:tc>
      </w:tr>
    </w:tbl>
    <w:p w14:paraId="4BD28DFF">
      <w:pPr>
        <w:pStyle w:val="15"/>
        <w:keepNext/>
        <w:keepLines/>
        <w:widowControl w:val="0"/>
        <w:suppressLineNumbers w:val="0"/>
        <w:spacing w:before="280" w:beforeAutospacing="0" w:after="156" w:afterAutospacing="0" w:line="20" w:lineRule="exact"/>
        <w:ind w:left="0" w:right="0"/>
        <w:jc w:val="left"/>
        <w:outlineLvl w:val="4"/>
        <w:rPr>
          <w:rFonts w:hint="default" w:ascii="Arial" w:hAnsi="Arial" w:eastAsia="黑体" w:cs="Times New Roman"/>
          <w:b/>
          <w:bCs w:val="0"/>
          <w:kern w:val="2"/>
          <w:sz w:val="24"/>
          <w:szCs w:val="24"/>
        </w:rPr>
      </w:pPr>
      <w:r>
        <w:rPr>
          <w:rFonts w:hint="default" w:ascii="Arial" w:hAnsi="Arial" w:eastAsia="黑体" w:cs="Times New Roman"/>
          <w:b/>
          <w:bCs w:val="0"/>
          <w:kern w:val="2"/>
          <w:sz w:val="24"/>
          <w:szCs w:val="24"/>
          <w:lang w:val="en-US" w:eastAsia="zh-CN" w:bidi="ar"/>
        </w:rPr>
        <w:t xml:space="preserve"> </w:t>
      </w:r>
    </w:p>
    <w:p w14:paraId="746D4E41">
      <w:pPr>
        <w:keepNext w:val="0"/>
        <w:keepLines w:val="0"/>
        <w:widowControl w:val="0"/>
        <w:suppressLineNumbers w:val="0"/>
        <w:spacing w:before="0" w:beforeAutospacing="0" w:after="0" w:afterAutospacing="0"/>
        <w:ind w:left="0" w:right="0"/>
        <w:jc w:val="both"/>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br w:type="page"/>
      </w:r>
    </w:p>
    <w:p w14:paraId="070C139B">
      <w:pPr>
        <w:keepNext w:val="0"/>
        <w:keepLines w:val="0"/>
        <w:widowControl w:val="0"/>
        <w:suppressLineNumbers w:val="0"/>
        <w:spacing w:before="0" w:beforeAutospacing="0" w:after="0" w:afterAutospacing="0" w:line="578" w:lineRule="exact"/>
        <w:ind w:left="0" w:right="0"/>
        <w:jc w:val="left"/>
        <w:rPr>
          <w:rFonts w:hint="default" w:ascii="Times New Roman" w:hAnsi="Times New Roman" w:eastAsia="黑体" w:cs="Times New Roman"/>
          <w:kern w:val="2"/>
          <w:sz w:val="32"/>
          <w:szCs w:val="32"/>
        </w:rPr>
      </w:pPr>
      <w:r>
        <w:rPr>
          <w:rFonts w:hint="eastAsia" w:ascii="黑体" w:hAnsi="宋体" w:eastAsia="黑体" w:cs="黑体"/>
          <w:kern w:val="2"/>
          <w:sz w:val="32"/>
          <w:szCs w:val="32"/>
          <w:lang w:val="en-US" w:eastAsia="zh-CN" w:bidi="ar"/>
        </w:rPr>
        <w:t>附表</w:t>
      </w:r>
      <w:r>
        <w:rPr>
          <w:rFonts w:hint="default" w:ascii="Times New Roman" w:hAnsi="Times New Roman" w:eastAsia="黑体" w:cs="Times New Roman"/>
          <w:kern w:val="2"/>
          <w:sz w:val="32"/>
          <w:szCs w:val="32"/>
          <w:lang w:val="en-US" w:eastAsia="zh-CN" w:bidi="ar"/>
        </w:rPr>
        <w:t>2</w:t>
      </w:r>
    </w:p>
    <w:tbl>
      <w:tblPr>
        <w:tblStyle w:val="16"/>
        <w:tblW w:w="855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8"/>
        <w:gridCol w:w="839"/>
        <w:gridCol w:w="839"/>
        <w:gridCol w:w="1438"/>
        <w:gridCol w:w="892"/>
        <w:gridCol w:w="188"/>
        <w:gridCol w:w="648"/>
        <w:gridCol w:w="192"/>
        <w:gridCol w:w="648"/>
        <w:gridCol w:w="192"/>
        <w:gridCol w:w="592"/>
        <w:gridCol w:w="1245"/>
      </w:tblGrid>
      <w:tr w14:paraId="49947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8551" w:type="dxa"/>
            <w:gridSpan w:val="12"/>
            <w:tcBorders>
              <w:top w:val="nil"/>
              <w:left w:val="nil"/>
              <w:bottom w:val="nil"/>
              <w:right w:val="nil"/>
            </w:tcBorders>
            <w:shd w:val="clear" w:color="auto" w:fill="auto"/>
            <w:vAlign w:val="bottom"/>
          </w:tcPr>
          <w:p w14:paraId="30B3E4F6">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b/>
                <w:bCs/>
                <w:i w:val="0"/>
                <w:iCs w:val="0"/>
                <w:color w:val="000000"/>
                <w:kern w:val="2"/>
                <w:sz w:val="30"/>
                <w:szCs w:val="30"/>
              </w:rPr>
            </w:pPr>
            <w:r>
              <w:rPr>
                <w:rFonts w:hint="eastAsia" w:ascii="宋体" w:hAnsi="宋体" w:eastAsia="宋体" w:cs="宋体"/>
                <w:b/>
                <w:bCs/>
                <w:i w:val="0"/>
                <w:iCs w:val="0"/>
                <w:color w:val="000000"/>
                <w:kern w:val="0"/>
                <w:sz w:val="30"/>
                <w:szCs w:val="30"/>
                <w:lang w:val="en-US" w:eastAsia="zh-CN" w:bidi="ar"/>
              </w:rPr>
              <w:t>2025年度部门整体绩效目标</w:t>
            </w:r>
          </w:p>
        </w:tc>
      </w:tr>
      <w:tr w14:paraId="5C2C4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trPr>
        <w:tc>
          <w:tcPr>
            <w:tcW w:w="838" w:type="dxa"/>
            <w:tcBorders>
              <w:top w:val="nil"/>
              <w:left w:val="nil"/>
              <w:bottom w:val="nil"/>
              <w:right w:val="nil"/>
            </w:tcBorders>
            <w:shd w:val="clear" w:color="auto" w:fill="auto"/>
            <w:vAlign w:val="bottom"/>
          </w:tcPr>
          <w:p w14:paraId="0BC41DF9">
            <w:pPr>
              <w:keepNext w:val="0"/>
              <w:keepLines w:val="0"/>
              <w:widowControl/>
              <w:suppressLineNumbers w:val="0"/>
              <w:spacing w:before="0" w:beforeAutospacing="0" w:after="0" w:afterAutospacing="0"/>
              <w:ind w:left="0" w:right="0"/>
              <w:jc w:val="left"/>
              <w:textAlignment w:val="bottom"/>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部门名称：</w:t>
            </w:r>
          </w:p>
        </w:tc>
        <w:tc>
          <w:tcPr>
            <w:tcW w:w="4196" w:type="dxa"/>
            <w:gridSpan w:val="5"/>
            <w:tcBorders>
              <w:top w:val="nil"/>
              <w:left w:val="nil"/>
              <w:bottom w:val="nil"/>
              <w:right w:val="nil"/>
            </w:tcBorders>
            <w:shd w:val="clear" w:color="auto" w:fill="auto"/>
            <w:vAlign w:val="bottom"/>
          </w:tcPr>
          <w:p w14:paraId="7A243583">
            <w:pPr>
              <w:keepNext w:val="0"/>
              <w:keepLines w:val="0"/>
              <w:widowControl/>
              <w:suppressLineNumbers w:val="0"/>
              <w:spacing w:before="0" w:beforeAutospacing="0" w:after="0" w:afterAutospacing="0"/>
              <w:ind w:left="0" w:right="0"/>
              <w:jc w:val="left"/>
              <w:textAlignment w:val="bottom"/>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州林草局部门</w:t>
            </w:r>
          </w:p>
        </w:tc>
        <w:tc>
          <w:tcPr>
            <w:tcW w:w="840" w:type="dxa"/>
            <w:gridSpan w:val="2"/>
            <w:tcBorders>
              <w:top w:val="nil"/>
              <w:left w:val="nil"/>
              <w:bottom w:val="nil"/>
              <w:right w:val="nil"/>
            </w:tcBorders>
            <w:shd w:val="clear" w:color="auto" w:fill="auto"/>
            <w:vAlign w:val="center"/>
          </w:tcPr>
          <w:p w14:paraId="4ECA07F7">
            <w:pPr>
              <w:keepNext w:val="0"/>
              <w:keepLines w:val="0"/>
              <w:widowControl w:val="0"/>
              <w:suppressLineNumbers w:val="0"/>
              <w:spacing w:before="0" w:beforeAutospacing="0" w:after="0" w:afterAutospacing="0"/>
              <w:ind w:left="0" w:right="0"/>
              <w:jc w:val="both"/>
              <w:rPr>
                <w:rFonts w:hint="eastAsia" w:ascii="黑体" w:hAnsi="宋体" w:eastAsia="黑体" w:cs="黑体"/>
                <w:i w:val="0"/>
                <w:iCs w:val="0"/>
                <w:color w:val="000000"/>
                <w:kern w:val="2"/>
                <w:sz w:val="18"/>
                <w:szCs w:val="18"/>
              </w:rPr>
            </w:pPr>
          </w:p>
        </w:tc>
        <w:tc>
          <w:tcPr>
            <w:tcW w:w="840" w:type="dxa"/>
            <w:gridSpan w:val="2"/>
            <w:tcBorders>
              <w:top w:val="nil"/>
              <w:left w:val="nil"/>
              <w:bottom w:val="nil"/>
              <w:right w:val="nil"/>
            </w:tcBorders>
            <w:shd w:val="clear" w:color="auto" w:fill="auto"/>
            <w:vAlign w:val="center"/>
          </w:tcPr>
          <w:p w14:paraId="3D1A6422">
            <w:pPr>
              <w:keepNext w:val="0"/>
              <w:keepLines w:val="0"/>
              <w:widowControl w:val="0"/>
              <w:suppressLineNumbers w:val="0"/>
              <w:spacing w:before="0" w:beforeAutospacing="0" w:after="0" w:afterAutospacing="0"/>
              <w:ind w:left="0" w:right="0"/>
              <w:jc w:val="both"/>
              <w:rPr>
                <w:rFonts w:hint="eastAsia" w:ascii="黑体" w:hAnsi="宋体" w:eastAsia="黑体" w:cs="黑体"/>
                <w:i w:val="0"/>
                <w:iCs w:val="0"/>
                <w:color w:val="000000"/>
                <w:kern w:val="2"/>
                <w:sz w:val="18"/>
                <w:szCs w:val="18"/>
              </w:rPr>
            </w:pPr>
          </w:p>
        </w:tc>
        <w:tc>
          <w:tcPr>
            <w:tcW w:w="1837" w:type="dxa"/>
            <w:gridSpan w:val="2"/>
            <w:tcBorders>
              <w:top w:val="nil"/>
              <w:left w:val="nil"/>
              <w:bottom w:val="nil"/>
              <w:right w:val="nil"/>
            </w:tcBorders>
            <w:shd w:val="clear" w:color="auto" w:fill="auto"/>
            <w:vAlign w:val="bottom"/>
          </w:tcPr>
          <w:p w14:paraId="5DA7B881">
            <w:pPr>
              <w:keepNext w:val="0"/>
              <w:keepLines w:val="0"/>
              <w:widowControl/>
              <w:suppressLineNumbers w:val="0"/>
              <w:spacing w:before="0" w:beforeAutospacing="0" w:after="0" w:afterAutospacing="0"/>
              <w:ind w:left="0" w:right="0"/>
              <w:jc w:val="right"/>
              <w:textAlignment w:val="bottom"/>
              <w:rPr>
                <w:rFonts w:hint="eastAsia" w:ascii="宋体" w:hAnsi="宋体" w:eastAsia="宋体" w:cs="宋体"/>
                <w:i w:val="0"/>
                <w:iCs w:val="0"/>
                <w:color w:val="000000"/>
                <w:kern w:val="2"/>
                <w:sz w:val="16"/>
                <w:szCs w:val="16"/>
              </w:rPr>
            </w:pPr>
            <w:r>
              <w:rPr>
                <w:rFonts w:hint="eastAsia" w:ascii="宋体" w:hAnsi="宋体" w:eastAsia="宋体" w:cs="宋体"/>
                <w:i w:val="0"/>
                <w:iCs w:val="0"/>
                <w:color w:val="000000"/>
                <w:kern w:val="0"/>
                <w:sz w:val="16"/>
                <w:szCs w:val="16"/>
                <w:lang w:val="en-US" w:eastAsia="zh-CN" w:bidi="ar"/>
              </w:rPr>
              <w:t>单位：万元</w:t>
            </w:r>
          </w:p>
        </w:tc>
      </w:tr>
      <w:tr w14:paraId="103AB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25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D6C5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年度部门整体预算</w:t>
            </w:r>
          </w:p>
        </w:tc>
        <w:tc>
          <w:tcPr>
            <w:tcW w:w="2330" w:type="dxa"/>
            <w:gridSpan w:val="2"/>
            <w:tcBorders>
              <w:top w:val="single" w:color="000000" w:sz="4" w:space="0"/>
              <w:left w:val="nil"/>
              <w:bottom w:val="single" w:color="000000" w:sz="4" w:space="0"/>
              <w:right w:val="single" w:color="000000" w:sz="4" w:space="0"/>
            </w:tcBorders>
            <w:shd w:val="clear" w:color="auto" w:fill="auto"/>
            <w:vAlign w:val="center"/>
          </w:tcPr>
          <w:p w14:paraId="744EA8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资金总额</w:t>
            </w:r>
          </w:p>
        </w:tc>
        <w:tc>
          <w:tcPr>
            <w:tcW w:w="1028" w:type="dxa"/>
            <w:gridSpan w:val="3"/>
            <w:tcBorders>
              <w:top w:val="single" w:color="000000" w:sz="4" w:space="0"/>
              <w:left w:val="nil"/>
              <w:bottom w:val="single" w:color="000000" w:sz="4" w:space="0"/>
              <w:right w:val="single" w:color="000000" w:sz="4" w:space="0"/>
            </w:tcBorders>
            <w:shd w:val="clear" w:color="auto" w:fill="auto"/>
            <w:vAlign w:val="center"/>
          </w:tcPr>
          <w:p w14:paraId="198AD8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财政拨款</w:t>
            </w:r>
          </w:p>
        </w:tc>
        <w:tc>
          <w:tcPr>
            <w:tcW w:w="2677" w:type="dxa"/>
            <w:gridSpan w:val="4"/>
            <w:tcBorders>
              <w:top w:val="single" w:color="000000" w:sz="4" w:space="0"/>
              <w:left w:val="nil"/>
              <w:bottom w:val="single" w:color="000000" w:sz="4" w:space="0"/>
              <w:right w:val="single" w:color="000000" w:sz="4" w:space="0"/>
            </w:tcBorders>
            <w:shd w:val="clear" w:color="auto" w:fill="auto"/>
            <w:vAlign w:val="center"/>
          </w:tcPr>
          <w:p w14:paraId="1A12DE3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其他资金</w:t>
            </w:r>
          </w:p>
        </w:tc>
      </w:tr>
      <w:tr w14:paraId="6BBA3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25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7D8C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收入预算</w:t>
            </w:r>
          </w:p>
        </w:tc>
        <w:tc>
          <w:tcPr>
            <w:tcW w:w="2330" w:type="dxa"/>
            <w:gridSpan w:val="2"/>
            <w:tcBorders>
              <w:top w:val="single" w:color="000000" w:sz="4" w:space="0"/>
              <w:left w:val="nil"/>
              <w:bottom w:val="single" w:color="000000" w:sz="4" w:space="0"/>
              <w:right w:val="single" w:color="000000" w:sz="4" w:space="0"/>
            </w:tcBorders>
            <w:shd w:val="clear" w:color="auto" w:fill="auto"/>
            <w:vAlign w:val="center"/>
          </w:tcPr>
          <w:p w14:paraId="5B876233">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0.00</w:t>
            </w:r>
          </w:p>
        </w:tc>
        <w:tc>
          <w:tcPr>
            <w:tcW w:w="1028" w:type="dxa"/>
            <w:gridSpan w:val="3"/>
            <w:tcBorders>
              <w:top w:val="single" w:color="000000" w:sz="4" w:space="0"/>
              <w:left w:val="nil"/>
              <w:bottom w:val="single" w:color="000000" w:sz="4" w:space="0"/>
              <w:right w:val="single" w:color="000000" w:sz="4" w:space="0"/>
            </w:tcBorders>
            <w:shd w:val="clear" w:color="auto" w:fill="auto"/>
            <w:vAlign w:val="center"/>
          </w:tcPr>
          <w:p w14:paraId="550FA141">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0.00</w:t>
            </w:r>
          </w:p>
        </w:tc>
        <w:tc>
          <w:tcPr>
            <w:tcW w:w="2677" w:type="dxa"/>
            <w:gridSpan w:val="4"/>
            <w:tcBorders>
              <w:top w:val="single" w:color="000000" w:sz="4" w:space="0"/>
              <w:left w:val="nil"/>
              <w:bottom w:val="single" w:color="000000" w:sz="4" w:space="0"/>
              <w:right w:val="single" w:color="000000" w:sz="4" w:space="0"/>
            </w:tcBorders>
            <w:shd w:val="clear" w:color="auto" w:fill="auto"/>
            <w:vAlign w:val="center"/>
          </w:tcPr>
          <w:p w14:paraId="0675A212">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0.00</w:t>
            </w:r>
          </w:p>
        </w:tc>
      </w:tr>
      <w:tr w14:paraId="4024F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25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7C67D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支出预算</w:t>
            </w:r>
          </w:p>
        </w:tc>
        <w:tc>
          <w:tcPr>
            <w:tcW w:w="2330" w:type="dxa"/>
            <w:gridSpan w:val="2"/>
            <w:tcBorders>
              <w:top w:val="single" w:color="000000" w:sz="4" w:space="0"/>
              <w:left w:val="nil"/>
              <w:bottom w:val="single" w:color="000000" w:sz="4" w:space="0"/>
              <w:right w:val="single" w:color="000000" w:sz="4" w:space="0"/>
            </w:tcBorders>
            <w:shd w:val="clear" w:color="auto" w:fill="auto"/>
            <w:vAlign w:val="center"/>
          </w:tcPr>
          <w:p w14:paraId="605A612D">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6,779.30</w:t>
            </w:r>
          </w:p>
        </w:tc>
        <w:tc>
          <w:tcPr>
            <w:tcW w:w="1028" w:type="dxa"/>
            <w:gridSpan w:val="3"/>
            <w:tcBorders>
              <w:top w:val="single" w:color="000000" w:sz="4" w:space="0"/>
              <w:left w:val="nil"/>
              <w:bottom w:val="single" w:color="000000" w:sz="4" w:space="0"/>
              <w:right w:val="single" w:color="000000" w:sz="4" w:space="0"/>
            </w:tcBorders>
            <w:shd w:val="clear" w:color="auto" w:fill="auto"/>
            <w:vAlign w:val="center"/>
          </w:tcPr>
          <w:p w14:paraId="315959B6">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6,779.30</w:t>
            </w:r>
          </w:p>
        </w:tc>
        <w:tc>
          <w:tcPr>
            <w:tcW w:w="2677" w:type="dxa"/>
            <w:gridSpan w:val="4"/>
            <w:tcBorders>
              <w:top w:val="single" w:color="000000" w:sz="4" w:space="0"/>
              <w:left w:val="nil"/>
              <w:bottom w:val="single" w:color="000000" w:sz="4" w:space="0"/>
              <w:right w:val="single" w:color="000000" w:sz="4" w:space="0"/>
            </w:tcBorders>
            <w:shd w:val="clear" w:color="auto" w:fill="auto"/>
            <w:vAlign w:val="center"/>
          </w:tcPr>
          <w:p w14:paraId="77FEAAE8">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0.00</w:t>
            </w:r>
          </w:p>
        </w:tc>
      </w:tr>
      <w:tr w14:paraId="646C4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40" w:hRule="atLeast"/>
        </w:trPr>
        <w:tc>
          <w:tcPr>
            <w:tcW w:w="251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BBEAF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年度总体目标</w:t>
            </w:r>
          </w:p>
        </w:tc>
        <w:tc>
          <w:tcPr>
            <w:tcW w:w="6035" w:type="dxa"/>
            <w:gridSpan w:val="9"/>
            <w:tcBorders>
              <w:top w:val="single" w:color="000000" w:sz="4" w:space="0"/>
              <w:left w:val="nil"/>
              <w:bottom w:val="single" w:color="000000" w:sz="4" w:space="0"/>
              <w:right w:val="single" w:color="000000" w:sz="4" w:space="0"/>
            </w:tcBorders>
            <w:shd w:val="clear" w:color="auto" w:fill="auto"/>
            <w:vAlign w:val="center"/>
          </w:tcPr>
          <w:p w14:paraId="1813B9F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一是抓实若尔盖国家公园创建。力争尽早通过国家评估批复。二是抓实高原“森林四库”建设。三是抓实林草重点项目建设。四是抓实植被修复行动。五是抓实林草产业发展。六是抓实森林草原防火。努力实现连续38年无重特大森林火灾。七是抓实资源管理。依法做好林、草、湿地、自然保护地管理和全州重大项目使用林地、草地、湿地的要素保障。</w:t>
            </w:r>
          </w:p>
        </w:tc>
      </w:tr>
      <w:tr w14:paraId="3A6EE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8551"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844408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22"/>
                <w:szCs w:val="22"/>
              </w:rPr>
            </w:pPr>
            <w:r>
              <w:rPr>
                <w:rFonts w:hint="eastAsia" w:ascii="宋体" w:hAnsi="宋体" w:eastAsia="宋体" w:cs="宋体"/>
                <w:b/>
                <w:bCs/>
                <w:i w:val="0"/>
                <w:iCs w:val="0"/>
                <w:color w:val="000000"/>
                <w:kern w:val="0"/>
                <w:sz w:val="22"/>
                <w:szCs w:val="22"/>
                <w:lang w:val="en-US" w:eastAsia="zh-CN" w:bidi="ar"/>
              </w:rPr>
              <w:t>管理效率</w:t>
            </w:r>
          </w:p>
        </w:tc>
      </w:tr>
      <w:tr w14:paraId="0AE1A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38" w:type="dxa"/>
            <w:vMerge w:val="restart"/>
            <w:tcBorders>
              <w:top w:val="nil"/>
              <w:left w:val="single" w:color="000000" w:sz="4" w:space="0"/>
              <w:bottom w:val="single" w:color="000000" w:sz="4" w:space="0"/>
              <w:right w:val="single" w:color="000000" w:sz="4" w:space="0"/>
            </w:tcBorders>
            <w:shd w:val="clear" w:color="auto" w:fill="auto"/>
            <w:vAlign w:val="center"/>
          </w:tcPr>
          <w:p w14:paraId="1145706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序号</w:t>
            </w:r>
          </w:p>
        </w:tc>
        <w:tc>
          <w:tcPr>
            <w:tcW w:w="839" w:type="dxa"/>
            <w:vMerge w:val="restart"/>
            <w:tcBorders>
              <w:top w:val="single" w:color="000000" w:sz="4" w:space="0"/>
              <w:left w:val="nil"/>
              <w:bottom w:val="single" w:color="000000" w:sz="4" w:space="0"/>
              <w:right w:val="single" w:color="000000" w:sz="4" w:space="0"/>
            </w:tcBorders>
            <w:shd w:val="clear" w:color="auto" w:fill="auto"/>
            <w:vAlign w:val="center"/>
          </w:tcPr>
          <w:p w14:paraId="593D67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一级指标</w:t>
            </w:r>
          </w:p>
        </w:tc>
        <w:tc>
          <w:tcPr>
            <w:tcW w:w="839" w:type="dxa"/>
            <w:vMerge w:val="restart"/>
            <w:tcBorders>
              <w:top w:val="single" w:color="000000" w:sz="4" w:space="0"/>
              <w:left w:val="nil"/>
              <w:bottom w:val="single" w:color="000000" w:sz="4" w:space="0"/>
              <w:right w:val="single" w:color="000000" w:sz="4" w:space="0"/>
            </w:tcBorders>
            <w:shd w:val="clear" w:color="auto" w:fill="auto"/>
            <w:vAlign w:val="center"/>
          </w:tcPr>
          <w:p w14:paraId="6CF4B43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二级指标</w:t>
            </w:r>
          </w:p>
        </w:tc>
        <w:tc>
          <w:tcPr>
            <w:tcW w:w="1438" w:type="dxa"/>
            <w:vMerge w:val="restart"/>
            <w:tcBorders>
              <w:top w:val="single" w:color="000000" w:sz="4" w:space="0"/>
              <w:left w:val="nil"/>
              <w:bottom w:val="single" w:color="000000" w:sz="4" w:space="0"/>
              <w:right w:val="single" w:color="000000" w:sz="4" w:space="0"/>
            </w:tcBorders>
            <w:shd w:val="clear" w:color="auto" w:fill="auto"/>
            <w:vAlign w:val="center"/>
          </w:tcPr>
          <w:p w14:paraId="4ADC26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三级指标</w:t>
            </w:r>
          </w:p>
        </w:tc>
        <w:tc>
          <w:tcPr>
            <w:tcW w:w="892" w:type="dxa"/>
            <w:vMerge w:val="restart"/>
            <w:tcBorders>
              <w:top w:val="single" w:color="000000" w:sz="4" w:space="0"/>
              <w:left w:val="nil"/>
              <w:bottom w:val="single" w:color="000000" w:sz="4" w:space="0"/>
              <w:right w:val="single" w:color="000000" w:sz="4" w:space="0"/>
            </w:tcBorders>
            <w:shd w:val="clear" w:color="auto" w:fill="auto"/>
            <w:vAlign w:val="center"/>
          </w:tcPr>
          <w:p w14:paraId="4E8D913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指标值</w:t>
            </w:r>
          </w:p>
        </w:tc>
        <w:tc>
          <w:tcPr>
            <w:tcW w:w="3705" w:type="dxa"/>
            <w:gridSpan w:val="7"/>
            <w:tcBorders>
              <w:top w:val="single" w:color="000000" w:sz="4" w:space="0"/>
              <w:left w:val="nil"/>
              <w:bottom w:val="single" w:color="000000" w:sz="4" w:space="0"/>
              <w:right w:val="single" w:color="000000" w:sz="4" w:space="0"/>
            </w:tcBorders>
            <w:shd w:val="clear" w:color="auto" w:fill="auto"/>
            <w:vAlign w:val="center"/>
          </w:tcPr>
          <w:p w14:paraId="61761D0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指标参考值</w:t>
            </w:r>
          </w:p>
        </w:tc>
      </w:tr>
      <w:tr w14:paraId="6F59E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38" w:type="dxa"/>
            <w:vMerge w:val="continue"/>
            <w:tcBorders>
              <w:top w:val="nil"/>
              <w:left w:val="single" w:color="000000" w:sz="4" w:space="0"/>
              <w:bottom w:val="single" w:color="000000" w:sz="4" w:space="0"/>
              <w:right w:val="single" w:color="000000" w:sz="4" w:space="0"/>
            </w:tcBorders>
            <w:shd w:val="clear" w:color="auto" w:fill="auto"/>
            <w:vAlign w:val="center"/>
          </w:tcPr>
          <w:p w14:paraId="4CEA5B5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39" w:type="dxa"/>
            <w:vMerge w:val="continue"/>
            <w:tcBorders>
              <w:top w:val="single" w:color="000000" w:sz="4" w:space="0"/>
              <w:left w:val="nil"/>
              <w:bottom w:val="single" w:color="000000" w:sz="4" w:space="0"/>
              <w:right w:val="single" w:color="000000" w:sz="4" w:space="0"/>
            </w:tcBorders>
            <w:shd w:val="clear" w:color="auto" w:fill="auto"/>
            <w:vAlign w:val="center"/>
          </w:tcPr>
          <w:p w14:paraId="22B97BB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39" w:type="dxa"/>
            <w:vMerge w:val="continue"/>
            <w:tcBorders>
              <w:top w:val="single" w:color="000000" w:sz="4" w:space="0"/>
              <w:left w:val="nil"/>
              <w:bottom w:val="single" w:color="000000" w:sz="4" w:space="0"/>
              <w:right w:val="single" w:color="000000" w:sz="4" w:space="0"/>
            </w:tcBorders>
            <w:shd w:val="clear" w:color="auto" w:fill="auto"/>
            <w:vAlign w:val="center"/>
          </w:tcPr>
          <w:p w14:paraId="17C3D8E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438" w:type="dxa"/>
            <w:vMerge w:val="continue"/>
            <w:tcBorders>
              <w:top w:val="single" w:color="000000" w:sz="4" w:space="0"/>
              <w:left w:val="nil"/>
              <w:bottom w:val="single" w:color="000000" w:sz="4" w:space="0"/>
              <w:right w:val="single" w:color="000000" w:sz="4" w:space="0"/>
            </w:tcBorders>
            <w:shd w:val="clear" w:color="auto" w:fill="auto"/>
            <w:vAlign w:val="center"/>
          </w:tcPr>
          <w:p w14:paraId="367C90E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92" w:type="dxa"/>
            <w:vMerge w:val="continue"/>
            <w:tcBorders>
              <w:top w:val="single" w:color="000000" w:sz="4" w:space="0"/>
              <w:left w:val="nil"/>
              <w:bottom w:val="single" w:color="000000" w:sz="4" w:space="0"/>
              <w:right w:val="single" w:color="000000" w:sz="4" w:space="0"/>
            </w:tcBorders>
            <w:shd w:val="clear" w:color="auto" w:fill="auto"/>
            <w:vAlign w:val="center"/>
          </w:tcPr>
          <w:p w14:paraId="379CAD5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836" w:type="dxa"/>
            <w:gridSpan w:val="2"/>
            <w:tcBorders>
              <w:top w:val="single" w:color="000000" w:sz="4" w:space="0"/>
              <w:left w:val="nil"/>
              <w:bottom w:val="single" w:color="000000" w:sz="4" w:space="0"/>
              <w:right w:val="single" w:color="000000" w:sz="4" w:space="0"/>
            </w:tcBorders>
            <w:shd w:val="clear" w:color="auto" w:fill="auto"/>
            <w:vAlign w:val="center"/>
          </w:tcPr>
          <w:p w14:paraId="6215572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三年均值</w:t>
            </w:r>
          </w:p>
        </w:tc>
        <w:tc>
          <w:tcPr>
            <w:tcW w:w="840" w:type="dxa"/>
            <w:gridSpan w:val="2"/>
            <w:tcBorders>
              <w:top w:val="single" w:color="000000" w:sz="4" w:space="0"/>
              <w:left w:val="nil"/>
              <w:bottom w:val="single" w:color="000000" w:sz="4" w:space="0"/>
              <w:right w:val="single" w:color="000000" w:sz="4" w:space="0"/>
            </w:tcBorders>
            <w:shd w:val="clear" w:color="auto" w:fill="auto"/>
            <w:vAlign w:val="center"/>
          </w:tcPr>
          <w:p w14:paraId="566591E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2022</w:t>
            </w:r>
          </w:p>
        </w:tc>
        <w:tc>
          <w:tcPr>
            <w:tcW w:w="784" w:type="dxa"/>
            <w:gridSpan w:val="2"/>
            <w:tcBorders>
              <w:top w:val="single" w:color="000000" w:sz="4" w:space="0"/>
              <w:left w:val="nil"/>
              <w:bottom w:val="single" w:color="000000" w:sz="4" w:space="0"/>
              <w:right w:val="single" w:color="000000" w:sz="4" w:space="0"/>
            </w:tcBorders>
            <w:shd w:val="clear" w:color="auto" w:fill="auto"/>
            <w:vAlign w:val="center"/>
          </w:tcPr>
          <w:p w14:paraId="52679E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2023</w:t>
            </w:r>
          </w:p>
        </w:tc>
        <w:tc>
          <w:tcPr>
            <w:tcW w:w="1245" w:type="dxa"/>
            <w:tcBorders>
              <w:top w:val="single" w:color="000000" w:sz="4" w:space="0"/>
              <w:left w:val="nil"/>
              <w:bottom w:val="single" w:color="000000" w:sz="4" w:space="0"/>
              <w:right w:val="single" w:color="000000" w:sz="4" w:space="0"/>
            </w:tcBorders>
            <w:shd w:val="clear" w:color="auto" w:fill="auto"/>
            <w:vAlign w:val="center"/>
          </w:tcPr>
          <w:p w14:paraId="1070EC2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2024</w:t>
            </w:r>
          </w:p>
        </w:tc>
      </w:tr>
      <w:tr w14:paraId="6890D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278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1</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459B68F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成本指标</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09DCC606">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预算管理</w:t>
            </w:r>
          </w:p>
        </w:tc>
        <w:tc>
          <w:tcPr>
            <w:tcW w:w="1438" w:type="dxa"/>
            <w:tcBorders>
              <w:top w:val="single" w:color="000000" w:sz="4" w:space="0"/>
              <w:left w:val="nil"/>
              <w:bottom w:val="single" w:color="000000" w:sz="4" w:space="0"/>
              <w:right w:val="single" w:color="000000" w:sz="4" w:space="0"/>
            </w:tcBorders>
            <w:shd w:val="clear" w:color="auto" w:fill="auto"/>
            <w:vAlign w:val="center"/>
          </w:tcPr>
          <w:p w14:paraId="7F73337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财政拨款预算偏离度</w:t>
            </w:r>
          </w:p>
        </w:tc>
        <w:tc>
          <w:tcPr>
            <w:tcW w:w="892" w:type="dxa"/>
            <w:tcBorders>
              <w:top w:val="single" w:color="000000" w:sz="4" w:space="0"/>
              <w:left w:val="nil"/>
              <w:bottom w:val="single" w:color="000000" w:sz="4" w:space="0"/>
              <w:right w:val="single" w:color="000000" w:sz="4" w:space="0"/>
            </w:tcBorders>
            <w:shd w:val="clear" w:color="auto" w:fill="auto"/>
            <w:vAlign w:val="center"/>
          </w:tcPr>
          <w:p w14:paraId="2EDF6347">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-10%</w:t>
            </w:r>
          </w:p>
        </w:tc>
        <w:tc>
          <w:tcPr>
            <w:tcW w:w="836" w:type="dxa"/>
            <w:gridSpan w:val="2"/>
            <w:tcBorders>
              <w:top w:val="single" w:color="000000" w:sz="4" w:space="0"/>
              <w:left w:val="nil"/>
              <w:bottom w:val="single" w:color="000000" w:sz="4" w:space="0"/>
              <w:right w:val="single" w:color="000000" w:sz="4" w:space="0"/>
            </w:tcBorders>
            <w:shd w:val="clear" w:color="auto" w:fill="auto"/>
            <w:vAlign w:val="center"/>
          </w:tcPr>
          <w:p w14:paraId="6FBAC427">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-9.24%</w:t>
            </w:r>
          </w:p>
        </w:tc>
        <w:tc>
          <w:tcPr>
            <w:tcW w:w="840" w:type="dxa"/>
            <w:gridSpan w:val="2"/>
            <w:tcBorders>
              <w:top w:val="single" w:color="000000" w:sz="4" w:space="0"/>
              <w:left w:val="nil"/>
              <w:bottom w:val="single" w:color="000000" w:sz="4" w:space="0"/>
              <w:right w:val="single" w:color="000000" w:sz="4" w:space="0"/>
            </w:tcBorders>
            <w:shd w:val="clear" w:color="auto" w:fill="auto"/>
            <w:vAlign w:val="center"/>
          </w:tcPr>
          <w:p w14:paraId="7EEEAA2C">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-5.4%</w:t>
            </w:r>
          </w:p>
        </w:tc>
        <w:tc>
          <w:tcPr>
            <w:tcW w:w="784" w:type="dxa"/>
            <w:gridSpan w:val="2"/>
            <w:tcBorders>
              <w:top w:val="single" w:color="000000" w:sz="4" w:space="0"/>
              <w:left w:val="nil"/>
              <w:bottom w:val="single" w:color="000000" w:sz="4" w:space="0"/>
              <w:right w:val="single" w:color="000000" w:sz="4" w:space="0"/>
            </w:tcBorders>
            <w:shd w:val="clear" w:color="auto" w:fill="auto"/>
            <w:vAlign w:val="center"/>
          </w:tcPr>
          <w:p w14:paraId="0988ED74">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-3.58%</w:t>
            </w:r>
          </w:p>
        </w:tc>
        <w:tc>
          <w:tcPr>
            <w:tcW w:w="1245" w:type="dxa"/>
            <w:tcBorders>
              <w:top w:val="single" w:color="000000" w:sz="4" w:space="0"/>
              <w:left w:val="nil"/>
              <w:bottom w:val="single" w:color="000000" w:sz="4" w:space="0"/>
              <w:right w:val="single" w:color="000000" w:sz="4" w:space="0"/>
            </w:tcBorders>
            <w:shd w:val="clear" w:color="auto" w:fill="auto"/>
            <w:vAlign w:val="center"/>
          </w:tcPr>
          <w:p w14:paraId="6D702E95">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-18.74%</w:t>
            </w:r>
          </w:p>
        </w:tc>
      </w:tr>
      <w:tr w14:paraId="3B0DF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34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2</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7DC079FB">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成本指标</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7CC1F21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预算管理</w:t>
            </w:r>
          </w:p>
        </w:tc>
        <w:tc>
          <w:tcPr>
            <w:tcW w:w="1438" w:type="dxa"/>
            <w:tcBorders>
              <w:top w:val="single" w:color="000000" w:sz="4" w:space="0"/>
              <w:left w:val="nil"/>
              <w:bottom w:val="single" w:color="000000" w:sz="4" w:space="0"/>
              <w:right w:val="single" w:color="000000" w:sz="4" w:space="0"/>
            </w:tcBorders>
            <w:shd w:val="clear" w:color="auto" w:fill="auto"/>
            <w:vAlign w:val="center"/>
          </w:tcPr>
          <w:p w14:paraId="07E524C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预算年终结余率</w:t>
            </w:r>
          </w:p>
        </w:tc>
        <w:tc>
          <w:tcPr>
            <w:tcW w:w="892" w:type="dxa"/>
            <w:tcBorders>
              <w:top w:val="single" w:color="000000" w:sz="4" w:space="0"/>
              <w:left w:val="nil"/>
              <w:bottom w:val="single" w:color="000000" w:sz="4" w:space="0"/>
              <w:right w:val="single" w:color="000000" w:sz="4" w:space="0"/>
            </w:tcBorders>
            <w:shd w:val="clear" w:color="auto" w:fill="auto"/>
            <w:vAlign w:val="center"/>
          </w:tcPr>
          <w:p w14:paraId="4D9BF252">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15%</w:t>
            </w:r>
          </w:p>
        </w:tc>
        <w:tc>
          <w:tcPr>
            <w:tcW w:w="836" w:type="dxa"/>
            <w:gridSpan w:val="2"/>
            <w:tcBorders>
              <w:top w:val="single" w:color="000000" w:sz="4" w:space="0"/>
              <w:left w:val="nil"/>
              <w:bottom w:val="single" w:color="000000" w:sz="4" w:space="0"/>
              <w:right w:val="single" w:color="000000" w:sz="4" w:space="0"/>
            </w:tcBorders>
            <w:shd w:val="clear" w:color="auto" w:fill="auto"/>
            <w:vAlign w:val="center"/>
          </w:tcPr>
          <w:p w14:paraId="19AFB221">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16.66%</w:t>
            </w:r>
          </w:p>
        </w:tc>
        <w:tc>
          <w:tcPr>
            <w:tcW w:w="840" w:type="dxa"/>
            <w:gridSpan w:val="2"/>
            <w:tcBorders>
              <w:top w:val="single" w:color="000000" w:sz="4" w:space="0"/>
              <w:left w:val="nil"/>
              <w:bottom w:val="single" w:color="000000" w:sz="4" w:space="0"/>
              <w:right w:val="single" w:color="000000" w:sz="4" w:space="0"/>
            </w:tcBorders>
            <w:shd w:val="clear" w:color="auto" w:fill="auto"/>
            <w:vAlign w:val="center"/>
          </w:tcPr>
          <w:p w14:paraId="7D0D108B">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14.61%</w:t>
            </w:r>
          </w:p>
        </w:tc>
        <w:tc>
          <w:tcPr>
            <w:tcW w:w="784" w:type="dxa"/>
            <w:gridSpan w:val="2"/>
            <w:tcBorders>
              <w:top w:val="single" w:color="000000" w:sz="4" w:space="0"/>
              <w:left w:val="nil"/>
              <w:bottom w:val="single" w:color="000000" w:sz="4" w:space="0"/>
              <w:right w:val="single" w:color="000000" w:sz="4" w:space="0"/>
            </w:tcBorders>
            <w:shd w:val="clear" w:color="auto" w:fill="auto"/>
            <w:vAlign w:val="center"/>
          </w:tcPr>
          <w:p w14:paraId="5F6C1BBE">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6.25%</w:t>
            </w:r>
          </w:p>
        </w:tc>
        <w:tc>
          <w:tcPr>
            <w:tcW w:w="1245" w:type="dxa"/>
            <w:tcBorders>
              <w:top w:val="single" w:color="000000" w:sz="4" w:space="0"/>
              <w:left w:val="nil"/>
              <w:bottom w:val="single" w:color="000000" w:sz="4" w:space="0"/>
              <w:right w:val="single" w:color="000000" w:sz="4" w:space="0"/>
            </w:tcBorders>
            <w:shd w:val="clear" w:color="auto" w:fill="auto"/>
            <w:vAlign w:val="center"/>
          </w:tcPr>
          <w:p w14:paraId="3C122A6C">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29.13%</w:t>
            </w:r>
          </w:p>
        </w:tc>
      </w:tr>
      <w:tr w14:paraId="38600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44B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3</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1ED5739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成本指标</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76967E9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预算管理</w:t>
            </w:r>
          </w:p>
        </w:tc>
        <w:tc>
          <w:tcPr>
            <w:tcW w:w="1438" w:type="dxa"/>
            <w:tcBorders>
              <w:top w:val="single" w:color="000000" w:sz="4" w:space="0"/>
              <w:left w:val="nil"/>
              <w:bottom w:val="single" w:color="000000" w:sz="4" w:space="0"/>
              <w:right w:val="single" w:color="000000" w:sz="4" w:space="0"/>
            </w:tcBorders>
            <w:shd w:val="clear" w:color="auto" w:fill="auto"/>
            <w:vAlign w:val="center"/>
          </w:tcPr>
          <w:p w14:paraId="0A043B3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一般性支出金额</w:t>
            </w:r>
          </w:p>
        </w:tc>
        <w:tc>
          <w:tcPr>
            <w:tcW w:w="892" w:type="dxa"/>
            <w:tcBorders>
              <w:top w:val="single" w:color="000000" w:sz="4" w:space="0"/>
              <w:left w:val="nil"/>
              <w:bottom w:val="single" w:color="000000" w:sz="4" w:space="0"/>
              <w:right w:val="single" w:color="000000" w:sz="4" w:space="0"/>
            </w:tcBorders>
            <w:shd w:val="clear" w:color="auto" w:fill="auto"/>
            <w:vAlign w:val="center"/>
          </w:tcPr>
          <w:p w14:paraId="149CFAE1">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.03万元</w:t>
            </w:r>
          </w:p>
        </w:tc>
        <w:tc>
          <w:tcPr>
            <w:tcW w:w="836" w:type="dxa"/>
            <w:gridSpan w:val="2"/>
            <w:tcBorders>
              <w:top w:val="single" w:color="000000" w:sz="4" w:space="0"/>
              <w:left w:val="nil"/>
              <w:bottom w:val="single" w:color="000000" w:sz="4" w:space="0"/>
              <w:right w:val="single" w:color="000000" w:sz="4" w:space="0"/>
            </w:tcBorders>
            <w:shd w:val="clear" w:color="auto" w:fill="auto"/>
            <w:vAlign w:val="center"/>
          </w:tcPr>
          <w:p w14:paraId="150B07D5">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.03万元</w:t>
            </w:r>
          </w:p>
        </w:tc>
        <w:tc>
          <w:tcPr>
            <w:tcW w:w="840" w:type="dxa"/>
            <w:gridSpan w:val="2"/>
            <w:tcBorders>
              <w:top w:val="single" w:color="000000" w:sz="4" w:space="0"/>
              <w:left w:val="nil"/>
              <w:bottom w:val="single" w:color="000000" w:sz="4" w:space="0"/>
              <w:right w:val="single" w:color="000000" w:sz="4" w:space="0"/>
            </w:tcBorders>
            <w:shd w:val="clear" w:color="auto" w:fill="auto"/>
            <w:vAlign w:val="center"/>
          </w:tcPr>
          <w:p w14:paraId="2B405B23">
            <w:pPr>
              <w:keepNext w:val="0"/>
              <w:keepLines w:val="0"/>
              <w:widowControl w:val="0"/>
              <w:suppressLineNumbers w:val="0"/>
              <w:spacing w:before="0" w:beforeAutospacing="0" w:after="0" w:afterAutospacing="0"/>
              <w:ind w:left="0" w:right="0"/>
              <w:jc w:val="right"/>
              <w:rPr>
                <w:rFonts w:hint="eastAsia" w:ascii="宋体" w:hAnsi="宋体" w:eastAsia="宋体" w:cs="宋体"/>
                <w:i w:val="0"/>
                <w:iCs w:val="0"/>
                <w:color w:val="000000"/>
                <w:kern w:val="2"/>
                <w:sz w:val="18"/>
                <w:szCs w:val="18"/>
              </w:rPr>
            </w:pPr>
          </w:p>
        </w:tc>
        <w:tc>
          <w:tcPr>
            <w:tcW w:w="784" w:type="dxa"/>
            <w:gridSpan w:val="2"/>
            <w:tcBorders>
              <w:top w:val="single" w:color="000000" w:sz="4" w:space="0"/>
              <w:left w:val="nil"/>
              <w:bottom w:val="single" w:color="000000" w:sz="4" w:space="0"/>
              <w:right w:val="single" w:color="000000" w:sz="4" w:space="0"/>
            </w:tcBorders>
            <w:shd w:val="clear" w:color="auto" w:fill="auto"/>
            <w:vAlign w:val="center"/>
          </w:tcPr>
          <w:p w14:paraId="552647D7">
            <w:pPr>
              <w:keepNext w:val="0"/>
              <w:keepLines w:val="0"/>
              <w:widowControl w:val="0"/>
              <w:suppressLineNumbers w:val="0"/>
              <w:spacing w:before="0" w:beforeAutospacing="0" w:after="0" w:afterAutospacing="0"/>
              <w:ind w:left="0" w:right="0"/>
              <w:jc w:val="right"/>
              <w:rPr>
                <w:rFonts w:hint="eastAsia" w:ascii="宋体" w:hAnsi="宋体" w:eastAsia="宋体" w:cs="宋体"/>
                <w:i w:val="0"/>
                <w:iCs w:val="0"/>
                <w:color w:val="000000"/>
                <w:kern w:val="2"/>
                <w:sz w:val="18"/>
                <w:szCs w:val="18"/>
              </w:rPr>
            </w:pPr>
          </w:p>
        </w:tc>
        <w:tc>
          <w:tcPr>
            <w:tcW w:w="1245" w:type="dxa"/>
            <w:tcBorders>
              <w:top w:val="single" w:color="000000" w:sz="4" w:space="0"/>
              <w:left w:val="nil"/>
              <w:bottom w:val="single" w:color="000000" w:sz="4" w:space="0"/>
              <w:right w:val="single" w:color="000000" w:sz="4" w:space="0"/>
            </w:tcBorders>
            <w:shd w:val="clear" w:color="auto" w:fill="auto"/>
            <w:vAlign w:val="center"/>
          </w:tcPr>
          <w:p w14:paraId="4BCE6FF6">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.03万元</w:t>
            </w:r>
          </w:p>
        </w:tc>
      </w:tr>
      <w:tr w14:paraId="7A73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334C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4</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0DFD095C">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成本指标</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33F9085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财务管理</w:t>
            </w:r>
          </w:p>
        </w:tc>
        <w:tc>
          <w:tcPr>
            <w:tcW w:w="1438" w:type="dxa"/>
            <w:tcBorders>
              <w:top w:val="single" w:color="000000" w:sz="4" w:space="0"/>
              <w:left w:val="nil"/>
              <w:bottom w:val="single" w:color="000000" w:sz="4" w:space="0"/>
              <w:right w:val="single" w:color="000000" w:sz="4" w:space="0"/>
            </w:tcBorders>
            <w:shd w:val="clear" w:color="auto" w:fill="auto"/>
            <w:vAlign w:val="center"/>
          </w:tcPr>
          <w:p w14:paraId="7728F3C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财务管理规范</w:t>
            </w:r>
          </w:p>
        </w:tc>
        <w:tc>
          <w:tcPr>
            <w:tcW w:w="892" w:type="dxa"/>
            <w:tcBorders>
              <w:top w:val="single" w:color="000000" w:sz="4" w:space="0"/>
              <w:left w:val="nil"/>
              <w:bottom w:val="single" w:color="000000" w:sz="4" w:space="0"/>
              <w:right w:val="single" w:color="000000" w:sz="4" w:space="0"/>
            </w:tcBorders>
            <w:shd w:val="clear" w:color="auto" w:fill="auto"/>
            <w:vAlign w:val="center"/>
          </w:tcPr>
          <w:p w14:paraId="5C337DE0">
            <w:pPr>
              <w:keepNext w:val="0"/>
              <w:keepLines w:val="0"/>
              <w:widowControl/>
              <w:suppressLineNumbers w:val="0"/>
              <w:spacing w:before="0" w:beforeAutospacing="0" w:after="0" w:afterAutospacing="0"/>
              <w:ind w:left="0" w:right="0"/>
              <w:jc w:val="righ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优</w:t>
            </w:r>
          </w:p>
        </w:tc>
        <w:tc>
          <w:tcPr>
            <w:tcW w:w="836" w:type="dxa"/>
            <w:gridSpan w:val="2"/>
            <w:tcBorders>
              <w:top w:val="single" w:color="000000" w:sz="4" w:space="0"/>
              <w:left w:val="nil"/>
              <w:bottom w:val="single" w:color="000000" w:sz="4" w:space="0"/>
              <w:right w:val="single" w:color="000000" w:sz="4" w:space="0"/>
            </w:tcBorders>
            <w:shd w:val="clear" w:color="auto" w:fill="auto"/>
            <w:vAlign w:val="center"/>
          </w:tcPr>
          <w:p w14:paraId="7C7FCBFB">
            <w:pPr>
              <w:keepNext w:val="0"/>
              <w:keepLines w:val="0"/>
              <w:widowControl w:val="0"/>
              <w:suppressLineNumbers w:val="0"/>
              <w:spacing w:before="0" w:beforeAutospacing="0" w:after="0" w:afterAutospacing="0"/>
              <w:ind w:left="0" w:right="0"/>
              <w:jc w:val="right"/>
              <w:rPr>
                <w:rFonts w:hint="eastAsia" w:ascii="宋体" w:hAnsi="宋体" w:eastAsia="宋体" w:cs="宋体"/>
                <w:i w:val="0"/>
                <w:iCs w:val="0"/>
                <w:color w:val="000000"/>
                <w:kern w:val="2"/>
                <w:sz w:val="18"/>
                <w:szCs w:val="18"/>
              </w:rPr>
            </w:pPr>
          </w:p>
        </w:tc>
        <w:tc>
          <w:tcPr>
            <w:tcW w:w="840" w:type="dxa"/>
            <w:gridSpan w:val="2"/>
            <w:tcBorders>
              <w:top w:val="single" w:color="000000" w:sz="4" w:space="0"/>
              <w:left w:val="nil"/>
              <w:bottom w:val="single" w:color="000000" w:sz="4" w:space="0"/>
              <w:right w:val="single" w:color="000000" w:sz="4" w:space="0"/>
            </w:tcBorders>
            <w:shd w:val="clear" w:color="auto" w:fill="auto"/>
            <w:vAlign w:val="center"/>
          </w:tcPr>
          <w:p w14:paraId="32FCFFD1">
            <w:pPr>
              <w:keepNext w:val="0"/>
              <w:keepLines w:val="0"/>
              <w:widowControl w:val="0"/>
              <w:suppressLineNumbers w:val="0"/>
              <w:spacing w:before="0" w:beforeAutospacing="0" w:after="0" w:afterAutospacing="0"/>
              <w:ind w:left="0" w:right="0"/>
              <w:jc w:val="right"/>
              <w:rPr>
                <w:rFonts w:hint="eastAsia" w:ascii="宋体" w:hAnsi="宋体" w:eastAsia="宋体" w:cs="宋体"/>
                <w:i w:val="0"/>
                <w:iCs w:val="0"/>
                <w:color w:val="000000"/>
                <w:kern w:val="2"/>
                <w:sz w:val="18"/>
                <w:szCs w:val="18"/>
              </w:rPr>
            </w:pPr>
          </w:p>
        </w:tc>
        <w:tc>
          <w:tcPr>
            <w:tcW w:w="784" w:type="dxa"/>
            <w:gridSpan w:val="2"/>
            <w:tcBorders>
              <w:top w:val="single" w:color="000000" w:sz="4" w:space="0"/>
              <w:left w:val="nil"/>
              <w:bottom w:val="single" w:color="000000" w:sz="4" w:space="0"/>
              <w:right w:val="single" w:color="000000" w:sz="4" w:space="0"/>
            </w:tcBorders>
            <w:shd w:val="clear" w:color="auto" w:fill="auto"/>
            <w:vAlign w:val="center"/>
          </w:tcPr>
          <w:p w14:paraId="511AB6AA">
            <w:pPr>
              <w:keepNext w:val="0"/>
              <w:keepLines w:val="0"/>
              <w:widowControl w:val="0"/>
              <w:suppressLineNumbers w:val="0"/>
              <w:spacing w:before="0" w:beforeAutospacing="0" w:after="0" w:afterAutospacing="0"/>
              <w:ind w:left="0" w:right="0"/>
              <w:jc w:val="right"/>
              <w:rPr>
                <w:rFonts w:hint="eastAsia" w:ascii="宋体" w:hAnsi="宋体" w:eastAsia="宋体" w:cs="宋体"/>
                <w:i w:val="0"/>
                <w:iCs w:val="0"/>
                <w:color w:val="000000"/>
                <w:kern w:val="2"/>
                <w:sz w:val="18"/>
                <w:szCs w:val="18"/>
              </w:rPr>
            </w:pPr>
          </w:p>
        </w:tc>
        <w:tc>
          <w:tcPr>
            <w:tcW w:w="1245" w:type="dxa"/>
            <w:tcBorders>
              <w:top w:val="single" w:color="000000" w:sz="4" w:space="0"/>
              <w:left w:val="nil"/>
              <w:bottom w:val="single" w:color="000000" w:sz="4" w:space="0"/>
              <w:right w:val="single" w:color="000000" w:sz="4" w:space="0"/>
            </w:tcBorders>
            <w:shd w:val="clear" w:color="auto" w:fill="auto"/>
            <w:vAlign w:val="center"/>
          </w:tcPr>
          <w:p w14:paraId="0A4F0560">
            <w:pPr>
              <w:keepNext w:val="0"/>
              <w:keepLines w:val="0"/>
              <w:widowControl w:val="0"/>
              <w:suppressLineNumbers w:val="0"/>
              <w:spacing w:before="0" w:beforeAutospacing="0" w:after="0" w:afterAutospacing="0"/>
              <w:ind w:left="0" w:right="0"/>
              <w:jc w:val="right"/>
              <w:rPr>
                <w:rFonts w:hint="eastAsia" w:ascii="宋体" w:hAnsi="宋体" w:eastAsia="宋体" w:cs="宋体"/>
                <w:i w:val="0"/>
                <w:iCs w:val="0"/>
                <w:color w:val="000000"/>
                <w:kern w:val="2"/>
                <w:sz w:val="18"/>
                <w:szCs w:val="18"/>
              </w:rPr>
            </w:pPr>
          </w:p>
        </w:tc>
      </w:tr>
      <w:tr w14:paraId="5DF05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8551"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C76748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22"/>
                <w:szCs w:val="22"/>
              </w:rPr>
            </w:pPr>
            <w:r>
              <w:rPr>
                <w:rFonts w:hint="eastAsia" w:ascii="宋体" w:hAnsi="宋体" w:eastAsia="宋体" w:cs="宋体"/>
                <w:b/>
                <w:bCs/>
                <w:i w:val="0"/>
                <w:iCs w:val="0"/>
                <w:color w:val="000000"/>
                <w:kern w:val="0"/>
                <w:sz w:val="22"/>
                <w:szCs w:val="22"/>
                <w:lang w:val="en-US" w:eastAsia="zh-CN" w:bidi="ar"/>
              </w:rPr>
              <w:t>履职效能</w:t>
            </w:r>
          </w:p>
        </w:tc>
      </w:tr>
      <w:tr w14:paraId="66A03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70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序号</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54D06D5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一级指标</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293C4EA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二级指标</w:t>
            </w:r>
          </w:p>
        </w:tc>
        <w:tc>
          <w:tcPr>
            <w:tcW w:w="2330" w:type="dxa"/>
            <w:gridSpan w:val="2"/>
            <w:tcBorders>
              <w:top w:val="single" w:color="000000" w:sz="4" w:space="0"/>
              <w:left w:val="nil"/>
              <w:bottom w:val="single" w:color="000000" w:sz="4" w:space="0"/>
              <w:right w:val="single" w:color="000000" w:sz="4" w:space="0"/>
            </w:tcBorders>
            <w:shd w:val="clear" w:color="auto" w:fill="auto"/>
            <w:vAlign w:val="center"/>
          </w:tcPr>
          <w:p w14:paraId="16E1073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三级指标</w:t>
            </w:r>
          </w:p>
        </w:tc>
        <w:tc>
          <w:tcPr>
            <w:tcW w:w="3705" w:type="dxa"/>
            <w:gridSpan w:val="7"/>
            <w:tcBorders>
              <w:top w:val="single" w:color="000000" w:sz="4" w:space="0"/>
              <w:left w:val="nil"/>
              <w:bottom w:val="single" w:color="000000" w:sz="4" w:space="0"/>
              <w:right w:val="single" w:color="000000" w:sz="4" w:space="0"/>
            </w:tcBorders>
            <w:shd w:val="clear" w:color="auto" w:fill="auto"/>
            <w:vAlign w:val="center"/>
          </w:tcPr>
          <w:p w14:paraId="329C19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000000"/>
                <w:kern w:val="2"/>
                <w:sz w:val="18"/>
                <w:szCs w:val="18"/>
              </w:rPr>
            </w:pPr>
            <w:r>
              <w:rPr>
                <w:rFonts w:hint="eastAsia" w:ascii="宋体" w:hAnsi="宋体" w:eastAsia="宋体" w:cs="宋体"/>
                <w:b/>
                <w:bCs/>
                <w:i w:val="0"/>
                <w:iCs w:val="0"/>
                <w:color w:val="000000"/>
                <w:kern w:val="0"/>
                <w:sz w:val="18"/>
                <w:szCs w:val="18"/>
                <w:lang w:val="en-US" w:eastAsia="zh-CN" w:bidi="ar"/>
              </w:rPr>
              <w:t>指标值（包括数字及文字描述）</w:t>
            </w:r>
          </w:p>
        </w:tc>
      </w:tr>
      <w:tr w14:paraId="1F848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6036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1</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492637E0">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i w:val="0"/>
                <w:iCs w:val="0"/>
                <w:color w:val="000000"/>
                <w:kern w:val="2"/>
                <w:sz w:val="18"/>
                <w:szCs w:val="18"/>
              </w:rPr>
            </w:pPr>
            <w:r>
              <w:rPr>
                <w:rFonts w:hint="eastAsia" w:ascii="黑体" w:hAnsi="宋体" w:eastAsia="黑体" w:cs="黑体"/>
                <w:i w:val="0"/>
                <w:iCs w:val="0"/>
                <w:color w:val="000000"/>
                <w:kern w:val="0"/>
                <w:sz w:val="18"/>
                <w:szCs w:val="18"/>
                <w:lang w:val="en-US" w:eastAsia="zh-CN" w:bidi="ar"/>
              </w:rPr>
              <w:t>产出指标</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1A5F45F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时效指标</w:t>
            </w:r>
          </w:p>
        </w:tc>
        <w:tc>
          <w:tcPr>
            <w:tcW w:w="2330" w:type="dxa"/>
            <w:gridSpan w:val="2"/>
            <w:tcBorders>
              <w:top w:val="single" w:color="000000" w:sz="4" w:space="0"/>
              <w:left w:val="nil"/>
              <w:bottom w:val="single" w:color="000000" w:sz="4" w:space="0"/>
              <w:right w:val="single" w:color="000000" w:sz="4" w:space="0"/>
            </w:tcBorders>
            <w:shd w:val="clear" w:color="auto" w:fill="auto"/>
            <w:vAlign w:val="center"/>
          </w:tcPr>
          <w:p w14:paraId="2D3DB57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若尔盖国家公园创建</w:t>
            </w:r>
          </w:p>
        </w:tc>
        <w:tc>
          <w:tcPr>
            <w:tcW w:w="3705" w:type="dxa"/>
            <w:gridSpan w:val="7"/>
            <w:tcBorders>
              <w:top w:val="single" w:color="000000" w:sz="4" w:space="0"/>
              <w:left w:val="nil"/>
              <w:bottom w:val="single" w:color="000000" w:sz="4" w:space="0"/>
              <w:right w:val="single" w:color="000000" w:sz="4" w:space="0"/>
            </w:tcBorders>
            <w:shd w:val="clear" w:color="auto" w:fill="auto"/>
            <w:vAlign w:val="center"/>
          </w:tcPr>
          <w:p w14:paraId="475A858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≥5年</w:t>
            </w:r>
          </w:p>
        </w:tc>
      </w:tr>
      <w:tr w14:paraId="4689D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E61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2</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0FCD43E1">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i w:val="0"/>
                <w:iCs w:val="0"/>
                <w:color w:val="000000"/>
                <w:kern w:val="2"/>
                <w:sz w:val="18"/>
                <w:szCs w:val="18"/>
              </w:rPr>
            </w:pPr>
            <w:r>
              <w:rPr>
                <w:rFonts w:hint="eastAsia" w:ascii="黑体" w:hAnsi="宋体" w:eastAsia="黑体" w:cs="黑体"/>
                <w:i w:val="0"/>
                <w:iCs w:val="0"/>
                <w:color w:val="000000"/>
                <w:kern w:val="0"/>
                <w:sz w:val="18"/>
                <w:szCs w:val="18"/>
                <w:lang w:val="en-US" w:eastAsia="zh-CN" w:bidi="ar"/>
              </w:rPr>
              <w:t>产出指标</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48B26FF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数量指标</w:t>
            </w:r>
          </w:p>
        </w:tc>
        <w:tc>
          <w:tcPr>
            <w:tcW w:w="2330" w:type="dxa"/>
            <w:gridSpan w:val="2"/>
            <w:tcBorders>
              <w:top w:val="single" w:color="000000" w:sz="4" w:space="0"/>
              <w:left w:val="nil"/>
              <w:bottom w:val="single" w:color="000000" w:sz="4" w:space="0"/>
              <w:right w:val="single" w:color="000000" w:sz="4" w:space="0"/>
            </w:tcBorders>
            <w:shd w:val="clear" w:color="auto" w:fill="auto"/>
            <w:vAlign w:val="center"/>
          </w:tcPr>
          <w:p w14:paraId="57EC22D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常年有效管护草原面积</w:t>
            </w:r>
          </w:p>
        </w:tc>
        <w:tc>
          <w:tcPr>
            <w:tcW w:w="3705" w:type="dxa"/>
            <w:gridSpan w:val="7"/>
            <w:tcBorders>
              <w:top w:val="single" w:color="000000" w:sz="4" w:space="0"/>
              <w:left w:val="nil"/>
              <w:bottom w:val="single" w:color="000000" w:sz="4" w:space="0"/>
              <w:right w:val="single" w:color="000000" w:sz="4" w:space="0"/>
            </w:tcBorders>
            <w:shd w:val="clear" w:color="auto" w:fill="auto"/>
            <w:vAlign w:val="center"/>
          </w:tcPr>
          <w:p w14:paraId="17341AF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≥4728.38万亩</w:t>
            </w:r>
          </w:p>
        </w:tc>
      </w:tr>
      <w:tr w14:paraId="55339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2827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3</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6A02613A">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i w:val="0"/>
                <w:iCs w:val="0"/>
                <w:color w:val="000000"/>
                <w:kern w:val="2"/>
                <w:sz w:val="18"/>
                <w:szCs w:val="18"/>
              </w:rPr>
            </w:pPr>
            <w:r>
              <w:rPr>
                <w:rFonts w:hint="eastAsia" w:ascii="黑体" w:hAnsi="宋体" w:eastAsia="黑体" w:cs="黑体"/>
                <w:i w:val="0"/>
                <w:iCs w:val="0"/>
                <w:color w:val="000000"/>
                <w:kern w:val="0"/>
                <w:sz w:val="18"/>
                <w:szCs w:val="18"/>
                <w:lang w:val="en-US" w:eastAsia="zh-CN" w:bidi="ar"/>
              </w:rPr>
              <w:t>产出指标</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41EB03D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数量指标</w:t>
            </w:r>
          </w:p>
        </w:tc>
        <w:tc>
          <w:tcPr>
            <w:tcW w:w="2330" w:type="dxa"/>
            <w:gridSpan w:val="2"/>
            <w:tcBorders>
              <w:top w:val="single" w:color="000000" w:sz="4" w:space="0"/>
              <w:left w:val="nil"/>
              <w:bottom w:val="single" w:color="000000" w:sz="4" w:space="0"/>
              <w:right w:val="single" w:color="000000" w:sz="4" w:space="0"/>
            </w:tcBorders>
            <w:shd w:val="clear" w:color="auto" w:fill="auto"/>
            <w:vAlign w:val="center"/>
          </w:tcPr>
          <w:p w14:paraId="340B263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常年有效管护天然林面积</w:t>
            </w:r>
          </w:p>
        </w:tc>
        <w:tc>
          <w:tcPr>
            <w:tcW w:w="3705" w:type="dxa"/>
            <w:gridSpan w:val="7"/>
            <w:tcBorders>
              <w:top w:val="single" w:color="000000" w:sz="4" w:space="0"/>
              <w:left w:val="nil"/>
              <w:bottom w:val="single" w:color="000000" w:sz="4" w:space="0"/>
              <w:right w:val="single" w:color="000000" w:sz="4" w:space="0"/>
            </w:tcBorders>
            <w:shd w:val="clear" w:color="auto" w:fill="auto"/>
            <w:vAlign w:val="center"/>
          </w:tcPr>
          <w:p w14:paraId="11E36B8E">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5580万亩</w:t>
            </w:r>
          </w:p>
        </w:tc>
      </w:tr>
      <w:tr w14:paraId="34555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7DB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4</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487F7E18">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i w:val="0"/>
                <w:iCs w:val="0"/>
                <w:color w:val="000000"/>
                <w:kern w:val="2"/>
                <w:sz w:val="18"/>
                <w:szCs w:val="18"/>
              </w:rPr>
            </w:pPr>
            <w:r>
              <w:rPr>
                <w:rFonts w:hint="eastAsia" w:ascii="黑体" w:hAnsi="宋体" w:eastAsia="黑体" w:cs="黑体"/>
                <w:i w:val="0"/>
                <w:iCs w:val="0"/>
                <w:color w:val="000000"/>
                <w:kern w:val="0"/>
                <w:sz w:val="18"/>
                <w:szCs w:val="18"/>
                <w:lang w:val="en-US" w:eastAsia="zh-CN" w:bidi="ar"/>
              </w:rPr>
              <w:t>产出指标</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459989D1">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质量指标</w:t>
            </w:r>
          </w:p>
        </w:tc>
        <w:tc>
          <w:tcPr>
            <w:tcW w:w="2330" w:type="dxa"/>
            <w:gridSpan w:val="2"/>
            <w:tcBorders>
              <w:top w:val="single" w:color="000000" w:sz="4" w:space="0"/>
              <w:left w:val="nil"/>
              <w:bottom w:val="single" w:color="000000" w:sz="4" w:space="0"/>
              <w:right w:val="single" w:color="000000" w:sz="4" w:space="0"/>
            </w:tcBorders>
            <w:shd w:val="clear" w:color="auto" w:fill="auto"/>
            <w:vAlign w:val="center"/>
          </w:tcPr>
          <w:p w14:paraId="7F87D6D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林地草地审批技术核查完成率</w:t>
            </w:r>
          </w:p>
        </w:tc>
        <w:tc>
          <w:tcPr>
            <w:tcW w:w="3705" w:type="dxa"/>
            <w:gridSpan w:val="7"/>
            <w:tcBorders>
              <w:top w:val="single" w:color="000000" w:sz="4" w:space="0"/>
              <w:left w:val="nil"/>
              <w:bottom w:val="single" w:color="000000" w:sz="4" w:space="0"/>
              <w:right w:val="single" w:color="000000" w:sz="4" w:space="0"/>
            </w:tcBorders>
            <w:shd w:val="clear" w:color="auto" w:fill="auto"/>
            <w:vAlign w:val="center"/>
          </w:tcPr>
          <w:p w14:paraId="5EB7F7A3">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≥100%</w:t>
            </w:r>
          </w:p>
        </w:tc>
      </w:tr>
      <w:tr w14:paraId="7B992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BECB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5</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660EC88A">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i w:val="0"/>
                <w:iCs w:val="0"/>
                <w:color w:val="000000"/>
                <w:kern w:val="2"/>
                <w:sz w:val="18"/>
                <w:szCs w:val="18"/>
              </w:rPr>
            </w:pPr>
            <w:r>
              <w:rPr>
                <w:rFonts w:hint="eastAsia" w:ascii="黑体" w:hAnsi="宋体" w:eastAsia="黑体" w:cs="黑体"/>
                <w:i w:val="0"/>
                <w:iCs w:val="0"/>
                <w:color w:val="000000"/>
                <w:kern w:val="0"/>
                <w:sz w:val="18"/>
                <w:szCs w:val="18"/>
                <w:lang w:val="en-US" w:eastAsia="zh-CN" w:bidi="ar"/>
              </w:rPr>
              <w:t>产出指标</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05620BD9">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质量指标</w:t>
            </w:r>
          </w:p>
        </w:tc>
        <w:tc>
          <w:tcPr>
            <w:tcW w:w="2330" w:type="dxa"/>
            <w:gridSpan w:val="2"/>
            <w:tcBorders>
              <w:top w:val="single" w:color="000000" w:sz="4" w:space="0"/>
              <w:left w:val="nil"/>
              <w:bottom w:val="single" w:color="000000" w:sz="4" w:space="0"/>
              <w:right w:val="single" w:color="000000" w:sz="4" w:space="0"/>
            </w:tcBorders>
            <w:shd w:val="clear" w:color="auto" w:fill="auto"/>
            <w:vAlign w:val="center"/>
          </w:tcPr>
          <w:p w14:paraId="40931624">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若尔盖国家公园创建国家评估验收完成情况</w:t>
            </w:r>
          </w:p>
        </w:tc>
        <w:tc>
          <w:tcPr>
            <w:tcW w:w="3705" w:type="dxa"/>
            <w:gridSpan w:val="7"/>
            <w:tcBorders>
              <w:top w:val="single" w:color="000000" w:sz="4" w:space="0"/>
              <w:left w:val="nil"/>
              <w:bottom w:val="single" w:color="000000" w:sz="4" w:space="0"/>
              <w:right w:val="single" w:color="000000" w:sz="4" w:space="0"/>
            </w:tcBorders>
            <w:shd w:val="clear" w:color="auto" w:fill="auto"/>
            <w:vAlign w:val="center"/>
          </w:tcPr>
          <w:p w14:paraId="5ED6586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高质量完成</w:t>
            </w:r>
          </w:p>
        </w:tc>
      </w:tr>
      <w:tr w14:paraId="73C54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D2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6</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3AD465F5">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i w:val="0"/>
                <w:iCs w:val="0"/>
                <w:color w:val="000000"/>
                <w:kern w:val="2"/>
                <w:sz w:val="18"/>
                <w:szCs w:val="18"/>
              </w:rPr>
            </w:pPr>
            <w:r>
              <w:rPr>
                <w:rFonts w:hint="eastAsia" w:ascii="黑体" w:hAnsi="宋体" w:eastAsia="黑体" w:cs="黑体"/>
                <w:i w:val="0"/>
                <w:iCs w:val="0"/>
                <w:color w:val="000000"/>
                <w:kern w:val="0"/>
                <w:sz w:val="18"/>
                <w:szCs w:val="18"/>
                <w:lang w:val="en-US" w:eastAsia="zh-CN" w:bidi="ar"/>
              </w:rPr>
              <w:t>效益指标</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007C4C60">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可持续发展指标</w:t>
            </w:r>
          </w:p>
        </w:tc>
        <w:tc>
          <w:tcPr>
            <w:tcW w:w="2330" w:type="dxa"/>
            <w:gridSpan w:val="2"/>
            <w:tcBorders>
              <w:top w:val="single" w:color="000000" w:sz="4" w:space="0"/>
              <w:left w:val="nil"/>
              <w:bottom w:val="single" w:color="000000" w:sz="4" w:space="0"/>
              <w:right w:val="single" w:color="000000" w:sz="4" w:space="0"/>
            </w:tcBorders>
            <w:shd w:val="clear" w:color="auto" w:fill="auto"/>
            <w:vAlign w:val="center"/>
          </w:tcPr>
          <w:p w14:paraId="26D1ED1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推动我州林草项目有力有序开展</w:t>
            </w:r>
          </w:p>
        </w:tc>
        <w:tc>
          <w:tcPr>
            <w:tcW w:w="3705" w:type="dxa"/>
            <w:gridSpan w:val="7"/>
            <w:tcBorders>
              <w:top w:val="single" w:color="000000" w:sz="4" w:space="0"/>
              <w:left w:val="nil"/>
              <w:bottom w:val="single" w:color="000000" w:sz="4" w:space="0"/>
              <w:right w:val="single" w:color="000000" w:sz="4" w:space="0"/>
            </w:tcBorders>
            <w:shd w:val="clear" w:color="auto" w:fill="auto"/>
            <w:vAlign w:val="center"/>
          </w:tcPr>
          <w:p w14:paraId="6940E572">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有力</w:t>
            </w:r>
          </w:p>
        </w:tc>
      </w:tr>
      <w:tr w14:paraId="3F4D2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5F4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7</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57FBC6FB">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i w:val="0"/>
                <w:iCs w:val="0"/>
                <w:color w:val="000000"/>
                <w:kern w:val="2"/>
                <w:sz w:val="18"/>
                <w:szCs w:val="18"/>
              </w:rPr>
            </w:pPr>
            <w:r>
              <w:rPr>
                <w:rFonts w:hint="eastAsia" w:ascii="黑体" w:hAnsi="宋体" w:eastAsia="黑体" w:cs="黑体"/>
                <w:i w:val="0"/>
                <w:iCs w:val="0"/>
                <w:color w:val="000000"/>
                <w:kern w:val="0"/>
                <w:sz w:val="18"/>
                <w:szCs w:val="18"/>
                <w:lang w:val="en-US" w:eastAsia="zh-CN" w:bidi="ar"/>
              </w:rPr>
              <w:t>效益指标</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68878D7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社会效益指标</w:t>
            </w:r>
          </w:p>
        </w:tc>
        <w:tc>
          <w:tcPr>
            <w:tcW w:w="2330" w:type="dxa"/>
            <w:gridSpan w:val="2"/>
            <w:tcBorders>
              <w:top w:val="single" w:color="000000" w:sz="4" w:space="0"/>
              <w:left w:val="nil"/>
              <w:bottom w:val="single" w:color="000000" w:sz="4" w:space="0"/>
              <w:right w:val="single" w:color="000000" w:sz="4" w:space="0"/>
            </w:tcBorders>
            <w:shd w:val="clear" w:color="auto" w:fill="auto"/>
            <w:vAlign w:val="center"/>
          </w:tcPr>
          <w:p w14:paraId="3C515555">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有力维护林区稳定</w:t>
            </w:r>
          </w:p>
        </w:tc>
        <w:tc>
          <w:tcPr>
            <w:tcW w:w="3705" w:type="dxa"/>
            <w:gridSpan w:val="7"/>
            <w:tcBorders>
              <w:top w:val="single" w:color="000000" w:sz="4" w:space="0"/>
              <w:left w:val="nil"/>
              <w:bottom w:val="single" w:color="000000" w:sz="4" w:space="0"/>
              <w:right w:val="single" w:color="000000" w:sz="4" w:space="0"/>
            </w:tcBorders>
            <w:shd w:val="clear" w:color="auto" w:fill="auto"/>
            <w:vAlign w:val="center"/>
          </w:tcPr>
          <w:p w14:paraId="37854FDD">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明显</w:t>
            </w:r>
          </w:p>
        </w:tc>
      </w:tr>
      <w:tr w14:paraId="20FE2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8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E5A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8</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44162970">
            <w:pPr>
              <w:keepNext w:val="0"/>
              <w:keepLines w:val="0"/>
              <w:widowControl/>
              <w:suppressLineNumbers w:val="0"/>
              <w:spacing w:before="0" w:beforeAutospacing="0" w:after="0" w:afterAutospacing="0"/>
              <w:ind w:left="0" w:right="0"/>
              <w:jc w:val="left"/>
              <w:textAlignment w:val="center"/>
              <w:rPr>
                <w:rFonts w:hint="eastAsia" w:ascii="黑体" w:hAnsi="宋体" w:eastAsia="黑体" w:cs="黑体"/>
                <w:i w:val="0"/>
                <w:iCs w:val="0"/>
                <w:color w:val="000000"/>
                <w:kern w:val="2"/>
                <w:sz w:val="18"/>
                <w:szCs w:val="18"/>
              </w:rPr>
            </w:pPr>
            <w:r>
              <w:rPr>
                <w:rFonts w:hint="eastAsia" w:ascii="黑体" w:hAnsi="宋体" w:eastAsia="黑体" w:cs="黑体"/>
                <w:i w:val="0"/>
                <w:iCs w:val="0"/>
                <w:color w:val="000000"/>
                <w:kern w:val="0"/>
                <w:sz w:val="18"/>
                <w:szCs w:val="18"/>
                <w:lang w:val="en-US" w:eastAsia="zh-CN" w:bidi="ar"/>
              </w:rPr>
              <w:t>效益指标</w:t>
            </w:r>
          </w:p>
        </w:tc>
        <w:tc>
          <w:tcPr>
            <w:tcW w:w="839" w:type="dxa"/>
            <w:tcBorders>
              <w:top w:val="single" w:color="000000" w:sz="4" w:space="0"/>
              <w:left w:val="nil"/>
              <w:bottom w:val="single" w:color="000000" w:sz="4" w:space="0"/>
              <w:right w:val="single" w:color="000000" w:sz="4" w:space="0"/>
            </w:tcBorders>
            <w:shd w:val="clear" w:color="auto" w:fill="auto"/>
            <w:vAlign w:val="center"/>
          </w:tcPr>
          <w:p w14:paraId="4DFC422A">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生态效益指标</w:t>
            </w:r>
          </w:p>
        </w:tc>
        <w:tc>
          <w:tcPr>
            <w:tcW w:w="2330" w:type="dxa"/>
            <w:gridSpan w:val="2"/>
            <w:tcBorders>
              <w:top w:val="single" w:color="000000" w:sz="4" w:space="0"/>
              <w:left w:val="nil"/>
              <w:bottom w:val="single" w:color="000000" w:sz="4" w:space="0"/>
              <w:right w:val="single" w:color="000000" w:sz="4" w:space="0"/>
            </w:tcBorders>
            <w:shd w:val="clear" w:color="auto" w:fill="auto"/>
            <w:vAlign w:val="center"/>
          </w:tcPr>
          <w:p w14:paraId="61731F3F">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全州生态效益得到有效改善</w:t>
            </w:r>
          </w:p>
        </w:tc>
        <w:tc>
          <w:tcPr>
            <w:tcW w:w="3705" w:type="dxa"/>
            <w:gridSpan w:val="7"/>
            <w:tcBorders>
              <w:top w:val="single" w:color="000000" w:sz="4" w:space="0"/>
              <w:left w:val="nil"/>
              <w:bottom w:val="single" w:color="000000" w:sz="4" w:space="0"/>
              <w:right w:val="single" w:color="000000" w:sz="4" w:space="0"/>
            </w:tcBorders>
            <w:shd w:val="clear" w:color="auto" w:fill="auto"/>
            <w:vAlign w:val="center"/>
          </w:tcPr>
          <w:p w14:paraId="6AD3CB68">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2"/>
                <w:sz w:val="18"/>
                <w:szCs w:val="18"/>
              </w:rPr>
            </w:pPr>
            <w:r>
              <w:rPr>
                <w:rFonts w:hint="eastAsia" w:ascii="宋体" w:hAnsi="宋体" w:eastAsia="宋体" w:cs="宋体"/>
                <w:i w:val="0"/>
                <w:iCs w:val="0"/>
                <w:color w:val="000000"/>
                <w:kern w:val="0"/>
                <w:sz w:val="18"/>
                <w:szCs w:val="18"/>
                <w:lang w:val="en-US" w:eastAsia="zh-CN" w:bidi="ar"/>
              </w:rPr>
              <w:t>明显</w:t>
            </w:r>
          </w:p>
        </w:tc>
      </w:tr>
    </w:tbl>
    <w:p w14:paraId="5D54F574">
      <w:pPr>
        <w:keepNext w:val="0"/>
        <w:keepLines w:val="0"/>
        <w:widowControl w:val="0"/>
        <w:suppressLineNumbers w:val="0"/>
        <w:spacing w:before="0" w:beforeAutospacing="0" w:after="0" w:afterAutospacing="0"/>
        <w:ind w:left="0" w:right="0"/>
        <w:jc w:val="both"/>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val="en-US" w:eastAsia="zh-CN" w:bidi="ar"/>
        </w:rPr>
        <w:t xml:space="preserve"> </w:t>
      </w:r>
    </w:p>
    <w:p w14:paraId="1F70260B">
      <w:pPr>
        <w:pStyle w:val="15"/>
        <w:keepNext/>
        <w:keepLines/>
        <w:widowControl w:val="0"/>
        <w:suppressLineNumbers w:val="0"/>
        <w:spacing w:before="0" w:beforeAutospacing="0" w:after="0" w:afterAutospacing="0" w:line="578" w:lineRule="exact"/>
        <w:ind w:left="0" w:right="0" w:firstLine="482" w:firstLineChars="200"/>
        <w:jc w:val="left"/>
        <w:outlineLvl w:val="4"/>
        <w:rPr>
          <w:rFonts w:hint="default" w:ascii="Arial" w:hAnsi="Arial" w:eastAsia="黑体" w:cs="Times New Roman"/>
          <w:b/>
          <w:bCs w:val="0"/>
          <w:kern w:val="2"/>
          <w:sz w:val="24"/>
          <w:szCs w:val="24"/>
        </w:rPr>
      </w:pPr>
      <w:r>
        <w:rPr>
          <w:rFonts w:hint="default" w:ascii="Arial" w:hAnsi="Arial" w:eastAsia="黑体" w:cs="Times New Roman"/>
          <w:b/>
          <w:bCs w:val="0"/>
          <w:kern w:val="2"/>
          <w:sz w:val="24"/>
          <w:szCs w:val="24"/>
          <w:lang w:val="en-US" w:eastAsia="zh-CN" w:bidi="ar"/>
        </w:rPr>
        <w:t xml:space="preserve"> </w:t>
      </w:r>
    </w:p>
    <w:p w14:paraId="67138ED0">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51A5F20A">
      <w:pPr>
        <w:rPr>
          <w:rFonts w:hint="eastAsia" w:ascii="黑体" w:hAnsi="黑体" w:eastAsia="黑体" w:cs="黑体"/>
          <w:color w:val="auto"/>
          <w:kern w:val="0"/>
          <w:sz w:val="32"/>
          <w:szCs w:val="32"/>
          <w:highlight w:val="none"/>
          <w:shd w:val="clear" w:color="auto" w:fill="FFFFFF"/>
          <w:lang w:val="zh-CN"/>
        </w:rPr>
      </w:pPr>
    </w:p>
    <w:p w14:paraId="4132E6F8">
      <w:pPr>
        <w:rPr>
          <w:rFonts w:hint="eastAsia" w:ascii="黑体" w:hAnsi="黑体" w:eastAsia="黑体" w:cs="黑体"/>
          <w:color w:val="auto"/>
          <w:kern w:val="0"/>
          <w:sz w:val="32"/>
          <w:szCs w:val="32"/>
          <w:highlight w:val="none"/>
          <w:shd w:val="clear" w:color="auto" w:fill="FFFFFF"/>
          <w:lang w:val="zh-CN"/>
        </w:rPr>
      </w:pPr>
    </w:p>
    <w:p w14:paraId="4100E24B">
      <w:pPr>
        <w:rPr>
          <w:rFonts w:hint="eastAsia" w:ascii="黑体" w:hAnsi="黑体" w:eastAsia="黑体" w:cs="黑体"/>
          <w:color w:val="auto"/>
          <w:kern w:val="0"/>
          <w:sz w:val="32"/>
          <w:szCs w:val="32"/>
          <w:highlight w:val="none"/>
          <w:shd w:val="clear" w:color="auto" w:fill="FFFFFF"/>
          <w:lang w:val="zh-CN"/>
        </w:rPr>
      </w:pPr>
    </w:p>
    <w:p w14:paraId="432CF289">
      <w:pPr>
        <w:rPr>
          <w:rFonts w:hint="eastAsia" w:ascii="黑体" w:hAnsi="黑体" w:eastAsia="黑体" w:cs="黑体"/>
          <w:color w:val="auto"/>
          <w:kern w:val="0"/>
          <w:sz w:val="32"/>
          <w:szCs w:val="32"/>
          <w:highlight w:val="none"/>
          <w:shd w:val="clear" w:color="auto" w:fill="FFFFFF"/>
          <w:lang w:val="zh-CN"/>
        </w:rPr>
      </w:pPr>
    </w:p>
    <w:p w14:paraId="17D9A767">
      <w:pPr>
        <w:rPr>
          <w:rFonts w:hint="eastAsia" w:ascii="黑体" w:hAnsi="黑体" w:eastAsia="黑体" w:cs="黑体"/>
          <w:color w:val="auto"/>
          <w:kern w:val="0"/>
          <w:sz w:val="32"/>
          <w:szCs w:val="32"/>
          <w:highlight w:val="none"/>
          <w:shd w:val="clear" w:color="auto" w:fill="FFFFFF"/>
          <w:lang w:val="zh-CN"/>
        </w:rPr>
      </w:pPr>
    </w:p>
    <w:p w14:paraId="214B609D">
      <w:pPr>
        <w:rPr>
          <w:rFonts w:hint="eastAsia" w:ascii="黑体" w:hAnsi="黑体" w:eastAsia="黑体" w:cs="黑体"/>
          <w:color w:val="auto"/>
          <w:kern w:val="0"/>
          <w:sz w:val="32"/>
          <w:szCs w:val="32"/>
          <w:highlight w:val="none"/>
          <w:shd w:val="clear" w:color="auto" w:fill="FFFFFF"/>
          <w:lang w:val="zh-CN"/>
        </w:rPr>
      </w:pPr>
    </w:p>
    <w:p w14:paraId="35E33669">
      <w:pPr>
        <w:rPr>
          <w:rFonts w:hint="eastAsia" w:ascii="黑体" w:hAnsi="黑体" w:eastAsia="黑体" w:cs="黑体"/>
          <w:color w:val="auto"/>
          <w:kern w:val="0"/>
          <w:sz w:val="32"/>
          <w:szCs w:val="32"/>
          <w:highlight w:val="none"/>
          <w:shd w:val="clear" w:color="auto" w:fill="FFFFFF"/>
          <w:lang w:val="zh-CN"/>
        </w:rPr>
      </w:pPr>
    </w:p>
    <w:p w14:paraId="236D68E7">
      <w:pPr>
        <w:rPr>
          <w:rFonts w:hint="eastAsia" w:ascii="黑体" w:hAnsi="黑体" w:eastAsia="黑体" w:cs="黑体"/>
          <w:color w:val="auto"/>
          <w:kern w:val="0"/>
          <w:sz w:val="32"/>
          <w:szCs w:val="32"/>
          <w:highlight w:val="none"/>
          <w:shd w:val="clear" w:color="auto" w:fill="FFFFFF"/>
          <w:lang w:val="zh-CN"/>
        </w:rPr>
      </w:pPr>
    </w:p>
    <w:p w14:paraId="4F4BF6BE">
      <w:pPr>
        <w:rPr>
          <w:rFonts w:hint="eastAsia" w:ascii="黑体" w:hAnsi="黑体" w:eastAsia="黑体" w:cs="黑体"/>
          <w:color w:val="auto"/>
          <w:kern w:val="0"/>
          <w:sz w:val="32"/>
          <w:szCs w:val="32"/>
          <w:highlight w:val="none"/>
          <w:shd w:val="clear" w:color="auto" w:fill="FFFFFF"/>
          <w:lang w:val="zh-CN"/>
        </w:rPr>
      </w:pPr>
    </w:p>
    <w:p w14:paraId="028D1D43">
      <w:pPr>
        <w:rPr>
          <w:rFonts w:hint="eastAsia" w:ascii="黑体" w:hAnsi="黑体" w:eastAsia="黑体" w:cs="黑体"/>
          <w:color w:val="auto"/>
          <w:kern w:val="0"/>
          <w:sz w:val="32"/>
          <w:szCs w:val="32"/>
          <w:highlight w:val="none"/>
          <w:shd w:val="clear" w:color="auto" w:fill="FFFFFF"/>
          <w:lang w:val="zh-CN"/>
        </w:rPr>
      </w:pPr>
    </w:p>
    <w:p w14:paraId="5E00CB76">
      <w:pPr>
        <w:rPr>
          <w:rFonts w:hint="eastAsia" w:ascii="黑体" w:hAnsi="黑体" w:eastAsia="黑体" w:cs="黑体"/>
          <w:color w:val="auto"/>
          <w:kern w:val="0"/>
          <w:sz w:val="32"/>
          <w:szCs w:val="32"/>
          <w:highlight w:val="none"/>
          <w:shd w:val="clear" w:color="auto" w:fill="FFFFFF"/>
          <w:lang w:val="zh-CN"/>
        </w:rPr>
      </w:pPr>
    </w:p>
    <w:p w14:paraId="5EA2FDDB">
      <w:pPr>
        <w:rPr>
          <w:rFonts w:hint="eastAsia" w:ascii="黑体" w:hAnsi="黑体" w:eastAsia="黑体" w:cs="黑体"/>
          <w:color w:val="auto"/>
          <w:kern w:val="0"/>
          <w:sz w:val="32"/>
          <w:szCs w:val="32"/>
          <w:highlight w:val="none"/>
          <w:shd w:val="clear" w:color="auto" w:fill="FFFFFF"/>
          <w:lang w:val="zh-CN"/>
        </w:rPr>
      </w:pPr>
    </w:p>
    <w:p w14:paraId="5DBE562B">
      <w:pPr>
        <w:rPr>
          <w:rFonts w:hint="eastAsia" w:ascii="黑体" w:hAnsi="黑体" w:eastAsia="黑体" w:cs="黑体"/>
          <w:color w:val="auto"/>
          <w:kern w:val="0"/>
          <w:sz w:val="32"/>
          <w:szCs w:val="32"/>
          <w:highlight w:val="none"/>
          <w:shd w:val="clear" w:color="auto" w:fill="FFFFFF"/>
          <w:lang w:val="zh-CN"/>
        </w:rPr>
      </w:pPr>
    </w:p>
    <w:p w14:paraId="2F1E9C55">
      <w:pPr>
        <w:rPr>
          <w:rFonts w:hint="eastAsia" w:ascii="黑体" w:hAnsi="黑体" w:eastAsia="黑体" w:cs="黑体"/>
          <w:color w:val="auto"/>
          <w:sz w:val="32"/>
          <w:szCs w:val="32"/>
          <w:highlight w:val="none"/>
          <w:lang w:val="en-US" w:eastAsia="zh-CN"/>
        </w:rPr>
      </w:pPr>
      <w:r>
        <w:rPr>
          <w:rFonts w:hint="eastAsia" w:ascii="黑体" w:hAnsi="黑体" w:eastAsia="黑体" w:cs="黑体"/>
          <w:color w:val="auto"/>
          <w:kern w:val="0"/>
          <w:sz w:val="32"/>
          <w:szCs w:val="32"/>
          <w:highlight w:val="none"/>
          <w:shd w:val="clear" w:color="auto" w:fill="FFFFFF"/>
          <w:lang w:val="zh-CN"/>
        </w:rPr>
        <w:t>附件</w:t>
      </w:r>
      <w:r>
        <w:rPr>
          <w:rFonts w:hint="eastAsia" w:ascii="黑体" w:hAnsi="黑体" w:eastAsia="黑体" w:cs="黑体"/>
          <w:color w:val="auto"/>
          <w:kern w:val="0"/>
          <w:sz w:val="32"/>
          <w:szCs w:val="32"/>
          <w:highlight w:val="none"/>
          <w:shd w:val="clear" w:color="auto" w:fill="FFFFFF"/>
          <w:lang w:val="en-US" w:eastAsia="zh-CN"/>
        </w:rPr>
        <w:t>2</w:t>
      </w:r>
    </w:p>
    <w:p w14:paraId="19716866">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default"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专项预算项目绩效自评表</w:t>
      </w:r>
    </w:p>
    <w:p w14:paraId="2B5E68DA">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14:paraId="18A709F1">
      <w:pPr>
        <w:pStyle w:val="35"/>
        <w:keepNext w:val="0"/>
        <w:keepLines w:val="0"/>
        <w:pageBreakBefore w:val="0"/>
        <w:widowControl w:val="0"/>
        <w:kinsoku/>
        <w:wordWrap/>
        <w:overflowPunct/>
        <w:topLinePunct w:val="0"/>
        <w:autoSpaceDE/>
        <w:autoSpaceDN/>
        <w:bidi w:val="0"/>
        <w:spacing w:line="578" w:lineRule="exact"/>
        <w:ind w:left="0" w:leftChars="0" w:firstLine="640" w:firstLineChars="200"/>
        <w:jc w:val="both"/>
        <w:textAlignment w:val="auto"/>
        <w:rPr>
          <w:rStyle w:val="29"/>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color w:val="auto"/>
          <w:kern w:val="2"/>
          <w:sz w:val="32"/>
          <w:szCs w:val="32"/>
          <w:highlight w:val="none"/>
          <w:lang w:val="en-US" w:eastAsia="zh-CN" w:bidi="ar-SA"/>
        </w:rPr>
        <w:t>专项预算项目绩效评价表，</w:t>
      </w:r>
      <w:r>
        <w:rPr>
          <w:rFonts w:hint="eastAsia" w:ascii="仿宋_GB2312" w:hAnsi="仿宋_GB2312" w:eastAsia="仿宋_GB2312" w:cs="仿宋_GB2312"/>
          <w:sz w:val="32"/>
          <w:szCs w:val="32"/>
          <w:highlight w:val="none"/>
          <w:lang w:eastAsia="zh-CN"/>
        </w:rPr>
        <w:t>见附件：特定目标类绩效自评表（中央及地方项目）。</w:t>
      </w:r>
    </w:p>
    <w:p w14:paraId="6BD930AB">
      <w:pPr>
        <w:rPr>
          <w:rFonts w:hint="eastAsia" w:ascii="黑体" w:hAnsi="黑体" w:eastAsia="黑体"/>
          <w:color w:val="auto"/>
          <w:sz w:val="44"/>
          <w:szCs w:val="44"/>
          <w:highlight w:val="none"/>
        </w:rPr>
      </w:pPr>
      <w:bookmarkStart w:id="53" w:name="_Toc15396618"/>
      <w:r>
        <w:rPr>
          <w:rFonts w:hint="eastAsia" w:ascii="黑体" w:hAnsi="黑体" w:eastAsia="黑体"/>
          <w:color w:val="auto"/>
          <w:sz w:val="44"/>
          <w:szCs w:val="44"/>
          <w:highlight w:val="none"/>
        </w:rPr>
        <w:br w:type="page"/>
      </w:r>
    </w:p>
    <w:p w14:paraId="4F1EFCA7">
      <w:pPr>
        <w:widowControl/>
        <w:jc w:val="center"/>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Style w:val="29"/>
          <w:rFonts w:hint="eastAsia" w:ascii="黑体" w:hAnsi="黑体" w:eastAsia="黑体"/>
          <w:b w:val="0"/>
          <w:color w:val="auto"/>
          <w:highlight w:val="none"/>
        </w:rPr>
        <w:t>五部分 附表</w:t>
      </w:r>
      <w:bookmarkEnd w:id="51"/>
      <w:bookmarkEnd w:id="53"/>
      <w:bookmarkStart w:id="54" w:name="_Toc15396619"/>
    </w:p>
    <w:p w14:paraId="529DFA12">
      <w:pPr>
        <w:pStyle w:val="3"/>
        <w:rPr>
          <w:rFonts w:ascii="仿宋" w:hAnsi="仿宋" w:eastAsia="仿宋"/>
          <w:color w:val="auto"/>
          <w:highlight w:val="none"/>
        </w:rPr>
      </w:pPr>
      <w:r>
        <w:rPr>
          <w:rFonts w:hint="eastAsia" w:ascii="仿宋" w:hAnsi="仿宋" w:eastAsia="仿宋"/>
          <w:b w:val="0"/>
          <w:color w:val="auto"/>
          <w:highlight w:val="none"/>
        </w:rPr>
        <w:t>一、收</w:t>
      </w:r>
      <w:r>
        <w:rPr>
          <w:rStyle w:val="30"/>
          <w:rFonts w:hint="eastAsia" w:ascii="仿宋" w:hAnsi="仿宋" w:eastAsia="仿宋"/>
          <w:b w:val="0"/>
          <w:bCs w:val="0"/>
          <w:color w:val="auto"/>
          <w:highlight w:val="none"/>
        </w:rPr>
        <w:t>入支出决算总表</w:t>
      </w:r>
      <w:bookmarkEnd w:id="54"/>
    </w:p>
    <w:p w14:paraId="1BC762CF">
      <w:pPr>
        <w:pStyle w:val="3"/>
        <w:rPr>
          <w:rFonts w:ascii="仿宋" w:hAnsi="仿宋" w:eastAsia="仿宋"/>
          <w:color w:val="auto"/>
          <w:highlight w:val="none"/>
        </w:rPr>
      </w:pPr>
      <w:bookmarkStart w:id="55" w:name="_Toc15396620"/>
      <w:r>
        <w:rPr>
          <w:rFonts w:hint="eastAsia" w:ascii="仿宋" w:hAnsi="仿宋" w:eastAsia="仿宋"/>
          <w:b w:val="0"/>
          <w:color w:val="auto"/>
          <w:highlight w:val="none"/>
        </w:rPr>
        <w:t>二、收</w:t>
      </w:r>
      <w:r>
        <w:rPr>
          <w:rStyle w:val="30"/>
          <w:rFonts w:hint="eastAsia" w:ascii="仿宋" w:hAnsi="仿宋" w:eastAsia="仿宋"/>
          <w:b w:val="0"/>
          <w:bCs w:val="0"/>
          <w:color w:val="auto"/>
          <w:highlight w:val="none"/>
        </w:rPr>
        <w:t>入决算表</w:t>
      </w:r>
      <w:bookmarkEnd w:id="55"/>
    </w:p>
    <w:p w14:paraId="2C6B4735">
      <w:pPr>
        <w:pStyle w:val="3"/>
        <w:rPr>
          <w:rFonts w:ascii="仿宋" w:hAnsi="仿宋" w:eastAsia="仿宋"/>
          <w:color w:val="auto"/>
          <w:highlight w:val="none"/>
        </w:rPr>
      </w:pPr>
      <w:bookmarkStart w:id="56" w:name="_Toc15396621"/>
      <w:r>
        <w:rPr>
          <w:rStyle w:val="30"/>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0"/>
          <w:rFonts w:hint="eastAsia" w:ascii="仿宋" w:hAnsi="仿宋" w:eastAsia="仿宋"/>
          <w:b w:val="0"/>
          <w:bCs w:val="0"/>
          <w:color w:val="auto"/>
          <w:highlight w:val="none"/>
        </w:rPr>
        <w:t>出决算表</w:t>
      </w:r>
      <w:bookmarkEnd w:id="56"/>
    </w:p>
    <w:p w14:paraId="1B31F3FD">
      <w:pPr>
        <w:pStyle w:val="3"/>
        <w:rPr>
          <w:rFonts w:ascii="仿宋" w:hAnsi="仿宋" w:eastAsia="仿宋"/>
          <w:b w:val="0"/>
          <w:color w:val="auto"/>
          <w:highlight w:val="none"/>
        </w:rPr>
      </w:pPr>
      <w:bookmarkStart w:id="57" w:name="_Toc15396622"/>
      <w:r>
        <w:rPr>
          <w:rStyle w:val="30"/>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0"/>
          <w:rFonts w:hint="eastAsia" w:ascii="仿宋" w:hAnsi="仿宋" w:eastAsia="仿宋"/>
          <w:b w:val="0"/>
          <w:bCs w:val="0"/>
          <w:color w:val="auto"/>
          <w:highlight w:val="none"/>
        </w:rPr>
        <w:t>政拨款收入支出决算总表</w:t>
      </w:r>
      <w:bookmarkEnd w:id="57"/>
    </w:p>
    <w:p w14:paraId="0671A240">
      <w:pPr>
        <w:pStyle w:val="3"/>
        <w:rPr>
          <w:rStyle w:val="30"/>
          <w:rFonts w:ascii="仿宋" w:hAnsi="仿宋" w:eastAsia="仿宋"/>
          <w:b w:val="0"/>
          <w:bCs w:val="0"/>
          <w:color w:val="auto"/>
          <w:highlight w:val="none"/>
        </w:rPr>
      </w:pPr>
      <w:bookmarkStart w:id="58" w:name="_Toc15396623"/>
      <w:r>
        <w:rPr>
          <w:rStyle w:val="30"/>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0"/>
          <w:rFonts w:hint="eastAsia" w:ascii="仿宋" w:hAnsi="仿宋" w:eastAsia="仿宋"/>
          <w:b w:val="0"/>
          <w:bCs w:val="0"/>
          <w:color w:val="auto"/>
          <w:highlight w:val="none"/>
        </w:rPr>
        <w:t>政拨款支出决算明细表</w:t>
      </w:r>
      <w:bookmarkEnd w:id="58"/>
      <w:bookmarkStart w:id="59" w:name="_Toc15396624"/>
    </w:p>
    <w:p w14:paraId="53BE8B0D">
      <w:pPr>
        <w:pStyle w:val="3"/>
        <w:rPr>
          <w:rFonts w:ascii="仿宋" w:hAnsi="仿宋" w:eastAsia="仿宋"/>
          <w:color w:val="auto"/>
          <w:highlight w:val="none"/>
        </w:rPr>
      </w:pPr>
      <w:r>
        <w:rPr>
          <w:rStyle w:val="30"/>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0"/>
          <w:rFonts w:hint="eastAsia" w:ascii="仿宋" w:hAnsi="仿宋" w:eastAsia="仿宋"/>
          <w:b w:val="0"/>
          <w:bCs w:val="0"/>
          <w:color w:val="auto"/>
          <w:highlight w:val="none"/>
        </w:rPr>
        <w:t>般公共预算财政拨款支出决算表</w:t>
      </w:r>
      <w:bookmarkEnd w:id="59"/>
    </w:p>
    <w:p w14:paraId="202C3E26">
      <w:pPr>
        <w:pStyle w:val="3"/>
        <w:rPr>
          <w:rFonts w:ascii="仿宋" w:hAnsi="仿宋" w:eastAsia="仿宋"/>
          <w:color w:val="auto"/>
          <w:highlight w:val="none"/>
        </w:rPr>
      </w:pPr>
      <w:bookmarkStart w:id="60" w:name="_Toc15396625"/>
      <w:r>
        <w:rPr>
          <w:rStyle w:val="30"/>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0"/>
          <w:rFonts w:hint="eastAsia" w:ascii="仿宋" w:hAnsi="仿宋" w:eastAsia="仿宋"/>
          <w:b w:val="0"/>
          <w:bCs w:val="0"/>
          <w:color w:val="auto"/>
          <w:highlight w:val="none"/>
        </w:rPr>
        <w:t>般公共预算财政拨款支出决算明细表</w:t>
      </w:r>
      <w:bookmarkEnd w:id="60"/>
    </w:p>
    <w:p w14:paraId="568A02FA">
      <w:pPr>
        <w:pStyle w:val="3"/>
        <w:rPr>
          <w:rFonts w:ascii="仿宋" w:hAnsi="仿宋" w:eastAsia="仿宋"/>
          <w:color w:val="auto"/>
          <w:highlight w:val="none"/>
        </w:rPr>
      </w:pPr>
      <w:bookmarkStart w:id="61" w:name="_Toc15396626"/>
      <w:r>
        <w:rPr>
          <w:rStyle w:val="30"/>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0"/>
          <w:rFonts w:hint="eastAsia" w:ascii="仿宋" w:hAnsi="仿宋" w:eastAsia="仿宋"/>
          <w:b w:val="0"/>
          <w:bCs w:val="0"/>
          <w:color w:val="auto"/>
          <w:highlight w:val="none"/>
        </w:rPr>
        <w:t>般公共预算财政拨款基本支出决算表</w:t>
      </w:r>
      <w:bookmarkEnd w:id="61"/>
    </w:p>
    <w:p w14:paraId="2A731159">
      <w:pPr>
        <w:pStyle w:val="3"/>
        <w:rPr>
          <w:rFonts w:ascii="仿宋" w:hAnsi="仿宋" w:eastAsia="仿宋"/>
          <w:color w:val="auto"/>
          <w:highlight w:val="none"/>
        </w:rPr>
      </w:pPr>
      <w:bookmarkStart w:id="62" w:name="_Toc15396627"/>
      <w:r>
        <w:rPr>
          <w:rStyle w:val="30"/>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0"/>
          <w:rFonts w:hint="eastAsia" w:ascii="仿宋" w:hAnsi="仿宋" w:eastAsia="仿宋"/>
          <w:b w:val="0"/>
          <w:bCs w:val="0"/>
          <w:color w:val="auto"/>
          <w:highlight w:val="none"/>
        </w:rPr>
        <w:t>般公共预算财政拨款项目支出决算表</w:t>
      </w:r>
      <w:bookmarkEnd w:id="62"/>
    </w:p>
    <w:p w14:paraId="53396E1F">
      <w:pPr>
        <w:pStyle w:val="3"/>
        <w:rPr>
          <w:rFonts w:ascii="仿宋" w:hAnsi="仿宋" w:eastAsia="仿宋"/>
          <w:color w:val="auto"/>
          <w:highlight w:val="none"/>
        </w:rPr>
      </w:pPr>
      <w:bookmarkStart w:id="63" w:name="_Toc15396628"/>
      <w:r>
        <w:rPr>
          <w:rStyle w:val="30"/>
          <w:rFonts w:hint="eastAsia" w:ascii="仿宋" w:hAnsi="仿宋" w:eastAsia="仿宋"/>
          <w:b w:val="0"/>
          <w:bCs w:val="0"/>
          <w:color w:val="auto"/>
          <w:highlight w:val="none"/>
        </w:rPr>
        <w:t>十、</w:t>
      </w:r>
      <w:bookmarkEnd w:id="63"/>
      <w:r>
        <w:rPr>
          <w:rFonts w:hint="eastAsia" w:ascii="仿宋" w:hAnsi="仿宋" w:eastAsia="仿宋"/>
          <w:b w:val="0"/>
          <w:color w:val="auto"/>
          <w:highlight w:val="none"/>
        </w:rPr>
        <w:t>政</w:t>
      </w:r>
      <w:r>
        <w:rPr>
          <w:rStyle w:val="30"/>
          <w:rFonts w:hint="eastAsia" w:ascii="仿宋" w:hAnsi="仿宋" w:eastAsia="仿宋"/>
          <w:b w:val="0"/>
          <w:bCs w:val="0"/>
          <w:color w:val="auto"/>
          <w:highlight w:val="none"/>
        </w:rPr>
        <w:t>府性基金预算财政拨款收入支出决算表</w:t>
      </w:r>
    </w:p>
    <w:p w14:paraId="54182DAC">
      <w:pPr>
        <w:pStyle w:val="3"/>
        <w:rPr>
          <w:rFonts w:ascii="仿宋" w:hAnsi="仿宋" w:eastAsia="仿宋"/>
          <w:color w:val="auto"/>
          <w:highlight w:val="none"/>
        </w:rPr>
      </w:pPr>
      <w:bookmarkStart w:id="64" w:name="_Toc15396629"/>
      <w:r>
        <w:rPr>
          <w:rStyle w:val="30"/>
          <w:rFonts w:hint="eastAsia" w:ascii="仿宋" w:hAnsi="仿宋" w:eastAsia="仿宋"/>
          <w:b w:val="0"/>
          <w:bCs w:val="0"/>
          <w:color w:val="auto"/>
          <w:highlight w:val="none"/>
        </w:rPr>
        <w:t>十一、</w:t>
      </w:r>
      <w:bookmarkEnd w:id="64"/>
      <w:r>
        <w:rPr>
          <w:rFonts w:hint="eastAsia" w:ascii="仿宋" w:hAnsi="仿宋" w:eastAsia="仿宋"/>
          <w:b w:val="0"/>
          <w:color w:val="auto"/>
          <w:highlight w:val="none"/>
        </w:rPr>
        <w:t>国</w:t>
      </w:r>
      <w:r>
        <w:rPr>
          <w:rStyle w:val="30"/>
          <w:rFonts w:hint="eastAsia" w:ascii="仿宋" w:hAnsi="仿宋" w:eastAsia="仿宋"/>
          <w:b w:val="0"/>
          <w:bCs w:val="0"/>
          <w:color w:val="auto"/>
          <w:highlight w:val="none"/>
        </w:rPr>
        <w:t>有资本经营预算</w:t>
      </w:r>
      <w:r>
        <w:rPr>
          <w:rStyle w:val="30"/>
          <w:rFonts w:hint="eastAsia" w:ascii="仿宋" w:hAnsi="仿宋" w:eastAsia="仿宋"/>
          <w:b w:val="0"/>
          <w:bCs w:val="0"/>
          <w:color w:val="auto"/>
          <w:highlight w:val="none"/>
          <w:lang w:eastAsia="zh-CN"/>
        </w:rPr>
        <w:t>财政拨款收入</w:t>
      </w:r>
      <w:r>
        <w:rPr>
          <w:rStyle w:val="30"/>
          <w:rFonts w:hint="eastAsia" w:ascii="仿宋" w:hAnsi="仿宋" w:eastAsia="仿宋"/>
          <w:b w:val="0"/>
          <w:bCs w:val="0"/>
          <w:color w:val="auto"/>
          <w:highlight w:val="none"/>
        </w:rPr>
        <w:t>支出决算表</w:t>
      </w:r>
    </w:p>
    <w:p w14:paraId="2EB799CE">
      <w:pPr>
        <w:pStyle w:val="3"/>
        <w:rPr>
          <w:rFonts w:ascii="仿宋" w:hAnsi="仿宋" w:eastAsia="仿宋"/>
          <w:color w:val="auto"/>
          <w:highlight w:val="none"/>
        </w:rPr>
      </w:pPr>
      <w:bookmarkStart w:id="65" w:name="_Toc15396630"/>
      <w:r>
        <w:rPr>
          <w:rStyle w:val="30"/>
          <w:rFonts w:hint="eastAsia" w:ascii="仿宋" w:hAnsi="仿宋" w:eastAsia="仿宋"/>
          <w:b w:val="0"/>
          <w:bCs w:val="0"/>
          <w:color w:val="auto"/>
          <w:highlight w:val="none"/>
        </w:rPr>
        <w:t>十二、</w:t>
      </w:r>
      <w:bookmarkEnd w:id="65"/>
      <w:r>
        <w:rPr>
          <w:rStyle w:val="30"/>
          <w:rFonts w:hint="eastAsia" w:ascii="仿宋" w:hAnsi="仿宋" w:eastAsia="仿宋"/>
          <w:b w:val="0"/>
          <w:bCs w:val="0"/>
          <w:color w:val="auto"/>
          <w:highlight w:val="none"/>
          <w:lang w:eastAsia="zh-CN"/>
        </w:rPr>
        <w:t>国有资本经营预算财政拨款支出决算表</w:t>
      </w:r>
    </w:p>
    <w:p w14:paraId="5D1AB5E5">
      <w:pPr>
        <w:pStyle w:val="3"/>
        <w:rPr>
          <w:rStyle w:val="30"/>
          <w:rFonts w:hint="eastAsia" w:ascii="仿宋" w:hAnsi="仿宋" w:eastAsia="仿宋"/>
          <w:b w:val="0"/>
          <w:bCs w:val="0"/>
          <w:color w:val="auto"/>
          <w:highlight w:val="none"/>
          <w:lang w:eastAsia="zh-CN"/>
        </w:rPr>
      </w:pPr>
      <w:bookmarkStart w:id="66" w:name="_Toc15396631"/>
      <w:r>
        <w:rPr>
          <w:rStyle w:val="30"/>
          <w:rFonts w:hint="eastAsia" w:ascii="仿宋" w:hAnsi="仿宋" w:eastAsia="仿宋"/>
          <w:b w:val="0"/>
          <w:bCs w:val="0"/>
          <w:color w:val="auto"/>
          <w:highlight w:val="none"/>
        </w:rPr>
        <w:t>十三、</w:t>
      </w:r>
      <w:bookmarkEnd w:id="66"/>
      <w:r>
        <w:rPr>
          <w:rStyle w:val="30"/>
          <w:rFonts w:hint="eastAsia" w:ascii="仿宋" w:hAnsi="仿宋" w:eastAsia="仿宋"/>
          <w:b w:val="0"/>
          <w:bCs w:val="0"/>
          <w:color w:val="auto"/>
          <w:highlight w:val="none"/>
          <w:lang w:eastAsia="zh-CN"/>
        </w:rPr>
        <w:t>财政拨款“三公”经费支出决算表</w:t>
      </w:r>
    </w:p>
    <w:p w14:paraId="14EADF05"/>
    <w:p w14:paraId="1677856C">
      <w:pPr>
        <w:rPr>
          <w:rFonts w:hint="eastAsia"/>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876FA0D-7D9E-4185-B50A-F61EC89ED320}"/>
  </w:font>
  <w:font w:name="黑体">
    <w:panose1 w:val="02010600030101010101"/>
    <w:charset w:val="86"/>
    <w:family w:val="auto"/>
    <w:pitch w:val="default"/>
    <w:sig w:usb0="800002BF" w:usb1="38CF7CFA" w:usb2="00000016" w:usb3="00000000" w:csb0="00040001" w:csb1="00000000"/>
    <w:embedRegular r:id="rId2" w:fontKey="{637D2762-7F36-4821-8693-66CB82C94D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3" w:fontKey="{83486D4B-71E3-4446-95E2-3A33ECEE18EA}"/>
  </w:font>
  <w:font w:name="仿宋_GB2312">
    <w:panose1 w:val="02010609030101010101"/>
    <w:charset w:val="86"/>
    <w:family w:val="modern"/>
    <w:pitch w:val="default"/>
    <w:sig w:usb0="00000001" w:usb1="080E0000" w:usb2="00000000" w:usb3="00000000" w:csb0="00040000" w:csb1="00000000"/>
    <w:embedRegular r:id="rId4" w:fontKey="{E6CDE2C7-222A-4966-BE15-82F08A3324BA}"/>
  </w:font>
  <w:font w:name="仿宋">
    <w:panose1 w:val="02010609060101010101"/>
    <w:charset w:val="86"/>
    <w:family w:val="modern"/>
    <w:pitch w:val="default"/>
    <w:sig w:usb0="800002BF" w:usb1="38CF7CFA" w:usb2="00000016" w:usb3="00000000" w:csb0="00040001" w:csb1="00000000"/>
    <w:embedRegular r:id="rId5" w:fontKey="{4AF35759-7004-4EC0-BB76-BD3A0ABEE7EA}"/>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embedRegular r:id="rId6" w:fontKey="{182E7725-CA66-4405-86F4-BF526F4520FD}"/>
  </w:font>
  <w:font w:name="楷体_GB2312">
    <w:panose1 w:val="02010609030101010101"/>
    <w:charset w:val="86"/>
    <w:family w:val="auto"/>
    <w:pitch w:val="default"/>
    <w:sig w:usb0="00000001" w:usb1="080E0000" w:usb2="00000000" w:usb3="00000000" w:csb0="00040000" w:csb1="00000000"/>
    <w:embedRegular r:id="rId7" w:fontKey="{1EAE3082-0ECC-4A08-8B9D-8512DDBF5605}"/>
  </w:font>
  <w:font w:name="Times New Roman Regular">
    <w:altName w:val="Times New Roman"/>
    <w:panose1 w:val="00000000000000000000"/>
    <w:charset w:val="00"/>
    <w:family w:val="auto"/>
    <w:pitch w:val="default"/>
    <w:sig w:usb0="00000000" w:usb1="00000000" w:usb2="00000001" w:usb3="00000000" w:csb0="400001BF" w:csb1="DFF70000"/>
    <w:embedRegular r:id="rId8" w:fontKey="{BEB1E53E-E2EC-425B-BE4E-92DB791111C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7FEF3">
    <w:pPr>
      <w:pStyle w:val="10"/>
      <w:jc w:val="center"/>
    </w:pPr>
  </w:p>
  <w:p w14:paraId="66082FB3">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DAD3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7939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D79391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E4BD6">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9EC5CA">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E9EC5CA">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5B9DF4CB">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7E14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E0FB23"/>
    <w:multiLevelType w:val="multilevel"/>
    <w:tmpl w:val="B7E0FB23"/>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D125E0F5"/>
    <w:multiLevelType w:val="multilevel"/>
    <w:tmpl w:val="D125E0F5"/>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E2FA047D"/>
    <w:multiLevelType w:val="singleLevel"/>
    <w:tmpl w:val="E2FA047D"/>
    <w:lvl w:ilvl="0" w:tentative="0">
      <w:start w:val="3"/>
      <w:numFmt w:val="chineseCounting"/>
      <w:suff w:val="space"/>
      <w:lvlText w:val="第%1部分"/>
      <w:lvlJc w:val="left"/>
      <w:rPr>
        <w:rFonts w:hint="eastAsia"/>
      </w:rPr>
    </w:lvl>
  </w:abstractNum>
  <w:abstractNum w:abstractNumId="4">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364B9"/>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867093"/>
    <w:rsid w:val="02FEBE30"/>
    <w:rsid w:val="061E35DE"/>
    <w:rsid w:val="066E0107"/>
    <w:rsid w:val="07996F6E"/>
    <w:rsid w:val="07DFD8BA"/>
    <w:rsid w:val="08DB07E4"/>
    <w:rsid w:val="09855B7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62156A"/>
    <w:rsid w:val="1FF35744"/>
    <w:rsid w:val="1FF6BC77"/>
    <w:rsid w:val="2008668B"/>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575815"/>
    <w:rsid w:val="35BA6CAF"/>
    <w:rsid w:val="364D14C1"/>
    <w:rsid w:val="36AA5135"/>
    <w:rsid w:val="36BE0DA7"/>
    <w:rsid w:val="376B6AA6"/>
    <w:rsid w:val="376D39B2"/>
    <w:rsid w:val="37E16F03"/>
    <w:rsid w:val="37F53A3B"/>
    <w:rsid w:val="389B6C89"/>
    <w:rsid w:val="38D469F0"/>
    <w:rsid w:val="39627CCD"/>
    <w:rsid w:val="397BAF1F"/>
    <w:rsid w:val="3A6F6FBC"/>
    <w:rsid w:val="3AB79AF3"/>
    <w:rsid w:val="3B057E58"/>
    <w:rsid w:val="3B7EF35A"/>
    <w:rsid w:val="3B9FDB6C"/>
    <w:rsid w:val="3BF5BC2F"/>
    <w:rsid w:val="3CEBA265"/>
    <w:rsid w:val="3D98207C"/>
    <w:rsid w:val="3D9B0D99"/>
    <w:rsid w:val="3DEE7CF3"/>
    <w:rsid w:val="3DF02244"/>
    <w:rsid w:val="3E78745D"/>
    <w:rsid w:val="3FF4CAE0"/>
    <w:rsid w:val="3FF7B227"/>
    <w:rsid w:val="40802F5B"/>
    <w:rsid w:val="40E54C45"/>
    <w:rsid w:val="41D629DA"/>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6029D5"/>
    <w:rsid w:val="698D0931"/>
    <w:rsid w:val="6A993CED"/>
    <w:rsid w:val="6B053271"/>
    <w:rsid w:val="6BCE6674"/>
    <w:rsid w:val="6BD5244D"/>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7725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semiHidden/>
    <w:unhideWhenUsed/>
    <w:qFormat/>
    <w:uiPriority w:val="99"/>
    <w:rPr>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WPSOffice手动目录 1"/>
    <w:qFormat/>
    <w:uiPriority w:val="0"/>
    <w:pPr>
      <w:ind w:leftChars="0"/>
    </w:pPr>
    <w:rPr>
      <w:rFonts w:ascii="Calibri" w:hAnsi="Calibri" w:eastAsia="宋体" w:cs="Times New Roman"/>
      <w:sz w:val="20"/>
      <w:szCs w:val="20"/>
    </w:rPr>
  </w:style>
  <w:style w:type="paragraph" w:customStyle="1" w:styleId="37">
    <w:name w:val="WPSOffice手动目录 2"/>
    <w:qFormat/>
    <w:uiPriority w:val="0"/>
    <w:pPr>
      <w:ind w:leftChars="200"/>
    </w:pPr>
    <w:rPr>
      <w:rFonts w:ascii="Calibri" w:hAnsi="Calibri" w:eastAsia="宋体" w:cs="Times New Roman"/>
      <w:sz w:val="20"/>
      <w:szCs w:val="20"/>
    </w:rPr>
  </w:style>
  <w:style w:type="paragraph" w:customStyle="1" w:styleId="38">
    <w:name w:val="图表目录1"/>
    <w:basedOn w:val="1"/>
    <w:next w:val="1"/>
    <w:qFormat/>
    <w:uiPriority w:val="99"/>
    <w:pPr>
      <w:ind w:left="200" w:leftChars="200" w:hanging="200" w:hangingChars="200"/>
    </w:p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29579;&#38634;&#33721;\2025\&#29579;&#38634;&#33721;\&#20915;&#31639;\&#20316;&#2227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E:\&#29579;&#38634;&#33721;\2025\&#29579;&#38634;&#33721;\&#20915;&#31639;\&#20316;&#2227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E:\&#29579;&#38634;&#33721;\2025\&#29579;&#38634;&#33721;\&#20915;&#31639;\&#20316;&#2227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E:\&#29579;&#38634;&#33721;\2025\&#29579;&#38634;&#33721;\&#20915;&#31639;\&#20316;&#2227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E:\&#29579;&#38634;&#33721;\2025\&#29579;&#38634;&#33721;\&#20915;&#31639;\&#20316;&#2227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E:\&#29579;&#38634;&#33721;\2025\&#29579;&#38634;&#33721;\&#20915;&#31639;\&#20316;&#2227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E:\&#29579;&#38634;&#33721;\2025\&#29579;&#38634;&#33721;\&#20915;&#31639;\&#20316;&#2227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rgbClr val="404040">
                    <a:lumMod val="75000"/>
                    <a:lumOff val="25000"/>
                  </a:srgbClr>
                </a:solidFill>
                <a:latin typeface="+mn-lt"/>
                <a:ea typeface="+mn-ea"/>
                <a:cs typeface="+mn-cs"/>
              </a:defRPr>
            </a:pPr>
            <a:r>
              <a:t>收、支决算总计变动情况图</a:t>
            </a:r>
          </a:p>
        </c:rich>
      </c:tx>
      <c:layout/>
      <c:overlay val="0"/>
      <c:spPr>
        <a:noFill/>
        <a:ln>
          <a:noFill/>
        </a:ln>
        <a:effectLst/>
      </c:spPr>
    </c:title>
    <c:autoTitleDeleted val="0"/>
    <c:plotArea>
      <c:layout/>
      <c:barChart>
        <c:barDir val="col"/>
        <c:grouping val="clustered"/>
        <c:varyColors val="0"/>
        <c:ser>
          <c:idx val="0"/>
          <c:order val="0"/>
          <c:tx>
            <c:strRef>
              <c:f>Sheet1!$B$3</c:f>
              <c:strCache>
                <c:ptCount val="1"/>
                <c:pt idx="0">
                  <c:v>2024年</c:v>
                </c:pt>
              </c:strCache>
            </c:strRef>
          </c:tx>
          <c:spPr>
            <a:solidFill>
              <a:srgbClr val="4F81BD">
                <a:alpha val="85000"/>
              </a:srgbClr>
            </a:solidFill>
            <a:ln w="9525" cap="flat" cmpd="sng" algn="ctr">
              <a:solidFill>
                <a:srgbClr val="FFFFFF">
                  <a:alpha val="50000"/>
                </a:srgb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rgbClr val="FFFFFF"/>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rgbClr val="808080">
                          <a:lumMod val="50000"/>
                          <a:lumOff val="50000"/>
                        </a:srgbClr>
                      </a:solidFill>
                    </a:ln>
                    <a:effectLst/>
                  </c:spPr>
                </c15:leaderLines>
              </c:ext>
            </c:extLst>
          </c:dLbls>
          <c:cat>
            <c:strRef>
              <c:f>Sheet1!$C$2:$D$2</c:f>
              <c:strCache>
                <c:ptCount val="2"/>
                <c:pt idx="0">
                  <c:v>收入</c:v>
                </c:pt>
                <c:pt idx="1">
                  <c:v>支出</c:v>
                </c:pt>
              </c:strCache>
            </c:strRef>
          </c:cat>
          <c:val>
            <c:numRef>
              <c:f>Sheet1!$C$3:$D$3</c:f>
              <c:numCache>
                <c:formatCode>0.00_ </c:formatCode>
                <c:ptCount val="2"/>
                <c:pt idx="0">
                  <c:v>39529.36</c:v>
                </c:pt>
                <c:pt idx="1">
                  <c:v>39529.36</c:v>
                </c:pt>
              </c:numCache>
            </c:numRef>
          </c:val>
        </c:ser>
        <c:ser>
          <c:idx val="1"/>
          <c:order val="1"/>
          <c:tx>
            <c:strRef>
              <c:f>Sheet1!$B$4</c:f>
              <c:strCache>
                <c:ptCount val="1"/>
                <c:pt idx="0">
                  <c:v>2025年</c:v>
                </c:pt>
              </c:strCache>
            </c:strRef>
          </c:tx>
          <c:spPr>
            <a:solidFill>
              <a:srgbClr val="C0504D">
                <a:alpha val="85000"/>
              </a:srgbClr>
            </a:solidFill>
            <a:ln w="9525" cap="flat" cmpd="sng" algn="ctr">
              <a:solidFill>
                <a:srgbClr val="FFFFFF">
                  <a:alpha val="50000"/>
                </a:srgb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rgbClr val="FFFFFF"/>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rgbClr val="808080">
                          <a:lumMod val="50000"/>
                          <a:lumOff val="50000"/>
                        </a:srgbClr>
                      </a:solidFill>
                    </a:ln>
                    <a:effectLst/>
                  </c:spPr>
                </c15:leaderLines>
              </c:ext>
            </c:extLst>
          </c:dLbls>
          <c:cat>
            <c:strRef>
              <c:f>Sheet1!$C$2:$D$2</c:f>
              <c:strCache>
                <c:ptCount val="2"/>
                <c:pt idx="0">
                  <c:v>收入</c:v>
                </c:pt>
                <c:pt idx="1">
                  <c:v>支出</c:v>
                </c:pt>
              </c:strCache>
            </c:strRef>
          </c:cat>
          <c:val>
            <c:numRef>
              <c:f>Sheet1!$C$4:$D$4</c:f>
              <c:numCache>
                <c:formatCode>General</c:formatCode>
                <c:ptCount val="2"/>
                <c:pt idx="0">
                  <c:v>51372.52</c:v>
                </c:pt>
                <c:pt idx="1">
                  <c:v>51372.52</c:v>
                </c:pt>
              </c:numCache>
            </c:numRef>
          </c:val>
        </c:ser>
        <c:dLbls>
          <c:showLegendKey val="0"/>
          <c:showVal val="1"/>
          <c:showCatName val="0"/>
          <c:showSerName val="0"/>
          <c:showPercent val="0"/>
          <c:showBubbleSize val="0"/>
        </c:dLbls>
        <c:gapWidth val="65"/>
        <c:overlap val="0"/>
        <c:axId val="130644897"/>
        <c:axId val="265342395"/>
      </c:barChart>
      <c:catAx>
        <c:axId val="130644897"/>
        <c:scaling>
          <c:orientation val="minMax"/>
        </c:scaling>
        <c:delete val="0"/>
        <c:axPos val="b"/>
        <c:majorTickMark val="none"/>
        <c:minorTickMark val="none"/>
        <c:tickLblPos val="nextTo"/>
        <c:spPr>
          <a:noFill/>
          <a:ln w="19050" cap="flat" cmpd="sng" algn="ctr">
            <a:solidFill>
              <a:srgbClr val="404040">
                <a:lumMod val="75000"/>
                <a:lumOff val="25000"/>
              </a:srgbClr>
            </a:solidFill>
            <a:round/>
          </a:ln>
          <a:effectLst/>
        </c:spPr>
        <c:txPr>
          <a:bodyPr rot="-60000000" spcFirstLastPara="0" vertOverflow="ellipsis" vert="horz" wrap="square" anchor="ctr" anchorCtr="1"/>
          <a:lstStyle/>
          <a:p>
            <a:pPr>
              <a:defRPr lang="zh-CN" sz="900" b="0" i="0" u="none" strike="noStrike" kern="1200" cap="all" baseline="0">
                <a:solidFill>
                  <a:srgbClr val="404040">
                    <a:lumMod val="75000"/>
                    <a:lumOff val="25000"/>
                  </a:srgbClr>
                </a:solidFill>
                <a:latin typeface="+mn-lt"/>
                <a:ea typeface="+mn-ea"/>
                <a:cs typeface="+mn-cs"/>
              </a:defRPr>
            </a:pPr>
          </a:p>
        </c:txPr>
        <c:crossAx val="265342395"/>
        <c:crosses val="autoZero"/>
        <c:auto val="1"/>
        <c:lblAlgn val="ctr"/>
        <c:lblOffset val="100"/>
        <c:noMultiLvlLbl val="0"/>
      </c:catAx>
      <c:valAx>
        <c:axId val="265342395"/>
        <c:scaling>
          <c:orientation val="minMax"/>
        </c:scaling>
        <c:delete val="1"/>
        <c:axPos val="l"/>
        <c:majorGridlines>
          <c:spPr>
            <a:ln w="9525" cap="flat" cmpd="sng" algn="ctr">
              <a:gradFill>
                <a:gsLst>
                  <a:gs pos="100000">
                    <a:srgbClr val="0D0D0D">
                      <a:lumMod val="95000"/>
                      <a:lumOff val="5000"/>
                      <a:alpha val="42000"/>
                    </a:srgbClr>
                  </a:gs>
                  <a:gs pos="0">
                    <a:srgbClr val="BFBFBF">
                      <a:lumMod val="75000"/>
                      <a:alpha val="36000"/>
                    </a:srgbClr>
                  </a:gs>
                </a:gsLst>
                <a:lin ang="5400000" scaled="0"/>
              </a:gradFill>
              <a:round/>
            </a:ln>
            <a:effectLst/>
          </c:spPr>
        </c:majorGridlines>
        <c:numFmt formatCode="0.00_ "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rgbClr val="404040">
                    <a:lumMod val="75000"/>
                    <a:lumOff val="25000"/>
                  </a:srgbClr>
                </a:solidFill>
                <a:latin typeface="+mn-lt"/>
                <a:ea typeface="+mn-ea"/>
                <a:cs typeface="+mn-cs"/>
              </a:defRPr>
            </a:pPr>
          </a:p>
        </c:txPr>
        <c:crossAx val="130644897"/>
        <c:crosses val="autoZero"/>
        <c:crossBetween val="between"/>
      </c:valAx>
      <c:spPr>
        <a:noFill/>
        <a:ln>
          <a:noFill/>
        </a:ln>
        <a:effectLst/>
      </c:spPr>
    </c:plotArea>
    <c:legend>
      <c:legendPos val="b"/>
      <c:layout/>
      <c:overlay val="0"/>
      <c:spPr>
        <a:solidFill>
          <a:srgbClr val="F2F2F2">
            <a:lumMod val="95000"/>
            <a:alpha val="39000"/>
          </a:srgbClr>
        </a:solidFill>
        <a:ln>
          <a:noFill/>
        </a:ln>
        <a:effectLst/>
      </c:spPr>
      <c:txPr>
        <a:bodyPr rot="0" spcFirstLastPara="0" vertOverflow="ellipsis" vert="horz" wrap="square" anchor="ctr" anchorCtr="1"/>
        <a:lstStyle/>
        <a:p>
          <a:pPr>
            <a:defRPr lang="zh-CN" sz="900" b="0" i="0" u="none" strike="noStrike" kern="1200" baseline="0">
              <a:solidFill>
                <a:srgbClr val="404040">
                  <a:lumMod val="75000"/>
                  <a:lumOff val="25000"/>
                </a:srgbClr>
              </a:solidFill>
              <a:latin typeface="+mn-lt"/>
              <a:ea typeface="+mn-ea"/>
              <a:cs typeface="+mn-cs"/>
            </a:defRPr>
          </a:pPr>
        </a:p>
      </c:txPr>
    </c:legend>
    <c:plotVisOnly val="1"/>
    <c:dispBlanksAs val="gap"/>
    <c:showDLblsOverMax val="0"/>
    <c:extLst>
      <c:ext uri="{0b15fc19-7d7d-44ad-8c2d-2c3a37ce22c3}">
        <chartProps xmlns="https://web.wps.cn/et/2018/main" chartId="{23564e5e-1c2e-4e2b-84f9-63756c4ec5b4}"/>
      </c:ext>
    </c:extLst>
  </c:chart>
  <c: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rgbClr val="404040">
                  <a:lumMod val="75000"/>
                  <a:lumOff val="25000"/>
                </a:srgb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Sheet1!$A$25</c:f>
              <c:strCache>
                <c:ptCount val="1"/>
                <c:pt idx="0">
                  <c:v>收入决算结构图</c:v>
                </c:pt>
              </c:strCache>
            </c:strRef>
          </c:tx>
          <c:spPr>
            <a:scene3d>
              <a:camera prst="orthographicFront"/>
              <a:lightRig rig="threePt" dir="t"/>
            </a:scene3d>
            <a:sp3d contourW="9525"/>
          </c:spPr>
          <c:explosion val="0"/>
          <c:dPt>
            <c:idx val="0"/>
            <c:bubble3D val="0"/>
            <c:spPr>
              <a:solidFill>
                <a:srgbClr val="4F81BD"/>
              </a:solidFill>
              <a:ln>
                <a:noFill/>
              </a:ln>
              <a:effectLst>
                <a:outerShdw blurRad="254000" sx="102000" sy="102000" algn="ctr" rotWithShape="0">
                  <a:prstClr val="black">
                    <a:alpha val="20000"/>
                  </a:prstClr>
                </a:outerShdw>
              </a:effectLst>
            </c:spPr>
          </c:dPt>
          <c:dPt>
            <c:idx val="1"/>
            <c:bubble3D val="0"/>
            <c:spPr>
              <a:solidFill>
                <a:srgbClr val="C0504D"/>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2"/>
            <c:bubble3D val="0"/>
            <c:spPr>
              <a:solidFill>
                <a:srgbClr val="9BBB59"/>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3"/>
            <c:bubble3D val="0"/>
            <c:spPr>
              <a:solidFill>
                <a:srgbClr val="8064A2"/>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4"/>
            <c:bubble3D val="0"/>
            <c:spPr>
              <a:solidFill>
                <a:srgbClr val="4BACC6"/>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5"/>
            <c:bubble3D val="0"/>
            <c:spPr>
              <a:solidFill>
                <a:srgbClr val="F79646"/>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6"/>
            <c:bubble3D val="0"/>
            <c:spPr>
              <a:solidFill>
                <a:srgbClr val="2C4D75">
                  <a:lumMod val="60000"/>
                </a:srgbClr>
              </a:solidFill>
              <a:ln>
                <a:noFill/>
              </a:ln>
              <a:effectLst>
                <a:outerShdw blurRad="254000" sx="102000" sy="102000" algn="ctr" rotWithShape="0">
                  <a:prstClr val="black">
                    <a:alpha val="20000"/>
                  </a:prstClr>
                </a:outerShdw>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1000" b="1" i="0" u="none" strike="noStrike" kern="1200" baseline="0">
                        <a:solidFill>
                          <a:srgbClr val="FFFFFF"/>
                        </a:solidFill>
                        <a:latin typeface="+mn-lt"/>
                        <a:ea typeface="+mn-ea"/>
                        <a:cs typeface="+mn-cs"/>
                      </a:defRPr>
                    </a:pPr>
                    <a:r>
                      <a:rPr lang="en-US" altLang="zh-CN"/>
                      <a:t>100</a:t>
                    </a:r>
                    <a:r>
                      <a:t>%</a:t>
                    </a:r>
                  </a:p>
                </c:rich>
              </c:tx>
              <c:dLblPos val="ctr"/>
              <c:showLegendKey val="0"/>
              <c:showVal val="1"/>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1" i="0" u="none" strike="noStrike" kern="1200" baseline="0">
                        <a:solidFill>
                          <a:srgbClr val="FFFFFF"/>
                        </a:solidFill>
                        <a:latin typeface="+mn-lt"/>
                        <a:ea typeface="+mn-ea"/>
                        <a:cs typeface="+mn-cs"/>
                      </a:defRPr>
                    </a:pPr>
                    <a:r>
                      <a:rPr lang="en-US" altLang="zh-CN"/>
                      <a:t>6.97</a:t>
                    </a:r>
                    <a:r>
                      <a:t>%</a:t>
                    </a:r>
                  </a:p>
                </c:rich>
              </c:tx>
              <c:dLblPos val="ctr"/>
              <c:showLegendKey val="0"/>
              <c:showVal val="1"/>
              <c:showCatName val="0"/>
              <c:showSerName val="0"/>
              <c:showPercent val="1"/>
              <c:showBubbleSize val="0"/>
              <c:extLst>
                <c:ext xmlns:c15="http://schemas.microsoft.com/office/drawing/2012/chart" uri="{CE6537A1-D6FC-4f65-9D91-7224C49458BB}"/>
              </c:extLst>
            </c:dLbl>
            <c:dLbl>
              <c:idx val="2"/>
              <c:layout>
                <c:manualLayout>
                  <c:x val="0.0411426962891657"/>
                  <c:y val="0.0581052086731523"/>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rgbClr val="FFFFFF"/>
                        </a:solidFill>
                        <a:latin typeface="+mn-lt"/>
                        <a:ea typeface="+mn-ea"/>
                        <a:cs typeface="+mn-cs"/>
                      </a:defRPr>
                    </a:pPr>
                    <a:r>
                      <a:t> 0</a:t>
                    </a:r>
                    <a:r>
                      <a:rPr lang="en-US" altLang="zh-CN"/>
                      <a:t>.06</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5"/>
              <c:layout/>
              <c:dLblPos val="ctr"/>
              <c:showLegendKey val="0"/>
              <c:showVal val="0"/>
              <c:showCatName val="0"/>
              <c:showSerName val="0"/>
              <c:showPercent val="1"/>
              <c:showBubbleSize val="0"/>
              <c:extLst>
                <c:ext xmlns:c15="http://schemas.microsoft.com/office/drawing/2012/chart" uri="{CE6537A1-D6FC-4f65-9D91-7224C49458BB}"/>
              </c:extLst>
            </c:dLbl>
            <c:dLbl>
              <c:idx val="6"/>
              <c:layout/>
              <c:dLblPos val="ctr"/>
              <c:showLegendKey val="0"/>
              <c:showVal val="0"/>
              <c:showCatName val="0"/>
              <c:showSerName val="0"/>
              <c:showPercent val="1"/>
              <c:showBubbleSize val="0"/>
              <c:extLst>
                <c:ext xmlns:c15="http://schemas.microsoft.com/office/drawing/2012/chart" uri="{CE6537A1-D6FC-4f65-9D91-7224C49458BB}"/>
              </c:extLst>
            </c:dLbl>
            <c:spPr>
              <a:pattFill prst="pct75">
                <a:fgClr>
                  <a:srgbClr val="404040">
                    <a:lumMod val="75000"/>
                    <a:lumOff val="25000"/>
                  </a:srgbClr>
                </a:fgClr>
                <a:bgClr>
                  <a:srgbClr val="595959">
                    <a:lumMod val="65000"/>
                    <a:lumOff val="35000"/>
                  </a:srgb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rgbClr val="FFFFFF"/>
                    </a:solidFill>
                    <a:latin typeface="+mn-lt"/>
                    <a:ea typeface="+mn-ea"/>
                    <a:cs typeface="+mn-cs"/>
                  </a:defRPr>
                </a:pPr>
              </a:p>
            </c:txPr>
            <c:dLblPos val="ctr"/>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a:solidFill>
                        <a:srgbClr val="808080">
                          <a:lumMod val="50000"/>
                          <a:lumOff val="50000"/>
                        </a:srgbClr>
                      </a:solidFill>
                    </a:ln>
                    <a:effectLst/>
                  </c:spPr>
                </c15:leaderLines>
              </c:ext>
            </c:extLst>
          </c:dLbls>
          <c:cat>
            <c:strRef>
              <c:f>Sheet1!$B$24:$H$24</c:f>
              <c:strCache>
                <c:ptCount val="7"/>
                <c:pt idx="0">
                  <c:v>一般公共预算财政拨款收入</c:v>
                </c:pt>
              </c:strCache>
            </c:strRef>
          </c:cat>
          <c:val>
            <c:numRef>
              <c:f>Sheet1!$B$25:$H$25</c:f>
              <c:numCache>
                <c:formatCode>General</c:formatCode>
                <c:ptCount val="7"/>
                <c:pt idx="0">
                  <c:v>51372.52</c:v>
                </c:pt>
              </c:numCache>
            </c:numRef>
          </c:val>
        </c:ser>
        <c:dLbls>
          <c:showLegendKey val="0"/>
          <c:showVal val="1"/>
          <c:showCatName val="0"/>
          <c:showSerName val="0"/>
          <c:showPercent val="0"/>
          <c:showBubbleSize val="0"/>
        </c:dLbls>
      </c:pie3DChart>
      <c:spPr>
        <a:noFill/>
        <a:ln>
          <a:noFill/>
        </a:ln>
        <a:effectLst/>
      </c:spPr>
    </c:plotArea>
    <c:legend>
      <c:legendPos val="r"/>
      <c:legendEntry>
        <c:idx val="3"/>
        <c:delete val="1"/>
      </c:legendEntry>
      <c:legendEntry>
        <c:idx val="4"/>
        <c:delete val="1"/>
      </c:legendEntry>
      <c:legendEntry>
        <c:idx val="5"/>
        <c:delete val="1"/>
      </c:legendEntry>
      <c:legendEntry>
        <c:idx val="6"/>
        <c:delete val="1"/>
      </c:legendEntry>
      <c:layout>
        <c:manualLayout>
          <c:xMode val="edge"/>
          <c:yMode val="edge"/>
          <c:x val="0.638447319778189"/>
          <c:y val="0.451108475964326"/>
        </c:manualLayout>
      </c:layout>
      <c:overlay val="0"/>
      <c:spPr>
        <a:solidFill>
          <a:srgbClr val="F2F2F2">
            <a:lumMod val="95000"/>
            <a:alpha val="39000"/>
          </a:srgbClr>
        </a:solidFill>
        <a:ln>
          <a:noFill/>
        </a:ln>
        <a:effectLst/>
      </c:spPr>
      <c:txPr>
        <a:bodyPr rot="0" spcFirstLastPara="0" vertOverflow="ellipsis" vert="horz" wrap="square" anchor="ctr" anchorCtr="1"/>
        <a:lstStyle/>
        <a:p>
          <a:pPr>
            <a:defRPr lang="zh-CN" sz="900" b="0" i="0" u="none" strike="noStrike" kern="1200" baseline="0">
              <a:solidFill>
                <a:srgbClr val="404040">
                  <a:lumMod val="75000"/>
                  <a:lumOff val="25000"/>
                </a:srgbClr>
              </a:solidFill>
              <a:latin typeface="+mn-lt"/>
              <a:ea typeface="+mn-ea"/>
              <a:cs typeface="+mn-cs"/>
            </a:defRPr>
          </a:pPr>
        </a:p>
      </c:txPr>
    </c:legend>
    <c:plotVisOnly val="1"/>
    <c:dispBlanksAs val="gap"/>
    <c:showDLblsOverMax val="0"/>
    <c:extLst>
      <c:ext uri="{0b15fc19-7d7d-44ad-8c2d-2c3a37ce22c3}">
        <chartProps xmlns="https://web.wps.cn/et/2018/main" chartId="{74b90ce3-06e2-4a97-90dd-8e11e9f53c74}"/>
      </c:ext>
    </c:extLst>
  </c:chart>
  <c: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rgbClr val="404040">
                    <a:lumMod val="75000"/>
                    <a:lumOff val="25000"/>
                  </a:srgbClr>
                </a:solidFill>
                <a:latin typeface="+mn-lt"/>
                <a:ea typeface="+mn-ea"/>
                <a:cs typeface="+mn-cs"/>
              </a:defRPr>
            </a:pPr>
            <a:r>
              <a:t>支出决算结构图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9525"/>
          </c:spPr>
          <c:explosion val="0"/>
          <c:dPt>
            <c:idx val="0"/>
            <c:bubble3D val="0"/>
            <c:spPr>
              <a:solidFill>
                <a:srgbClr val="4F81BD"/>
              </a:solidFill>
              <a:ln>
                <a:noFill/>
              </a:ln>
              <a:effectLst>
                <a:outerShdw blurRad="254000" sx="102000" sy="102000" algn="ctr" rotWithShape="0">
                  <a:prstClr val="black">
                    <a:alpha val="20000"/>
                  </a:prstClr>
                </a:outerShdw>
              </a:effectLst>
            </c:spPr>
          </c:dPt>
          <c:dPt>
            <c:idx val="1"/>
            <c:bubble3D val="0"/>
            <c:spPr>
              <a:solidFill>
                <a:srgbClr val="C0504D"/>
              </a:solidFill>
              <a:ln>
                <a:noFill/>
              </a:ln>
              <a:effectLst>
                <a:outerShdw blurRad="254000" sx="102000" sy="102000" algn="ctr" rotWithShape="0">
                  <a:prstClr val="black">
                    <a:alpha val="20000"/>
                  </a:prstClr>
                </a:outerShdw>
              </a:effectLst>
            </c:spPr>
          </c:dPt>
          <c:dLbls>
            <c:dLbl>
              <c:idx val="0"/>
              <c:layout/>
              <c:tx>
                <c:rich>
                  <a:bodyPr rot="0" spcFirstLastPara="0" vertOverflow="ellipsis" vert="horz" wrap="square" lIns="38100" tIns="19050" rIns="38100" bIns="19050" anchor="ctr" anchorCtr="1"/>
                  <a:lstStyle/>
                  <a:p>
                    <a:pPr defTabSz="914400">
                      <a:defRPr lang="zh-CN" sz="1000" b="1" i="0" u="none" strike="noStrike" kern="1200" baseline="0">
                        <a:solidFill>
                          <a:srgbClr val="FFFFFF"/>
                        </a:solidFill>
                        <a:latin typeface="+mn-lt"/>
                        <a:ea typeface="+mn-ea"/>
                        <a:cs typeface="+mn-cs"/>
                      </a:defRPr>
                    </a:pPr>
                    <a:r>
                      <a:t>9.22%</a:t>
                    </a:r>
                  </a:p>
                </c:rich>
              </c:tx>
              <c:dLblPos val="ctr"/>
              <c:showLegendKey val="0"/>
              <c:showVal val="1"/>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1" i="0" u="none" strike="noStrike" kern="1200" baseline="0">
                        <a:solidFill>
                          <a:srgbClr val="FFFFFF"/>
                        </a:solidFill>
                        <a:latin typeface="+mn-lt"/>
                        <a:ea typeface="+mn-ea"/>
                        <a:cs typeface="+mn-cs"/>
                      </a:defRPr>
                    </a:pPr>
                    <a:r>
                      <a:t>90.78%</a:t>
                    </a:r>
                  </a:p>
                </c:rich>
              </c:tx>
              <c:dLblPos val="ctr"/>
              <c:showLegendKey val="0"/>
              <c:showVal val="1"/>
              <c:showCatName val="0"/>
              <c:showSerName val="0"/>
              <c:showPercent val="1"/>
              <c:showBubbleSize val="0"/>
              <c:extLst>
                <c:ext xmlns:c15="http://schemas.microsoft.com/office/drawing/2012/chart" uri="{CE6537A1-D6FC-4f65-9D91-7224C49458BB}"/>
              </c:extLst>
            </c:dLbl>
            <c:spPr>
              <a:pattFill prst="pct75">
                <a:fgClr>
                  <a:srgbClr val="404040">
                    <a:lumMod val="75000"/>
                    <a:lumOff val="25000"/>
                  </a:srgbClr>
                </a:fgClr>
                <a:bgClr>
                  <a:srgbClr val="595959">
                    <a:lumMod val="65000"/>
                    <a:lumOff val="35000"/>
                  </a:srgb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rgbClr val="FFFFFF"/>
                    </a:solidFill>
                    <a:latin typeface="+mn-lt"/>
                    <a:ea typeface="+mn-ea"/>
                    <a:cs typeface="+mn-cs"/>
                  </a:defRPr>
                </a:pPr>
              </a:p>
            </c:txPr>
            <c:dLblPos val="ctr"/>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a:solidFill>
                        <a:srgbClr val="808080">
                          <a:lumMod val="50000"/>
                          <a:lumOff val="50000"/>
                        </a:srgbClr>
                      </a:solidFill>
                    </a:ln>
                    <a:effectLst/>
                  </c:spPr>
                </c15:leaderLines>
              </c:ext>
            </c:extLst>
          </c:dLbls>
          <c:cat>
            <c:strRef>
              <c:f>[作图.xlsx]Sheet1!$B$45:$B$46</c:f>
              <c:strCache>
                <c:ptCount val="2"/>
                <c:pt idx="0">
                  <c:v>基本支出</c:v>
                </c:pt>
                <c:pt idx="1">
                  <c:v>项目支出</c:v>
                </c:pt>
              </c:strCache>
            </c:strRef>
          </c:cat>
          <c:val>
            <c:numRef>
              <c:f>[作图.xlsx]Sheet1!$C$45:$C$46</c:f>
              <c:numCache>
                <c:formatCode>0.00%</c:formatCode>
                <c:ptCount val="2"/>
                <c:pt idx="0">
                  <c:v>0.0922</c:v>
                </c:pt>
                <c:pt idx="1">
                  <c:v>0.9078</c:v>
                </c:pt>
              </c:numCache>
            </c:numRef>
          </c:val>
        </c:ser>
        <c:dLbls>
          <c:showLegendKey val="0"/>
          <c:showVal val="1"/>
          <c:showCatName val="0"/>
          <c:showSerName val="0"/>
          <c:showPercent val="0"/>
          <c:showBubbleSize val="0"/>
        </c:dLbls>
      </c:pie3DChart>
      <c:spPr>
        <a:noFill/>
        <a:ln>
          <a:noFill/>
        </a:ln>
        <a:effectLst/>
      </c:spPr>
    </c:plotArea>
    <c:legend>
      <c:legendPos val="r"/>
      <c:layout/>
      <c:overlay val="0"/>
      <c:spPr>
        <a:solidFill>
          <a:srgbClr val="F2F2F2">
            <a:lumMod val="95000"/>
            <a:alpha val="39000"/>
          </a:srgbClr>
        </a:solidFill>
        <a:ln>
          <a:noFill/>
        </a:ln>
        <a:effectLst/>
      </c:spPr>
      <c:txPr>
        <a:bodyPr rot="0" spcFirstLastPara="0" vertOverflow="ellipsis" vert="horz" wrap="square" anchor="ctr" anchorCtr="1"/>
        <a:lstStyle/>
        <a:p>
          <a:pPr>
            <a:defRPr lang="zh-CN" sz="900" b="0" i="0" u="none" strike="noStrike" kern="1200" baseline="0">
              <a:solidFill>
                <a:srgbClr val="404040">
                  <a:lumMod val="75000"/>
                  <a:lumOff val="25000"/>
                </a:srgbClr>
              </a:solidFill>
              <a:latin typeface="+mn-lt"/>
              <a:ea typeface="+mn-ea"/>
              <a:cs typeface="+mn-cs"/>
            </a:defRPr>
          </a:pPr>
        </a:p>
      </c:txPr>
    </c:legend>
    <c:plotVisOnly val="1"/>
    <c:dispBlanksAs val="gap"/>
    <c:showDLblsOverMax val="0"/>
    <c:extLst>
      <c:ext uri="{0b15fc19-7d7d-44ad-8c2d-2c3a37ce22c3}">
        <chartProps xmlns="https://web.wps.cn/et/2018/main" chartId="{2f7f0be4-e706-49c0-b5b1-de77bfd44718}"/>
      </c:ext>
    </c:extLst>
  </c:chart>
  <c: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rPr sz="1400"/>
              <a:t>财政拨款收、支决算总计变动情况</a:t>
            </a:r>
            <a:endParaRPr sz="1400"/>
          </a:p>
        </c:rich>
      </c:tx>
      <c:layout/>
      <c:overlay val="0"/>
      <c:spPr>
        <a:noFill/>
        <a:ln>
          <a:noFill/>
        </a:ln>
        <a:effectLst/>
      </c:spPr>
    </c:title>
    <c:autoTitleDeleted val="0"/>
    <c:plotArea>
      <c:layout/>
      <c:barChart>
        <c:barDir val="col"/>
        <c:grouping val="clustered"/>
        <c:varyColors val="0"/>
        <c:ser>
          <c:idx val="0"/>
          <c:order val="0"/>
          <c:spPr>
            <a:solidFill>
              <a:srgbClr val="4F81BD">
                <a:alpha val="85000"/>
              </a:srgbClr>
            </a:solidFill>
            <a:ln w="9525" cap="flat" cmpd="sng" algn="ctr">
              <a:solidFill>
                <a:srgbClr val="FFFFFF">
                  <a:alpha val="50000"/>
                </a:srgb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1" i="0" u="none" strike="noStrike" kern="1200" baseline="0">
                    <a:solidFill>
                      <a:srgbClr val="FFFFFF"/>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rgbClr val="808080">
                          <a:lumMod val="50000"/>
                          <a:lumOff val="50000"/>
                        </a:srgbClr>
                      </a:solidFill>
                    </a:ln>
                    <a:effectLst/>
                  </c:spPr>
                </c15:leaderLines>
              </c:ext>
            </c:extLst>
          </c:dLbls>
          <c:cat>
            <c:strRef>
              <c:f>Sheet1!$B$65:$B$66</c:f>
              <c:strCache>
                <c:ptCount val="2"/>
                <c:pt idx="0">
                  <c:v>2024年</c:v>
                </c:pt>
                <c:pt idx="1">
                  <c:v>2025年</c:v>
                </c:pt>
              </c:strCache>
            </c:strRef>
          </c:cat>
          <c:val>
            <c:numRef>
              <c:f>Sheet1!$C$65:$C$66</c:f>
              <c:numCache>
                <c:formatCode>General</c:formatCode>
                <c:ptCount val="2"/>
                <c:pt idx="0">
                  <c:v>39529.36</c:v>
                </c:pt>
                <c:pt idx="1">
                  <c:v>51372.52</c:v>
                </c:pt>
              </c:numCache>
            </c:numRef>
          </c:val>
        </c:ser>
        <c:dLbls>
          <c:showLegendKey val="0"/>
          <c:showVal val="1"/>
          <c:showCatName val="0"/>
          <c:showSerName val="0"/>
          <c:showPercent val="0"/>
          <c:showBubbleSize val="0"/>
        </c:dLbls>
        <c:gapWidth val="65"/>
        <c:overlap val="0"/>
        <c:axId val="461323466"/>
        <c:axId val="451440820"/>
      </c:barChart>
      <c:catAx>
        <c:axId val="461323466"/>
        <c:scaling>
          <c:orientation val="minMax"/>
        </c:scaling>
        <c:delete val="0"/>
        <c:axPos val="b"/>
        <c:majorTickMark val="none"/>
        <c:minorTickMark val="none"/>
        <c:tickLblPos val="nextTo"/>
        <c:spPr>
          <a:noFill/>
          <a:ln w="19050" cap="flat" cmpd="sng" algn="ctr">
            <a:solidFill>
              <a:srgbClr val="404040">
                <a:lumMod val="75000"/>
                <a:lumOff val="25000"/>
              </a:srgbClr>
            </a:solidFill>
            <a:round/>
          </a:ln>
          <a:effectLst/>
        </c:spPr>
        <c:txPr>
          <a:bodyPr rot="-60000000" spcFirstLastPara="0" vertOverflow="ellipsis" vert="horz" wrap="square" anchor="ctr" anchorCtr="1"/>
          <a:lstStyle/>
          <a:p>
            <a:pPr>
              <a:defRPr lang="zh-CN" sz="900" b="0" i="0" u="none" strike="noStrike" kern="1200" cap="all" baseline="0">
                <a:solidFill>
                  <a:srgbClr val="404040">
                    <a:lumMod val="75000"/>
                    <a:lumOff val="25000"/>
                  </a:srgbClr>
                </a:solidFill>
                <a:latin typeface="+mn-lt"/>
                <a:ea typeface="+mn-ea"/>
                <a:cs typeface="+mn-cs"/>
              </a:defRPr>
            </a:pPr>
          </a:p>
        </c:txPr>
        <c:crossAx val="451440820"/>
        <c:crosses val="autoZero"/>
        <c:auto val="1"/>
        <c:lblAlgn val="ctr"/>
        <c:lblOffset val="100"/>
        <c:noMultiLvlLbl val="0"/>
      </c:catAx>
      <c:valAx>
        <c:axId val="451440820"/>
        <c:scaling>
          <c:orientation val="minMax"/>
        </c:scaling>
        <c:delete val="1"/>
        <c:axPos val="l"/>
        <c:majorGridlines>
          <c:spPr>
            <a:ln w="9525" cap="flat" cmpd="sng" algn="ctr">
              <a:gradFill>
                <a:gsLst>
                  <a:gs pos="100000">
                    <a:srgbClr val="0D0D0D">
                      <a:lumMod val="95000"/>
                      <a:lumOff val="5000"/>
                      <a:alpha val="42000"/>
                    </a:srgbClr>
                  </a:gs>
                  <a:gs pos="0">
                    <a:srgbClr val="BFBFBF">
                      <a:lumMod val="75000"/>
                      <a:alpha val="36000"/>
                    </a:srgbClr>
                  </a:gs>
                </a:gsLst>
                <a:lin ang="5400000" scaled="0"/>
              </a:gra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rgbClr val="404040">
                    <a:lumMod val="75000"/>
                    <a:lumOff val="25000"/>
                  </a:srgbClr>
                </a:solidFill>
                <a:latin typeface="+mn-lt"/>
                <a:ea typeface="+mn-ea"/>
                <a:cs typeface="+mn-cs"/>
              </a:defRPr>
            </a:pPr>
          </a:p>
        </c:txPr>
        <c:crossAx val="461323466"/>
        <c:crosses val="autoZero"/>
        <c:crossBetween val="between"/>
      </c:valAx>
      <c:spPr>
        <a:noFill/>
        <a:ln>
          <a:noFill/>
        </a:ln>
        <a:effectLst/>
      </c:spPr>
    </c:plotArea>
    <c:plotVisOnly val="1"/>
    <c:dispBlanksAs val="gap"/>
    <c:showDLblsOverMax val="0"/>
    <c:extLst>
      <c:ext uri="{0b15fc19-7d7d-44ad-8c2d-2c3a37ce22c3}">
        <chartProps xmlns="https://web.wps.cn/et/2018/main" chartId="{b5ce0736-ae98-47e6-80f1-f862f99c66b6}"/>
      </c:ext>
    </c:extLst>
  </c:chart>
  <c: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rPr sz="1400"/>
              <a:t>一般公共预算财政拨款支出决算变动情况</a:t>
            </a:r>
            <a:endParaRPr sz="1400"/>
          </a:p>
        </c:rich>
      </c:tx>
      <c:layout/>
      <c:overlay val="0"/>
      <c:spPr>
        <a:noFill/>
        <a:ln>
          <a:noFill/>
        </a:ln>
        <a:effectLst/>
      </c:spPr>
    </c:title>
    <c:autoTitleDeleted val="0"/>
    <c:plotArea>
      <c:layout/>
      <c:barChart>
        <c:barDir val="col"/>
        <c:grouping val="clustered"/>
        <c:varyColors val="0"/>
        <c:ser>
          <c:idx val="0"/>
          <c:order val="0"/>
          <c:spPr>
            <a:solidFill>
              <a:srgbClr val="4F81BD">
                <a:alpha val="85000"/>
              </a:srgbClr>
            </a:solidFill>
            <a:ln w="9525" cap="flat" cmpd="sng" algn="ctr">
              <a:solidFill>
                <a:srgbClr val="FFFFFF">
                  <a:alpha val="50000"/>
                </a:srgb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1" i="0" u="none" strike="noStrike" kern="1200" baseline="0">
                    <a:solidFill>
                      <a:srgbClr val="FFFFFF"/>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rgbClr val="808080">
                          <a:lumMod val="50000"/>
                          <a:lumOff val="50000"/>
                        </a:srgbClr>
                      </a:solidFill>
                    </a:ln>
                    <a:effectLst/>
                  </c:spPr>
                </c15:leaderLines>
              </c:ext>
            </c:extLst>
          </c:dLbls>
          <c:cat>
            <c:strRef>
              <c:f>Sheet1!$B$85:$B$86</c:f>
              <c:strCache>
                <c:ptCount val="2"/>
                <c:pt idx="0">
                  <c:v>2024年</c:v>
                </c:pt>
                <c:pt idx="1">
                  <c:v>2025年</c:v>
                </c:pt>
              </c:strCache>
            </c:strRef>
          </c:cat>
          <c:val>
            <c:numRef>
              <c:f>Sheet1!$C$85:$C$86</c:f>
              <c:numCache>
                <c:formatCode>General</c:formatCode>
                <c:ptCount val="2"/>
                <c:pt idx="0">
                  <c:v>39529.36</c:v>
                </c:pt>
                <c:pt idx="1">
                  <c:v>51372.52</c:v>
                </c:pt>
              </c:numCache>
            </c:numRef>
          </c:val>
        </c:ser>
        <c:dLbls>
          <c:showLegendKey val="0"/>
          <c:showVal val="1"/>
          <c:showCatName val="0"/>
          <c:showSerName val="0"/>
          <c:showPercent val="0"/>
          <c:showBubbleSize val="0"/>
        </c:dLbls>
        <c:gapWidth val="65"/>
        <c:overlap val="0"/>
        <c:axId val="801346550"/>
        <c:axId val="172795877"/>
      </c:barChart>
      <c:catAx>
        <c:axId val="801346550"/>
        <c:scaling>
          <c:orientation val="minMax"/>
        </c:scaling>
        <c:delete val="0"/>
        <c:axPos val="b"/>
        <c:majorTickMark val="none"/>
        <c:minorTickMark val="none"/>
        <c:tickLblPos val="nextTo"/>
        <c:spPr>
          <a:noFill/>
          <a:ln w="19050" cap="flat" cmpd="sng" algn="ctr">
            <a:solidFill>
              <a:srgbClr val="404040">
                <a:lumMod val="75000"/>
                <a:lumOff val="25000"/>
              </a:srgbClr>
            </a:solidFill>
            <a:round/>
          </a:ln>
          <a:effectLst/>
        </c:spPr>
        <c:txPr>
          <a:bodyPr rot="-60000000" spcFirstLastPara="0" vertOverflow="ellipsis" vert="horz" wrap="square" anchor="ctr" anchorCtr="1"/>
          <a:lstStyle/>
          <a:p>
            <a:pPr>
              <a:defRPr lang="zh-CN" sz="800" b="0" i="0" u="none" strike="noStrike" kern="1200" cap="all" baseline="0">
                <a:solidFill>
                  <a:srgbClr val="404040">
                    <a:lumMod val="75000"/>
                    <a:lumOff val="25000"/>
                  </a:srgbClr>
                </a:solidFill>
                <a:latin typeface="+mn-lt"/>
                <a:ea typeface="+mn-ea"/>
                <a:cs typeface="+mn-cs"/>
              </a:defRPr>
            </a:pPr>
          </a:p>
        </c:txPr>
        <c:crossAx val="172795877"/>
        <c:crosses val="autoZero"/>
        <c:auto val="1"/>
        <c:lblAlgn val="ctr"/>
        <c:lblOffset val="100"/>
        <c:noMultiLvlLbl val="0"/>
      </c:catAx>
      <c:valAx>
        <c:axId val="172795877"/>
        <c:scaling>
          <c:orientation val="minMax"/>
        </c:scaling>
        <c:delete val="1"/>
        <c:axPos val="l"/>
        <c:majorGridlines>
          <c:spPr>
            <a:ln w="9525" cap="flat" cmpd="sng" algn="ctr">
              <a:gradFill>
                <a:gsLst>
                  <a:gs pos="100000">
                    <a:srgbClr val="0D0D0D">
                      <a:lumMod val="95000"/>
                      <a:lumOff val="5000"/>
                      <a:alpha val="42000"/>
                    </a:srgbClr>
                  </a:gs>
                  <a:gs pos="0">
                    <a:srgbClr val="BFBFBF">
                      <a:lumMod val="75000"/>
                      <a:alpha val="36000"/>
                    </a:srgbClr>
                  </a:gs>
                </a:gsLst>
                <a:lin ang="5400000" scaled="0"/>
              </a:gra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800" b="0" i="0" u="none" strike="noStrike" kern="1200" baseline="0">
                <a:solidFill>
                  <a:srgbClr val="404040">
                    <a:lumMod val="75000"/>
                    <a:lumOff val="25000"/>
                  </a:srgbClr>
                </a:solidFill>
                <a:latin typeface="+mn-lt"/>
                <a:ea typeface="+mn-ea"/>
                <a:cs typeface="+mn-cs"/>
              </a:defRPr>
            </a:pPr>
          </a:p>
        </c:txPr>
        <c:crossAx val="801346550"/>
        <c:crosses val="autoZero"/>
        <c:crossBetween val="between"/>
      </c:valAx>
      <c:spPr>
        <a:noFill/>
        <a:ln>
          <a:noFill/>
        </a:ln>
        <a:effectLst/>
      </c:spPr>
    </c:plotArea>
    <c:plotVisOnly val="1"/>
    <c:dispBlanksAs val="gap"/>
    <c:showDLblsOverMax val="0"/>
    <c:extLst>
      <c:ext uri="{0b15fc19-7d7d-44ad-8c2d-2c3a37ce22c3}">
        <chartProps xmlns="https://web.wps.cn/et/2018/main" chartId="{6ff9ddae-950a-4857-9a91-22f84cde8653}"/>
      </c:ext>
    </c:extLst>
  </c:chart>
  <c: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a:effectLst/>
  </c:spPr>
  <c:txPr>
    <a:bodyPr/>
    <a:lstStyle/>
    <a:p>
      <a:pPr>
        <a:defRPr lang="zh-CN" sz="800"/>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rPr sz="1400"/>
              <a:t>一般公共预算财政拨款支出决算结构图</a:t>
            </a:r>
            <a:endParaRPr sz="1400"/>
          </a:p>
        </c:rich>
      </c:tx>
      <c:layout/>
      <c:overlay val="0"/>
      <c:spPr>
        <a:noFill/>
        <a:ln>
          <a:noFill/>
        </a:ln>
        <a:effectLst/>
      </c:spPr>
    </c:title>
    <c:autoTitleDeleted val="0"/>
    <c:plotArea>
      <c:layout>
        <c:manualLayout>
          <c:layoutTarget val="inner"/>
          <c:xMode val="edge"/>
          <c:yMode val="edge"/>
          <c:x val="0.141805555555556"/>
          <c:y val="0.188888888888889"/>
          <c:w val="0.456111111111111"/>
          <c:h val="0.760185185185185"/>
        </c:manualLayout>
      </c:layout>
      <c:pieChart>
        <c:varyColors val="1"/>
        <c:ser>
          <c:idx val="0"/>
          <c:order val="0"/>
          <c:spPr/>
          <c:explosion val="0"/>
          <c:dPt>
            <c:idx val="0"/>
            <c:bubble3D val="0"/>
            <c:spPr>
              <a:solidFill>
                <a:srgbClr val="4F81BD"/>
              </a:solidFill>
              <a:ln>
                <a:noFill/>
              </a:ln>
              <a:effectLst>
                <a:outerShdw blurRad="254000" sx="102000" sy="102000" algn="ctr" rotWithShape="0">
                  <a:prstClr val="black">
                    <a:alpha val="20000"/>
                  </a:prstClr>
                </a:outerShdw>
              </a:effectLst>
            </c:spPr>
          </c:dPt>
          <c:dPt>
            <c:idx val="1"/>
            <c:bubble3D val="0"/>
            <c:spPr>
              <a:solidFill>
                <a:srgbClr val="C0504D"/>
              </a:solidFill>
              <a:ln>
                <a:noFill/>
              </a:ln>
              <a:effectLst>
                <a:outerShdw blurRad="254000" sx="102000" sy="102000" algn="ctr" rotWithShape="0">
                  <a:prstClr val="black">
                    <a:alpha val="20000"/>
                  </a:prstClr>
                </a:outerShdw>
              </a:effectLst>
            </c:spPr>
          </c:dPt>
          <c:dPt>
            <c:idx val="2"/>
            <c:bubble3D val="0"/>
            <c:spPr>
              <a:solidFill>
                <a:srgbClr val="9BBB59"/>
              </a:solidFill>
              <a:ln>
                <a:noFill/>
              </a:ln>
              <a:effectLst>
                <a:outerShdw blurRad="254000" sx="102000" sy="102000" algn="ctr" rotWithShape="0">
                  <a:prstClr val="black">
                    <a:alpha val="20000"/>
                  </a:prstClr>
                </a:outerShdw>
              </a:effectLst>
            </c:spPr>
          </c:dPt>
          <c:dPt>
            <c:idx val="3"/>
            <c:bubble3D val="0"/>
            <c:spPr>
              <a:solidFill>
                <a:srgbClr val="8064A2"/>
              </a:solidFill>
              <a:ln>
                <a:noFill/>
              </a:ln>
              <a:effectLst>
                <a:outerShdw blurRad="254000" sx="102000" sy="102000" algn="ctr" rotWithShape="0">
                  <a:prstClr val="black">
                    <a:alpha val="20000"/>
                  </a:prstClr>
                </a:outerShdw>
              </a:effectLst>
            </c:spPr>
          </c:dPt>
          <c:dPt>
            <c:idx val="4"/>
            <c:bubble3D val="0"/>
            <c:spPr>
              <a:solidFill>
                <a:srgbClr val="4BACC6"/>
              </a:solidFill>
              <a:ln>
                <a:noFill/>
              </a:ln>
              <a:effectLst>
                <a:outerShdw blurRad="254000" sx="102000" sy="102000" algn="ctr" rotWithShape="0">
                  <a:prstClr val="black">
                    <a:alpha val="20000"/>
                  </a:prstClr>
                </a:outerShdw>
              </a:effectLst>
            </c:spPr>
          </c:dPt>
          <c:dLbls>
            <c:dLbl>
              <c:idx val="0"/>
              <c:layout>
                <c:manualLayout>
                  <c:x val="0.0124277783996945"/>
                  <c:y val="-0.00661392761155792"/>
                </c:manualLayout>
              </c:layout>
              <c:tx>
                <c:rich>
                  <a:bodyPr rot="0" spcFirstLastPara="0" vertOverflow="ellipsis" vert="horz" wrap="square" lIns="38100" tIns="19050" rIns="38100" bIns="19050" anchor="ctr" anchorCtr="1"/>
                  <a:lstStyle/>
                  <a:p>
                    <a:pPr defTabSz="914400">
                      <a:defRPr lang="zh-CN" sz="800" b="1" i="0" u="none" strike="noStrike" kern="1200" baseline="0">
                        <a:solidFill>
                          <a:srgbClr val="FFFFFF"/>
                        </a:solidFill>
                        <a:latin typeface="+mn-lt"/>
                        <a:ea typeface="+mn-ea"/>
                        <a:cs typeface="+mn-cs"/>
                      </a:defRPr>
                    </a:pPr>
                    <a:r>
                      <a:rPr lang="en-US" altLang="zh-CN" sz="800"/>
                      <a:t>0.7</a:t>
                    </a:r>
                    <a:r>
                      <a:rPr sz="800"/>
                      <a:t>%</a:t>
                    </a:r>
                    <a:endParaRPr sz="800"/>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layout>
                <c:manualLayout>
                  <c:x val="0.0576432917288908"/>
                  <c:y val="0.020964217350538"/>
                </c:manualLayout>
              </c:layout>
              <c:tx>
                <c:rich>
                  <a:bodyPr rot="0" spcFirstLastPara="0" vertOverflow="ellipsis" vert="horz" wrap="square" lIns="38100" tIns="19050" rIns="38100" bIns="19050" anchor="ctr" anchorCtr="1"/>
                  <a:lstStyle/>
                  <a:p>
                    <a:pPr defTabSz="914400">
                      <a:defRPr lang="zh-CN" sz="800" b="1" i="0" u="none" strike="noStrike" kern="1200" baseline="0">
                        <a:solidFill>
                          <a:srgbClr val="FFFFFF"/>
                        </a:solidFill>
                        <a:latin typeface="+mn-lt"/>
                        <a:ea typeface="+mn-ea"/>
                        <a:cs typeface="+mn-cs"/>
                      </a:defRPr>
                    </a:pPr>
                    <a:r>
                      <a:rPr lang="en-US" altLang="zh-CN" sz="800"/>
                      <a:t>0.3</a:t>
                    </a:r>
                    <a:r>
                      <a:rPr sz="800"/>
                      <a:t>%</a:t>
                    </a:r>
                    <a:endParaRPr sz="800"/>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683374836407758"/>
                  <c:y val="0.0340889413873791"/>
                </c:manualLayout>
              </c:layout>
              <c:tx>
                <c:rich>
                  <a:bodyPr rot="0" spcFirstLastPara="0" vertOverflow="ellipsis" vert="horz" wrap="square" lIns="38100" tIns="19050" rIns="38100" bIns="19050" anchor="ctr" anchorCtr="1"/>
                  <a:lstStyle/>
                  <a:p>
                    <a:pPr defTabSz="914400">
                      <a:defRPr lang="zh-CN" sz="800" b="1" i="0" u="none" strike="noStrike" kern="1200" baseline="0">
                        <a:solidFill>
                          <a:srgbClr val="FFFFFF"/>
                        </a:solidFill>
                        <a:latin typeface="+mn-lt"/>
                        <a:ea typeface="+mn-ea"/>
                        <a:cs typeface="+mn-cs"/>
                      </a:defRPr>
                    </a:pPr>
                    <a:r>
                      <a:rPr lang="en-US" altLang="zh-CN" sz="800"/>
                      <a:t>67.8</a:t>
                    </a:r>
                    <a:r>
                      <a:rPr sz="800"/>
                      <a:t>%</a:t>
                    </a:r>
                    <a:endParaRPr sz="800"/>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131713887920769"/>
                  <c:y val="0.131617442576626"/>
                </c:manualLayout>
              </c:layout>
              <c:tx>
                <c:rich>
                  <a:bodyPr rot="0" spcFirstLastPara="0" vertOverflow="ellipsis" vert="horz" wrap="square" lIns="38100" tIns="19050" rIns="38100" bIns="19050" anchor="ctr" anchorCtr="1"/>
                  <a:lstStyle/>
                  <a:p>
                    <a:pPr defTabSz="914400">
                      <a:defRPr lang="zh-CN" sz="800" b="1" i="0" u="none" strike="noStrike" kern="1200" baseline="0">
                        <a:solidFill>
                          <a:srgbClr val="FFFFFF"/>
                        </a:solidFill>
                        <a:latin typeface="+mn-lt"/>
                        <a:ea typeface="+mn-ea"/>
                        <a:cs typeface="+mn-cs"/>
                      </a:defRPr>
                    </a:pPr>
                    <a:r>
                      <a:rPr lang="en-US" altLang="zh-CN" sz="800"/>
                      <a:t>30.8</a:t>
                    </a:r>
                    <a:r>
                      <a:rPr sz="800"/>
                      <a:t>%</a:t>
                    </a:r>
                    <a:endParaRPr sz="800"/>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4"/>
              <c:layout/>
              <c:tx>
                <c:rich>
                  <a:bodyPr rot="0" spcFirstLastPara="0" vertOverflow="ellipsis" vert="horz" wrap="square" lIns="38100" tIns="19050" rIns="38100" bIns="19050" anchor="ctr" anchorCtr="1"/>
                  <a:lstStyle/>
                  <a:p>
                    <a:pPr defTabSz="914400">
                      <a:defRPr lang="zh-CN" sz="800" b="1" i="0" u="none" strike="noStrike" kern="1200" baseline="0">
                        <a:solidFill>
                          <a:srgbClr val="FFFFFF"/>
                        </a:solidFill>
                        <a:latin typeface="+mn-lt"/>
                        <a:ea typeface="+mn-ea"/>
                        <a:cs typeface="+mn-cs"/>
                      </a:defRPr>
                    </a:pPr>
                    <a:r>
                      <a:rPr lang="en-US" altLang="zh-CN" sz="800"/>
                      <a:t>0.4</a:t>
                    </a:r>
                    <a:r>
                      <a:rPr sz="800"/>
                      <a:t>%</a:t>
                    </a:r>
                    <a:endParaRPr sz="800"/>
                  </a:p>
                </c:rich>
              </c:tx>
              <c:dLblPos val="ctr"/>
              <c:showLegendKey val="0"/>
              <c:showVal val="1"/>
              <c:showCatName val="0"/>
              <c:showSerName val="0"/>
              <c:showPercent val="1"/>
              <c:showBubbleSize val="0"/>
              <c:extLst>
                <c:ext xmlns:c15="http://schemas.microsoft.com/office/drawing/2012/chart" uri="{CE6537A1-D6FC-4f65-9D91-7224C49458BB}"/>
              </c:extLst>
            </c:dLbl>
            <c:spPr>
              <a:pattFill prst="pct75">
                <a:fgClr>
                  <a:srgbClr val="404040">
                    <a:lumMod val="75000"/>
                    <a:lumOff val="25000"/>
                  </a:srgbClr>
                </a:fgClr>
                <a:bgClr>
                  <a:srgbClr val="595959">
                    <a:lumMod val="65000"/>
                    <a:lumOff val="35000"/>
                  </a:srgb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800" b="1" i="0" u="none" strike="noStrike" kern="1200" baseline="0">
                    <a:solidFill>
                      <a:srgbClr val="FFFFFF"/>
                    </a:solidFill>
                    <a:latin typeface="+mn-lt"/>
                    <a:ea typeface="+mn-ea"/>
                    <a:cs typeface="+mn-cs"/>
                  </a:defRPr>
                </a:pPr>
              </a:p>
            </c:txPr>
            <c:dLblPos val="ctr"/>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a:solidFill>
                        <a:srgbClr val="808080">
                          <a:lumMod val="50000"/>
                          <a:lumOff val="50000"/>
                        </a:srgbClr>
                      </a:solidFill>
                    </a:ln>
                    <a:effectLst/>
                  </c:spPr>
                </c15:leaderLines>
              </c:ext>
            </c:extLst>
          </c:dLbls>
          <c:cat>
            <c:strRef>
              <c:f>Sheet1!$B$106:$B$110</c:f>
              <c:strCache>
                <c:ptCount val="5"/>
                <c:pt idx="0">
                  <c:v>社会保障和就业支出</c:v>
                </c:pt>
                <c:pt idx="1">
                  <c:v>卫生健康支出</c:v>
                </c:pt>
                <c:pt idx="2">
                  <c:v>节能环保支出</c:v>
                </c:pt>
                <c:pt idx="3">
                  <c:v>农林水支出</c:v>
                </c:pt>
                <c:pt idx="4">
                  <c:v>住房保障支出</c:v>
                </c:pt>
              </c:strCache>
            </c:strRef>
          </c:cat>
          <c:val>
            <c:numRef>
              <c:f>Sheet1!$C$106:$C$110</c:f>
              <c:numCache>
                <c:formatCode>0.00%</c:formatCode>
                <c:ptCount val="5"/>
                <c:pt idx="0">
                  <c:v>0.007</c:v>
                </c:pt>
                <c:pt idx="1">
                  <c:v>0.003</c:v>
                </c:pt>
                <c:pt idx="2">
                  <c:v>0.678</c:v>
                </c:pt>
                <c:pt idx="3">
                  <c:v>0.308</c:v>
                </c:pt>
                <c:pt idx="4">
                  <c:v>0.004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800" b="0" i="0" u="none" strike="noStrike" kern="1200" baseline="0">
                <a:solidFill>
                  <a:srgbClr val="404040">
                    <a:lumMod val="75000"/>
                    <a:lumOff val="25000"/>
                  </a:srgb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rgbClr val="404040">
                    <a:lumMod val="75000"/>
                    <a:lumOff val="25000"/>
                  </a:srgb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rgbClr val="404040">
                    <a:lumMod val="75000"/>
                    <a:lumOff val="25000"/>
                  </a:srgb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rgbClr val="404040">
                    <a:lumMod val="75000"/>
                    <a:lumOff val="25000"/>
                  </a:srgb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rgbClr val="404040">
                    <a:lumMod val="75000"/>
                    <a:lumOff val="25000"/>
                  </a:srgbClr>
                </a:solidFill>
                <a:latin typeface="+mn-lt"/>
                <a:ea typeface="+mn-ea"/>
                <a:cs typeface="+mn-cs"/>
              </a:defRPr>
            </a:pPr>
          </a:p>
        </c:txPr>
      </c:legendEntry>
      <c:layout/>
      <c:overlay val="0"/>
      <c:spPr>
        <a:solidFill>
          <a:srgbClr val="F2F2F2">
            <a:lumMod val="95000"/>
            <a:alpha val="39000"/>
          </a:srgbClr>
        </a:solidFill>
        <a:ln>
          <a:noFill/>
        </a:ln>
        <a:effectLst/>
      </c:spPr>
      <c:txPr>
        <a:bodyPr rot="0" spcFirstLastPara="0" vertOverflow="ellipsis" vert="horz" wrap="square" anchor="ctr" anchorCtr="1"/>
        <a:lstStyle/>
        <a:p>
          <a:pPr>
            <a:defRPr lang="zh-CN" sz="800" b="0" i="0" u="none" strike="noStrike" kern="1200" baseline="0">
              <a:solidFill>
                <a:srgbClr val="404040">
                  <a:lumMod val="75000"/>
                  <a:lumOff val="25000"/>
                </a:srgbClr>
              </a:solidFill>
              <a:latin typeface="+mn-lt"/>
              <a:ea typeface="+mn-ea"/>
              <a:cs typeface="+mn-cs"/>
            </a:defRPr>
          </a:pPr>
        </a:p>
      </c:txPr>
    </c:legend>
    <c:plotVisOnly val="1"/>
    <c:dispBlanksAs val="gap"/>
    <c:showDLblsOverMax val="0"/>
    <c:extLst>
      <c:ext uri="{0b15fc19-7d7d-44ad-8c2d-2c3a37ce22c3}">
        <chartProps xmlns="https://web.wps.cn/et/2018/main" chartId="{9e32daf8-c2d4-49d4-a8dd-1966d44ede7b}"/>
      </c:ext>
    </c:extLst>
  </c:chart>
  <c: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a:effectLst/>
  </c:spPr>
  <c:txPr>
    <a:bodyPr/>
    <a:lstStyle/>
    <a:p>
      <a:pPr>
        <a:defRPr lang="zh-CN" sz="800"/>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baseline="0">
                <a:solidFill>
                  <a:srgbClr val="404040">
                    <a:lumMod val="75000"/>
                    <a:lumOff val="25000"/>
                  </a:srgbClr>
                </a:solidFill>
                <a:latin typeface="+mn-lt"/>
                <a:ea typeface="+mn-ea"/>
                <a:cs typeface="+mn-cs"/>
              </a:defRPr>
            </a:pPr>
            <a:r>
              <a:rPr sz="1600"/>
              <a:t>“三公”经费财政拨款支出结构</a:t>
            </a:r>
            <a:endParaRPr sz="1600"/>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spPr>
            <a:scene3d>
              <a:camera prst="orthographicFront"/>
              <a:lightRig rig="threePt" dir="t"/>
            </a:scene3d>
            <a:sp3d contourW="9525"/>
          </c:spPr>
          <c:explosion val="0"/>
          <c:dPt>
            <c:idx val="0"/>
            <c:bubble3D val="0"/>
            <c:spPr>
              <a:solidFill>
                <a:srgbClr val="4F81BD"/>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1"/>
            <c:bubble3D val="0"/>
            <c:spPr>
              <a:solidFill>
                <a:srgbClr val="C0504D"/>
              </a:solidFill>
              <a:ln>
                <a:noFill/>
              </a:ln>
              <a:effectLst>
                <a:outerShdw blurRad="254000" sx="102000" sy="102000" algn="ctr" rotWithShape="0">
                  <a:prstClr val="black">
                    <a:alpha val="20000"/>
                  </a:prstClr>
                </a:outerShdw>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800" b="1" i="0" u="none" strike="noStrike" kern="1200" baseline="0">
                        <a:solidFill>
                          <a:srgbClr val="FFFFFF"/>
                        </a:solidFill>
                        <a:latin typeface="+mn-lt"/>
                        <a:ea typeface="+mn-ea"/>
                        <a:cs typeface="+mn-cs"/>
                      </a:defRPr>
                    </a:pPr>
                    <a:r>
                      <a:rPr sz="800"/>
                      <a:t>99</a:t>
                    </a:r>
                    <a:r>
                      <a:rPr lang="en-US" altLang="zh-CN" sz="800"/>
                      <a:t>.7</a:t>
                    </a:r>
                    <a:r>
                      <a:rPr sz="800"/>
                      <a:t>%</a:t>
                    </a:r>
                    <a:endParaRPr sz="800"/>
                  </a:p>
                </c:rich>
              </c:tx>
              <c:dLblPos val="ctr"/>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800" b="1" i="0" u="none" strike="noStrike" kern="1200" baseline="0">
                        <a:solidFill>
                          <a:srgbClr val="FFFFFF"/>
                        </a:solidFill>
                        <a:latin typeface="+mn-lt"/>
                        <a:ea typeface="+mn-ea"/>
                        <a:cs typeface="+mn-cs"/>
                      </a:defRPr>
                    </a:pPr>
                    <a:r>
                      <a:rPr lang="en-US" altLang="zh-CN" sz="800"/>
                      <a:t>0.3</a:t>
                    </a:r>
                    <a:r>
                      <a:rPr sz="800"/>
                      <a:t>%</a:t>
                    </a:r>
                    <a:endParaRPr sz="800"/>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rgbClr val="404040">
                    <a:lumMod val="75000"/>
                    <a:lumOff val="25000"/>
                  </a:srgbClr>
                </a:fgClr>
                <a:bgClr>
                  <a:srgbClr val="595959">
                    <a:lumMod val="65000"/>
                    <a:lumOff val="35000"/>
                  </a:srgb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800" b="1" i="0" u="none" strike="noStrike" kern="1200" baseline="0">
                    <a:solidFill>
                      <a:srgbClr val="FFFFFF"/>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rgbClr val="808080">
                          <a:lumMod val="50000"/>
                          <a:lumOff val="50000"/>
                        </a:srgbClr>
                      </a:solidFill>
                    </a:ln>
                    <a:effectLst/>
                  </c:spPr>
                </c15:leaderLines>
              </c:ext>
            </c:extLst>
          </c:dLbls>
          <c:cat>
            <c:strRef>
              <c:f>Sheet1!$C$131:$C$132</c:f>
              <c:strCache>
                <c:ptCount val="2"/>
                <c:pt idx="0">
                  <c:v>公务用车运行维护费</c:v>
                </c:pt>
                <c:pt idx="1">
                  <c:v>公务接待费</c:v>
                </c:pt>
              </c:strCache>
            </c:strRef>
          </c:cat>
          <c:val>
            <c:numRef>
              <c:f>Sheet1!$D$131:$D$132</c:f>
              <c:numCache>
                <c:formatCode>0.00%</c:formatCode>
                <c:ptCount val="2"/>
                <c:pt idx="0">
                  <c:v>0.997</c:v>
                </c:pt>
                <c:pt idx="1">
                  <c:v>0.003</c:v>
                </c:pt>
              </c:numCache>
            </c:numRef>
          </c:val>
        </c:ser>
        <c:dLbls>
          <c:showLegendKey val="0"/>
          <c:showVal val="0"/>
          <c:showCatName val="0"/>
          <c:showSerName val="0"/>
          <c:showPercent val="1"/>
          <c:showBubbleSize val="0"/>
        </c:dLbls>
      </c:pie3DChart>
      <c:spPr>
        <a:noFill/>
        <a:ln>
          <a:noFill/>
        </a:ln>
        <a:effectLst/>
      </c:spPr>
    </c:plotArea>
    <c:legend>
      <c:legendPos val="r"/>
      <c:legendEntry>
        <c:idx val="0"/>
        <c:txPr>
          <a:bodyPr rot="0" spcFirstLastPara="0" vertOverflow="ellipsis" vert="horz" wrap="square" anchor="ctr" anchorCtr="1"/>
          <a:lstStyle/>
          <a:p>
            <a:pPr>
              <a:defRPr lang="zh-CN" sz="800" b="0" i="0" u="none" strike="noStrike" kern="1200" baseline="0">
                <a:solidFill>
                  <a:srgbClr val="404040">
                    <a:lumMod val="75000"/>
                    <a:lumOff val="25000"/>
                  </a:srgb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rgbClr val="404040">
                    <a:lumMod val="75000"/>
                    <a:lumOff val="25000"/>
                  </a:srgbClr>
                </a:solidFill>
                <a:latin typeface="+mn-lt"/>
                <a:ea typeface="+mn-ea"/>
                <a:cs typeface="+mn-cs"/>
              </a:defRPr>
            </a:pPr>
          </a:p>
        </c:txPr>
      </c:legendEntry>
      <c:layout/>
      <c:overlay val="0"/>
      <c:spPr>
        <a:solidFill>
          <a:srgbClr val="F2F2F2">
            <a:lumMod val="95000"/>
            <a:alpha val="39000"/>
          </a:srgbClr>
        </a:solidFill>
        <a:ln>
          <a:noFill/>
        </a:ln>
        <a:effectLst/>
      </c:spPr>
      <c:txPr>
        <a:bodyPr rot="0" spcFirstLastPara="0" vertOverflow="ellipsis" vert="horz" wrap="square" anchor="ctr" anchorCtr="1"/>
        <a:lstStyle/>
        <a:p>
          <a:pPr>
            <a:defRPr lang="zh-CN" sz="800" b="0" i="0" u="none" strike="noStrike" kern="1200" baseline="0">
              <a:solidFill>
                <a:srgbClr val="404040">
                  <a:lumMod val="75000"/>
                  <a:lumOff val="25000"/>
                </a:srgbClr>
              </a:solidFill>
              <a:latin typeface="+mn-lt"/>
              <a:ea typeface="+mn-ea"/>
              <a:cs typeface="+mn-cs"/>
            </a:defRPr>
          </a:pPr>
        </a:p>
      </c:txPr>
    </c:legend>
    <c:plotVisOnly val="1"/>
    <c:dispBlanksAs val="gap"/>
    <c:showDLblsOverMax val="0"/>
    <c:extLst>
      <c:ext uri="{0b15fc19-7d7d-44ad-8c2d-2c3a37ce22c3}">
        <chartProps xmlns="https://web.wps.cn/et/2018/main" chartId="{a749f083-1bac-4ee1-bdb8-7882d5d99940}"/>
      </c:ext>
    </c:extLst>
  </c:chart>
  <c: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rgbClr val="404040">
        <a:lumMod val="75000"/>
        <a:lumOff val="25000"/>
      </a:srgbClr>
    </cs:fontRef>
    <cs:defRPr sz="900" b="1" kern="1200"/>
  </cs:axisTitle>
  <cs:categoryAxis>
    <cs:lnRef idx="0"/>
    <cs:fillRef idx="0"/>
    <cs:effectRef idx="0"/>
    <cs:fontRef idx="minor">
      <a:srgbClr val="404040">
        <a:lumMod val="75000"/>
        <a:lumOff val="25000"/>
      </a:srgbClr>
    </cs:fontRef>
    <cs:spPr>
      <a:ln w="19050" cap="flat" cmpd="sng" algn="ctr">
        <a:solidFill>
          <a:srgbClr val="404040">
            <a:lumMod val="75000"/>
            <a:lumOff val="25000"/>
          </a:srgbClr>
        </a:solidFill>
        <a:round/>
      </a:ln>
    </cs:spPr>
    <cs:defRPr sz="900" kern="1200" cap="all" baseline="0"/>
  </cs:categoryAxis>
  <cs:chartArea>
    <cs:lnRef idx="0"/>
    <cs:fillRef idx="0"/>
    <cs:effectRef idx="0"/>
    <cs:fontRef idx="minor">
      <a:srgbClr val="000000"/>
    </cs:fontRef>
    <cs: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cs:spPr>
    <cs:defRPr sz="900" kern="1200"/>
  </cs:chartArea>
  <cs:dataLabel>
    <cs:lnRef idx="0"/>
    <cs:fillRef idx="0"/>
    <cs:effectRef idx="0"/>
    <cs:fontRef idx="minor">
      <a:srgbClr val="FFFFFF"/>
    </cs:fontRef>
    <cs:defRPr sz="900" b="1" i="0" u="none" strike="noStrike" kern="1200" baseline="0"/>
  </cs:dataLabel>
  <cs:dataLabelCallout>
    <cs:lnRef idx="0"/>
    <cs:fillRef idx="0"/>
    <cs:effectRef idx="0"/>
    <cs:fontRef idx="minor">
      <a:srgbClr val="FFFFFF"/>
    </cs:fontRef>
    <cs:spPr>
      <a:solidFill>
        <a:srgbClr val="595959">
          <a:lumMod val="65000"/>
          <a:lumOff val="35000"/>
          <a:alpha val="75000"/>
        </a:srgb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rgbClr val="000000"/>
    </cs:fontRef>
    <cs:spPr>
      <a:solidFill>
        <a:srgbClr val="FFFFFF">
          <a:alpha val="85000"/>
        </a:srgbClr>
      </a:solidFill>
      <a:ln w="9525" cap="flat" cmpd="sng" algn="ctr">
        <a:solidFill>
          <a:srgbClr val="FFFFFF">
            <a:alpha val="50000"/>
          </a:srgbClr>
        </a:solidFill>
        <a:round/>
      </a:ln>
    </cs:spPr>
  </cs:dataPoint>
  <cs:dataPoint3D>
    <cs:lnRef idx="0"/>
    <cs:fillRef idx="0">
      <cs:styleClr val="auto"/>
    </cs:fillRef>
    <cs:effectRef idx="0"/>
    <cs:fontRef idx="minor">
      <a:srgbClr val="000000"/>
    </cs:fontRef>
    <cs:spPr>
      <a:solidFill>
        <a:srgbClr val="FFFFFF">
          <a:alpha val="85000"/>
        </a:srgbClr>
      </a:solidFill>
      <a:ln w="9525" cap="flat" cmpd="sng" algn="ctr">
        <a:solidFill>
          <a:srgbClr val="FFFFFF">
            <a:alpha val="50000"/>
          </a:srgbClr>
        </a:solidFill>
        <a:round/>
      </a:ln>
    </cs:spPr>
  </cs:dataPoint3D>
  <cs:dataPointLine>
    <cs:lnRef idx="0">
      <cs:styleClr val="auto"/>
    </cs:lnRef>
    <cs:fillRef idx="0"/>
    <cs:effectRef idx="0"/>
    <cs:fontRef idx="minor">
      <a:srgbClr val="000000"/>
    </cs:fontRef>
    <cs:spPr>
      <a:ln w="31750" cap="rnd">
        <a:solidFill>
          <a:srgbClr val="FFFFFF">
            <a:alpha val="85000"/>
          </a:srgbClr>
        </a:solidFill>
        <a:round/>
      </a:ln>
    </cs:spPr>
  </cs:dataPointLine>
  <cs:dataPointMarker>
    <cs:lnRef idx="0"/>
    <cs:fillRef idx="0">
      <cs:styleClr val="auto"/>
    </cs:fillRef>
    <cs:effectRef idx="0"/>
    <cs:fontRef idx="minor">
      <a:srgbClr val="000000"/>
    </cs:fontRef>
    <cs:spPr>
      <a:solidFill>
        <a:srgbClr val="FFFFFF">
          <a:alpha val="85000"/>
        </a:srgbClr>
      </a:solidFill>
    </cs:spPr>
  </cs:dataPointMarker>
  <cs:dataPointMarkerLayout symbol="circle" size="6"/>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404040">
        <a:lumMod val="75000"/>
        <a:lumOff val="25000"/>
      </a:srgbClr>
    </cs:fontRef>
    <cs:spPr>
      <a:ln w="9525">
        <a:solidFill>
          <a:srgbClr val="A6A6A6">
            <a:lumMod val="35000"/>
            <a:lumOff val="65000"/>
          </a:srgbClr>
        </a:solidFill>
      </a:ln>
    </cs:spPr>
    <cs:defRPr sz="900" kern="1200"/>
  </cs:dataTable>
  <cs:downBar>
    <cs:lnRef idx="0"/>
    <cs:fillRef idx="0"/>
    <cs:effectRef idx="0"/>
    <cs:fontRef idx="minor">
      <a:srgbClr val="000000"/>
    </cs:fontRef>
    <cs:spPr>
      <a:solidFill>
        <a:srgbClr val="808080">
          <a:lumMod val="50000"/>
          <a:lumOff val="50000"/>
        </a:srgbClr>
      </a:solidFill>
      <a:ln w="9525">
        <a:solidFill>
          <a:srgbClr val="595959">
            <a:lumMod val="65000"/>
            <a:lumOff val="35000"/>
          </a:srgbClr>
        </a:solidFill>
      </a:ln>
    </cs:spPr>
  </cs:downBar>
  <cs:dropLine>
    <cs:lnRef idx="0"/>
    <cs:fillRef idx="0"/>
    <cs:effectRef idx="0"/>
    <cs:fontRef idx="minor">
      <a:srgbClr val="000000"/>
    </cs:fontRef>
    <cs:spPr>
      <a:ln w="9525">
        <a:solidFill>
          <a:srgbClr val="A6A6A6">
            <a:lumMod val="35000"/>
            <a:lumOff val="65000"/>
          </a:srgbClr>
        </a:solidFill>
        <a:prstDash val="dash"/>
      </a:ln>
    </cs:spPr>
  </cs:dropLine>
  <cs:errorBar>
    <cs:lnRef idx="0"/>
    <cs:fillRef idx="0"/>
    <cs:effectRef idx="0"/>
    <cs:fontRef idx="minor">
      <a:srgbClr val="000000"/>
    </cs:fontRef>
    <cs:spPr>
      <a:ln w="9525">
        <a:solidFill>
          <a:srgbClr val="595959">
            <a:lumMod val="65000"/>
            <a:lumOff val="35000"/>
          </a:srgbClr>
        </a:solidFill>
        <a:round/>
      </a:ln>
    </cs:spPr>
  </cs:errorBar>
  <cs:floor>
    <cs:lnRef idx="0"/>
    <cs:fillRef idx="0"/>
    <cs:effectRef idx="0"/>
    <cs:fontRef idx="minor">
      <a:srgbClr val="000000"/>
    </cs:fontRef>
  </cs:floor>
  <cs:gridlineMajor>
    <cs:lnRef idx="0"/>
    <cs:fillRef idx="0"/>
    <cs:effectRef idx="0"/>
    <cs:fontRef idx="minor">
      <a:srgbClr val="000000"/>
    </cs:fontRef>
    <cs:spPr>
      <a:ln w="9525" cap="flat" cmpd="sng" algn="ctr">
        <a:gradFill>
          <a:gsLst>
            <a:gs pos="100000">
              <a:srgbClr val="0D0D0D">
                <a:lumMod val="95000"/>
                <a:lumOff val="5000"/>
                <a:alpha val="42000"/>
              </a:srgbClr>
            </a:gs>
            <a:gs pos="0">
              <a:srgbClr val="BFBFBF">
                <a:lumMod val="75000"/>
                <a:alpha val="36000"/>
              </a:srgbClr>
            </a:gs>
          </a:gsLst>
          <a:lin ang="5400000" scaled="0"/>
        </a:gradFill>
        <a:round/>
      </a:ln>
    </cs:spPr>
  </cs:gridlineMajor>
  <cs:gridlineMinor>
    <cs:lnRef idx="0"/>
    <cs:fillRef idx="0"/>
    <cs:effectRef idx="0"/>
    <cs:fontRef idx="minor">
      <a:srgbClr val="000000"/>
    </cs:fontRef>
    <cs:spPr>
      <a:ln>
        <a:gradFill>
          <a:gsLst>
            <a:gs pos="100000">
              <a:srgbClr val="0D0D0D">
                <a:lumMod val="95000"/>
                <a:lumOff val="5000"/>
                <a:alpha val="42000"/>
              </a:srgbClr>
            </a:gs>
            <a:gs pos="0">
              <a:srgbClr val="BFBFBF">
                <a:lumMod val="75000"/>
                <a:alpha val="36000"/>
              </a:srgbClr>
            </a:gs>
          </a:gsLst>
          <a:lin ang="5400000" scaled="0"/>
        </a:gradFill>
      </a:ln>
    </cs:spPr>
  </cs:gridlineMinor>
  <cs:hiLoLine>
    <cs:lnRef idx="0"/>
    <cs:fillRef idx="0"/>
    <cs:effectRef idx="0"/>
    <cs:fontRef idx="minor">
      <a:srgbClr val="000000"/>
    </cs:fontRef>
    <cs:spPr>
      <a:ln w="9525">
        <a:solidFill>
          <a:srgbClr val="A6A6A6">
            <a:lumMod val="35000"/>
            <a:lumOff val="65000"/>
          </a:srgbClr>
        </a:solidFill>
        <a:prstDash val="dash"/>
      </a:ln>
    </cs:spPr>
  </cs:hiLoLine>
  <cs:leaderLine>
    <cs:lnRef idx="0"/>
    <cs:fillRef idx="0"/>
    <cs:effectRef idx="0"/>
    <cs:fontRef idx="minor">
      <a:srgbClr val="000000"/>
    </cs:fontRef>
    <cs:spPr>
      <a:ln w="9525">
        <a:solidFill>
          <a:srgbClr val="808080">
            <a:lumMod val="50000"/>
            <a:lumOff val="50000"/>
          </a:srgbClr>
        </a:solidFill>
      </a:ln>
    </cs:spPr>
  </cs:leaderLine>
  <cs:legend>
    <cs:lnRef idx="0"/>
    <cs:fillRef idx="0"/>
    <cs:effectRef idx="0"/>
    <cs:fontRef idx="minor">
      <a:srgbClr val="404040">
        <a:lumMod val="75000"/>
        <a:lumOff val="25000"/>
      </a:srgbClr>
    </cs:fontRef>
    <cs:spPr>
      <a:solidFill>
        <a:srgbClr val="F2F2F2">
          <a:lumMod val="95000"/>
          <a:alpha val="39000"/>
        </a:srgbClr>
      </a:solidFill>
    </cs:spPr>
    <cs:defRPr sz="900" kern="1200"/>
  </cs:legend>
  <cs:plotArea>
    <cs:lnRef idx="0"/>
    <cs:fillRef idx="0"/>
    <cs:effectRef idx="0"/>
    <cs:fontRef idx="minor">
      <a:srgbClr val="000000"/>
    </cs:fontRef>
  </cs:plotArea>
  <cs:plotArea3D>
    <cs:lnRef idx="0"/>
    <cs:fillRef idx="0"/>
    <cs:effectRef idx="0"/>
    <cs:fontRef idx="minor">
      <a:srgbClr val="000000"/>
    </cs:fontRef>
  </cs:plotArea3D>
  <cs:seriesAxis>
    <cs:lnRef idx="0"/>
    <cs:fillRef idx="0"/>
    <cs:effectRef idx="0"/>
    <cs:fontRef idx="minor">
      <a:srgbClr val="404040">
        <a:lumMod val="75000"/>
        <a:lumOff val="25000"/>
      </a:srgbClr>
    </cs:fontRef>
    <cs:spPr>
      <a:ln w="31750" cap="flat" cmpd="sng" algn="ctr">
        <a:solidFill>
          <a:srgbClr val="404040">
            <a:lumMod val="75000"/>
            <a:lumOff val="25000"/>
          </a:srgbClr>
        </a:solidFill>
        <a:round/>
      </a:ln>
    </cs:spPr>
    <cs:defRPr sz="900" kern="1200"/>
  </cs:seriesAxis>
  <cs:seriesLine>
    <cs:lnRef idx="0"/>
    <cs:fillRef idx="0"/>
    <cs:effectRef idx="0"/>
    <cs:fontRef idx="minor">
      <a:srgbClr val="000000"/>
    </cs:fontRef>
    <cs:spPr>
      <a:ln w="9525">
        <a:solidFill>
          <a:srgbClr val="808080">
            <a:lumMod val="50000"/>
            <a:lumOff val="50000"/>
          </a:srgbClr>
        </a:solidFill>
        <a:round/>
      </a:ln>
    </cs:spPr>
  </cs:seriesLine>
  <cs:title>
    <cs:lnRef idx="0"/>
    <cs:fillRef idx="0"/>
    <cs:effectRef idx="0"/>
    <cs:fontRef idx="minor">
      <a:srgbClr val="404040">
        <a:lumMod val="75000"/>
        <a:lumOff val="25000"/>
      </a:srgbClr>
    </cs:fontRef>
    <cs:defRPr sz="1800" b="1" kern="1200" baseline="0"/>
  </cs:title>
  <cs:trendline>
    <cs:lnRef idx="0">
      <cs:styleClr val="auto"/>
    </cs:lnRef>
    <cs:fillRef idx="0"/>
    <cs:effectRef idx="0"/>
    <cs:fontRef idx="minor">
      <a:srgbClr val="000000"/>
    </cs:fontRef>
    <cs:spPr>
      <a:ln w="19050" cap="rnd">
        <a:solidFill>
          <a:srgbClr val="FFFFFF"/>
        </a:solidFill>
      </a:ln>
    </cs:spPr>
  </cs:trendline>
  <cs:trendlineLabel>
    <cs:lnRef idx="0"/>
    <cs:fillRef idx="0"/>
    <cs:effectRef idx="0"/>
    <cs:fontRef idx="minor">
      <a:srgbClr val="404040">
        <a:lumMod val="75000"/>
        <a:lumOff val="25000"/>
      </a:srgbClr>
    </cs:fontRef>
    <cs:defRPr sz="900" kern="1200"/>
  </cs:trendlineLabel>
  <cs:upBar>
    <cs:lnRef idx="0"/>
    <cs:fillRef idx="0"/>
    <cs:effectRef idx="0"/>
    <cs:fontRef idx="minor">
      <a:srgbClr val="000000"/>
    </cs:fontRef>
    <cs:spPr>
      <a:solidFill>
        <a:srgbClr val="FFFFFF"/>
      </a:solidFill>
      <a:ln w="9525">
        <a:solidFill>
          <a:srgbClr val="595959">
            <a:lumMod val="65000"/>
            <a:lumOff val="35000"/>
          </a:srgbClr>
        </a:solidFill>
      </a:ln>
    </cs:spPr>
  </cs:upBar>
  <cs:valueAxis>
    <cs:lnRef idx="0"/>
    <cs:fillRef idx="0"/>
    <cs:effectRef idx="0"/>
    <cs:fontRef idx="minor">
      <a:srgbClr val="404040">
        <a:lumMod val="75000"/>
        <a:lumOff val="25000"/>
      </a:srgbClr>
    </cs:fontRef>
    <cs:spPr>
      <a:ln>
        <a:noFill/>
      </a:ln>
    </cs:spPr>
    <cs:defRPr sz="900" kern="1200"/>
  </cs:valueAxis>
  <cs:wall>
    <cs:lnRef idx="0"/>
    <cs:fillRef idx="0"/>
    <cs:effectRef idx="0"/>
    <cs:fontRef idx="minor">
      <a:srgbClr val="000000"/>
    </cs:fontRef>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rgbClr val="404040">
        <a:lumMod val="75000"/>
        <a:lumOff val="25000"/>
      </a:srgbClr>
    </cs:fontRef>
    <cs:defRPr sz="900" b="1" kern="1200"/>
  </cs:axisTitle>
  <cs:categoryAxis>
    <cs:lnRef idx="0"/>
    <cs:fillRef idx="0"/>
    <cs:effectRef idx="0"/>
    <cs:fontRef idx="minor">
      <a:srgbClr val="404040">
        <a:lumMod val="75000"/>
        <a:lumOff val="25000"/>
      </a:srgbClr>
    </cs:fontRef>
    <cs:spPr>
      <a:ln w="19050" cap="flat" cmpd="sng" algn="ctr">
        <a:solidFill>
          <a:srgbClr val="404040">
            <a:lumMod val="75000"/>
            <a:lumOff val="25000"/>
          </a:srgbClr>
        </a:solidFill>
        <a:round/>
      </a:ln>
    </cs:spPr>
    <cs:defRPr sz="900" kern="1200" cap="all" baseline="0"/>
  </cs:categoryAxis>
  <cs:chartArea>
    <cs:lnRef idx="0"/>
    <cs:fillRef idx="0"/>
    <cs:effectRef idx="0"/>
    <cs:fontRef idx="minor">
      <a:srgbClr val="000000"/>
    </cs:fontRef>
    <cs: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cs:spPr>
    <cs:defRPr sz="900" kern="1200"/>
  </cs:chartArea>
  <cs:dataLabel>
    <cs:lnRef idx="0"/>
    <cs:fillRef idx="0"/>
    <cs:effectRef idx="0"/>
    <cs:fontRef idx="minor">
      <a:srgbClr val="FFFFFF"/>
    </cs:fontRef>
    <cs:spPr>
      <a:pattFill prst="pct75">
        <a:fgClr>
          <a:srgbClr val="404040">
            <a:lumMod val="75000"/>
            <a:lumOff val="25000"/>
          </a:srgbClr>
        </a:fgClr>
        <a:bgClr>
          <a:srgbClr val="595959">
            <a:lumMod val="65000"/>
            <a:lumOff val="35000"/>
          </a:srgb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rgbClr val="FFFFFF"/>
    </cs:fontRef>
    <cs:spPr>
      <a:pattFill prst="pct75">
        <a:fgClr>
          <a:srgbClr val="404040">
            <a:lumMod val="75000"/>
            <a:lumOff val="25000"/>
          </a:srgbClr>
        </a:fgClr>
        <a:bgClr>
          <a:srgbClr val="595959">
            <a:lumMod val="65000"/>
            <a:lumOff val="35000"/>
          </a:srgb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rgbClr val="000000"/>
    </cs:fontRef>
    <cs:spPr>
      <a:solidFill>
        <a:srgbClr val="FFFFFF"/>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rgbClr val="000000"/>
    </cs:fontRef>
    <cs:spPr>
      <a:solidFill>
        <a:srgbClr val="FFFFFF"/>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rgbClr val="000000"/>
    </cs:fontRef>
    <cs:spPr>
      <a:ln w="31750" cap="rnd">
        <a:solidFill>
          <a:srgbClr val="FFFFFF">
            <a:alpha val="85000"/>
          </a:srgbClr>
        </a:solidFill>
        <a:round/>
      </a:ln>
    </cs:spPr>
  </cs:dataPointLine>
  <cs:dataPointMarker>
    <cs:lnRef idx="0"/>
    <cs:fillRef idx="0">
      <cs:styleClr val="auto"/>
    </cs:fillRef>
    <cs:effectRef idx="0"/>
    <cs:fontRef idx="minor">
      <a:srgbClr val="000000"/>
    </cs:fontRef>
    <cs:spPr>
      <a:solidFill>
        <a:srgbClr val="FFFFFF">
          <a:alpha val="85000"/>
        </a:srgbClr>
      </a:solidFill>
    </cs:spPr>
  </cs:dataPointMarker>
  <cs:dataPointMarkerLayout symbol="circle" size="6"/>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404040">
        <a:lumMod val="75000"/>
        <a:lumOff val="25000"/>
      </a:srgbClr>
    </cs:fontRef>
    <cs:spPr>
      <a:ln w="9525">
        <a:solidFill>
          <a:srgbClr val="A6A6A6">
            <a:lumMod val="35000"/>
            <a:lumOff val="65000"/>
          </a:srgbClr>
        </a:solidFill>
      </a:ln>
    </cs:spPr>
    <cs:defRPr sz="900" kern="1200"/>
  </cs:dataTable>
  <cs:downBar>
    <cs:lnRef idx="0"/>
    <cs:fillRef idx="0"/>
    <cs:effectRef idx="0"/>
    <cs:fontRef idx="minor">
      <a:srgbClr val="000000"/>
    </cs:fontRef>
    <cs:spPr>
      <a:solidFill>
        <a:srgbClr val="808080">
          <a:lumMod val="50000"/>
          <a:lumOff val="50000"/>
        </a:srgbClr>
      </a:solidFill>
      <a:ln w="9525">
        <a:solidFill>
          <a:srgbClr val="595959">
            <a:lumMod val="65000"/>
            <a:lumOff val="35000"/>
          </a:srgbClr>
        </a:solidFill>
      </a:ln>
    </cs:spPr>
  </cs:downBar>
  <cs:dropLine>
    <cs:lnRef idx="0"/>
    <cs:fillRef idx="0"/>
    <cs:effectRef idx="0"/>
    <cs:fontRef idx="minor">
      <a:srgbClr val="000000"/>
    </cs:fontRef>
    <cs:spPr>
      <a:ln w="9525">
        <a:solidFill>
          <a:srgbClr val="A6A6A6">
            <a:lumMod val="35000"/>
            <a:lumOff val="65000"/>
          </a:srgbClr>
        </a:solidFill>
        <a:prstDash val="dash"/>
      </a:ln>
    </cs:spPr>
  </cs:dropLine>
  <cs:errorBar>
    <cs:lnRef idx="0"/>
    <cs:fillRef idx="0"/>
    <cs:effectRef idx="0"/>
    <cs:fontRef idx="minor">
      <a:srgbClr val="000000"/>
    </cs:fontRef>
    <cs:spPr>
      <a:ln w="9525">
        <a:solidFill>
          <a:srgbClr val="595959">
            <a:lumMod val="65000"/>
            <a:lumOff val="35000"/>
          </a:srgbClr>
        </a:solidFill>
        <a:round/>
      </a:ln>
    </cs:spPr>
  </cs:errorBar>
  <cs:floor>
    <cs:lnRef idx="0"/>
    <cs:fillRef idx="0"/>
    <cs:effectRef idx="0"/>
    <cs:fontRef idx="minor">
      <a:srgbClr val="000000"/>
    </cs:fontRef>
  </cs:floor>
  <cs:gridlineMajor>
    <cs:lnRef idx="0"/>
    <cs:fillRef idx="0"/>
    <cs:effectRef idx="0"/>
    <cs:fontRef idx="minor">
      <a:srgbClr val="000000"/>
    </cs:fontRef>
    <cs:spPr>
      <a:ln w="9525" cap="flat" cmpd="sng" algn="ctr">
        <a:gradFill>
          <a:gsLst>
            <a:gs pos="100000">
              <a:srgbClr val="0D0D0D">
                <a:lumMod val="95000"/>
                <a:lumOff val="5000"/>
                <a:alpha val="42000"/>
              </a:srgbClr>
            </a:gs>
            <a:gs pos="0">
              <a:srgbClr val="BFBFBF">
                <a:lumMod val="75000"/>
                <a:alpha val="36000"/>
              </a:srgbClr>
            </a:gs>
          </a:gsLst>
          <a:lin ang="5400000" scaled="0"/>
        </a:gradFill>
        <a:round/>
      </a:ln>
    </cs:spPr>
  </cs:gridlineMajor>
  <cs:gridlineMinor>
    <cs:lnRef idx="0"/>
    <cs:fillRef idx="0"/>
    <cs:effectRef idx="0"/>
    <cs:fontRef idx="minor">
      <a:srgbClr val="000000"/>
    </cs:fontRef>
    <cs:spPr>
      <a:ln>
        <a:gradFill>
          <a:gsLst>
            <a:gs pos="100000">
              <a:srgbClr val="0D0D0D">
                <a:lumMod val="95000"/>
                <a:lumOff val="5000"/>
                <a:alpha val="42000"/>
              </a:srgbClr>
            </a:gs>
            <a:gs pos="0">
              <a:srgbClr val="BFBFBF">
                <a:lumMod val="75000"/>
                <a:alpha val="36000"/>
              </a:srgbClr>
            </a:gs>
          </a:gsLst>
          <a:lin ang="5400000" scaled="0"/>
        </a:gradFill>
      </a:ln>
    </cs:spPr>
  </cs:gridlineMinor>
  <cs:hiLoLine>
    <cs:lnRef idx="0"/>
    <cs:fillRef idx="0"/>
    <cs:effectRef idx="0"/>
    <cs:fontRef idx="minor">
      <a:srgbClr val="000000"/>
    </cs:fontRef>
    <cs:spPr>
      <a:ln w="9525">
        <a:solidFill>
          <a:srgbClr val="A6A6A6">
            <a:lumMod val="35000"/>
            <a:lumOff val="65000"/>
          </a:srgbClr>
        </a:solidFill>
        <a:prstDash val="dash"/>
      </a:ln>
    </cs:spPr>
  </cs:hiLoLine>
  <cs:leaderLine>
    <cs:lnRef idx="0"/>
    <cs:fillRef idx="0"/>
    <cs:effectRef idx="0"/>
    <cs:fontRef idx="minor">
      <a:srgbClr val="000000"/>
    </cs:fontRef>
    <cs:spPr>
      <a:ln w="9525">
        <a:solidFill>
          <a:srgbClr val="808080">
            <a:lumMod val="50000"/>
            <a:lumOff val="50000"/>
          </a:srgbClr>
        </a:solidFill>
      </a:ln>
    </cs:spPr>
  </cs:leaderLine>
  <cs:legend>
    <cs:lnRef idx="0"/>
    <cs:fillRef idx="0"/>
    <cs:effectRef idx="0"/>
    <cs:fontRef idx="minor">
      <a:srgbClr val="404040">
        <a:lumMod val="75000"/>
        <a:lumOff val="25000"/>
      </a:srgbClr>
    </cs:fontRef>
    <cs:spPr>
      <a:solidFill>
        <a:srgbClr val="F2F2F2">
          <a:lumMod val="95000"/>
          <a:alpha val="39000"/>
        </a:srgbClr>
      </a:solidFill>
    </cs:spPr>
    <cs:defRPr sz="900" kern="1200"/>
  </cs:legend>
  <cs:plotArea>
    <cs:lnRef idx="0"/>
    <cs:fillRef idx="0"/>
    <cs:effectRef idx="0"/>
    <cs:fontRef idx="minor">
      <a:srgbClr val="000000"/>
    </cs:fontRef>
  </cs:plotArea>
  <cs:plotArea3D>
    <cs:lnRef idx="0"/>
    <cs:fillRef idx="0"/>
    <cs:effectRef idx="0"/>
    <cs:fontRef idx="minor">
      <a:srgbClr val="000000"/>
    </cs:fontRef>
  </cs:plotArea3D>
  <cs:seriesAxis>
    <cs:lnRef idx="0"/>
    <cs:fillRef idx="0"/>
    <cs:effectRef idx="0"/>
    <cs:fontRef idx="minor">
      <a:srgbClr val="404040">
        <a:lumMod val="75000"/>
        <a:lumOff val="25000"/>
      </a:srgbClr>
    </cs:fontRef>
    <cs:spPr>
      <a:ln w="31750" cap="flat" cmpd="sng" algn="ctr">
        <a:solidFill>
          <a:srgbClr val="404040">
            <a:lumMod val="75000"/>
            <a:lumOff val="25000"/>
          </a:srgbClr>
        </a:solidFill>
        <a:round/>
      </a:ln>
    </cs:spPr>
    <cs:defRPr sz="900" kern="1200"/>
  </cs:seriesAxis>
  <cs:seriesLine>
    <cs:lnRef idx="0"/>
    <cs:fillRef idx="0"/>
    <cs:effectRef idx="0"/>
    <cs:fontRef idx="minor">
      <a:srgbClr val="000000"/>
    </cs:fontRef>
    <cs:spPr>
      <a:ln w="9525">
        <a:solidFill>
          <a:srgbClr val="808080">
            <a:lumMod val="50000"/>
            <a:lumOff val="50000"/>
          </a:srgbClr>
        </a:solidFill>
        <a:round/>
      </a:ln>
    </cs:spPr>
  </cs:seriesLine>
  <cs:title>
    <cs:lnRef idx="0"/>
    <cs:fillRef idx="0"/>
    <cs:effectRef idx="0"/>
    <cs:fontRef idx="minor">
      <a:srgbClr val="404040">
        <a:lumMod val="75000"/>
        <a:lumOff val="25000"/>
      </a:srgbClr>
    </cs:fontRef>
    <cs:defRPr sz="1800" b="1" kern="1200" baseline="0"/>
  </cs:title>
  <cs:trendline>
    <cs:lnRef idx="0">
      <cs:styleClr val="auto"/>
    </cs:lnRef>
    <cs:fillRef idx="0"/>
    <cs:effectRef idx="0"/>
    <cs:fontRef idx="minor">
      <a:srgbClr val="000000"/>
    </cs:fontRef>
    <cs:spPr>
      <a:ln w="19050" cap="rnd">
        <a:solidFill>
          <a:srgbClr val="FFFFFF"/>
        </a:solidFill>
      </a:ln>
    </cs:spPr>
  </cs:trendline>
  <cs:trendlineLabel>
    <cs:lnRef idx="0"/>
    <cs:fillRef idx="0"/>
    <cs:effectRef idx="0"/>
    <cs:fontRef idx="minor">
      <a:srgbClr val="404040">
        <a:lumMod val="75000"/>
        <a:lumOff val="25000"/>
      </a:srgbClr>
    </cs:fontRef>
    <cs:defRPr sz="900" kern="1200"/>
  </cs:trendlineLabel>
  <cs:upBar>
    <cs:lnRef idx="0"/>
    <cs:fillRef idx="0"/>
    <cs:effectRef idx="0"/>
    <cs:fontRef idx="minor">
      <a:srgbClr val="000000"/>
    </cs:fontRef>
    <cs:spPr>
      <a:solidFill>
        <a:srgbClr val="FFFFFF"/>
      </a:solidFill>
      <a:ln w="9525">
        <a:solidFill>
          <a:srgbClr val="595959">
            <a:lumMod val="65000"/>
            <a:lumOff val="35000"/>
          </a:srgbClr>
        </a:solidFill>
      </a:ln>
    </cs:spPr>
  </cs:upBar>
  <cs:valueAxis>
    <cs:lnRef idx="0"/>
    <cs:fillRef idx="0"/>
    <cs:effectRef idx="0"/>
    <cs:fontRef idx="minor">
      <a:srgbClr val="404040">
        <a:lumMod val="75000"/>
        <a:lumOff val="25000"/>
      </a:srgbClr>
    </cs:fontRef>
    <cs:spPr>
      <a:ln>
        <a:noFill/>
      </a:ln>
    </cs:spPr>
    <cs:defRPr sz="900" kern="1200"/>
  </cs:valueAxis>
  <cs:wall>
    <cs:lnRef idx="0"/>
    <cs:fillRef idx="0"/>
    <cs:effectRef idx="0"/>
    <cs:fontRef idx="minor">
      <a:srgbClr val="000000"/>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rgbClr val="404040">
        <a:lumMod val="75000"/>
        <a:lumOff val="25000"/>
      </a:srgbClr>
    </cs:fontRef>
    <cs:defRPr sz="900" b="1" kern="1200"/>
  </cs:axisTitle>
  <cs:categoryAxis>
    <cs:lnRef idx="0"/>
    <cs:fillRef idx="0"/>
    <cs:effectRef idx="0"/>
    <cs:fontRef idx="minor">
      <a:srgbClr val="404040">
        <a:lumMod val="75000"/>
        <a:lumOff val="25000"/>
      </a:srgbClr>
    </cs:fontRef>
    <cs:spPr>
      <a:ln w="19050" cap="flat" cmpd="sng" algn="ctr">
        <a:solidFill>
          <a:srgbClr val="404040">
            <a:lumMod val="75000"/>
            <a:lumOff val="25000"/>
          </a:srgbClr>
        </a:solidFill>
        <a:round/>
      </a:ln>
    </cs:spPr>
    <cs:defRPr sz="900" kern="1200" cap="all" baseline="0"/>
  </cs:categoryAxis>
  <cs:chartArea>
    <cs:lnRef idx="0"/>
    <cs:fillRef idx="0"/>
    <cs:effectRef idx="0"/>
    <cs:fontRef idx="minor">
      <a:srgbClr val="000000"/>
    </cs:fontRef>
    <cs: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cs:spPr>
    <cs:defRPr sz="900" kern="1200"/>
  </cs:chartArea>
  <cs:dataLabel>
    <cs:lnRef idx="0"/>
    <cs:fillRef idx="0"/>
    <cs:effectRef idx="0"/>
    <cs:fontRef idx="minor">
      <a:srgbClr val="FFFFFF"/>
    </cs:fontRef>
    <cs:spPr>
      <a:pattFill prst="pct75">
        <a:fgClr>
          <a:srgbClr val="404040">
            <a:lumMod val="75000"/>
            <a:lumOff val="25000"/>
          </a:srgbClr>
        </a:fgClr>
        <a:bgClr>
          <a:srgbClr val="595959">
            <a:lumMod val="65000"/>
            <a:lumOff val="35000"/>
          </a:srgb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rgbClr val="FFFFFF"/>
    </cs:fontRef>
    <cs:spPr>
      <a:pattFill prst="pct75">
        <a:fgClr>
          <a:srgbClr val="404040">
            <a:lumMod val="75000"/>
            <a:lumOff val="25000"/>
          </a:srgbClr>
        </a:fgClr>
        <a:bgClr>
          <a:srgbClr val="595959">
            <a:lumMod val="65000"/>
            <a:lumOff val="35000"/>
          </a:srgb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rgbClr val="000000"/>
    </cs:fontRef>
    <cs:spPr>
      <a:solidFill>
        <a:srgbClr val="FFFFFF"/>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rgbClr val="000000"/>
    </cs:fontRef>
    <cs:spPr>
      <a:solidFill>
        <a:srgbClr val="FFFFFF"/>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rgbClr val="000000"/>
    </cs:fontRef>
    <cs:spPr>
      <a:ln w="31750" cap="rnd">
        <a:solidFill>
          <a:srgbClr val="FFFFFF">
            <a:alpha val="85000"/>
          </a:srgbClr>
        </a:solidFill>
        <a:round/>
      </a:ln>
    </cs:spPr>
  </cs:dataPointLine>
  <cs:dataPointMarker>
    <cs:lnRef idx="0"/>
    <cs:fillRef idx="0">
      <cs:styleClr val="auto"/>
    </cs:fillRef>
    <cs:effectRef idx="0"/>
    <cs:fontRef idx="minor">
      <a:srgbClr val="000000"/>
    </cs:fontRef>
    <cs:spPr>
      <a:solidFill>
        <a:srgbClr val="FFFFFF">
          <a:alpha val="85000"/>
        </a:srgbClr>
      </a:solidFill>
    </cs:spPr>
  </cs:dataPointMarker>
  <cs:dataPointMarkerLayout symbol="circle" size="6"/>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404040">
        <a:lumMod val="75000"/>
        <a:lumOff val="25000"/>
      </a:srgbClr>
    </cs:fontRef>
    <cs:spPr>
      <a:ln w="9525">
        <a:solidFill>
          <a:srgbClr val="A6A6A6">
            <a:lumMod val="35000"/>
            <a:lumOff val="65000"/>
          </a:srgbClr>
        </a:solidFill>
      </a:ln>
    </cs:spPr>
    <cs:defRPr sz="900" kern="1200"/>
  </cs:dataTable>
  <cs:downBar>
    <cs:lnRef idx="0"/>
    <cs:fillRef idx="0"/>
    <cs:effectRef idx="0"/>
    <cs:fontRef idx="minor">
      <a:srgbClr val="000000"/>
    </cs:fontRef>
    <cs:spPr>
      <a:solidFill>
        <a:srgbClr val="808080">
          <a:lumMod val="50000"/>
          <a:lumOff val="50000"/>
        </a:srgbClr>
      </a:solidFill>
      <a:ln w="9525">
        <a:solidFill>
          <a:srgbClr val="595959">
            <a:lumMod val="65000"/>
            <a:lumOff val="35000"/>
          </a:srgbClr>
        </a:solidFill>
      </a:ln>
    </cs:spPr>
  </cs:downBar>
  <cs:dropLine>
    <cs:lnRef idx="0"/>
    <cs:fillRef idx="0"/>
    <cs:effectRef idx="0"/>
    <cs:fontRef idx="minor">
      <a:srgbClr val="000000"/>
    </cs:fontRef>
    <cs:spPr>
      <a:ln w="9525">
        <a:solidFill>
          <a:srgbClr val="A6A6A6">
            <a:lumMod val="35000"/>
            <a:lumOff val="65000"/>
          </a:srgbClr>
        </a:solidFill>
        <a:prstDash val="dash"/>
      </a:ln>
    </cs:spPr>
  </cs:dropLine>
  <cs:errorBar>
    <cs:lnRef idx="0"/>
    <cs:fillRef idx="0"/>
    <cs:effectRef idx="0"/>
    <cs:fontRef idx="minor">
      <a:srgbClr val="000000"/>
    </cs:fontRef>
    <cs:spPr>
      <a:ln w="9525">
        <a:solidFill>
          <a:srgbClr val="595959">
            <a:lumMod val="65000"/>
            <a:lumOff val="35000"/>
          </a:srgbClr>
        </a:solidFill>
        <a:round/>
      </a:ln>
    </cs:spPr>
  </cs:errorBar>
  <cs:floor>
    <cs:lnRef idx="0"/>
    <cs:fillRef idx="0"/>
    <cs:effectRef idx="0"/>
    <cs:fontRef idx="minor">
      <a:srgbClr val="000000"/>
    </cs:fontRef>
  </cs:floor>
  <cs:gridlineMajor>
    <cs:lnRef idx="0"/>
    <cs:fillRef idx="0"/>
    <cs:effectRef idx="0"/>
    <cs:fontRef idx="minor">
      <a:srgbClr val="000000"/>
    </cs:fontRef>
    <cs:spPr>
      <a:ln w="9525" cap="flat" cmpd="sng" algn="ctr">
        <a:gradFill>
          <a:gsLst>
            <a:gs pos="100000">
              <a:srgbClr val="0D0D0D">
                <a:lumMod val="95000"/>
                <a:lumOff val="5000"/>
                <a:alpha val="42000"/>
              </a:srgbClr>
            </a:gs>
            <a:gs pos="0">
              <a:srgbClr val="BFBFBF">
                <a:lumMod val="75000"/>
                <a:alpha val="36000"/>
              </a:srgbClr>
            </a:gs>
          </a:gsLst>
          <a:lin ang="5400000" scaled="0"/>
        </a:gradFill>
        <a:round/>
      </a:ln>
    </cs:spPr>
  </cs:gridlineMajor>
  <cs:gridlineMinor>
    <cs:lnRef idx="0"/>
    <cs:fillRef idx="0"/>
    <cs:effectRef idx="0"/>
    <cs:fontRef idx="minor">
      <a:srgbClr val="000000"/>
    </cs:fontRef>
    <cs:spPr>
      <a:ln>
        <a:gradFill>
          <a:gsLst>
            <a:gs pos="100000">
              <a:srgbClr val="0D0D0D">
                <a:lumMod val="95000"/>
                <a:lumOff val="5000"/>
                <a:alpha val="42000"/>
              </a:srgbClr>
            </a:gs>
            <a:gs pos="0">
              <a:srgbClr val="BFBFBF">
                <a:lumMod val="75000"/>
                <a:alpha val="36000"/>
              </a:srgbClr>
            </a:gs>
          </a:gsLst>
          <a:lin ang="5400000" scaled="0"/>
        </a:gradFill>
      </a:ln>
    </cs:spPr>
  </cs:gridlineMinor>
  <cs:hiLoLine>
    <cs:lnRef idx="0"/>
    <cs:fillRef idx="0"/>
    <cs:effectRef idx="0"/>
    <cs:fontRef idx="minor">
      <a:srgbClr val="000000"/>
    </cs:fontRef>
    <cs:spPr>
      <a:ln w="9525">
        <a:solidFill>
          <a:srgbClr val="A6A6A6">
            <a:lumMod val="35000"/>
            <a:lumOff val="65000"/>
          </a:srgbClr>
        </a:solidFill>
        <a:prstDash val="dash"/>
      </a:ln>
    </cs:spPr>
  </cs:hiLoLine>
  <cs:leaderLine>
    <cs:lnRef idx="0"/>
    <cs:fillRef idx="0"/>
    <cs:effectRef idx="0"/>
    <cs:fontRef idx="minor">
      <a:srgbClr val="000000"/>
    </cs:fontRef>
    <cs:spPr>
      <a:ln w="9525">
        <a:solidFill>
          <a:srgbClr val="808080">
            <a:lumMod val="50000"/>
            <a:lumOff val="50000"/>
          </a:srgbClr>
        </a:solidFill>
      </a:ln>
    </cs:spPr>
  </cs:leaderLine>
  <cs:legend>
    <cs:lnRef idx="0"/>
    <cs:fillRef idx="0"/>
    <cs:effectRef idx="0"/>
    <cs:fontRef idx="minor">
      <a:srgbClr val="404040">
        <a:lumMod val="75000"/>
        <a:lumOff val="25000"/>
      </a:srgbClr>
    </cs:fontRef>
    <cs:spPr>
      <a:solidFill>
        <a:srgbClr val="F2F2F2">
          <a:lumMod val="95000"/>
          <a:alpha val="39000"/>
        </a:srgbClr>
      </a:solidFill>
    </cs:spPr>
    <cs:defRPr sz="900" kern="1200"/>
  </cs:legend>
  <cs:plotArea>
    <cs:lnRef idx="0"/>
    <cs:fillRef idx="0"/>
    <cs:effectRef idx="0"/>
    <cs:fontRef idx="minor">
      <a:srgbClr val="000000"/>
    </cs:fontRef>
  </cs:plotArea>
  <cs:plotArea3D>
    <cs:lnRef idx="0"/>
    <cs:fillRef idx="0"/>
    <cs:effectRef idx="0"/>
    <cs:fontRef idx="minor">
      <a:srgbClr val="000000"/>
    </cs:fontRef>
  </cs:plotArea3D>
  <cs:seriesAxis>
    <cs:lnRef idx="0"/>
    <cs:fillRef idx="0"/>
    <cs:effectRef idx="0"/>
    <cs:fontRef idx="minor">
      <a:srgbClr val="404040">
        <a:lumMod val="75000"/>
        <a:lumOff val="25000"/>
      </a:srgbClr>
    </cs:fontRef>
    <cs:spPr>
      <a:ln w="31750" cap="flat" cmpd="sng" algn="ctr">
        <a:solidFill>
          <a:srgbClr val="404040">
            <a:lumMod val="75000"/>
            <a:lumOff val="25000"/>
          </a:srgbClr>
        </a:solidFill>
        <a:round/>
      </a:ln>
    </cs:spPr>
    <cs:defRPr sz="900" kern="1200"/>
  </cs:seriesAxis>
  <cs:seriesLine>
    <cs:lnRef idx="0"/>
    <cs:fillRef idx="0"/>
    <cs:effectRef idx="0"/>
    <cs:fontRef idx="minor">
      <a:srgbClr val="000000"/>
    </cs:fontRef>
    <cs:spPr>
      <a:ln w="9525">
        <a:solidFill>
          <a:srgbClr val="808080">
            <a:lumMod val="50000"/>
            <a:lumOff val="50000"/>
          </a:srgbClr>
        </a:solidFill>
        <a:round/>
      </a:ln>
    </cs:spPr>
  </cs:seriesLine>
  <cs:title>
    <cs:lnRef idx="0"/>
    <cs:fillRef idx="0"/>
    <cs:effectRef idx="0"/>
    <cs:fontRef idx="minor">
      <a:srgbClr val="404040">
        <a:lumMod val="75000"/>
        <a:lumOff val="25000"/>
      </a:srgbClr>
    </cs:fontRef>
    <cs:defRPr sz="1800" b="1" kern="1200" baseline="0"/>
  </cs:title>
  <cs:trendline>
    <cs:lnRef idx="0">
      <cs:styleClr val="auto"/>
    </cs:lnRef>
    <cs:fillRef idx="0"/>
    <cs:effectRef idx="0"/>
    <cs:fontRef idx="minor">
      <a:srgbClr val="000000"/>
    </cs:fontRef>
    <cs:spPr>
      <a:ln w="19050" cap="rnd">
        <a:solidFill>
          <a:srgbClr val="FFFFFF"/>
        </a:solidFill>
      </a:ln>
    </cs:spPr>
  </cs:trendline>
  <cs:trendlineLabel>
    <cs:lnRef idx="0"/>
    <cs:fillRef idx="0"/>
    <cs:effectRef idx="0"/>
    <cs:fontRef idx="minor">
      <a:srgbClr val="404040">
        <a:lumMod val="75000"/>
        <a:lumOff val="25000"/>
      </a:srgbClr>
    </cs:fontRef>
    <cs:defRPr sz="900" kern="1200"/>
  </cs:trendlineLabel>
  <cs:upBar>
    <cs:lnRef idx="0"/>
    <cs:fillRef idx="0"/>
    <cs:effectRef idx="0"/>
    <cs:fontRef idx="minor">
      <a:srgbClr val="000000"/>
    </cs:fontRef>
    <cs:spPr>
      <a:solidFill>
        <a:srgbClr val="FFFFFF"/>
      </a:solidFill>
      <a:ln w="9525">
        <a:solidFill>
          <a:srgbClr val="595959">
            <a:lumMod val="65000"/>
            <a:lumOff val="35000"/>
          </a:srgbClr>
        </a:solidFill>
      </a:ln>
    </cs:spPr>
  </cs:upBar>
  <cs:valueAxis>
    <cs:lnRef idx="0"/>
    <cs:fillRef idx="0"/>
    <cs:effectRef idx="0"/>
    <cs:fontRef idx="minor">
      <a:srgbClr val="404040">
        <a:lumMod val="75000"/>
        <a:lumOff val="25000"/>
      </a:srgbClr>
    </cs:fontRef>
    <cs:spPr>
      <a:ln>
        <a:noFill/>
      </a:ln>
    </cs:spPr>
    <cs:defRPr sz="900" kern="1200"/>
  </cs:valueAxis>
  <cs:wall>
    <cs:lnRef idx="0"/>
    <cs:fillRef idx="0"/>
    <cs:effectRef idx="0"/>
    <cs:fontRef idx="minor">
      <a:srgbClr val="000000"/>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rgbClr val="404040">
        <a:lumMod val="75000"/>
        <a:lumOff val="25000"/>
      </a:srgbClr>
    </cs:fontRef>
    <cs:defRPr sz="900" b="1" kern="1200"/>
  </cs:axisTitle>
  <cs:categoryAxis>
    <cs:lnRef idx="0"/>
    <cs:fillRef idx="0"/>
    <cs:effectRef idx="0"/>
    <cs:fontRef idx="minor">
      <a:srgbClr val="404040">
        <a:lumMod val="75000"/>
        <a:lumOff val="25000"/>
      </a:srgbClr>
    </cs:fontRef>
    <cs:spPr>
      <a:ln w="19050" cap="flat" cmpd="sng" algn="ctr">
        <a:solidFill>
          <a:srgbClr val="404040">
            <a:lumMod val="75000"/>
            <a:lumOff val="25000"/>
          </a:srgbClr>
        </a:solidFill>
        <a:round/>
      </a:ln>
    </cs:spPr>
    <cs:defRPr sz="900" kern="1200" cap="all" baseline="0"/>
  </cs:categoryAxis>
  <cs:chartArea>
    <cs:lnRef idx="0"/>
    <cs:fillRef idx="0"/>
    <cs:effectRef idx="0"/>
    <cs:fontRef idx="minor">
      <a:srgbClr val="000000"/>
    </cs:fontRef>
    <cs: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cs:spPr>
    <cs:defRPr sz="900" kern="1200"/>
  </cs:chartArea>
  <cs:dataLabel>
    <cs:lnRef idx="0"/>
    <cs:fillRef idx="0"/>
    <cs:effectRef idx="0"/>
    <cs:fontRef idx="minor">
      <a:srgbClr val="FFFFFF"/>
    </cs:fontRef>
    <cs:defRPr sz="900" b="1" i="0" u="none" strike="noStrike" kern="1200" baseline="0"/>
  </cs:dataLabel>
  <cs:dataLabelCallout>
    <cs:lnRef idx="0"/>
    <cs:fillRef idx="0"/>
    <cs:effectRef idx="0"/>
    <cs:fontRef idx="minor">
      <a:srgbClr val="FFFFFF"/>
    </cs:fontRef>
    <cs:spPr>
      <a:solidFill>
        <a:srgbClr val="595959">
          <a:lumMod val="65000"/>
          <a:lumOff val="35000"/>
          <a:alpha val="75000"/>
        </a:srgb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rgbClr val="000000"/>
    </cs:fontRef>
    <cs:spPr>
      <a:solidFill>
        <a:srgbClr val="FFFFFF">
          <a:alpha val="85000"/>
        </a:srgbClr>
      </a:solidFill>
      <a:ln w="9525" cap="flat" cmpd="sng" algn="ctr">
        <a:solidFill>
          <a:srgbClr val="FFFFFF">
            <a:alpha val="50000"/>
          </a:srgbClr>
        </a:solidFill>
        <a:round/>
      </a:ln>
    </cs:spPr>
  </cs:dataPoint>
  <cs:dataPoint3D>
    <cs:lnRef idx="0"/>
    <cs:fillRef idx="0">
      <cs:styleClr val="auto"/>
    </cs:fillRef>
    <cs:effectRef idx="0"/>
    <cs:fontRef idx="minor">
      <a:srgbClr val="000000"/>
    </cs:fontRef>
    <cs:spPr>
      <a:solidFill>
        <a:srgbClr val="FFFFFF">
          <a:alpha val="85000"/>
        </a:srgbClr>
      </a:solidFill>
      <a:ln w="9525" cap="flat" cmpd="sng" algn="ctr">
        <a:solidFill>
          <a:srgbClr val="FFFFFF">
            <a:alpha val="50000"/>
          </a:srgbClr>
        </a:solidFill>
        <a:round/>
      </a:ln>
    </cs:spPr>
  </cs:dataPoint3D>
  <cs:dataPointLine>
    <cs:lnRef idx="0">
      <cs:styleClr val="auto"/>
    </cs:lnRef>
    <cs:fillRef idx="0"/>
    <cs:effectRef idx="0"/>
    <cs:fontRef idx="minor">
      <a:srgbClr val="000000"/>
    </cs:fontRef>
    <cs:spPr>
      <a:ln w="31750" cap="rnd">
        <a:solidFill>
          <a:srgbClr val="FFFFFF">
            <a:alpha val="85000"/>
          </a:srgbClr>
        </a:solidFill>
        <a:round/>
      </a:ln>
    </cs:spPr>
  </cs:dataPointLine>
  <cs:dataPointMarker>
    <cs:lnRef idx="0"/>
    <cs:fillRef idx="0">
      <cs:styleClr val="auto"/>
    </cs:fillRef>
    <cs:effectRef idx="0"/>
    <cs:fontRef idx="minor">
      <a:srgbClr val="000000"/>
    </cs:fontRef>
    <cs:spPr>
      <a:solidFill>
        <a:srgbClr val="FFFFFF">
          <a:alpha val="85000"/>
        </a:srgbClr>
      </a:solidFill>
    </cs:spPr>
  </cs:dataPointMarker>
  <cs:dataPointMarkerLayout symbol="circle" size="6"/>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404040">
        <a:lumMod val="75000"/>
        <a:lumOff val="25000"/>
      </a:srgbClr>
    </cs:fontRef>
    <cs:spPr>
      <a:ln w="9525">
        <a:solidFill>
          <a:srgbClr val="A6A6A6">
            <a:lumMod val="35000"/>
            <a:lumOff val="65000"/>
          </a:srgbClr>
        </a:solidFill>
      </a:ln>
    </cs:spPr>
    <cs:defRPr sz="900" kern="1200"/>
  </cs:dataTable>
  <cs:downBar>
    <cs:lnRef idx="0"/>
    <cs:fillRef idx="0"/>
    <cs:effectRef idx="0"/>
    <cs:fontRef idx="minor">
      <a:srgbClr val="000000"/>
    </cs:fontRef>
    <cs:spPr>
      <a:solidFill>
        <a:srgbClr val="808080">
          <a:lumMod val="50000"/>
          <a:lumOff val="50000"/>
        </a:srgbClr>
      </a:solidFill>
      <a:ln w="9525">
        <a:solidFill>
          <a:srgbClr val="595959">
            <a:lumMod val="65000"/>
            <a:lumOff val="35000"/>
          </a:srgbClr>
        </a:solidFill>
      </a:ln>
    </cs:spPr>
  </cs:downBar>
  <cs:dropLine>
    <cs:lnRef idx="0"/>
    <cs:fillRef idx="0"/>
    <cs:effectRef idx="0"/>
    <cs:fontRef idx="minor">
      <a:srgbClr val="000000"/>
    </cs:fontRef>
    <cs:spPr>
      <a:ln w="9525">
        <a:solidFill>
          <a:srgbClr val="A6A6A6">
            <a:lumMod val="35000"/>
            <a:lumOff val="65000"/>
          </a:srgbClr>
        </a:solidFill>
        <a:prstDash val="dash"/>
      </a:ln>
    </cs:spPr>
  </cs:dropLine>
  <cs:errorBar>
    <cs:lnRef idx="0"/>
    <cs:fillRef idx="0"/>
    <cs:effectRef idx="0"/>
    <cs:fontRef idx="minor">
      <a:srgbClr val="000000"/>
    </cs:fontRef>
    <cs:spPr>
      <a:ln w="9525">
        <a:solidFill>
          <a:srgbClr val="595959">
            <a:lumMod val="65000"/>
            <a:lumOff val="35000"/>
          </a:srgbClr>
        </a:solidFill>
        <a:round/>
      </a:ln>
    </cs:spPr>
  </cs:errorBar>
  <cs:floor>
    <cs:lnRef idx="0"/>
    <cs:fillRef idx="0"/>
    <cs:effectRef idx="0"/>
    <cs:fontRef idx="minor">
      <a:srgbClr val="000000"/>
    </cs:fontRef>
  </cs:floor>
  <cs:gridlineMajor>
    <cs:lnRef idx="0"/>
    <cs:fillRef idx="0"/>
    <cs:effectRef idx="0"/>
    <cs:fontRef idx="minor">
      <a:srgbClr val="000000"/>
    </cs:fontRef>
    <cs:spPr>
      <a:ln w="9525" cap="flat" cmpd="sng" algn="ctr">
        <a:gradFill>
          <a:gsLst>
            <a:gs pos="100000">
              <a:srgbClr val="0D0D0D">
                <a:lumMod val="95000"/>
                <a:lumOff val="5000"/>
                <a:alpha val="42000"/>
              </a:srgbClr>
            </a:gs>
            <a:gs pos="0">
              <a:srgbClr val="BFBFBF">
                <a:lumMod val="75000"/>
                <a:alpha val="36000"/>
              </a:srgbClr>
            </a:gs>
          </a:gsLst>
          <a:lin ang="5400000" scaled="0"/>
        </a:gradFill>
        <a:round/>
      </a:ln>
    </cs:spPr>
  </cs:gridlineMajor>
  <cs:gridlineMinor>
    <cs:lnRef idx="0"/>
    <cs:fillRef idx="0"/>
    <cs:effectRef idx="0"/>
    <cs:fontRef idx="minor">
      <a:srgbClr val="000000"/>
    </cs:fontRef>
    <cs:spPr>
      <a:ln>
        <a:gradFill>
          <a:gsLst>
            <a:gs pos="100000">
              <a:srgbClr val="0D0D0D">
                <a:lumMod val="95000"/>
                <a:lumOff val="5000"/>
                <a:alpha val="42000"/>
              </a:srgbClr>
            </a:gs>
            <a:gs pos="0">
              <a:srgbClr val="BFBFBF">
                <a:lumMod val="75000"/>
                <a:alpha val="36000"/>
              </a:srgbClr>
            </a:gs>
          </a:gsLst>
          <a:lin ang="5400000" scaled="0"/>
        </a:gradFill>
      </a:ln>
    </cs:spPr>
  </cs:gridlineMinor>
  <cs:hiLoLine>
    <cs:lnRef idx="0"/>
    <cs:fillRef idx="0"/>
    <cs:effectRef idx="0"/>
    <cs:fontRef idx="minor">
      <a:srgbClr val="000000"/>
    </cs:fontRef>
    <cs:spPr>
      <a:ln w="9525">
        <a:solidFill>
          <a:srgbClr val="A6A6A6">
            <a:lumMod val="35000"/>
            <a:lumOff val="65000"/>
          </a:srgbClr>
        </a:solidFill>
        <a:prstDash val="dash"/>
      </a:ln>
    </cs:spPr>
  </cs:hiLoLine>
  <cs:leaderLine>
    <cs:lnRef idx="0"/>
    <cs:fillRef idx="0"/>
    <cs:effectRef idx="0"/>
    <cs:fontRef idx="minor">
      <a:srgbClr val="000000"/>
    </cs:fontRef>
    <cs:spPr>
      <a:ln w="9525">
        <a:solidFill>
          <a:srgbClr val="808080">
            <a:lumMod val="50000"/>
            <a:lumOff val="50000"/>
          </a:srgbClr>
        </a:solidFill>
      </a:ln>
    </cs:spPr>
  </cs:leaderLine>
  <cs:legend>
    <cs:lnRef idx="0"/>
    <cs:fillRef idx="0"/>
    <cs:effectRef idx="0"/>
    <cs:fontRef idx="minor">
      <a:srgbClr val="404040">
        <a:lumMod val="75000"/>
        <a:lumOff val="25000"/>
      </a:srgbClr>
    </cs:fontRef>
    <cs:spPr>
      <a:solidFill>
        <a:srgbClr val="F2F2F2">
          <a:lumMod val="95000"/>
          <a:alpha val="39000"/>
        </a:srgbClr>
      </a:solidFill>
    </cs:spPr>
    <cs:defRPr sz="900" kern="1200"/>
  </cs:legend>
  <cs:plotArea>
    <cs:lnRef idx="0"/>
    <cs:fillRef idx="0"/>
    <cs:effectRef idx="0"/>
    <cs:fontRef idx="minor">
      <a:srgbClr val="000000"/>
    </cs:fontRef>
  </cs:plotArea>
  <cs:plotArea3D>
    <cs:lnRef idx="0"/>
    <cs:fillRef idx="0"/>
    <cs:effectRef idx="0"/>
    <cs:fontRef idx="minor">
      <a:srgbClr val="000000"/>
    </cs:fontRef>
  </cs:plotArea3D>
  <cs:seriesAxis>
    <cs:lnRef idx="0"/>
    <cs:fillRef idx="0"/>
    <cs:effectRef idx="0"/>
    <cs:fontRef idx="minor">
      <a:srgbClr val="404040">
        <a:lumMod val="75000"/>
        <a:lumOff val="25000"/>
      </a:srgbClr>
    </cs:fontRef>
    <cs:spPr>
      <a:ln w="31750" cap="flat" cmpd="sng" algn="ctr">
        <a:solidFill>
          <a:srgbClr val="404040">
            <a:lumMod val="75000"/>
            <a:lumOff val="25000"/>
          </a:srgbClr>
        </a:solidFill>
        <a:round/>
      </a:ln>
    </cs:spPr>
    <cs:defRPr sz="900" kern="1200"/>
  </cs:seriesAxis>
  <cs:seriesLine>
    <cs:lnRef idx="0"/>
    <cs:fillRef idx="0"/>
    <cs:effectRef idx="0"/>
    <cs:fontRef idx="minor">
      <a:srgbClr val="000000"/>
    </cs:fontRef>
    <cs:spPr>
      <a:ln w="9525">
        <a:solidFill>
          <a:srgbClr val="808080">
            <a:lumMod val="50000"/>
            <a:lumOff val="50000"/>
          </a:srgbClr>
        </a:solidFill>
        <a:round/>
      </a:ln>
    </cs:spPr>
  </cs:seriesLine>
  <cs:title>
    <cs:lnRef idx="0"/>
    <cs:fillRef idx="0"/>
    <cs:effectRef idx="0"/>
    <cs:fontRef idx="minor">
      <a:srgbClr val="404040">
        <a:lumMod val="75000"/>
        <a:lumOff val="25000"/>
      </a:srgbClr>
    </cs:fontRef>
    <cs:defRPr sz="1800" b="1" kern="1200" baseline="0"/>
  </cs:title>
  <cs:trendline>
    <cs:lnRef idx="0">
      <cs:styleClr val="auto"/>
    </cs:lnRef>
    <cs:fillRef idx="0"/>
    <cs:effectRef idx="0"/>
    <cs:fontRef idx="minor">
      <a:srgbClr val="000000"/>
    </cs:fontRef>
    <cs:spPr>
      <a:ln w="19050" cap="rnd">
        <a:solidFill>
          <a:srgbClr val="FFFFFF"/>
        </a:solidFill>
      </a:ln>
    </cs:spPr>
  </cs:trendline>
  <cs:trendlineLabel>
    <cs:lnRef idx="0"/>
    <cs:fillRef idx="0"/>
    <cs:effectRef idx="0"/>
    <cs:fontRef idx="minor">
      <a:srgbClr val="404040">
        <a:lumMod val="75000"/>
        <a:lumOff val="25000"/>
      </a:srgbClr>
    </cs:fontRef>
    <cs:defRPr sz="900" kern="1200"/>
  </cs:trendlineLabel>
  <cs:upBar>
    <cs:lnRef idx="0"/>
    <cs:fillRef idx="0"/>
    <cs:effectRef idx="0"/>
    <cs:fontRef idx="minor">
      <a:srgbClr val="000000"/>
    </cs:fontRef>
    <cs:spPr>
      <a:solidFill>
        <a:srgbClr val="FFFFFF"/>
      </a:solidFill>
      <a:ln w="9525">
        <a:solidFill>
          <a:srgbClr val="595959">
            <a:lumMod val="65000"/>
            <a:lumOff val="35000"/>
          </a:srgbClr>
        </a:solidFill>
      </a:ln>
    </cs:spPr>
  </cs:upBar>
  <cs:valueAxis>
    <cs:lnRef idx="0"/>
    <cs:fillRef idx="0"/>
    <cs:effectRef idx="0"/>
    <cs:fontRef idx="minor">
      <a:srgbClr val="404040">
        <a:lumMod val="75000"/>
        <a:lumOff val="25000"/>
      </a:srgbClr>
    </cs:fontRef>
    <cs:spPr>
      <a:ln>
        <a:noFill/>
      </a:ln>
    </cs:spPr>
    <cs:defRPr sz="900" kern="1200"/>
  </cs:valueAxis>
  <cs:wall>
    <cs:lnRef idx="0"/>
    <cs:fillRef idx="0"/>
    <cs:effectRef idx="0"/>
    <cs:fontRef idx="minor">
      <a:srgbClr val="000000"/>
    </cs:fontRef>
  </cs:wall>
</cs:chartStyle>
</file>

<file path=word/charts/style5.xml><?xml version="1.0" encoding="utf-8"?>
<cs:chartStyle xmlns:cs="http://schemas.microsoft.com/office/drawing/2012/chartStyle" xmlns:a="http://schemas.openxmlformats.org/drawingml/2006/main" id="264">
  <cs:axisTitle>
    <cs:lnRef idx="0"/>
    <cs:fillRef idx="0"/>
    <cs:effectRef idx="0"/>
    <cs:fontRef idx="minor">
      <a:srgbClr val="404040">
        <a:lumMod val="75000"/>
        <a:lumOff val="25000"/>
      </a:srgbClr>
    </cs:fontRef>
    <cs:defRPr sz="900" b="1" kern="1200"/>
  </cs:axisTitle>
  <cs:categoryAxis>
    <cs:lnRef idx="0"/>
    <cs:fillRef idx="0"/>
    <cs:effectRef idx="0"/>
    <cs:fontRef idx="minor">
      <a:srgbClr val="404040">
        <a:lumMod val="75000"/>
        <a:lumOff val="25000"/>
      </a:srgbClr>
    </cs:fontRef>
    <cs:spPr>
      <a:ln w="19050" cap="flat" cmpd="sng" algn="ctr">
        <a:solidFill>
          <a:srgbClr val="404040">
            <a:lumMod val="75000"/>
            <a:lumOff val="25000"/>
          </a:srgbClr>
        </a:solidFill>
        <a:round/>
      </a:ln>
    </cs:spPr>
    <cs:defRPr sz="900" kern="1200" cap="all" baseline="0"/>
  </cs:categoryAxis>
  <cs:chartArea>
    <cs:lnRef idx="0"/>
    <cs:fillRef idx="0"/>
    <cs:effectRef idx="0"/>
    <cs:fontRef idx="minor">
      <a:srgbClr val="000000"/>
    </cs:fontRef>
    <cs: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cs:spPr>
    <cs:defRPr sz="900" kern="1200"/>
  </cs:chartArea>
  <cs:dataLabel>
    <cs:lnRef idx="0"/>
    <cs:fillRef idx="0"/>
    <cs:effectRef idx="0"/>
    <cs:fontRef idx="minor">
      <a:srgbClr val="FFFFFF"/>
    </cs:fontRef>
    <cs:spPr>
      <a:pattFill prst="pct75">
        <a:fgClr>
          <a:srgbClr val="404040">
            <a:lumMod val="75000"/>
            <a:lumOff val="25000"/>
          </a:srgbClr>
        </a:fgClr>
        <a:bgClr>
          <a:srgbClr val="595959">
            <a:lumMod val="65000"/>
            <a:lumOff val="35000"/>
          </a:srgb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rgbClr val="FFFFFF"/>
    </cs:fontRef>
    <cs:spPr>
      <a:pattFill prst="pct75">
        <a:fgClr>
          <a:srgbClr val="404040">
            <a:lumMod val="75000"/>
            <a:lumOff val="25000"/>
          </a:srgbClr>
        </a:fgClr>
        <a:bgClr>
          <a:srgbClr val="595959">
            <a:lumMod val="65000"/>
            <a:lumOff val="35000"/>
          </a:srgb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rgbClr val="000000"/>
    </cs:fontRef>
    <cs:spPr>
      <a:solidFill>
        <a:srgbClr val="FFFFFF"/>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rgbClr val="000000"/>
    </cs:fontRef>
    <cs:spPr>
      <a:solidFill>
        <a:srgbClr val="FFFFFF"/>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rgbClr val="000000"/>
    </cs:fontRef>
    <cs:spPr>
      <a:ln w="31750" cap="rnd">
        <a:solidFill>
          <a:srgbClr val="FFFFFF">
            <a:alpha val="85000"/>
          </a:srgbClr>
        </a:solidFill>
        <a:round/>
      </a:ln>
    </cs:spPr>
  </cs:dataPointLine>
  <cs:dataPointMarker>
    <cs:lnRef idx="0"/>
    <cs:fillRef idx="0">
      <cs:styleClr val="auto"/>
    </cs:fillRef>
    <cs:effectRef idx="0"/>
    <cs:fontRef idx="minor">
      <a:srgbClr val="000000"/>
    </cs:fontRef>
    <cs:spPr>
      <a:solidFill>
        <a:srgbClr val="FFFFFF">
          <a:alpha val="85000"/>
        </a:srgbClr>
      </a:solidFill>
    </cs:spPr>
  </cs:dataPointMarker>
  <cs:dataPointMarkerLayout symbol="circle" size="6"/>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404040">
        <a:lumMod val="75000"/>
        <a:lumOff val="25000"/>
      </a:srgbClr>
    </cs:fontRef>
    <cs:spPr>
      <a:ln w="9525">
        <a:solidFill>
          <a:srgbClr val="A6A6A6">
            <a:lumMod val="35000"/>
            <a:lumOff val="65000"/>
          </a:srgbClr>
        </a:solidFill>
      </a:ln>
    </cs:spPr>
    <cs:defRPr sz="900" kern="1200"/>
  </cs:dataTable>
  <cs:downBar>
    <cs:lnRef idx="0"/>
    <cs:fillRef idx="0"/>
    <cs:effectRef idx="0"/>
    <cs:fontRef idx="minor">
      <a:srgbClr val="000000"/>
    </cs:fontRef>
    <cs:spPr>
      <a:solidFill>
        <a:srgbClr val="808080">
          <a:lumMod val="50000"/>
          <a:lumOff val="50000"/>
        </a:srgbClr>
      </a:solidFill>
      <a:ln w="9525">
        <a:solidFill>
          <a:srgbClr val="595959">
            <a:lumMod val="65000"/>
            <a:lumOff val="35000"/>
          </a:srgbClr>
        </a:solidFill>
      </a:ln>
    </cs:spPr>
  </cs:downBar>
  <cs:dropLine>
    <cs:lnRef idx="0"/>
    <cs:fillRef idx="0"/>
    <cs:effectRef idx="0"/>
    <cs:fontRef idx="minor">
      <a:srgbClr val="000000"/>
    </cs:fontRef>
    <cs:spPr>
      <a:ln w="9525">
        <a:solidFill>
          <a:srgbClr val="A6A6A6">
            <a:lumMod val="35000"/>
            <a:lumOff val="65000"/>
          </a:srgbClr>
        </a:solidFill>
        <a:prstDash val="dash"/>
      </a:ln>
    </cs:spPr>
  </cs:dropLine>
  <cs:errorBar>
    <cs:lnRef idx="0"/>
    <cs:fillRef idx="0"/>
    <cs:effectRef idx="0"/>
    <cs:fontRef idx="minor">
      <a:srgbClr val="000000"/>
    </cs:fontRef>
    <cs:spPr>
      <a:ln w="9525">
        <a:solidFill>
          <a:srgbClr val="595959">
            <a:lumMod val="65000"/>
            <a:lumOff val="35000"/>
          </a:srgbClr>
        </a:solidFill>
        <a:round/>
      </a:ln>
    </cs:spPr>
  </cs:errorBar>
  <cs:floor>
    <cs:lnRef idx="0"/>
    <cs:fillRef idx="0"/>
    <cs:effectRef idx="0"/>
    <cs:fontRef idx="minor">
      <a:srgbClr val="000000"/>
    </cs:fontRef>
  </cs:floor>
  <cs:gridlineMajor>
    <cs:lnRef idx="0"/>
    <cs:fillRef idx="0"/>
    <cs:effectRef idx="0"/>
    <cs:fontRef idx="minor">
      <a:srgbClr val="000000"/>
    </cs:fontRef>
    <cs:spPr>
      <a:ln w="9525" cap="flat" cmpd="sng" algn="ctr">
        <a:gradFill>
          <a:gsLst>
            <a:gs pos="100000">
              <a:srgbClr val="0D0D0D">
                <a:lumMod val="95000"/>
                <a:lumOff val="5000"/>
                <a:alpha val="42000"/>
              </a:srgbClr>
            </a:gs>
            <a:gs pos="0">
              <a:srgbClr val="BFBFBF">
                <a:lumMod val="75000"/>
                <a:alpha val="36000"/>
              </a:srgbClr>
            </a:gs>
          </a:gsLst>
          <a:lin ang="5400000" scaled="0"/>
        </a:gradFill>
        <a:round/>
      </a:ln>
    </cs:spPr>
  </cs:gridlineMajor>
  <cs:gridlineMinor>
    <cs:lnRef idx="0"/>
    <cs:fillRef idx="0"/>
    <cs:effectRef idx="0"/>
    <cs:fontRef idx="minor">
      <a:srgbClr val="000000"/>
    </cs:fontRef>
    <cs:spPr>
      <a:ln>
        <a:gradFill>
          <a:gsLst>
            <a:gs pos="100000">
              <a:srgbClr val="0D0D0D">
                <a:lumMod val="95000"/>
                <a:lumOff val="5000"/>
                <a:alpha val="42000"/>
              </a:srgbClr>
            </a:gs>
            <a:gs pos="0">
              <a:srgbClr val="BFBFBF">
                <a:lumMod val="75000"/>
                <a:alpha val="36000"/>
              </a:srgbClr>
            </a:gs>
          </a:gsLst>
          <a:lin ang="5400000" scaled="0"/>
        </a:gradFill>
      </a:ln>
    </cs:spPr>
  </cs:gridlineMinor>
  <cs:hiLoLine>
    <cs:lnRef idx="0"/>
    <cs:fillRef idx="0"/>
    <cs:effectRef idx="0"/>
    <cs:fontRef idx="minor">
      <a:srgbClr val="000000"/>
    </cs:fontRef>
    <cs:spPr>
      <a:ln w="9525">
        <a:solidFill>
          <a:srgbClr val="A6A6A6">
            <a:lumMod val="35000"/>
            <a:lumOff val="65000"/>
          </a:srgbClr>
        </a:solidFill>
        <a:prstDash val="dash"/>
      </a:ln>
    </cs:spPr>
  </cs:hiLoLine>
  <cs:leaderLine>
    <cs:lnRef idx="0"/>
    <cs:fillRef idx="0"/>
    <cs:effectRef idx="0"/>
    <cs:fontRef idx="minor">
      <a:srgbClr val="000000"/>
    </cs:fontRef>
    <cs:spPr>
      <a:ln w="9525">
        <a:solidFill>
          <a:srgbClr val="808080">
            <a:lumMod val="50000"/>
            <a:lumOff val="50000"/>
          </a:srgbClr>
        </a:solidFill>
      </a:ln>
    </cs:spPr>
  </cs:leaderLine>
  <cs:legend>
    <cs:lnRef idx="0"/>
    <cs:fillRef idx="0"/>
    <cs:effectRef idx="0"/>
    <cs:fontRef idx="minor">
      <a:srgbClr val="404040">
        <a:lumMod val="75000"/>
        <a:lumOff val="25000"/>
      </a:srgbClr>
    </cs:fontRef>
    <cs:spPr>
      <a:solidFill>
        <a:srgbClr val="F2F2F2">
          <a:lumMod val="95000"/>
          <a:alpha val="39000"/>
        </a:srgbClr>
      </a:solidFill>
    </cs:spPr>
    <cs:defRPr sz="900" kern="1200"/>
  </cs:legend>
  <cs:plotArea>
    <cs:lnRef idx="0"/>
    <cs:fillRef idx="0"/>
    <cs:effectRef idx="0"/>
    <cs:fontRef idx="minor">
      <a:srgbClr val="000000"/>
    </cs:fontRef>
  </cs:plotArea>
  <cs:plotArea3D>
    <cs:lnRef idx="0"/>
    <cs:fillRef idx="0"/>
    <cs:effectRef idx="0"/>
    <cs:fontRef idx="minor">
      <a:srgbClr val="000000"/>
    </cs:fontRef>
  </cs:plotArea3D>
  <cs:seriesAxis>
    <cs:lnRef idx="0"/>
    <cs:fillRef idx="0"/>
    <cs:effectRef idx="0"/>
    <cs:fontRef idx="minor">
      <a:srgbClr val="404040">
        <a:lumMod val="75000"/>
        <a:lumOff val="25000"/>
      </a:srgbClr>
    </cs:fontRef>
    <cs:spPr>
      <a:ln w="31750" cap="flat" cmpd="sng" algn="ctr">
        <a:solidFill>
          <a:srgbClr val="404040">
            <a:lumMod val="75000"/>
            <a:lumOff val="25000"/>
          </a:srgbClr>
        </a:solidFill>
        <a:round/>
      </a:ln>
    </cs:spPr>
    <cs:defRPr sz="900" kern="1200"/>
  </cs:seriesAxis>
  <cs:seriesLine>
    <cs:lnRef idx="0"/>
    <cs:fillRef idx="0"/>
    <cs:effectRef idx="0"/>
    <cs:fontRef idx="minor">
      <a:srgbClr val="000000"/>
    </cs:fontRef>
    <cs:spPr>
      <a:ln w="9525">
        <a:solidFill>
          <a:srgbClr val="808080">
            <a:lumMod val="50000"/>
            <a:lumOff val="50000"/>
          </a:srgbClr>
        </a:solidFill>
        <a:round/>
      </a:ln>
    </cs:spPr>
  </cs:seriesLine>
  <cs:title>
    <cs:lnRef idx="0"/>
    <cs:fillRef idx="0"/>
    <cs:effectRef idx="0"/>
    <cs:fontRef idx="minor">
      <a:srgbClr val="404040">
        <a:lumMod val="75000"/>
        <a:lumOff val="25000"/>
      </a:srgbClr>
    </cs:fontRef>
    <cs:defRPr sz="1800" b="1" kern="1200" baseline="0"/>
  </cs:title>
  <cs:trendline>
    <cs:lnRef idx="0">
      <cs:styleClr val="auto"/>
    </cs:lnRef>
    <cs:fillRef idx="0"/>
    <cs:effectRef idx="0"/>
    <cs:fontRef idx="minor">
      <a:srgbClr val="000000"/>
    </cs:fontRef>
    <cs:spPr>
      <a:ln w="19050" cap="rnd">
        <a:solidFill>
          <a:srgbClr val="FFFFFF"/>
        </a:solidFill>
      </a:ln>
    </cs:spPr>
  </cs:trendline>
  <cs:trendlineLabel>
    <cs:lnRef idx="0"/>
    <cs:fillRef idx="0"/>
    <cs:effectRef idx="0"/>
    <cs:fontRef idx="minor">
      <a:srgbClr val="404040">
        <a:lumMod val="75000"/>
        <a:lumOff val="25000"/>
      </a:srgbClr>
    </cs:fontRef>
    <cs:defRPr sz="900" kern="1200"/>
  </cs:trendlineLabel>
  <cs:upBar>
    <cs:lnRef idx="0"/>
    <cs:fillRef idx="0"/>
    <cs:effectRef idx="0"/>
    <cs:fontRef idx="minor">
      <a:srgbClr val="000000"/>
    </cs:fontRef>
    <cs:spPr>
      <a:solidFill>
        <a:srgbClr val="FFFFFF"/>
      </a:solidFill>
      <a:ln w="9525">
        <a:solidFill>
          <a:srgbClr val="595959">
            <a:lumMod val="65000"/>
            <a:lumOff val="35000"/>
          </a:srgbClr>
        </a:solidFill>
      </a:ln>
    </cs:spPr>
  </cs:upBar>
  <cs:valueAxis>
    <cs:lnRef idx="0"/>
    <cs:fillRef idx="0"/>
    <cs:effectRef idx="0"/>
    <cs:fontRef idx="minor">
      <a:srgbClr val="404040">
        <a:lumMod val="75000"/>
        <a:lumOff val="25000"/>
      </a:srgbClr>
    </cs:fontRef>
    <cs:spPr>
      <a:ln>
        <a:noFill/>
      </a:ln>
    </cs:spPr>
    <cs:defRPr sz="900" kern="1200"/>
  </cs:valueAxis>
  <cs:wall>
    <cs:lnRef idx="0"/>
    <cs:fillRef idx="0"/>
    <cs:effectRef idx="0"/>
    <cs:fontRef idx="minor">
      <a:srgbClr val="000000"/>
    </cs:fontRef>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rgbClr val="404040">
        <a:lumMod val="75000"/>
        <a:lumOff val="25000"/>
      </a:srgbClr>
    </cs:fontRef>
    <cs:defRPr sz="900" b="1" kern="1200"/>
  </cs:axisTitle>
  <cs:categoryAxis>
    <cs:lnRef idx="0"/>
    <cs:fillRef idx="0"/>
    <cs:effectRef idx="0"/>
    <cs:fontRef idx="minor">
      <a:srgbClr val="404040">
        <a:lumMod val="75000"/>
        <a:lumOff val="25000"/>
      </a:srgbClr>
    </cs:fontRef>
    <cs:spPr>
      <a:ln w="19050" cap="flat" cmpd="sng" algn="ctr">
        <a:solidFill>
          <a:srgbClr val="404040">
            <a:lumMod val="75000"/>
            <a:lumOff val="25000"/>
          </a:srgbClr>
        </a:solidFill>
        <a:round/>
      </a:ln>
    </cs:spPr>
    <cs:defRPr sz="900" kern="1200" cap="all" baseline="0"/>
  </cs:categoryAxis>
  <cs:chartArea>
    <cs:lnRef idx="0"/>
    <cs:fillRef idx="0"/>
    <cs:effectRef idx="0"/>
    <cs:fontRef idx="minor">
      <a:srgbClr val="000000"/>
    </cs:fontRef>
    <cs: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cs:spPr>
    <cs:defRPr sz="900" kern="1200"/>
  </cs:chartArea>
  <cs:dataLabel>
    <cs:lnRef idx="0"/>
    <cs:fillRef idx="0"/>
    <cs:effectRef idx="0"/>
    <cs:fontRef idx="minor">
      <a:srgbClr val="FFFFFF"/>
    </cs:fontRef>
    <cs:spPr>
      <a:pattFill prst="pct75">
        <a:fgClr>
          <a:srgbClr val="404040">
            <a:lumMod val="75000"/>
            <a:lumOff val="25000"/>
          </a:srgbClr>
        </a:fgClr>
        <a:bgClr>
          <a:srgbClr val="595959">
            <a:lumMod val="65000"/>
            <a:lumOff val="35000"/>
          </a:srgb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rgbClr val="FFFFFF"/>
    </cs:fontRef>
    <cs:spPr>
      <a:pattFill prst="pct75">
        <a:fgClr>
          <a:srgbClr val="404040">
            <a:lumMod val="75000"/>
            <a:lumOff val="25000"/>
          </a:srgbClr>
        </a:fgClr>
        <a:bgClr>
          <a:srgbClr val="595959">
            <a:lumMod val="65000"/>
            <a:lumOff val="35000"/>
          </a:srgb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rgbClr val="000000"/>
    </cs:fontRef>
    <cs:spPr>
      <a:solidFill>
        <a:srgbClr val="FFFFFF"/>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rgbClr val="000000"/>
    </cs:fontRef>
    <cs:spPr>
      <a:solidFill>
        <a:srgbClr val="FFFFFF"/>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rgbClr val="000000"/>
    </cs:fontRef>
    <cs:spPr>
      <a:ln w="31750" cap="rnd">
        <a:solidFill>
          <a:srgbClr val="FFFFFF">
            <a:alpha val="85000"/>
          </a:srgbClr>
        </a:solidFill>
        <a:round/>
      </a:ln>
    </cs:spPr>
  </cs:dataPointLine>
  <cs:dataPointMarker>
    <cs:lnRef idx="0"/>
    <cs:fillRef idx="0">
      <cs:styleClr val="auto"/>
    </cs:fillRef>
    <cs:effectRef idx="0"/>
    <cs:fontRef idx="minor">
      <a:srgbClr val="000000"/>
    </cs:fontRef>
    <cs:spPr>
      <a:solidFill>
        <a:srgbClr val="FFFFFF">
          <a:alpha val="85000"/>
        </a:srgbClr>
      </a:solidFill>
    </cs:spPr>
  </cs:dataPointMarker>
  <cs:dataPointMarkerLayout symbol="circle" size="6"/>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404040">
        <a:lumMod val="75000"/>
        <a:lumOff val="25000"/>
      </a:srgbClr>
    </cs:fontRef>
    <cs:spPr>
      <a:ln w="9525">
        <a:solidFill>
          <a:srgbClr val="A6A6A6">
            <a:lumMod val="35000"/>
            <a:lumOff val="65000"/>
          </a:srgbClr>
        </a:solidFill>
      </a:ln>
    </cs:spPr>
    <cs:defRPr sz="900" kern="1200"/>
  </cs:dataTable>
  <cs:downBar>
    <cs:lnRef idx="0"/>
    <cs:fillRef idx="0"/>
    <cs:effectRef idx="0"/>
    <cs:fontRef idx="minor">
      <a:srgbClr val="000000"/>
    </cs:fontRef>
    <cs:spPr>
      <a:solidFill>
        <a:srgbClr val="808080">
          <a:lumMod val="50000"/>
          <a:lumOff val="50000"/>
        </a:srgbClr>
      </a:solidFill>
      <a:ln w="9525">
        <a:solidFill>
          <a:srgbClr val="595959">
            <a:lumMod val="65000"/>
            <a:lumOff val="35000"/>
          </a:srgbClr>
        </a:solidFill>
      </a:ln>
    </cs:spPr>
  </cs:downBar>
  <cs:dropLine>
    <cs:lnRef idx="0"/>
    <cs:fillRef idx="0"/>
    <cs:effectRef idx="0"/>
    <cs:fontRef idx="minor">
      <a:srgbClr val="000000"/>
    </cs:fontRef>
    <cs:spPr>
      <a:ln w="9525">
        <a:solidFill>
          <a:srgbClr val="A6A6A6">
            <a:lumMod val="35000"/>
            <a:lumOff val="65000"/>
          </a:srgbClr>
        </a:solidFill>
        <a:prstDash val="dash"/>
      </a:ln>
    </cs:spPr>
  </cs:dropLine>
  <cs:errorBar>
    <cs:lnRef idx="0"/>
    <cs:fillRef idx="0"/>
    <cs:effectRef idx="0"/>
    <cs:fontRef idx="minor">
      <a:srgbClr val="000000"/>
    </cs:fontRef>
    <cs:spPr>
      <a:ln w="9525">
        <a:solidFill>
          <a:srgbClr val="595959">
            <a:lumMod val="65000"/>
            <a:lumOff val="35000"/>
          </a:srgbClr>
        </a:solidFill>
        <a:round/>
      </a:ln>
    </cs:spPr>
  </cs:errorBar>
  <cs:floor>
    <cs:lnRef idx="0"/>
    <cs:fillRef idx="0"/>
    <cs:effectRef idx="0"/>
    <cs:fontRef idx="minor">
      <a:srgbClr val="000000"/>
    </cs:fontRef>
  </cs:floor>
  <cs:gridlineMajor>
    <cs:lnRef idx="0"/>
    <cs:fillRef idx="0"/>
    <cs:effectRef idx="0"/>
    <cs:fontRef idx="minor">
      <a:srgbClr val="000000"/>
    </cs:fontRef>
    <cs:spPr>
      <a:ln w="9525" cap="flat" cmpd="sng" algn="ctr">
        <a:gradFill>
          <a:gsLst>
            <a:gs pos="100000">
              <a:srgbClr val="0D0D0D">
                <a:lumMod val="95000"/>
                <a:lumOff val="5000"/>
                <a:alpha val="42000"/>
              </a:srgbClr>
            </a:gs>
            <a:gs pos="0">
              <a:srgbClr val="BFBFBF">
                <a:lumMod val="75000"/>
                <a:alpha val="36000"/>
              </a:srgbClr>
            </a:gs>
          </a:gsLst>
          <a:lin ang="5400000" scaled="0"/>
        </a:gradFill>
        <a:round/>
      </a:ln>
    </cs:spPr>
  </cs:gridlineMajor>
  <cs:gridlineMinor>
    <cs:lnRef idx="0"/>
    <cs:fillRef idx="0"/>
    <cs:effectRef idx="0"/>
    <cs:fontRef idx="minor">
      <a:srgbClr val="000000"/>
    </cs:fontRef>
    <cs:spPr>
      <a:ln>
        <a:gradFill>
          <a:gsLst>
            <a:gs pos="100000">
              <a:srgbClr val="0D0D0D">
                <a:lumMod val="95000"/>
                <a:lumOff val="5000"/>
                <a:alpha val="42000"/>
              </a:srgbClr>
            </a:gs>
            <a:gs pos="0">
              <a:srgbClr val="BFBFBF">
                <a:lumMod val="75000"/>
                <a:alpha val="36000"/>
              </a:srgbClr>
            </a:gs>
          </a:gsLst>
          <a:lin ang="5400000" scaled="0"/>
        </a:gradFill>
      </a:ln>
    </cs:spPr>
  </cs:gridlineMinor>
  <cs:hiLoLine>
    <cs:lnRef idx="0"/>
    <cs:fillRef idx="0"/>
    <cs:effectRef idx="0"/>
    <cs:fontRef idx="minor">
      <a:srgbClr val="000000"/>
    </cs:fontRef>
    <cs:spPr>
      <a:ln w="9525">
        <a:solidFill>
          <a:srgbClr val="A6A6A6">
            <a:lumMod val="35000"/>
            <a:lumOff val="65000"/>
          </a:srgbClr>
        </a:solidFill>
        <a:prstDash val="dash"/>
      </a:ln>
    </cs:spPr>
  </cs:hiLoLine>
  <cs:leaderLine>
    <cs:lnRef idx="0"/>
    <cs:fillRef idx="0"/>
    <cs:effectRef idx="0"/>
    <cs:fontRef idx="minor">
      <a:srgbClr val="000000"/>
    </cs:fontRef>
    <cs:spPr>
      <a:ln w="9525">
        <a:solidFill>
          <a:srgbClr val="808080">
            <a:lumMod val="50000"/>
            <a:lumOff val="50000"/>
          </a:srgbClr>
        </a:solidFill>
      </a:ln>
    </cs:spPr>
  </cs:leaderLine>
  <cs:legend>
    <cs:lnRef idx="0"/>
    <cs:fillRef idx="0"/>
    <cs:effectRef idx="0"/>
    <cs:fontRef idx="minor">
      <a:srgbClr val="404040">
        <a:lumMod val="75000"/>
        <a:lumOff val="25000"/>
      </a:srgbClr>
    </cs:fontRef>
    <cs:spPr>
      <a:solidFill>
        <a:srgbClr val="F2F2F2">
          <a:lumMod val="95000"/>
          <a:alpha val="39000"/>
        </a:srgbClr>
      </a:solidFill>
    </cs:spPr>
    <cs:defRPr sz="900" kern="1200"/>
  </cs:legend>
  <cs:plotArea>
    <cs:lnRef idx="0"/>
    <cs:fillRef idx="0"/>
    <cs:effectRef idx="0"/>
    <cs:fontRef idx="minor">
      <a:srgbClr val="000000"/>
    </cs:fontRef>
  </cs:plotArea>
  <cs:plotArea3D>
    <cs:lnRef idx="0"/>
    <cs:fillRef idx="0"/>
    <cs:effectRef idx="0"/>
    <cs:fontRef idx="minor">
      <a:srgbClr val="000000"/>
    </cs:fontRef>
  </cs:plotArea3D>
  <cs:seriesAxis>
    <cs:lnRef idx="0"/>
    <cs:fillRef idx="0"/>
    <cs:effectRef idx="0"/>
    <cs:fontRef idx="minor">
      <a:srgbClr val="404040">
        <a:lumMod val="75000"/>
        <a:lumOff val="25000"/>
      </a:srgbClr>
    </cs:fontRef>
    <cs:spPr>
      <a:ln w="31750" cap="flat" cmpd="sng" algn="ctr">
        <a:solidFill>
          <a:srgbClr val="404040">
            <a:lumMod val="75000"/>
            <a:lumOff val="25000"/>
          </a:srgbClr>
        </a:solidFill>
        <a:round/>
      </a:ln>
    </cs:spPr>
    <cs:defRPr sz="900" kern="1200"/>
  </cs:seriesAxis>
  <cs:seriesLine>
    <cs:lnRef idx="0"/>
    <cs:fillRef idx="0"/>
    <cs:effectRef idx="0"/>
    <cs:fontRef idx="minor">
      <a:srgbClr val="000000"/>
    </cs:fontRef>
    <cs:spPr>
      <a:ln w="9525">
        <a:solidFill>
          <a:srgbClr val="808080">
            <a:lumMod val="50000"/>
            <a:lumOff val="50000"/>
          </a:srgbClr>
        </a:solidFill>
        <a:round/>
      </a:ln>
    </cs:spPr>
  </cs:seriesLine>
  <cs:title>
    <cs:lnRef idx="0"/>
    <cs:fillRef idx="0"/>
    <cs:effectRef idx="0"/>
    <cs:fontRef idx="minor">
      <a:srgbClr val="404040">
        <a:lumMod val="75000"/>
        <a:lumOff val="25000"/>
      </a:srgbClr>
    </cs:fontRef>
    <cs:defRPr sz="1800" b="1" kern="1200" baseline="0"/>
  </cs:title>
  <cs:trendline>
    <cs:lnRef idx="0">
      <cs:styleClr val="auto"/>
    </cs:lnRef>
    <cs:fillRef idx="0"/>
    <cs:effectRef idx="0"/>
    <cs:fontRef idx="minor">
      <a:srgbClr val="000000"/>
    </cs:fontRef>
    <cs:spPr>
      <a:ln w="19050" cap="rnd">
        <a:solidFill>
          <a:srgbClr val="FFFFFF"/>
        </a:solidFill>
      </a:ln>
    </cs:spPr>
  </cs:trendline>
  <cs:trendlineLabel>
    <cs:lnRef idx="0"/>
    <cs:fillRef idx="0"/>
    <cs:effectRef idx="0"/>
    <cs:fontRef idx="minor">
      <a:srgbClr val="404040">
        <a:lumMod val="75000"/>
        <a:lumOff val="25000"/>
      </a:srgbClr>
    </cs:fontRef>
    <cs:defRPr sz="900" kern="1200"/>
  </cs:trendlineLabel>
  <cs:upBar>
    <cs:lnRef idx="0"/>
    <cs:fillRef idx="0"/>
    <cs:effectRef idx="0"/>
    <cs:fontRef idx="minor">
      <a:srgbClr val="000000"/>
    </cs:fontRef>
    <cs:spPr>
      <a:solidFill>
        <a:srgbClr val="FFFFFF"/>
      </a:solidFill>
      <a:ln w="9525">
        <a:solidFill>
          <a:srgbClr val="595959">
            <a:lumMod val="65000"/>
            <a:lumOff val="35000"/>
          </a:srgbClr>
        </a:solidFill>
      </a:ln>
    </cs:spPr>
  </cs:upBar>
  <cs:valueAxis>
    <cs:lnRef idx="0"/>
    <cs:fillRef idx="0"/>
    <cs:effectRef idx="0"/>
    <cs:fontRef idx="minor">
      <a:srgbClr val="404040">
        <a:lumMod val="75000"/>
        <a:lumOff val="25000"/>
      </a:srgbClr>
    </cs:fontRef>
    <cs:spPr>
      <a:ln>
        <a:noFill/>
      </a:ln>
    </cs:spPr>
    <cs:defRPr sz="900" kern="1200"/>
  </cs:valueAxis>
  <cs:wall>
    <cs:lnRef idx="0"/>
    <cs:fillRef idx="0"/>
    <cs:effectRef idx="0"/>
    <cs:fontRef idx="minor">
      <a:srgbClr val="000000"/>
    </cs:fontRef>
  </cs:wall>
</cs:chartStyle>
</file>

<file path=word/charts/style7.xml><?xml version="1.0" encoding="utf-8"?>
<cs:chartStyle xmlns:cs="http://schemas.microsoft.com/office/drawing/2012/chartStyle" xmlns:a="http://schemas.openxmlformats.org/drawingml/2006/main" id="205">
  <cs:axisTitle>
    <cs:lnRef idx="0"/>
    <cs:fillRef idx="0"/>
    <cs:effectRef idx="0"/>
    <cs:fontRef idx="minor">
      <a:srgbClr val="404040">
        <a:lumMod val="75000"/>
        <a:lumOff val="25000"/>
      </a:srgbClr>
    </cs:fontRef>
    <cs:defRPr sz="900" b="1" kern="1200"/>
  </cs:axisTitle>
  <cs:categoryAxis>
    <cs:lnRef idx="0"/>
    <cs:fillRef idx="0"/>
    <cs:effectRef idx="0"/>
    <cs:fontRef idx="minor">
      <a:srgbClr val="404040">
        <a:lumMod val="75000"/>
        <a:lumOff val="25000"/>
      </a:srgbClr>
    </cs:fontRef>
    <cs:spPr>
      <a:ln w="19050" cap="flat" cmpd="sng" algn="ctr">
        <a:solidFill>
          <a:srgbClr val="404040">
            <a:lumMod val="75000"/>
            <a:lumOff val="25000"/>
          </a:srgbClr>
        </a:solidFill>
        <a:round/>
      </a:ln>
    </cs:spPr>
    <cs:defRPr sz="900" kern="1200" cap="all" baseline="0"/>
  </cs:categoryAxis>
  <cs:chartArea>
    <cs:lnRef idx="0"/>
    <cs:fillRef idx="0"/>
    <cs:effectRef idx="0"/>
    <cs:fontRef idx="minor">
      <a:srgbClr val="000000"/>
    </cs:fontRef>
    <cs:spPr>
      <a:gradFill flip="none" rotWithShape="1">
        <a:gsLst>
          <a:gs pos="0">
            <a:srgbClr val="FFFFFF"/>
          </a:gs>
          <a:gs pos="39000">
            <a:srgbClr val="FFFFFF"/>
          </a:gs>
          <a:gs pos="100000">
            <a:srgbClr val="BFBFBF">
              <a:lumMod val="75000"/>
            </a:srgbClr>
          </a:gs>
        </a:gsLst>
        <a:path path="circle">
          <a:fillToRect l="50000" t="-80000" r="50000" b="180000"/>
        </a:path>
      </a:gradFill>
      <a:ln w="9525" cap="flat" cmpd="sng" algn="ctr">
        <a:solidFill>
          <a:srgbClr val="BFBFBF">
            <a:lumMod val="25000"/>
            <a:lumOff val="75000"/>
          </a:srgbClr>
        </a:solidFill>
        <a:round/>
      </a:ln>
    </cs:spPr>
    <cs:defRPr sz="900" kern="1200"/>
  </cs:chartArea>
  <cs:dataLabel>
    <cs:lnRef idx="0"/>
    <cs:fillRef idx="0"/>
    <cs:effectRef idx="0"/>
    <cs:fontRef idx="minor">
      <a:srgbClr val="FFFFFF"/>
    </cs:fontRef>
    <cs:defRPr sz="900" b="1" i="0" u="none" strike="noStrike" kern="1200" baseline="0"/>
  </cs:dataLabel>
  <cs:dataLabelCallout>
    <cs:lnRef idx="0"/>
    <cs:fillRef idx="0"/>
    <cs:effectRef idx="0"/>
    <cs:fontRef idx="minor">
      <a:srgbClr val="FFFFFF"/>
    </cs:fontRef>
    <cs:spPr>
      <a:solidFill>
        <a:srgbClr val="595959">
          <a:lumMod val="65000"/>
          <a:lumOff val="35000"/>
          <a:alpha val="75000"/>
        </a:srgb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rgbClr val="000000"/>
    </cs:fontRef>
    <cs:spPr>
      <a:solidFill>
        <a:srgbClr val="FFFFFF">
          <a:alpha val="85000"/>
        </a:srgbClr>
      </a:solidFill>
      <a:ln w="9525" cap="flat" cmpd="sng" algn="ctr">
        <a:solidFill>
          <a:srgbClr val="FFFFFF">
            <a:alpha val="50000"/>
          </a:srgbClr>
        </a:solidFill>
        <a:round/>
      </a:ln>
    </cs:spPr>
  </cs:dataPoint>
  <cs:dataPoint3D>
    <cs:lnRef idx="0"/>
    <cs:fillRef idx="0">
      <cs:styleClr val="auto"/>
    </cs:fillRef>
    <cs:effectRef idx="0"/>
    <cs:fontRef idx="minor">
      <a:srgbClr val="000000"/>
    </cs:fontRef>
    <cs:spPr>
      <a:solidFill>
        <a:srgbClr val="FFFFFF">
          <a:alpha val="85000"/>
        </a:srgbClr>
      </a:solidFill>
      <a:ln w="9525" cap="flat" cmpd="sng" algn="ctr">
        <a:solidFill>
          <a:srgbClr val="FFFFFF">
            <a:alpha val="50000"/>
          </a:srgbClr>
        </a:solidFill>
        <a:round/>
      </a:ln>
    </cs:spPr>
  </cs:dataPoint3D>
  <cs:dataPointLine>
    <cs:lnRef idx="0">
      <cs:styleClr val="auto"/>
    </cs:lnRef>
    <cs:fillRef idx="0"/>
    <cs:effectRef idx="0"/>
    <cs:fontRef idx="minor">
      <a:srgbClr val="000000"/>
    </cs:fontRef>
    <cs:spPr>
      <a:ln w="31750" cap="rnd">
        <a:solidFill>
          <a:srgbClr val="FFFFFF">
            <a:alpha val="85000"/>
          </a:srgbClr>
        </a:solidFill>
        <a:round/>
      </a:ln>
    </cs:spPr>
  </cs:dataPointLine>
  <cs:dataPointMarker>
    <cs:lnRef idx="0"/>
    <cs:fillRef idx="0">
      <cs:styleClr val="auto"/>
    </cs:fillRef>
    <cs:effectRef idx="0"/>
    <cs:fontRef idx="minor">
      <a:srgbClr val="000000"/>
    </cs:fontRef>
    <cs:spPr>
      <a:solidFill>
        <a:srgbClr val="FFFFFF">
          <a:alpha val="85000"/>
        </a:srgbClr>
      </a:solidFill>
    </cs:spPr>
  </cs:dataPointMarker>
  <cs:dataPointMarkerLayout symbol="circle" size="6"/>
  <cs:dataPointWireframe>
    <cs:lnRef idx="0">
      <cs:styleClr val="auto"/>
    </cs:lnRef>
    <cs:fillRef idx="0"/>
    <cs:effectRef idx="0"/>
    <cs:fontRef idx="minor">
      <a:srgbClr val="000000"/>
    </cs:fontRef>
    <cs:spPr>
      <a:ln w="9525" cap="rnd">
        <a:solidFill>
          <a:srgbClr val="FFFFFF"/>
        </a:solidFill>
        <a:round/>
      </a:ln>
    </cs:spPr>
  </cs:dataPointWireframe>
  <cs:dataTable>
    <cs:lnRef idx="0"/>
    <cs:fillRef idx="0"/>
    <cs:effectRef idx="0"/>
    <cs:fontRef idx="minor">
      <a:srgbClr val="404040">
        <a:lumMod val="75000"/>
        <a:lumOff val="25000"/>
      </a:srgbClr>
    </cs:fontRef>
    <cs:spPr>
      <a:ln w="9525">
        <a:solidFill>
          <a:srgbClr val="A6A6A6">
            <a:lumMod val="35000"/>
            <a:lumOff val="65000"/>
          </a:srgbClr>
        </a:solidFill>
      </a:ln>
    </cs:spPr>
    <cs:defRPr sz="900" kern="1200"/>
  </cs:dataTable>
  <cs:downBar>
    <cs:lnRef idx="0"/>
    <cs:fillRef idx="0"/>
    <cs:effectRef idx="0"/>
    <cs:fontRef idx="minor">
      <a:srgbClr val="000000"/>
    </cs:fontRef>
    <cs:spPr>
      <a:solidFill>
        <a:srgbClr val="808080">
          <a:lumMod val="50000"/>
          <a:lumOff val="50000"/>
        </a:srgbClr>
      </a:solidFill>
      <a:ln w="9525">
        <a:solidFill>
          <a:srgbClr val="595959">
            <a:lumMod val="65000"/>
            <a:lumOff val="35000"/>
          </a:srgbClr>
        </a:solidFill>
      </a:ln>
    </cs:spPr>
  </cs:downBar>
  <cs:dropLine>
    <cs:lnRef idx="0"/>
    <cs:fillRef idx="0"/>
    <cs:effectRef idx="0"/>
    <cs:fontRef idx="minor">
      <a:srgbClr val="000000"/>
    </cs:fontRef>
    <cs:spPr>
      <a:ln w="9525">
        <a:solidFill>
          <a:srgbClr val="A6A6A6">
            <a:lumMod val="35000"/>
            <a:lumOff val="65000"/>
          </a:srgbClr>
        </a:solidFill>
        <a:prstDash val="dash"/>
      </a:ln>
    </cs:spPr>
  </cs:dropLine>
  <cs:errorBar>
    <cs:lnRef idx="0"/>
    <cs:fillRef idx="0"/>
    <cs:effectRef idx="0"/>
    <cs:fontRef idx="minor">
      <a:srgbClr val="000000"/>
    </cs:fontRef>
    <cs:spPr>
      <a:ln w="9525">
        <a:solidFill>
          <a:srgbClr val="595959">
            <a:lumMod val="65000"/>
            <a:lumOff val="35000"/>
          </a:srgbClr>
        </a:solidFill>
        <a:round/>
      </a:ln>
    </cs:spPr>
  </cs:errorBar>
  <cs:floor>
    <cs:lnRef idx="0"/>
    <cs:fillRef idx="0"/>
    <cs:effectRef idx="0"/>
    <cs:fontRef idx="minor">
      <a:srgbClr val="000000"/>
    </cs:fontRef>
  </cs:floor>
  <cs:gridlineMajor>
    <cs:lnRef idx="0"/>
    <cs:fillRef idx="0"/>
    <cs:effectRef idx="0"/>
    <cs:fontRef idx="minor">
      <a:srgbClr val="000000"/>
    </cs:fontRef>
    <cs:spPr>
      <a:ln w="9525" cap="flat" cmpd="sng" algn="ctr">
        <a:gradFill>
          <a:gsLst>
            <a:gs pos="100000">
              <a:srgbClr val="0D0D0D">
                <a:lumMod val="95000"/>
                <a:lumOff val="5000"/>
                <a:alpha val="42000"/>
              </a:srgbClr>
            </a:gs>
            <a:gs pos="0">
              <a:srgbClr val="BFBFBF">
                <a:lumMod val="75000"/>
                <a:alpha val="36000"/>
              </a:srgbClr>
            </a:gs>
          </a:gsLst>
          <a:lin ang="5400000" scaled="0"/>
        </a:gradFill>
        <a:round/>
      </a:ln>
    </cs:spPr>
  </cs:gridlineMajor>
  <cs:gridlineMinor>
    <cs:lnRef idx="0"/>
    <cs:fillRef idx="0"/>
    <cs:effectRef idx="0"/>
    <cs:fontRef idx="minor">
      <a:srgbClr val="000000"/>
    </cs:fontRef>
    <cs:spPr>
      <a:ln>
        <a:gradFill>
          <a:gsLst>
            <a:gs pos="100000">
              <a:srgbClr val="0D0D0D">
                <a:lumMod val="95000"/>
                <a:lumOff val="5000"/>
                <a:alpha val="42000"/>
              </a:srgbClr>
            </a:gs>
            <a:gs pos="0">
              <a:srgbClr val="BFBFBF">
                <a:lumMod val="75000"/>
                <a:alpha val="36000"/>
              </a:srgbClr>
            </a:gs>
          </a:gsLst>
          <a:lin ang="5400000" scaled="0"/>
        </a:gradFill>
      </a:ln>
    </cs:spPr>
  </cs:gridlineMinor>
  <cs:hiLoLine>
    <cs:lnRef idx="0"/>
    <cs:fillRef idx="0"/>
    <cs:effectRef idx="0"/>
    <cs:fontRef idx="minor">
      <a:srgbClr val="000000"/>
    </cs:fontRef>
    <cs:spPr>
      <a:ln w="9525">
        <a:solidFill>
          <a:srgbClr val="A6A6A6">
            <a:lumMod val="35000"/>
            <a:lumOff val="65000"/>
          </a:srgbClr>
        </a:solidFill>
        <a:prstDash val="dash"/>
      </a:ln>
    </cs:spPr>
  </cs:hiLoLine>
  <cs:leaderLine>
    <cs:lnRef idx="0"/>
    <cs:fillRef idx="0"/>
    <cs:effectRef idx="0"/>
    <cs:fontRef idx="minor">
      <a:srgbClr val="000000"/>
    </cs:fontRef>
    <cs:spPr>
      <a:ln w="9525">
        <a:solidFill>
          <a:srgbClr val="808080">
            <a:lumMod val="50000"/>
            <a:lumOff val="50000"/>
          </a:srgbClr>
        </a:solidFill>
      </a:ln>
    </cs:spPr>
  </cs:leaderLine>
  <cs:legend>
    <cs:lnRef idx="0"/>
    <cs:fillRef idx="0"/>
    <cs:effectRef idx="0"/>
    <cs:fontRef idx="minor">
      <a:srgbClr val="404040">
        <a:lumMod val="75000"/>
        <a:lumOff val="25000"/>
      </a:srgbClr>
    </cs:fontRef>
    <cs:spPr>
      <a:solidFill>
        <a:srgbClr val="F2F2F2">
          <a:lumMod val="95000"/>
          <a:alpha val="39000"/>
        </a:srgbClr>
      </a:solidFill>
    </cs:spPr>
    <cs:defRPr sz="900" kern="1200"/>
  </cs:legend>
  <cs:plotArea>
    <cs:lnRef idx="0"/>
    <cs:fillRef idx="0"/>
    <cs:effectRef idx="0"/>
    <cs:fontRef idx="minor">
      <a:srgbClr val="000000"/>
    </cs:fontRef>
  </cs:plotArea>
  <cs:plotArea3D>
    <cs:lnRef idx="0"/>
    <cs:fillRef idx="0"/>
    <cs:effectRef idx="0"/>
    <cs:fontRef idx="minor">
      <a:srgbClr val="000000"/>
    </cs:fontRef>
  </cs:plotArea3D>
  <cs:seriesAxis>
    <cs:lnRef idx="0"/>
    <cs:fillRef idx="0"/>
    <cs:effectRef idx="0"/>
    <cs:fontRef idx="minor">
      <a:srgbClr val="404040">
        <a:lumMod val="75000"/>
        <a:lumOff val="25000"/>
      </a:srgbClr>
    </cs:fontRef>
    <cs:spPr>
      <a:ln w="31750" cap="flat" cmpd="sng" algn="ctr">
        <a:solidFill>
          <a:srgbClr val="404040">
            <a:lumMod val="75000"/>
            <a:lumOff val="25000"/>
          </a:srgbClr>
        </a:solidFill>
        <a:round/>
      </a:ln>
    </cs:spPr>
    <cs:defRPr sz="900" kern="1200"/>
  </cs:seriesAxis>
  <cs:seriesLine>
    <cs:lnRef idx="0"/>
    <cs:fillRef idx="0"/>
    <cs:effectRef idx="0"/>
    <cs:fontRef idx="minor">
      <a:srgbClr val="000000"/>
    </cs:fontRef>
    <cs:spPr>
      <a:ln w="9525">
        <a:solidFill>
          <a:srgbClr val="808080">
            <a:lumMod val="50000"/>
            <a:lumOff val="50000"/>
          </a:srgbClr>
        </a:solidFill>
        <a:round/>
      </a:ln>
    </cs:spPr>
  </cs:seriesLine>
  <cs:title>
    <cs:lnRef idx="0"/>
    <cs:fillRef idx="0"/>
    <cs:effectRef idx="0"/>
    <cs:fontRef idx="minor">
      <a:srgbClr val="404040">
        <a:lumMod val="75000"/>
        <a:lumOff val="25000"/>
      </a:srgbClr>
    </cs:fontRef>
    <cs:defRPr sz="1800" b="1" kern="1200" baseline="0"/>
  </cs:title>
  <cs:trendline>
    <cs:lnRef idx="0">
      <cs:styleClr val="auto"/>
    </cs:lnRef>
    <cs:fillRef idx="0"/>
    <cs:effectRef idx="0"/>
    <cs:fontRef idx="minor">
      <a:srgbClr val="000000"/>
    </cs:fontRef>
    <cs:spPr>
      <a:ln w="19050" cap="rnd">
        <a:solidFill>
          <a:srgbClr val="FFFFFF"/>
        </a:solidFill>
      </a:ln>
    </cs:spPr>
  </cs:trendline>
  <cs:trendlineLabel>
    <cs:lnRef idx="0"/>
    <cs:fillRef idx="0"/>
    <cs:effectRef idx="0"/>
    <cs:fontRef idx="minor">
      <a:srgbClr val="404040">
        <a:lumMod val="75000"/>
        <a:lumOff val="25000"/>
      </a:srgbClr>
    </cs:fontRef>
    <cs:defRPr sz="900" kern="1200"/>
  </cs:trendlineLabel>
  <cs:upBar>
    <cs:lnRef idx="0"/>
    <cs:fillRef idx="0"/>
    <cs:effectRef idx="0"/>
    <cs:fontRef idx="minor">
      <a:srgbClr val="000000"/>
    </cs:fontRef>
    <cs:spPr>
      <a:solidFill>
        <a:srgbClr val="FFFFFF"/>
      </a:solidFill>
      <a:ln w="9525">
        <a:solidFill>
          <a:srgbClr val="595959">
            <a:lumMod val="65000"/>
            <a:lumOff val="35000"/>
          </a:srgbClr>
        </a:solidFill>
      </a:ln>
    </cs:spPr>
  </cs:upBar>
  <cs:valueAxis>
    <cs:lnRef idx="0"/>
    <cs:fillRef idx="0"/>
    <cs:effectRef idx="0"/>
    <cs:fontRef idx="minor">
      <a:srgbClr val="404040">
        <a:lumMod val="75000"/>
        <a:lumOff val="25000"/>
      </a:srgbClr>
    </cs:fontRef>
    <cs:spPr>
      <a:ln>
        <a:noFill/>
      </a:ln>
    </cs:spPr>
    <cs:defRPr sz="900" kern="1200"/>
  </cs:valueAxis>
  <cs:wall>
    <cs:lnRef idx="0"/>
    <cs:fillRef idx="0"/>
    <cs:effectRef idx="0"/>
    <cs:fontRef idx="minor">
      <a:srgbClr val="000000"/>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43</Pages>
  <Words>13939</Words>
  <Characters>15333</Characters>
  <Lines>1</Lines>
  <Paragraphs>1</Paragraphs>
  <TotalTime>16</TotalTime>
  <ScaleCrop>false</ScaleCrop>
  <LinksUpToDate>false</LinksUpToDate>
  <CharactersWithSpaces>15412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王欣媛</cp:lastModifiedBy>
  <cp:lastPrinted>2026-08-03T09:27:00Z</cp:lastPrinted>
  <dcterms:modified xsi:type="dcterms:W3CDTF">2026-09-11T01:27:36Z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7D8E91448AE24DAD98B72FF73FC6C674_13</vt:lpwstr>
  </property>
  <property fmtid="{D5CDD505-2E9C-101B-9397-08002B2CF9AE}" pid="4" name="KSOTemplateDocerSaveRecord">
    <vt:lpwstr>eyJoZGlkIjoiODY1YjE0ODMyZjljZGVhMGMyZTg1YTExM2RlZDQ2YTQiLCJ1c2VySWQiOiI0MTQwMzQyNDAifQ==</vt:lpwstr>
  </property>
</Properties>
</file>