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9CBE76">
      <w:pPr>
        <w:pStyle w:val="5"/>
        <w:spacing w:before="93"/>
        <w:rPr>
          <w:rFonts w:ascii="Times New Roman" w:eastAsia="方正小标宋简体"/>
          <w:kern w:val="2"/>
          <w:sz w:val="72"/>
          <w:szCs w:val="72"/>
        </w:rPr>
      </w:pPr>
    </w:p>
    <w:p w14:paraId="0452EF4C">
      <w:pPr>
        <w:pStyle w:val="5"/>
        <w:spacing w:before="93"/>
        <w:rPr>
          <w:rFonts w:ascii="Times New Roman" w:eastAsia="方正小标宋简体"/>
          <w:kern w:val="2"/>
          <w:sz w:val="72"/>
          <w:szCs w:val="72"/>
        </w:rPr>
      </w:pPr>
    </w:p>
    <w:p w14:paraId="445D3BA6">
      <w:pPr>
        <w:pStyle w:val="5"/>
        <w:spacing w:before="93"/>
        <w:rPr>
          <w:rFonts w:ascii="Times New Roman" w:eastAsia="方正小标宋简体"/>
          <w:kern w:val="2"/>
          <w:sz w:val="72"/>
          <w:szCs w:val="72"/>
        </w:rPr>
      </w:pPr>
    </w:p>
    <w:p w14:paraId="015807BF">
      <w:pPr>
        <w:pStyle w:val="5"/>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lang w:eastAsia="zh-CN"/>
        </w:rPr>
        <w:t>2025</w:t>
      </w:r>
      <w:r>
        <w:rPr>
          <w:rFonts w:hint="eastAsia" w:ascii="Times New Roman" w:eastAsia="方正小标宋简体"/>
          <w:kern w:val="2"/>
          <w:sz w:val="44"/>
          <w:szCs w:val="44"/>
        </w:rPr>
        <w:t>年度</w:t>
      </w:r>
    </w:p>
    <w:p w14:paraId="5835AEB3">
      <w:pPr>
        <w:pStyle w:val="5"/>
        <w:spacing w:before="93"/>
        <w:jc w:val="center"/>
        <w:rPr>
          <w:rFonts w:hint="eastAsia" w:ascii="Times New Roman" w:eastAsia="方正小标宋简体"/>
          <w:kern w:val="2"/>
          <w:sz w:val="44"/>
          <w:szCs w:val="44"/>
          <w:lang w:eastAsia="zh-CN"/>
        </w:rPr>
      </w:pPr>
      <w:r>
        <w:rPr>
          <w:rFonts w:hint="eastAsia" w:ascii="Times New Roman" w:eastAsia="方正小标宋简体"/>
          <w:kern w:val="2"/>
          <w:sz w:val="44"/>
          <w:szCs w:val="44"/>
          <w:lang w:eastAsia="zh-CN"/>
        </w:rPr>
        <w:t>阿坝藏族羌族自治州林业和草原局</w:t>
      </w:r>
    </w:p>
    <w:p w14:paraId="2DFD0545">
      <w:pPr>
        <w:pStyle w:val="5"/>
        <w:spacing w:before="93"/>
        <w:jc w:val="center"/>
        <w:rPr>
          <w:rFonts w:hint="eastAsia" w:ascii="Times New Roman" w:eastAsia="方正小标宋简体"/>
          <w:kern w:val="2"/>
          <w:sz w:val="44"/>
          <w:szCs w:val="44"/>
        </w:rPr>
      </w:pPr>
      <w:r>
        <w:rPr>
          <w:rFonts w:hint="eastAsia" w:ascii="Times New Roman" w:eastAsia="方正小标宋简体"/>
          <w:kern w:val="2"/>
          <w:sz w:val="44"/>
          <w:szCs w:val="44"/>
        </w:rPr>
        <w:t>单位决算</w:t>
      </w:r>
    </w:p>
    <w:p w14:paraId="1FFB37E3">
      <w:pPr>
        <w:pStyle w:val="5"/>
        <w:spacing w:before="93"/>
        <w:jc w:val="center"/>
        <w:rPr>
          <w:rFonts w:hint="eastAsia" w:ascii="Times New Roman" w:eastAsia="方正小标宋简体"/>
          <w:kern w:val="2"/>
          <w:sz w:val="44"/>
          <w:szCs w:val="44"/>
        </w:rPr>
      </w:pPr>
    </w:p>
    <w:p w14:paraId="5280CF1F">
      <w:pPr>
        <w:pStyle w:val="5"/>
        <w:spacing w:before="93"/>
        <w:jc w:val="center"/>
        <w:rPr>
          <w:rFonts w:hint="eastAsia" w:ascii="Times New Roman" w:eastAsia="方正小标宋简体"/>
          <w:kern w:val="2"/>
          <w:sz w:val="44"/>
          <w:szCs w:val="44"/>
        </w:rPr>
      </w:pPr>
    </w:p>
    <w:p w14:paraId="4F9BC247">
      <w:pPr>
        <w:pStyle w:val="5"/>
        <w:spacing w:before="93"/>
        <w:jc w:val="center"/>
        <w:rPr>
          <w:rFonts w:hint="eastAsia" w:ascii="Times New Roman" w:eastAsia="方正小标宋简体"/>
          <w:kern w:val="2"/>
          <w:sz w:val="44"/>
          <w:szCs w:val="44"/>
        </w:rPr>
      </w:pPr>
    </w:p>
    <w:p w14:paraId="4F8F6B9B">
      <w:pPr>
        <w:pStyle w:val="5"/>
        <w:spacing w:before="93"/>
        <w:jc w:val="center"/>
        <w:rPr>
          <w:rFonts w:hint="eastAsia" w:ascii="Times New Roman" w:eastAsia="方正小标宋简体"/>
          <w:kern w:val="2"/>
          <w:sz w:val="44"/>
          <w:szCs w:val="44"/>
        </w:rPr>
      </w:pPr>
    </w:p>
    <w:p w14:paraId="496482CC">
      <w:pPr>
        <w:pStyle w:val="5"/>
        <w:spacing w:before="93"/>
        <w:jc w:val="center"/>
        <w:rPr>
          <w:rFonts w:hint="eastAsia" w:ascii="Times New Roman" w:eastAsia="方正小标宋简体"/>
          <w:kern w:val="2"/>
          <w:sz w:val="44"/>
          <w:szCs w:val="44"/>
        </w:rPr>
      </w:pPr>
    </w:p>
    <w:p w14:paraId="0BE912EB">
      <w:pPr>
        <w:widowControl/>
        <w:jc w:val="center"/>
        <w:rPr>
          <w:rFonts w:hint="eastAsia" w:eastAsia="黑体"/>
          <w:sz w:val="48"/>
          <w:szCs w:val="48"/>
        </w:rPr>
      </w:pPr>
    </w:p>
    <w:p w14:paraId="2CC232CE">
      <w:pPr>
        <w:widowControl/>
        <w:jc w:val="center"/>
        <w:rPr>
          <w:rFonts w:hint="eastAsia" w:eastAsia="黑体"/>
          <w:sz w:val="48"/>
          <w:szCs w:val="48"/>
        </w:rPr>
      </w:pPr>
    </w:p>
    <w:p w14:paraId="619021EE">
      <w:pPr>
        <w:widowControl/>
        <w:jc w:val="center"/>
        <w:rPr>
          <w:rFonts w:hint="eastAsia" w:eastAsia="黑体"/>
          <w:sz w:val="48"/>
          <w:szCs w:val="48"/>
        </w:rPr>
      </w:pPr>
    </w:p>
    <w:p w14:paraId="0DF14ECD">
      <w:pPr>
        <w:widowControl/>
        <w:jc w:val="center"/>
        <w:rPr>
          <w:rFonts w:hint="eastAsia" w:eastAsia="黑体"/>
          <w:sz w:val="48"/>
          <w:szCs w:val="48"/>
        </w:rPr>
      </w:pPr>
    </w:p>
    <w:p w14:paraId="1E5C4239">
      <w:pPr>
        <w:widowControl/>
        <w:jc w:val="center"/>
        <w:rPr>
          <w:rFonts w:hint="eastAsia" w:eastAsia="黑体"/>
          <w:sz w:val="48"/>
          <w:szCs w:val="48"/>
        </w:rPr>
      </w:pPr>
    </w:p>
    <w:p w14:paraId="13F8C185">
      <w:pPr>
        <w:widowControl/>
        <w:jc w:val="center"/>
        <w:rPr>
          <w:rFonts w:hint="eastAsia" w:eastAsia="黑体"/>
          <w:sz w:val="48"/>
          <w:szCs w:val="48"/>
        </w:rPr>
      </w:pPr>
    </w:p>
    <w:p w14:paraId="342A47CA">
      <w:pPr>
        <w:widowControl/>
        <w:jc w:val="center"/>
        <w:rPr>
          <w:rFonts w:eastAsia="黑体"/>
          <w:sz w:val="48"/>
          <w:szCs w:val="48"/>
        </w:rPr>
      </w:pPr>
      <w:r>
        <w:rPr>
          <w:rFonts w:hint="eastAsia" w:eastAsia="黑体"/>
          <w:sz w:val="48"/>
          <w:szCs w:val="48"/>
        </w:rPr>
        <w:t>目录</w:t>
      </w:r>
    </w:p>
    <w:p w14:paraId="3D0A9C99">
      <w:pPr>
        <w:widowControl/>
        <w:jc w:val="center"/>
        <w:rPr>
          <w:rFonts w:eastAsia="黑体" w:cstheme="minorBidi"/>
          <w:sz w:val="28"/>
          <w:szCs w:val="28"/>
        </w:rPr>
      </w:pPr>
    </w:p>
    <w:p w14:paraId="15BE8947">
      <w:pPr>
        <w:pStyle w:val="12"/>
        <w:rPr>
          <w:rFonts w:ascii="Times New Roman" w:hAnsi="Times New Roman" w:eastAsia="仿宋_GB2312" w:cs="仿宋_GB2312"/>
          <w:sz w:val="32"/>
          <w:szCs w:val="32"/>
        </w:rPr>
      </w:pPr>
      <w:r>
        <w:rPr>
          <w:rFonts w:hint="eastAsia" w:ascii="Times New Roman" w:hAnsi="Times New Roman" w:eastAsia="仿宋_GB2312" w:cs="仿宋_GB2312"/>
          <w:sz w:val="32"/>
          <w:szCs w:val="32"/>
        </w:rPr>
        <w:t>公开时间：</w:t>
      </w:r>
      <w:r>
        <w:rPr>
          <w:rFonts w:hint="eastAsia" w:ascii="Times New Roman" w:hAnsi="Times New Roman" w:eastAsia="仿宋_GB2312" w:cs="仿宋_GB2312"/>
          <w:sz w:val="32"/>
          <w:szCs w:val="32"/>
          <w:lang w:eastAsia="zh-CN"/>
        </w:rPr>
        <w:t>2025</w:t>
      </w:r>
      <w:r>
        <w:rPr>
          <w:rFonts w:hint="eastAsia" w:ascii="Times New Roman" w:hAnsi="Times New Roman" w:eastAsia="仿宋_GB2312" w:cs="仿宋_GB2312"/>
          <w:sz w:val="32"/>
          <w:szCs w:val="32"/>
        </w:rPr>
        <w:t>年</w:t>
      </w:r>
      <w:r>
        <w:rPr>
          <w:rFonts w:hint="eastAsia" w:ascii="Times New Roman" w:hAnsi="Times New Roman" w:eastAsia="仿宋_GB2312" w:cs="仿宋_GB2312"/>
          <w:sz w:val="32"/>
          <w:szCs w:val="32"/>
          <w:lang w:val="en-US" w:eastAsia="zh-CN"/>
        </w:rPr>
        <w:t>9</w:t>
      </w:r>
      <w:r>
        <w:rPr>
          <w:rFonts w:hint="eastAsia" w:ascii="Times New Roman" w:hAnsi="Times New Roman" w:eastAsia="仿宋_GB2312" w:cs="仿宋_GB2312"/>
          <w:sz w:val="32"/>
          <w:szCs w:val="32"/>
        </w:rPr>
        <w:t>月</w:t>
      </w:r>
      <w:r>
        <w:rPr>
          <w:rFonts w:hint="eastAsia" w:ascii="Times New Roman" w:hAnsi="Times New Roman" w:eastAsia="仿宋_GB2312" w:cs="仿宋_GB2312"/>
          <w:sz w:val="32"/>
          <w:szCs w:val="32"/>
          <w:lang w:val="en-US" w:eastAsia="zh-CN"/>
        </w:rPr>
        <w:t>11</w:t>
      </w:r>
      <w:r>
        <w:rPr>
          <w:rFonts w:hint="eastAsia" w:ascii="Times New Roman" w:hAnsi="Times New Roman" w:eastAsia="仿宋_GB2312" w:cs="仿宋_GB2312"/>
          <w:sz w:val="32"/>
          <w:szCs w:val="32"/>
        </w:rPr>
        <w:t>日</w:t>
      </w:r>
    </w:p>
    <w:p w14:paraId="1F7CE088">
      <w:bookmarkStart w:id="73" w:name="_GoBack"/>
      <w:bookmarkEnd w:id="73"/>
    </w:p>
    <w:p w14:paraId="0179DB3C">
      <w:pPr>
        <w:spacing w:before="0" w:beforeLines="0" w:after="0" w:afterLines="0" w:line="240" w:lineRule="auto"/>
        <w:ind w:left="0" w:leftChars="0" w:right="0" w:rightChars="0" w:firstLine="0" w:firstLineChars="0"/>
        <w:jc w:val="center"/>
        <w:rPr>
          <w:rFonts w:hint="eastAsia" w:ascii="仿宋_GB2312" w:hAnsi="仿宋_GB2312" w:eastAsia="仿宋_GB2312" w:cs="仿宋_GB2312"/>
          <w:bCs w:val="0"/>
          <w:kern w:val="0"/>
          <w:sz w:val="32"/>
          <w:szCs w:val="32"/>
        </w:rPr>
      </w:pPr>
      <w:bookmarkStart w:id="0" w:name="_Toc15377196"/>
      <w:bookmarkStart w:id="1" w:name="_Toc15396599"/>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TOC \o "1-2" \h \u </w:instrText>
      </w:r>
      <w:r>
        <w:rPr>
          <w:rFonts w:hint="eastAsia" w:ascii="仿宋_GB2312" w:hAnsi="仿宋_GB2312" w:eastAsia="仿宋_GB2312" w:cs="仿宋_GB2312"/>
          <w:bCs w:val="0"/>
          <w:kern w:val="0"/>
          <w:sz w:val="32"/>
          <w:szCs w:val="32"/>
        </w:rPr>
        <w:fldChar w:fldCharType="separate"/>
      </w:r>
    </w:p>
    <w:p w14:paraId="044770E1">
      <w:pPr>
        <w:pStyle w:val="35"/>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_Toc882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第一部分 单位概况</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3</w:t>
      </w:r>
      <w:r>
        <w:rPr>
          <w:rFonts w:hint="eastAsia" w:ascii="仿宋_GB2312" w:hAnsi="仿宋_GB2312" w:eastAsia="仿宋_GB2312" w:cs="仿宋_GB2312"/>
          <w:bCs w:val="0"/>
          <w:kern w:val="0"/>
          <w:sz w:val="32"/>
          <w:szCs w:val="32"/>
        </w:rPr>
        <w:fldChar w:fldCharType="end"/>
      </w:r>
    </w:p>
    <w:p w14:paraId="7A59E6C4">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_Toc18582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 主要职责</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3</w:t>
      </w:r>
      <w:r>
        <w:rPr>
          <w:rFonts w:hint="eastAsia" w:ascii="仿宋_GB2312" w:hAnsi="仿宋_GB2312" w:eastAsia="仿宋_GB2312" w:cs="仿宋_GB2312"/>
          <w:bCs w:val="0"/>
          <w:kern w:val="0"/>
          <w:sz w:val="32"/>
          <w:szCs w:val="32"/>
        </w:rPr>
        <w:fldChar w:fldCharType="end"/>
      </w:r>
    </w:p>
    <w:p w14:paraId="3779EE6F">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_Toc23608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二、机构设置</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6</w:t>
      </w:r>
      <w:r>
        <w:rPr>
          <w:rFonts w:hint="eastAsia" w:ascii="仿宋_GB2312" w:hAnsi="仿宋_GB2312" w:eastAsia="仿宋_GB2312" w:cs="仿宋_GB2312"/>
          <w:bCs w:val="0"/>
          <w:kern w:val="0"/>
          <w:sz w:val="32"/>
          <w:szCs w:val="32"/>
        </w:rPr>
        <w:fldChar w:fldCharType="end"/>
      </w:r>
    </w:p>
    <w:p w14:paraId="15BC3E3A">
      <w:pPr>
        <w:pStyle w:val="35"/>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_Toc24986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 xml:space="preserve">第二部分 </w:t>
      </w:r>
      <w:r>
        <w:rPr>
          <w:rFonts w:hint="eastAsia" w:ascii="仿宋_GB2312" w:hAnsi="仿宋_GB2312" w:eastAsia="仿宋_GB2312" w:cs="仿宋_GB2312"/>
          <w:bCs w:val="0"/>
          <w:kern w:val="0"/>
          <w:sz w:val="32"/>
          <w:szCs w:val="32"/>
          <w:lang w:eastAsia="zh-CN"/>
        </w:rPr>
        <w:t>2025</w:t>
      </w:r>
      <w:r>
        <w:rPr>
          <w:rFonts w:hint="eastAsia" w:ascii="仿宋_GB2312" w:hAnsi="仿宋_GB2312" w:eastAsia="仿宋_GB2312" w:cs="仿宋_GB2312"/>
          <w:bCs w:val="0"/>
          <w:kern w:val="0"/>
          <w:sz w:val="32"/>
          <w:szCs w:val="32"/>
        </w:rPr>
        <w:t>年度单位决算情况说明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8</w:t>
      </w:r>
      <w:r>
        <w:rPr>
          <w:rFonts w:hint="eastAsia" w:ascii="仿宋_GB2312" w:hAnsi="仿宋_GB2312" w:eastAsia="仿宋_GB2312" w:cs="仿宋_GB2312"/>
          <w:bCs w:val="0"/>
          <w:kern w:val="0"/>
          <w:sz w:val="32"/>
          <w:szCs w:val="32"/>
        </w:rPr>
        <w:fldChar w:fldCharType="end"/>
      </w:r>
    </w:p>
    <w:p w14:paraId="3AABEAC7">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_Toc28033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 收入支出决算总体情况说明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8</w:t>
      </w:r>
      <w:r>
        <w:rPr>
          <w:rFonts w:hint="eastAsia" w:ascii="仿宋_GB2312" w:hAnsi="仿宋_GB2312" w:eastAsia="仿宋_GB2312" w:cs="仿宋_GB2312"/>
          <w:bCs w:val="0"/>
          <w:kern w:val="0"/>
          <w:sz w:val="32"/>
          <w:szCs w:val="32"/>
        </w:rPr>
        <w:fldChar w:fldCharType="end"/>
      </w:r>
    </w:p>
    <w:p w14:paraId="653071AE">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_Toc18330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 收入决算情况说明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8</w:t>
      </w:r>
      <w:r>
        <w:rPr>
          <w:rFonts w:hint="eastAsia" w:ascii="仿宋_GB2312" w:hAnsi="仿宋_GB2312" w:eastAsia="仿宋_GB2312" w:cs="仿宋_GB2312"/>
          <w:bCs w:val="0"/>
          <w:kern w:val="0"/>
          <w:sz w:val="32"/>
          <w:szCs w:val="32"/>
        </w:rPr>
        <w:fldChar w:fldCharType="end"/>
      </w:r>
    </w:p>
    <w:p w14:paraId="3081B81C">
      <w:pPr>
        <w:pStyle w:val="36"/>
        <w:tabs>
          <w:tab w:val="right" w:leader="dot" w:pos="8306"/>
        </w:tabs>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_Toc12720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三、 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9</w:t>
      </w:r>
      <w:r>
        <w:rPr>
          <w:rFonts w:hint="eastAsia" w:ascii="仿宋_GB2312" w:hAnsi="仿宋_GB2312" w:eastAsia="仿宋_GB2312" w:cs="仿宋_GB2312"/>
          <w:bCs w:val="0"/>
          <w:kern w:val="0"/>
          <w:sz w:val="32"/>
          <w:szCs w:val="32"/>
        </w:rPr>
        <w:fldChar w:fldCharType="end"/>
      </w:r>
    </w:p>
    <w:p w14:paraId="0E390A5C">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_Toc990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四、财政拨款收入支出决算总体情况说明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0</w:t>
      </w:r>
    </w:p>
    <w:p w14:paraId="7971F9D4">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_Toc2282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五、一般公共预算财政拨款支出决算情况说明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0</w:t>
      </w:r>
    </w:p>
    <w:p w14:paraId="1F23612E">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_Toc28824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六、一般公共预算财政拨款基本支出决算情况说明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4</w:t>
      </w:r>
    </w:p>
    <w:p w14:paraId="5F7C4CFC">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_Toc6092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七、财政拨款“三公”经费支出决算情况说明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5</w:t>
      </w:r>
    </w:p>
    <w:p w14:paraId="4535247D">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_Toc32615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八、政府性基金预算支出决算情况说明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7</w:t>
      </w:r>
    </w:p>
    <w:p w14:paraId="5E571148">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_Toc2334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九、 国有资本经营预算支出决算情况说明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7</w:t>
      </w:r>
    </w:p>
    <w:p w14:paraId="4B088ED1">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_Toc25045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 其他重要事项的情况说明</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7</w:t>
      </w:r>
    </w:p>
    <w:p w14:paraId="2502C948">
      <w:pPr>
        <w:pStyle w:val="35"/>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_Toc4047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第三部分 名词解释</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1</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9</w:t>
      </w:r>
    </w:p>
    <w:p w14:paraId="7CF651E0">
      <w:pPr>
        <w:pStyle w:val="35"/>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_Toc17924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第四部分 附件</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5</w:t>
      </w:r>
    </w:p>
    <w:p w14:paraId="4A87E91A">
      <w:pPr>
        <w:pStyle w:val="35"/>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_Toc2894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第五部分 附表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3466E450">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_Toc24332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一、收入支出决算总表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1F09ACC6">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_Toc31538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二、收入决算表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45091CCE">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_Toc6672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三、支出决算表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734BA28D">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_Toc30515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四、财政拨款收入支出决算总表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7FD6FCAE">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_Toc14213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五、财政拨款支出决算明细表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00E5AD81">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_Toc8334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六、一般公共预算财政拨款支出决算表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26</w:t>
      </w:r>
      <w:r>
        <w:rPr>
          <w:rFonts w:hint="eastAsia" w:ascii="仿宋_GB2312" w:hAnsi="仿宋_GB2312" w:eastAsia="仿宋_GB2312" w:cs="仿宋_GB2312"/>
          <w:bCs w:val="0"/>
          <w:kern w:val="0"/>
          <w:sz w:val="32"/>
          <w:szCs w:val="32"/>
        </w:rPr>
        <w:fldChar w:fldCharType="end"/>
      </w:r>
    </w:p>
    <w:p w14:paraId="70F2D72D">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_Toc5090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七、一般公共预算财政拨款支出决算明细表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1B6035F0">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_Toc26954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八、一般公共预算财政拨款基本支出决算表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294AF176">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_Toc27352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九、一般公共预算财政拨款项目支出决算表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34D82C48">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_Toc28940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十、政府性基金预算财政拨款收入支出决算表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25990162">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_Toc19783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十一、国有资本经营预算财政拨款收入支出决算表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47708ED6">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_Toc32189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十二、国有资本经营预算财政拨款支出决算表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196CCC2A">
      <w:pPr>
        <w:pStyle w:val="36"/>
        <w:tabs>
          <w:tab w:val="right" w:leader="dot" w:pos="8306"/>
        </w:tabs>
        <w:rPr>
          <w:rFonts w:hint="eastAsia" w:ascii="仿宋_GB2312" w:hAnsi="仿宋_GB2312" w:eastAsia="仿宋_GB2312" w:cs="仿宋_GB2312"/>
          <w:bCs w:val="0"/>
          <w:kern w:val="0"/>
          <w:sz w:val="32"/>
          <w:szCs w:val="32"/>
          <w:lang w:val="en-US" w:eastAsia="zh-CN"/>
        </w:rPr>
      </w:pPr>
      <w:r>
        <w:rPr>
          <w:rFonts w:hint="eastAsia" w:ascii="仿宋_GB2312" w:hAnsi="仿宋_GB2312" w:eastAsia="仿宋_GB2312" w:cs="仿宋_GB2312"/>
          <w:bCs w:val="0"/>
          <w:kern w:val="0"/>
          <w:sz w:val="32"/>
          <w:szCs w:val="32"/>
        </w:rPr>
        <w:fldChar w:fldCharType="begin"/>
      </w:r>
      <w:r>
        <w:rPr>
          <w:rFonts w:hint="eastAsia" w:ascii="仿宋_GB2312" w:hAnsi="仿宋_GB2312" w:eastAsia="仿宋_GB2312" w:cs="仿宋_GB2312"/>
          <w:bCs w:val="0"/>
          <w:kern w:val="0"/>
          <w:sz w:val="32"/>
          <w:szCs w:val="32"/>
        </w:rPr>
        <w:instrText xml:space="preserve"> HYPERLINK \l _Toc10202 </w:instrText>
      </w:r>
      <w:r>
        <w:rPr>
          <w:rFonts w:hint="eastAsia" w:ascii="仿宋_GB2312" w:hAnsi="仿宋_GB2312" w:eastAsia="仿宋_GB2312" w:cs="仿宋_GB2312"/>
          <w:bCs w:val="0"/>
          <w:kern w:val="0"/>
          <w:sz w:val="32"/>
          <w:szCs w:val="32"/>
        </w:rPr>
        <w:fldChar w:fldCharType="separate"/>
      </w:r>
      <w:r>
        <w:rPr>
          <w:rFonts w:hint="eastAsia" w:ascii="仿宋_GB2312" w:hAnsi="仿宋_GB2312" w:eastAsia="仿宋_GB2312" w:cs="仿宋_GB2312"/>
          <w:bCs w:val="0"/>
          <w:kern w:val="0"/>
          <w:sz w:val="32"/>
          <w:szCs w:val="32"/>
        </w:rPr>
        <w:t>十三、财政拨款“三公”经费支出决算表</w:t>
      </w:r>
      <w:r>
        <w:rPr>
          <w:rFonts w:hint="eastAsia" w:ascii="仿宋_GB2312" w:hAnsi="仿宋_GB2312" w:eastAsia="仿宋_GB2312" w:cs="仿宋_GB2312"/>
          <w:bCs w:val="0"/>
          <w:kern w:val="0"/>
          <w:sz w:val="32"/>
          <w:szCs w:val="32"/>
        </w:rPr>
        <w:tab/>
      </w:r>
      <w:r>
        <w:rPr>
          <w:rFonts w:hint="eastAsia" w:ascii="仿宋_GB2312" w:hAnsi="仿宋_GB2312" w:eastAsia="仿宋_GB2312" w:cs="仿宋_GB2312"/>
          <w:bCs w:val="0"/>
          <w:kern w:val="0"/>
          <w:sz w:val="32"/>
          <w:szCs w:val="32"/>
          <w:lang w:val="en-US" w:eastAsia="zh-CN"/>
        </w:rPr>
        <w:t>2</w:t>
      </w:r>
      <w:r>
        <w:rPr>
          <w:rFonts w:hint="eastAsia" w:ascii="仿宋_GB2312" w:hAnsi="仿宋_GB2312" w:eastAsia="仿宋_GB2312" w:cs="仿宋_GB2312"/>
          <w:bCs w:val="0"/>
          <w:kern w:val="0"/>
          <w:sz w:val="32"/>
          <w:szCs w:val="32"/>
        </w:rPr>
        <w:fldChar w:fldCharType="end"/>
      </w:r>
      <w:r>
        <w:rPr>
          <w:rFonts w:hint="eastAsia" w:ascii="仿宋_GB2312" w:hAnsi="仿宋_GB2312" w:eastAsia="仿宋_GB2312" w:cs="仿宋_GB2312"/>
          <w:bCs w:val="0"/>
          <w:kern w:val="0"/>
          <w:sz w:val="32"/>
          <w:szCs w:val="32"/>
          <w:lang w:val="en-US" w:eastAsia="zh-CN"/>
        </w:rPr>
        <w:t>6</w:t>
      </w:r>
    </w:p>
    <w:p w14:paraId="7D631DD2">
      <w:pPr>
        <w:rPr>
          <w:rFonts w:hint="eastAsia" w:ascii="仿宋_GB2312" w:hAnsi="仿宋_GB2312" w:eastAsia="仿宋_GB2312" w:cs="仿宋_GB2312"/>
          <w:bCs w:val="0"/>
          <w:kern w:val="0"/>
          <w:sz w:val="32"/>
          <w:szCs w:val="32"/>
        </w:rPr>
      </w:pPr>
      <w:r>
        <w:rPr>
          <w:rFonts w:hint="eastAsia" w:ascii="仿宋_GB2312" w:hAnsi="仿宋_GB2312" w:eastAsia="仿宋_GB2312" w:cs="仿宋_GB2312"/>
          <w:bCs w:val="0"/>
          <w:kern w:val="0"/>
          <w:sz w:val="32"/>
          <w:szCs w:val="32"/>
        </w:rPr>
        <w:fldChar w:fldCharType="end"/>
      </w:r>
    </w:p>
    <w:p w14:paraId="6397EB25">
      <w:pPr>
        <w:widowControl/>
        <w:spacing w:line="560" w:lineRule="exact"/>
        <w:jc w:val="left"/>
        <w:rPr>
          <w:rFonts w:eastAsia="仿宋_GB2312" w:cs="仿宋_GB2312"/>
          <w:bCs/>
          <w:kern w:val="44"/>
          <w:sz w:val="32"/>
          <w:szCs w:val="32"/>
        </w:rPr>
      </w:pPr>
      <w:r>
        <w:rPr>
          <w:rFonts w:hint="eastAsia" w:eastAsia="仿宋_GB2312" w:cs="仿宋_GB2312"/>
          <w:b/>
          <w:sz w:val="32"/>
          <w:szCs w:val="32"/>
        </w:rPr>
        <w:br w:type="page"/>
      </w:r>
    </w:p>
    <w:p w14:paraId="7F511E3D">
      <w:pPr>
        <w:pStyle w:val="2"/>
        <w:jc w:val="center"/>
        <w:rPr>
          <w:rStyle w:val="37"/>
          <w:rFonts w:eastAsia="方正小标宋简体" w:cs="方正小标宋简体"/>
          <w:b/>
          <w:bCs w:val="0"/>
        </w:rPr>
      </w:pPr>
      <w:r>
        <w:rPr>
          <w:rFonts w:hint="eastAsia" w:eastAsia="方正小标宋简体" w:cs="方正小标宋简体"/>
          <w:b w:val="0"/>
        </w:rPr>
        <w:t xml:space="preserve">第一部分  </w:t>
      </w:r>
      <w:r>
        <w:rPr>
          <w:rFonts w:hint="eastAsia" w:eastAsia="方正小标宋简体" w:cs="方正小标宋简体"/>
          <w:b w:val="0"/>
          <w:lang w:eastAsia="zh-CN"/>
        </w:rPr>
        <w:t>单位</w:t>
      </w:r>
      <w:r>
        <w:rPr>
          <w:rStyle w:val="37"/>
          <w:rFonts w:hint="eastAsia" w:eastAsia="方正小标宋简体" w:cs="方正小标宋简体"/>
          <w:b w:val="0"/>
          <w:bCs w:val="0"/>
        </w:rPr>
        <w:t>概况</w:t>
      </w:r>
      <w:bookmarkEnd w:id="0"/>
      <w:bookmarkEnd w:id="1"/>
    </w:p>
    <w:p w14:paraId="46EA8623">
      <w:pPr>
        <w:pStyle w:val="3"/>
        <w:numPr>
          <w:ilvl w:val="0"/>
          <w:numId w:val="1"/>
        </w:numPr>
        <w:rPr>
          <w:rStyle w:val="38"/>
          <w:rFonts w:ascii="黑体" w:hAnsi="黑体" w:eastAsia="黑体"/>
          <w:b w:val="0"/>
          <w:bCs w:val="0"/>
        </w:rPr>
      </w:pPr>
      <w:bookmarkStart w:id="2" w:name="_Toc5509"/>
      <w:bookmarkStart w:id="3" w:name="_Toc15377197"/>
      <w:bookmarkStart w:id="4" w:name="_Toc15396600"/>
      <w:r>
        <w:rPr>
          <w:rStyle w:val="38"/>
          <w:rFonts w:hint="eastAsia" w:ascii="黑体" w:hAnsi="黑体" w:eastAsia="黑体"/>
          <w:b w:val="0"/>
          <w:bCs w:val="0"/>
        </w:rPr>
        <w:t>主要职责</w:t>
      </w:r>
      <w:bookmarkEnd w:id="2"/>
    </w:p>
    <w:p w14:paraId="3E4AA107">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2019年机构改革后，根据阿委办发〔2019〕25号文件规定，我局主要职责是：</w:t>
      </w:r>
    </w:p>
    <w:p w14:paraId="06162A17">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负责全州林业和草原及其生态保护修复的监督管理。拟订全州林业和草原及其生态保护修复的政策、规划并组织实施，起草相关自治法规、规范性文件草案。组织开展全州森林、草原、湿地、荒漠和陆生野生动植物资源动态监测与评价，推进全州林业和草原数字化建设。</w:t>
      </w:r>
    </w:p>
    <w:p w14:paraId="453D5B99">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2、组织全州林业和草原生态保护修复和造林绿化工作。组织实施林业和草原重点生态保护修复工程，指导公益林和商品林的培育，指导、监督全民义务植树、城乡绿化工作。指导林业和草原有害生物防治、检疫工作。承担林业和草原应对气候变化的相关工作。</w:t>
      </w:r>
    </w:p>
    <w:p w14:paraId="6EF61BDB">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3、负责全州森林、草原、湿地资源的监督管理。组织编制并监督执行全州森林采伐限额。负责林地管理，拟订林地保护利用规划并组织实施，组织实施公益林划定和管理工作，管理国有森林资源。负责草原禁牧、草畜平衡和草原生态修复治理工作，监督管理草原的开发利用。负责湿地生态保护修复工作，拟订全州湿地保护规划，监督管理湿地的开发利用。</w:t>
      </w:r>
    </w:p>
    <w:p w14:paraId="6CB8CA43">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4、负责监督管理全州荒漠化防治工作。组织开展荒漠调查，组织拟订防沙治沙及沙化土地封禁保护区建设规划，监督管理沙化土地的开发利用，组织沙尘暴灾害预测预报和应急处置。</w:t>
      </w:r>
    </w:p>
    <w:p w14:paraId="7E8920EE">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5、负责全州陆生野生动植物资源监督管理。组织开展陆生野生动植物资源调查，拟订及调整全州重点保护陆生野生动物、植物名录，指导陆生野生动植物的救护繁育、栖息地恢复发展、疫源疫病监测，监督管理陆生野生动植物猎捕或采集、驯养繁殖或培植、经营利用，按分工监督管理野生动植物进出口。</w:t>
      </w:r>
    </w:p>
    <w:p w14:paraId="6E8B66DF">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6、负责监督管理全州各类自然保护地。拟订各类自然保护地规划。负责国家公园申报设立、规划、建设和特许经营等工作。负责州级政府直接行使和代理行使全民所有权的国家公园等自然保护地的自然资源资产管理和国土空间用途管制。提出新建、调整各类自然保护地的审核建议并按程序报批。组织审核世界自然遗产的申报，会同有关部门审核世界自然与文化双重遗产的申报。负责生物多样性保护相关工作。</w:t>
      </w:r>
    </w:p>
    <w:p w14:paraId="246B513B">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7、负责推进全州林业和草原改革相关工作。拟订集体林权制度、国有林区、国有林场、草原等重大改革意见并监督实施。拟订农村林业发展、维护林业经营者合法权益的政策措施。指导农村林地承包经营工作。开展退耕（牧）还林还草，负责天然林保护工作。</w:t>
      </w:r>
    </w:p>
    <w:p w14:paraId="1F8E5F56">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8、拟订全州林业和草原资源优化配置及木材利用政策，拟订相关林业产业地方标准并监督实施。组织、指导林草产品质量监督。指导生态扶贫相关工作。指导林业和草原现代园区建设、花卉、特色经济林、森林林下经济、森林康养和生态旅游产业发展。推进林业和草原绿色产业发展。</w:t>
      </w:r>
    </w:p>
    <w:p w14:paraId="4A650775">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9、指导全州国有林场基本建设和发展，组织林木种子、草种种质资源普查，组织建立种质资源库，负责良种选育推广，管理林木种苗、草种生产经营行为，监管林木种苗、草种质量。监督管理林业和草原生物种质资源、转基因生物安全、植物新品种保护。</w:t>
      </w:r>
    </w:p>
    <w:p w14:paraId="49933DFC">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10、指导全州森林公安工作，监督管理森林公安队伍，指导全州林业重大违法案件的查处，负责相关行政执法监管工作，指导林区社会治安治理工作。</w:t>
      </w:r>
    </w:p>
    <w:p w14:paraId="094D1644">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11、负责落实全州综合防灾减灾规划相关要求，组织编制森林和草原火灾防治规划并指导实施，组织、指导开展防火巡护、火源管理、防火设施建设等工作。负责森林和草原火情监测预警、火灾预防工作，发送森林和草原火险信息。组织指导国有林场林区和草原开展防火宣传教育、监测预警、督促检查等工作。</w:t>
      </w:r>
    </w:p>
    <w:p w14:paraId="4F723E99">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12、监督管理全州林业和草原州级以上资金和国有资产，提出林业和草原预算内投资、州级以上财政性资金安排建议，按州政府规定权限，核报、核准规划内和年度计划内投资项目。参与拟订全州林业和草原经济调节政策，组织实施林业和草原生态补偿工作。</w:t>
      </w:r>
    </w:p>
    <w:p w14:paraId="7B849537">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13、负责林业和草原科技、教育和对外交流工作，指导全州林业和草原人才队伍建设，组织实施林业和草原对外交流与合作事务，承担湿地、防治荒漠化、濒危野生动植物等国际公约履约有关工作。</w:t>
      </w:r>
    </w:p>
    <w:p w14:paraId="6349A531">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14、负责州属林业企业监督管理。协助州委组织部指导州属林业企业党的建设和人才队伍建设工作。组织协调州属林业企业退休人员信访、稳定工作。</w:t>
      </w:r>
    </w:p>
    <w:p w14:paraId="2F9C5CA2">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15、承担职责范围内的安全生产和职业健康、生态环境保护、公共机构节能减排、审批服务使民化等工作。</w:t>
      </w:r>
    </w:p>
    <w:p w14:paraId="75E50CF3">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16、完成州委、州政府交办的其他任务。</w:t>
      </w:r>
    </w:p>
    <w:p w14:paraId="15E151F4">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17、职能转变。围绕高质量筑牢长江黄河上游生态屏障，加强森林、草原、湿地监督管理的统筹协调，切实加大生态系统保护力度，实施重要生态系统保护和修复工程，高质量实施绿化全州行动，高水平推进数字林业草原建设，加快实现林业草原生态、经济、社会三大效益。统一推进全州各类自然保护地的清理规范和归并整合。参与大熊猫国家公园在州建设试点期间的相关工作。</w:t>
      </w:r>
    </w:p>
    <w:p w14:paraId="41D519E7">
      <w:pPr>
        <w:keepNext w:val="0"/>
        <w:keepLines w:val="0"/>
        <w:pageBreakBefore w:val="0"/>
        <w:kinsoku/>
        <w:wordWrap/>
        <w:overflowPunct/>
        <w:topLinePunct w:val="0"/>
        <w:autoSpaceDE/>
        <w:autoSpaceDN/>
        <w:bidi w:val="0"/>
        <w:adjustRightInd/>
        <w:snapToGrid w:val="0"/>
        <w:spacing w:line="56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18、与州应急管理局的有关职责分工。州林草局和州应急管理局要做到各司其职、无缝对接。州应急管理局负责统一组织、统一指捍、统一协调自然灾害类突发事件应急救援救灾工作。州林草局依法依规承担林业草原领域的灾害监测、预警、防治工作及抢险救援的技术保障工作。必要时，州林草局可以提请州应急管理局，以州应急指挥机构名义部署相关防治工作。</w:t>
      </w:r>
    </w:p>
    <w:p w14:paraId="545FD23A"/>
    <w:p w14:paraId="7461841F">
      <w:pPr>
        <w:pStyle w:val="3"/>
        <w:rPr>
          <w:rFonts w:ascii="黑体" w:hAnsi="黑体" w:eastAsia="黑体"/>
          <w:b w:val="0"/>
        </w:rPr>
      </w:pPr>
      <w:bookmarkStart w:id="5" w:name="_Toc1879"/>
      <w:r>
        <w:rPr>
          <w:rFonts w:hint="eastAsia" w:ascii="黑体" w:hAnsi="黑体" w:eastAsia="黑体"/>
          <w:b w:val="0"/>
        </w:rPr>
        <w:t>二、机构设置</w:t>
      </w:r>
      <w:bookmarkEnd w:id="5"/>
    </w:p>
    <w:bookmarkEnd w:id="3"/>
    <w:bookmarkEnd w:id="4"/>
    <w:p w14:paraId="2C315400">
      <w:pPr>
        <w:snapToGrid w:val="0"/>
        <w:spacing w:line="520" w:lineRule="exact"/>
        <w:ind w:firstLine="640" w:firstLineChars="200"/>
        <w:rPr>
          <w:rFonts w:hint="eastAsia" w:ascii="仿宋_GB2312" w:hAnsi="仿宋" w:eastAsia="仿宋_GB2312"/>
          <w:sz w:val="32"/>
          <w:szCs w:val="32"/>
        </w:rPr>
      </w:pPr>
      <w:r>
        <w:rPr>
          <w:rFonts w:hint="eastAsia" w:ascii="仿宋_GB2312" w:hAnsi="仿宋" w:eastAsia="仿宋_GB2312"/>
          <w:sz w:val="32"/>
          <w:szCs w:val="32"/>
        </w:rPr>
        <w:t>本单位本年度纳入本套决算编制范围的独立编制机构数共1个，比上年增加0个；独立核算机构数共1个，比上年增加0个。</w:t>
      </w:r>
    </w:p>
    <w:p w14:paraId="161C45AF">
      <w:pPr>
        <w:pStyle w:val="5"/>
        <w:ind w:firstLine="640" w:firstLineChars="200"/>
        <w:rPr>
          <w:rFonts w:hint="eastAsia"/>
        </w:rPr>
      </w:pPr>
      <w:r>
        <w:rPr>
          <w:rFonts w:hint="eastAsia" w:ascii="仿宋_GB2312" w:hAnsi="仿宋" w:eastAsia="仿宋_GB2312"/>
          <w:sz w:val="32"/>
          <w:szCs w:val="32"/>
          <w:lang w:val="en-US" w:eastAsia="zh-CN"/>
        </w:rPr>
        <w:t>本单位本年度年末实有人数为4</w:t>
      </w:r>
      <w:r>
        <w:rPr>
          <w:rFonts w:hint="eastAsia" w:hAnsi="仿宋"/>
          <w:sz w:val="32"/>
          <w:szCs w:val="32"/>
          <w:lang w:val="en-US" w:eastAsia="zh-CN"/>
        </w:rPr>
        <w:t>9</w:t>
      </w:r>
      <w:r>
        <w:rPr>
          <w:rFonts w:hint="eastAsia" w:ascii="仿宋_GB2312" w:hAnsi="仿宋" w:eastAsia="仿宋_GB2312"/>
          <w:sz w:val="32"/>
          <w:szCs w:val="32"/>
          <w:lang w:val="en-US" w:eastAsia="zh-CN"/>
        </w:rPr>
        <w:t>人，比上</w:t>
      </w:r>
      <w:r>
        <w:rPr>
          <w:rFonts w:hint="eastAsia" w:hAnsi="仿宋"/>
          <w:sz w:val="32"/>
          <w:szCs w:val="32"/>
          <w:lang w:val="en-US" w:eastAsia="zh-CN"/>
        </w:rPr>
        <w:t>年增加2</w:t>
      </w:r>
      <w:r>
        <w:rPr>
          <w:rFonts w:hint="eastAsia" w:ascii="仿宋_GB2312" w:hAnsi="仿宋" w:eastAsia="仿宋_GB2312"/>
          <w:sz w:val="32"/>
          <w:szCs w:val="32"/>
          <w:lang w:val="en-US" w:eastAsia="zh-CN"/>
        </w:rPr>
        <w:t>人；年末实有离休人数为1人，比上年</w:t>
      </w:r>
      <w:r>
        <w:rPr>
          <w:rFonts w:hint="eastAsia" w:hAnsi="仿宋"/>
          <w:sz w:val="32"/>
          <w:szCs w:val="32"/>
          <w:lang w:val="en-US" w:eastAsia="zh-CN"/>
        </w:rPr>
        <w:t>无变化</w:t>
      </w:r>
      <w:r>
        <w:rPr>
          <w:rFonts w:hint="eastAsia" w:ascii="仿宋_GB2312" w:hAnsi="仿宋" w:eastAsia="仿宋_GB2312"/>
          <w:sz w:val="32"/>
          <w:szCs w:val="32"/>
          <w:lang w:val="en-US" w:eastAsia="zh-CN"/>
        </w:rPr>
        <w:t>；变动情况及原因为新增在职新员工</w:t>
      </w:r>
      <w:r>
        <w:rPr>
          <w:rFonts w:hint="eastAsia" w:hAnsi="仿宋"/>
          <w:sz w:val="32"/>
          <w:szCs w:val="32"/>
          <w:lang w:val="en-US" w:eastAsia="zh-CN"/>
        </w:rPr>
        <w:t>、内部调动</w:t>
      </w:r>
      <w:r>
        <w:rPr>
          <w:rFonts w:hint="eastAsia" w:ascii="仿宋_GB2312" w:hAnsi="仿宋" w:eastAsia="仿宋_GB2312"/>
          <w:sz w:val="32"/>
          <w:szCs w:val="32"/>
          <w:lang w:val="en-US" w:eastAsia="zh-CN"/>
        </w:rPr>
        <w:t>。年末实有其他人数为0人，比上年增加0人。</w:t>
      </w:r>
    </w:p>
    <w:p w14:paraId="35EC19A0">
      <w:pPr>
        <w:widowControl/>
        <w:jc w:val="left"/>
        <w:rPr>
          <w:rFonts w:eastAsia="仿宋"/>
          <w:kern w:val="0"/>
          <w:sz w:val="32"/>
          <w:szCs w:val="32"/>
        </w:rPr>
      </w:pPr>
      <w:r>
        <w:rPr>
          <w:rFonts w:eastAsia="仿宋"/>
          <w:sz w:val="32"/>
          <w:szCs w:val="32"/>
        </w:rPr>
        <w:br w:type="page"/>
      </w:r>
    </w:p>
    <w:p w14:paraId="78278817">
      <w:pPr>
        <w:pStyle w:val="2"/>
        <w:jc w:val="center"/>
      </w:pPr>
      <w:bookmarkStart w:id="6" w:name="_Toc15377204"/>
      <w:bookmarkStart w:id="7" w:name="_Toc15396602"/>
      <w:r>
        <w:rPr>
          <w:rFonts w:hint="eastAsia" w:eastAsia="方正小标宋简体" w:cs="方正小标宋简体"/>
          <w:b w:val="0"/>
        </w:rPr>
        <w:t xml:space="preserve">第二部分  </w:t>
      </w:r>
      <w:r>
        <w:rPr>
          <w:rFonts w:hint="eastAsia" w:eastAsia="方正小标宋简体" w:cs="方正小标宋简体"/>
          <w:b w:val="0"/>
          <w:lang w:eastAsia="zh-CN"/>
        </w:rPr>
        <w:t>2025</w:t>
      </w:r>
      <w:r>
        <w:rPr>
          <w:rFonts w:hint="eastAsia" w:eastAsia="方正小标宋简体" w:cs="方正小标宋简体"/>
          <w:b w:val="0"/>
        </w:rPr>
        <w:t>年度部门决算情况说明</w:t>
      </w:r>
      <w:bookmarkEnd w:id="6"/>
      <w:bookmarkEnd w:id="7"/>
    </w:p>
    <w:p w14:paraId="14691814">
      <w:pPr>
        <w:pStyle w:val="27"/>
        <w:spacing w:line="600" w:lineRule="exact"/>
        <w:ind w:firstLine="640"/>
        <w:outlineLvl w:val="1"/>
        <w:rPr>
          <w:rStyle w:val="38"/>
          <w:rFonts w:ascii="Times New Roman" w:hAnsi="Times New Roman" w:eastAsia="黑体"/>
          <w:b w:val="0"/>
        </w:rPr>
      </w:pPr>
      <w:bookmarkStart w:id="8" w:name="_Toc15396603"/>
      <w:bookmarkStart w:id="9" w:name="_Toc15377205"/>
      <w:r>
        <w:rPr>
          <w:rFonts w:hint="eastAsia" w:eastAsia="黑体"/>
          <w:sz w:val="32"/>
          <w:szCs w:val="32"/>
        </w:rPr>
        <w:t>一、收</w:t>
      </w:r>
      <w:r>
        <w:rPr>
          <w:rStyle w:val="38"/>
          <w:rFonts w:hint="eastAsia" w:ascii="Times New Roman" w:hAnsi="Times New Roman" w:eastAsia="黑体"/>
          <w:b w:val="0"/>
        </w:rPr>
        <w:t>入支出决算总体情况说明</w:t>
      </w:r>
      <w:bookmarkEnd w:id="8"/>
      <w:bookmarkEnd w:id="9"/>
    </w:p>
    <w:p w14:paraId="471DD035">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年度收入、支出总计</w:t>
      </w:r>
      <w:r>
        <w:rPr>
          <w:rFonts w:hint="eastAsia" w:ascii="仿宋_GB2312" w:hAnsi="仿宋_GB2312" w:eastAsia="仿宋_GB2312" w:cs="仿宋_GB2312"/>
          <w:b w:val="0"/>
          <w:bCs/>
          <w:sz w:val="32"/>
          <w:szCs w:val="32"/>
          <w:lang w:val="en-US" w:eastAsia="zh-CN"/>
        </w:rPr>
        <w:t>均为49822.8万</w:t>
      </w:r>
      <w:r>
        <w:rPr>
          <w:rFonts w:hint="eastAsia" w:ascii="仿宋_GB2312" w:hAnsi="仿宋_GB2312" w:eastAsia="仿宋_GB2312" w:cs="仿宋_GB2312"/>
          <w:sz w:val="32"/>
          <w:szCs w:val="32"/>
        </w:rPr>
        <w:t>元。与</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年度相比，收入、支出总计各</w:t>
      </w:r>
      <w:r>
        <w:rPr>
          <w:rFonts w:hint="eastAsia" w:ascii="仿宋_GB2312" w:hAnsi="仿宋_GB2312" w:eastAsia="仿宋_GB2312" w:cs="仿宋_GB2312"/>
          <w:b w:val="0"/>
          <w:bCs/>
          <w:sz w:val="32"/>
          <w:szCs w:val="32"/>
          <w:lang w:val="en-US" w:eastAsia="zh-CN"/>
        </w:rPr>
        <w:t>增加11768.14万元，增长</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sz w:val="32"/>
          <w:szCs w:val="32"/>
        </w:rPr>
        <w:t>%。主要变动原因是本年度新进及晋升人员追加工资性收入、且项目收入增多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遇上年度相比减少黑林局其他地方自行试点项目收益专项债券收入安排的支出2800万元</w:t>
      </w:r>
      <w:r>
        <w:rPr>
          <w:rFonts w:hint="eastAsia" w:ascii="仿宋_GB2312" w:hAnsi="仿宋_GB2312" w:eastAsia="仿宋_GB2312" w:cs="仿宋_GB2312"/>
          <w:sz w:val="32"/>
          <w:szCs w:val="32"/>
        </w:rPr>
        <w:t>。</w:t>
      </w:r>
    </w:p>
    <w:p w14:paraId="4931C6C3">
      <w:pPr>
        <w:rPr>
          <w:rFonts w:hint="eastAsia" w:eastAsia="仿宋_GB2312" w:cs="仿宋_GB2312"/>
          <w:sz w:val="32"/>
          <w:szCs w:val="32"/>
          <w:lang w:eastAsia="zh-CN"/>
        </w:rPr>
      </w:pPr>
      <w:r>
        <w:rPr>
          <w:rFonts w:hint="eastAsia" w:eastAsia="仿宋_GB2312" w:cs="仿宋_GB2312"/>
          <w:sz w:val="32"/>
          <w:szCs w:val="32"/>
          <w:lang w:val="en-US" w:eastAsia="zh-CN"/>
        </w:rPr>
        <w:t xml:space="preserve">   </w:t>
      </w:r>
      <w:r>
        <w:rPr>
          <w:rFonts w:hint="eastAsia" w:eastAsia="仿宋_GB2312" w:cs="仿宋_GB2312"/>
          <w:sz w:val="32"/>
          <w:szCs w:val="32"/>
          <w:lang w:eastAsia="zh-CN"/>
        </w:rPr>
        <w:drawing>
          <wp:inline distT="0" distB="0" distL="114300" distR="114300">
            <wp:extent cx="4615180" cy="2953385"/>
            <wp:effectExtent l="4445" t="4445" r="9525" b="13970"/>
            <wp:docPr id="9" name="图表 9"/>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1A32EB47">
      <w:pPr>
        <w:ind w:firstLine="320" w:firstLineChars="100"/>
        <w:rPr>
          <w:rFonts w:eastAsia="仿宋_GB2312" w:cs="仿宋_GB2312"/>
          <w:sz w:val="32"/>
          <w:szCs w:val="32"/>
        </w:rPr>
      </w:pPr>
      <w:r>
        <w:rPr>
          <w:rFonts w:hint="eastAsia" w:eastAsia="仿宋_GB2312" w:cs="仿宋_GB2312"/>
          <w:sz w:val="32"/>
          <w:szCs w:val="32"/>
        </w:rPr>
        <w:t>（图1：收入、支出决算总计变动情况图）（柱状图）</w:t>
      </w:r>
    </w:p>
    <w:p w14:paraId="2ED54D08">
      <w:pPr>
        <w:ind w:firstLine="640" w:firstLineChars="200"/>
        <w:rPr>
          <w:rFonts w:eastAsia="仿宋_GB2312" w:cs="仿宋_GB2312"/>
          <w:sz w:val="32"/>
          <w:szCs w:val="32"/>
        </w:rPr>
      </w:pPr>
    </w:p>
    <w:p w14:paraId="26EA6140">
      <w:pPr>
        <w:pStyle w:val="27"/>
        <w:spacing w:line="600" w:lineRule="exact"/>
        <w:ind w:firstLine="640"/>
        <w:outlineLvl w:val="1"/>
        <w:rPr>
          <w:rFonts w:eastAsia="黑体"/>
          <w:sz w:val="32"/>
          <w:szCs w:val="32"/>
        </w:rPr>
      </w:pPr>
      <w:bookmarkStart w:id="10" w:name="_Toc15377206"/>
      <w:bookmarkStart w:id="11" w:name="_Toc15396604"/>
      <w:r>
        <w:rPr>
          <w:rFonts w:hint="eastAsia" w:eastAsia="黑体"/>
          <w:sz w:val="32"/>
          <w:szCs w:val="32"/>
        </w:rPr>
        <w:t>二、收入决算情况说明</w:t>
      </w:r>
      <w:bookmarkEnd w:id="10"/>
      <w:bookmarkEnd w:id="11"/>
    </w:p>
    <w:p w14:paraId="6C72FB42">
      <w:pPr>
        <w:ind w:firstLine="640" w:firstLineChars="200"/>
        <w:rPr>
          <w:rFonts w:hint="eastAsia" w:ascii="仿宋_GB2312" w:hAnsi="仿宋_GB2312" w:eastAsia="仿宋_GB2312" w:cs="仿宋_GB2312"/>
          <w:sz w:val="32"/>
          <w:szCs w:val="32"/>
          <w:lang w:eastAsia="zh-CN"/>
        </w:rPr>
      </w:pPr>
      <w:bookmarkStart w:id="12" w:name="_Toc2584"/>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年度收入合</w:t>
      </w:r>
      <w:r>
        <w:rPr>
          <w:rFonts w:hint="eastAsia" w:ascii="仿宋_GB2312" w:hAnsi="仿宋_GB2312" w:eastAsia="仿宋_GB2312" w:cs="仿宋_GB2312"/>
          <w:sz w:val="32"/>
          <w:szCs w:val="32"/>
          <w:lang w:val="en-US" w:eastAsia="zh-CN"/>
        </w:rPr>
        <w:t>计49822.8</w:t>
      </w:r>
      <w:r>
        <w:rPr>
          <w:rFonts w:hint="eastAsia" w:ascii="仿宋_GB2312" w:hAnsi="仿宋_GB2312" w:eastAsia="仿宋_GB2312" w:cs="仿宋_GB2312"/>
          <w:sz w:val="32"/>
          <w:szCs w:val="32"/>
        </w:rPr>
        <w:t>万元，其中：一般公共预算财政拨款收入</w:t>
      </w:r>
      <w:r>
        <w:rPr>
          <w:rFonts w:hint="eastAsia" w:ascii="仿宋_GB2312" w:hAnsi="仿宋_GB2312" w:eastAsia="仿宋_GB2312" w:cs="仿宋_GB2312"/>
          <w:sz w:val="32"/>
          <w:szCs w:val="32"/>
          <w:lang w:val="en-US" w:eastAsia="zh-CN"/>
        </w:rPr>
        <w:t>49822.8</w:t>
      </w:r>
      <w:r>
        <w:rPr>
          <w:rFonts w:hint="eastAsia" w:ascii="仿宋_GB2312" w:hAnsi="仿宋_GB2312" w:eastAsia="仿宋_GB2312" w:cs="仿宋_GB2312"/>
          <w:sz w:val="32"/>
          <w:szCs w:val="32"/>
        </w:rPr>
        <w:t>万元，占</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w:t>
      </w:r>
      <w:bookmarkEnd w:id="12"/>
      <w:r>
        <w:rPr>
          <w:rFonts w:hint="eastAsia" w:ascii="仿宋_GB2312" w:hAnsi="仿宋_GB2312" w:eastAsia="仿宋_GB2312" w:cs="仿宋_GB2312"/>
          <w:sz w:val="32"/>
          <w:szCs w:val="32"/>
          <w:lang w:eastAsia="zh-CN"/>
        </w:rPr>
        <w:t>；</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万元；国有资本经营预算财政拨款收入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万元；上级补助收入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万元；事业收入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万元；附属单位上缴收入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万元；其他收入</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p>
    <w:p w14:paraId="4B6837B3">
      <w:pPr>
        <w:pStyle w:val="13"/>
        <w:rPr>
          <w:rFonts w:hint="eastAsia" w:eastAsia="仿宋"/>
          <w:lang w:eastAsia="zh-CN"/>
        </w:rPr>
      </w:pPr>
      <w:r>
        <w:rPr>
          <w:rFonts w:hint="eastAsia" w:eastAsia="仿宋"/>
          <w:lang w:val="en-US" w:eastAsia="zh-CN"/>
        </w:rPr>
        <w:t xml:space="preserve">       </w:t>
      </w:r>
      <w:r>
        <w:rPr>
          <w:rFonts w:hint="eastAsia" w:eastAsia="仿宋"/>
          <w:lang w:eastAsia="zh-CN"/>
        </w:rPr>
        <w:drawing>
          <wp:inline distT="0" distB="0" distL="114300" distR="114300">
            <wp:extent cx="4334510" cy="2813050"/>
            <wp:effectExtent l="4445" t="4445" r="23495" b="2095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7B11A713">
      <w:pPr>
        <w:ind w:firstLine="1760" w:firstLineChars="550"/>
        <w:rPr>
          <w:rFonts w:eastAsia="仿宋_GB2312" w:cs="仿宋_GB2312"/>
          <w:sz w:val="32"/>
          <w:szCs w:val="32"/>
        </w:rPr>
      </w:pPr>
      <w:r>
        <w:rPr>
          <w:rFonts w:hint="eastAsia" w:eastAsia="仿宋_GB2312" w:cs="仿宋_GB2312"/>
          <w:sz w:val="32"/>
          <w:szCs w:val="32"/>
        </w:rPr>
        <w:t>（图2：收入决算结构图）（饼状图）</w:t>
      </w:r>
    </w:p>
    <w:p w14:paraId="06E07902">
      <w:pPr>
        <w:ind w:firstLine="800" w:firstLineChars="250"/>
        <w:rPr>
          <w:rFonts w:eastAsia="仿宋_GB2312" w:cs="仿宋_GB2312"/>
          <w:sz w:val="32"/>
          <w:szCs w:val="32"/>
        </w:rPr>
      </w:pPr>
    </w:p>
    <w:p w14:paraId="6E17F131">
      <w:pPr>
        <w:pStyle w:val="27"/>
        <w:spacing w:line="600" w:lineRule="exact"/>
        <w:ind w:firstLine="640"/>
        <w:outlineLvl w:val="1"/>
        <w:rPr>
          <w:rStyle w:val="38"/>
          <w:rFonts w:ascii="Times New Roman" w:hAnsi="Times New Roman" w:eastAsia="黑体"/>
          <w:b w:val="0"/>
        </w:rPr>
      </w:pPr>
      <w:bookmarkStart w:id="13" w:name="_Toc15396605"/>
      <w:bookmarkStart w:id="14" w:name="_Toc15377207"/>
      <w:r>
        <w:rPr>
          <w:rFonts w:hint="eastAsia" w:eastAsia="黑体"/>
          <w:sz w:val="32"/>
          <w:szCs w:val="32"/>
        </w:rPr>
        <w:t>三、支</w:t>
      </w:r>
      <w:r>
        <w:rPr>
          <w:rStyle w:val="38"/>
          <w:rFonts w:hint="eastAsia" w:ascii="Times New Roman" w:hAnsi="Times New Roman" w:eastAsia="黑体"/>
          <w:b w:val="0"/>
        </w:rPr>
        <w:t>出决算情况说明</w:t>
      </w:r>
      <w:bookmarkEnd w:id="13"/>
      <w:bookmarkEnd w:id="14"/>
    </w:p>
    <w:p w14:paraId="3D13EE37">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年度支出合计</w:t>
      </w:r>
      <w:r>
        <w:rPr>
          <w:rFonts w:hint="eastAsia" w:ascii="仿宋_GB2312" w:hAnsi="仿宋_GB2312" w:eastAsia="仿宋_GB2312" w:cs="仿宋_GB2312"/>
          <w:sz w:val="32"/>
          <w:szCs w:val="32"/>
          <w:lang w:val="en-US" w:eastAsia="zh-CN"/>
        </w:rPr>
        <w:t>49822.8</w:t>
      </w:r>
      <w:r>
        <w:rPr>
          <w:rFonts w:hint="eastAsia" w:ascii="仿宋_GB2312" w:hAnsi="仿宋_GB2312" w:eastAsia="仿宋_GB2312" w:cs="仿宋_GB2312"/>
          <w:sz w:val="32"/>
          <w:szCs w:val="32"/>
        </w:rPr>
        <w:t>万元，其中：基本支</w:t>
      </w:r>
      <w:r>
        <w:rPr>
          <w:rFonts w:hint="eastAsia" w:ascii="仿宋_GB2312" w:hAnsi="仿宋_GB2312" w:eastAsia="仿宋_GB2312" w:cs="仿宋_GB2312"/>
          <w:sz w:val="32"/>
          <w:szCs w:val="32"/>
          <w:lang w:val="en-US" w:eastAsia="zh-CN"/>
        </w:rPr>
        <w:t>出1897.01万元，占3.8%；项目支出47925.79万元，占96.2%；</w:t>
      </w:r>
      <w:r>
        <w:rPr>
          <w:rFonts w:hint="eastAsia" w:ascii="Times New Roman" w:hAnsi="Times New Roman" w:eastAsia="仿宋_GB2312" w:cs="仿宋_GB2312"/>
          <w:color w:val="auto"/>
          <w:sz w:val="32"/>
          <w:szCs w:val="32"/>
          <w:highlight w:val="none"/>
          <w:lang w:eastAsia="zh-CN"/>
        </w:rPr>
        <w:t>上缴上级支出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万元；经营支出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万元；对附属单位补助支出</w:t>
      </w:r>
      <w:r>
        <w:rPr>
          <w:rFonts w:hint="eastAsia" w:eastAsia="仿宋_GB2312" w:cs="仿宋_GB2312"/>
          <w:color w:val="auto"/>
          <w:sz w:val="32"/>
          <w:szCs w:val="32"/>
          <w:highlight w:val="none"/>
          <w:lang w:val="en-US" w:eastAsia="zh-CN"/>
        </w:rPr>
        <w:t>0</w:t>
      </w:r>
      <w:r>
        <w:rPr>
          <w:rFonts w:hint="eastAsia" w:ascii="Times New Roman" w:hAnsi="Times New Roman" w:eastAsia="仿宋_GB2312" w:cs="仿宋_GB2312"/>
          <w:color w:val="auto"/>
          <w:sz w:val="32"/>
          <w:szCs w:val="32"/>
          <w:highlight w:val="none"/>
          <w:lang w:eastAsia="zh-CN"/>
        </w:rPr>
        <w:t>万元</w:t>
      </w:r>
      <w:r>
        <w:rPr>
          <w:rFonts w:hint="eastAsia" w:ascii="仿宋_GB2312" w:hAnsi="仿宋_GB2312" w:eastAsia="仿宋_GB2312" w:cs="仿宋_GB2312"/>
          <w:sz w:val="32"/>
          <w:szCs w:val="32"/>
        </w:rPr>
        <w:t>。</w:t>
      </w:r>
    </w:p>
    <w:p w14:paraId="4CE04144">
      <w:pPr>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eastAsia="zh-CN"/>
        </w:rPr>
        <w:drawing>
          <wp:inline distT="0" distB="0" distL="114300" distR="114300">
            <wp:extent cx="4344035" cy="2667635"/>
            <wp:effectExtent l="4445" t="4445" r="13970" b="13970"/>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CB091C">
      <w:pPr>
        <w:ind w:firstLine="1760" w:firstLineChars="550"/>
        <w:rPr>
          <w:rFonts w:eastAsia="仿宋_GB2312" w:cs="仿宋_GB2312"/>
          <w:sz w:val="32"/>
          <w:szCs w:val="32"/>
        </w:rPr>
      </w:pPr>
      <w:r>
        <w:rPr>
          <w:rFonts w:hint="eastAsia" w:eastAsia="仿宋_GB2312" w:cs="仿宋_GB2312"/>
          <w:sz w:val="32"/>
          <w:szCs w:val="32"/>
        </w:rPr>
        <w:t>（图3：支出决算结构图）（饼状图）</w:t>
      </w:r>
    </w:p>
    <w:p w14:paraId="435CFEDA">
      <w:pPr>
        <w:ind w:firstLine="800" w:firstLineChars="250"/>
        <w:rPr>
          <w:rFonts w:eastAsia="仿宋_GB2312" w:cs="仿宋_GB2312"/>
          <w:sz w:val="32"/>
          <w:szCs w:val="32"/>
        </w:rPr>
      </w:pPr>
    </w:p>
    <w:p w14:paraId="70F28440">
      <w:pPr>
        <w:spacing w:line="600" w:lineRule="exact"/>
        <w:ind w:firstLine="640" w:firstLineChars="200"/>
        <w:outlineLvl w:val="1"/>
        <w:rPr>
          <w:rStyle w:val="38"/>
          <w:rFonts w:ascii="Times New Roman" w:hAnsi="Times New Roman" w:eastAsia="黑体"/>
          <w:b w:val="0"/>
        </w:rPr>
      </w:pPr>
      <w:bookmarkStart w:id="15" w:name="_Toc15377208"/>
      <w:bookmarkStart w:id="16" w:name="_Toc15396606"/>
      <w:r>
        <w:rPr>
          <w:rFonts w:hint="eastAsia" w:eastAsia="黑体"/>
          <w:sz w:val="32"/>
          <w:szCs w:val="32"/>
        </w:rPr>
        <w:t>四、财</w:t>
      </w:r>
      <w:r>
        <w:rPr>
          <w:rStyle w:val="38"/>
          <w:rFonts w:hint="eastAsia" w:ascii="Times New Roman" w:hAnsi="Times New Roman" w:eastAsia="黑体"/>
          <w:b w:val="0"/>
        </w:rPr>
        <w:t>政拨款收入支出决算总体情况说明</w:t>
      </w:r>
      <w:bookmarkEnd w:id="15"/>
      <w:bookmarkEnd w:id="16"/>
    </w:p>
    <w:p w14:paraId="5E59EEC9">
      <w:pPr>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年度收入、支出总计</w:t>
      </w:r>
      <w:r>
        <w:rPr>
          <w:rFonts w:hint="eastAsia" w:ascii="仿宋_GB2312" w:hAnsi="仿宋_GB2312" w:eastAsia="仿宋_GB2312" w:cs="仿宋_GB2312"/>
          <w:b w:val="0"/>
          <w:bCs/>
          <w:sz w:val="32"/>
          <w:szCs w:val="32"/>
          <w:lang w:val="en-US" w:eastAsia="zh-CN"/>
        </w:rPr>
        <w:t>均为49822.8万</w:t>
      </w:r>
      <w:r>
        <w:rPr>
          <w:rFonts w:hint="eastAsia" w:ascii="仿宋_GB2312" w:hAnsi="仿宋_GB2312" w:eastAsia="仿宋_GB2312" w:cs="仿宋_GB2312"/>
          <w:sz w:val="32"/>
          <w:szCs w:val="32"/>
        </w:rPr>
        <w:t>元。与</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年度相比，收入、支出总计各</w:t>
      </w:r>
      <w:r>
        <w:rPr>
          <w:rFonts w:hint="eastAsia" w:ascii="仿宋_GB2312" w:hAnsi="仿宋_GB2312" w:eastAsia="仿宋_GB2312" w:cs="仿宋_GB2312"/>
          <w:b w:val="0"/>
          <w:bCs/>
          <w:sz w:val="32"/>
          <w:szCs w:val="32"/>
          <w:lang w:val="en-US" w:eastAsia="zh-CN"/>
        </w:rPr>
        <w:t>增加11768.14万元，增长</w:t>
      </w:r>
      <w:r>
        <w:rPr>
          <w:rFonts w:hint="eastAsia" w:ascii="仿宋_GB2312" w:hAnsi="仿宋_GB2312" w:eastAsia="仿宋_GB2312" w:cs="仿宋_GB2312"/>
          <w:sz w:val="32"/>
          <w:szCs w:val="32"/>
          <w:lang w:val="en-US" w:eastAsia="zh-CN"/>
        </w:rPr>
        <w:t>30.9</w:t>
      </w:r>
      <w:r>
        <w:rPr>
          <w:rFonts w:hint="eastAsia" w:ascii="仿宋_GB2312" w:hAnsi="仿宋_GB2312" w:eastAsia="仿宋_GB2312" w:cs="仿宋_GB2312"/>
          <w:sz w:val="32"/>
          <w:szCs w:val="32"/>
        </w:rPr>
        <w:t>%。主要变动原因是本年度新进及晋升人员追加工资性收入、且项目收入增多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遇上年度相比减少黑林局其他地方自行试点项目收益专项债券收入安排的支出2800万元</w:t>
      </w:r>
      <w:r>
        <w:rPr>
          <w:rFonts w:hint="eastAsia" w:ascii="仿宋_GB2312" w:hAnsi="仿宋_GB2312" w:eastAsia="仿宋_GB2312" w:cs="仿宋_GB2312"/>
          <w:sz w:val="32"/>
          <w:szCs w:val="32"/>
        </w:rPr>
        <w:t>。</w:t>
      </w:r>
    </w:p>
    <w:p w14:paraId="472752B4">
      <w:pPr>
        <w:ind w:firstLine="640" w:firstLineChars="200"/>
        <w:rPr>
          <w:rFonts w:hint="eastAsia" w:eastAsia="仿宋_GB2312" w:cs="仿宋_GB2312"/>
          <w:sz w:val="32"/>
          <w:szCs w:val="32"/>
        </w:rPr>
      </w:pPr>
      <w:r>
        <w:rPr>
          <w:rFonts w:hint="eastAsia" w:eastAsia="仿宋_GB2312" w:cs="仿宋_GB2312"/>
          <w:sz w:val="32"/>
          <w:szCs w:val="32"/>
          <w:lang w:eastAsia="zh-CN"/>
        </w:rPr>
        <w:drawing>
          <wp:inline distT="0" distB="0" distL="114300" distR="114300">
            <wp:extent cx="4615180" cy="2953385"/>
            <wp:effectExtent l="4445" t="4445" r="9525" b="13970"/>
            <wp:docPr id="11" name="图表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A4E2BD8">
      <w:pPr>
        <w:spacing w:line="600" w:lineRule="exact"/>
        <w:ind w:firstLine="320" w:firstLineChars="100"/>
        <w:rPr>
          <w:rFonts w:eastAsia="仿宋_GB2312" w:cs="仿宋_GB2312"/>
          <w:sz w:val="32"/>
          <w:szCs w:val="32"/>
        </w:rPr>
      </w:pPr>
      <w:r>
        <w:rPr>
          <w:rFonts w:hint="eastAsia" w:eastAsia="仿宋_GB2312" w:cs="仿宋_GB2312"/>
          <w:sz w:val="32"/>
          <w:szCs w:val="32"/>
        </w:rPr>
        <w:t>（图4：财政拨款收、支决算总计变动情况）（柱状图）</w:t>
      </w:r>
    </w:p>
    <w:p w14:paraId="7D6AAD32">
      <w:pPr>
        <w:spacing w:line="600" w:lineRule="exact"/>
        <w:ind w:firstLine="640"/>
        <w:rPr>
          <w:rFonts w:eastAsia="仿宋_GB2312" w:cs="仿宋_GB2312"/>
          <w:sz w:val="32"/>
          <w:szCs w:val="32"/>
        </w:rPr>
      </w:pPr>
    </w:p>
    <w:p w14:paraId="11EBED31">
      <w:pPr>
        <w:spacing w:line="600" w:lineRule="exact"/>
        <w:ind w:firstLine="640" w:firstLineChars="200"/>
        <w:outlineLvl w:val="1"/>
        <w:rPr>
          <w:rStyle w:val="38"/>
          <w:rFonts w:ascii="Times New Roman" w:hAnsi="Times New Roman" w:eastAsia="黑体"/>
          <w:b w:val="0"/>
        </w:rPr>
      </w:pPr>
      <w:bookmarkStart w:id="17" w:name="_Toc15377209"/>
      <w:bookmarkStart w:id="18" w:name="_Toc15396607"/>
      <w:r>
        <w:rPr>
          <w:rFonts w:hint="eastAsia" w:eastAsia="黑体"/>
          <w:sz w:val="32"/>
          <w:szCs w:val="32"/>
        </w:rPr>
        <w:t>五、</w:t>
      </w:r>
      <w:r>
        <w:rPr>
          <w:rFonts w:hint="eastAsia" w:eastAsia="黑体"/>
          <w:b/>
          <w:sz w:val="32"/>
          <w:szCs w:val="32"/>
        </w:rPr>
        <w:t>一</w:t>
      </w:r>
      <w:r>
        <w:rPr>
          <w:rStyle w:val="38"/>
          <w:rFonts w:hint="eastAsia" w:ascii="Times New Roman" w:hAnsi="Times New Roman" w:eastAsia="黑体"/>
          <w:b w:val="0"/>
        </w:rPr>
        <w:t>般公共预算财政拨款支出决算情况说明</w:t>
      </w:r>
      <w:bookmarkEnd w:id="17"/>
      <w:bookmarkEnd w:id="18"/>
    </w:p>
    <w:p w14:paraId="5AB47E32">
      <w:pPr>
        <w:spacing w:line="600" w:lineRule="exact"/>
        <w:ind w:firstLine="643" w:firstLineChars="200"/>
        <w:outlineLvl w:val="2"/>
        <w:rPr>
          <w:rFonts w:eastAsia="楷体_GB2312" w:cs="楷体_GB2312"/>
          <w:b/>
          <w:sz w:val="32"/>
          <w:szCs w:val="32"/>
        </w:rPr>
      </w:pPr>
      <w:bookmarkStart w:id="19" w:name="_Toc15377210"/>
      <w:r>
        <w:rPr>
          <w:rFonts w:hint="eastAsia" w:eastAsia="楷体_GB2312" w:cs="楷体_GB2312"/>
          <w:b/>
          <w:sz w:val="32"/>
          <w:szCs w:val="32"/>
        </w:rPr>
        <w:t>（一）一般公共预算财政拨款支出决算总体情况</w:t>
      </w:r>
      <w:bookmarkEnd w:id="19"/>
    </w:p>
    <w:p w14:paraId="774ACB43">
      <w:pPr>
        <w:spacing w:line="600" w:lineRule="exact"/>
        <w:ind w:firstLine="64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49822.8</w:t>
      </w:r>
      <w:r>
        <w:rPr>
          <w:rFonts w:hint="eastAsia" w:ascii="仿宋_GB2312" w:hAnsi="仿宋_GB2312" w:eastAsia="仿宋_GB2312" w:cs="仿宋_GB2312"/>
          <w:sz w:val="32"/>
          <w:szCs w:val="32"/>
        </w:rPr>
        <w:t>万元，占本年支出合计的</w:t>
      </w:r>
      <w:r>
        <w:rPr>
          <w:rFonts w:hint="eastAsia" w:ascii="仿宋_GB2312" w:hAnsi="仿宋_GB2312" w:eastAsia="仿宋_GB2312" w:cs="仿宋_GB2312"/>
          <w:sz w:val="32"/>
          <w:szCs w:val="32"/>
          <w:lang w:val="en-US" w:eastAsia="zh-CN"/>
        </w:rPr>
        <w:t>100</w:t>
      </w:r>
      <w:r>
        <w:rPr>
          <w:rFonts w:hint="eastAsia" w:ascii="仿宋_GB2312" w:hAnsi="仿宋_GB2312" w:eastAsia="仿宋_GB2312" w:cs="仿宋_GB2312"/>
          <w:sz w:val="32"/>
          <w:szCs w:val="32"/>
        </w:rPr>
        <w:t>%。与</w:t>
      </w:r>
      <w:r>
        <w:rPr>
          <w:rFonts w:hint="eastAsia" w:ascii="仿宋_GB2312" w:hAnsi="仿宋_GB2312" w:eastAsia="仿宋_GB2312" w:cs="仿宋_GB2312"/>
          <w:sz w:val="32"/>
          <w:szCs w:val="32"/>
          <w:lang w:eastAsia="zh-CN"/>
        </w:rPr>
        <w:t>2024</w:t>
      </w:r>
      <w:r>
        <w:rPr>
          <w:rFonts w:hint="eastAsia" w:ascii="仿宋_GB2312" w:hAnsi="仿宋_GB2312" w:eastAsia="仿宋_GB2312" w:cs="仿宋_GB2312"/>
          <w:sz w:val="32"/>
          <w:szCs w:val="32"/>
        </w:rPr>
        <w:t>年度相比，一般公共预算财政拨款支出</w:t>
      </w:r>
      <w:r>
        <w:rPr>
          <w:rFonts w:hint="eastAsia" w:ascii="仿宋_GB2312" w:hAnsi="仿宋_GB2312" w:eastAsia="仿宋_GB2312" w:cs="仿宋_GB2312"/>
          <w:b w:val="0"/>
          <w:bCs/>
          <w:sz w:val="32"/>
          <w:szCs w:val="32"/>
          <w:lang w:val="en-US" w:eastAsia="zh-CN"/>
        </w:rPr>
        <w:t>增加14568.14万元，增长</w:t>
      </w:r>
      <w:r>
        <w:rPr>
          <w:rFonts w:hint="eastAsia" w:ascii="仿宋_GB2312" w:hAnsi="仿宋_GB2312" w:eastAsia="仿宋_GB2312" w:cs="仿宋_GB2312"/>
          <w:sz w:val="32"/>
          <w:szCs w:val="32"/>
          <w:lang w:val="en-US" w:eastAsia="zh-CN"/>
        </w:rPr>
        <w:t>41.3</w:t>
      </w:r>
      <w:r>
        <w:rPr>
          <w:rFonts w:hint="eastAsia" w:ascii="仿宋_GB2312" w:hAnsi="仿宋_GB2312" w:eastAsia="仿宋_GB2312" w:cs="仿宋_GB2312"/>
          <w:sz w:val="32"/>
          <w:szCs w:val="32"/>
        </w:rPr>
        <w:t>%。主要变动原因是本年度新进及晋升人员追加工资性收入、且项目收入增多</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遇上年度相比减少黑林局其他地方自行试点项目收益专项债券收入安排的支出2800万元</w:t>
      </w:r>
      <w:r>
        <w:rPr>
          <w:rFonts w:hint="eastAsia" w:ascii="仿宋_GB2312" w:hAnsi="仿宋_GB2312" w:eastAsia="仿宋_GB2312" w:cs="仿宋_GB2312"/>
          <w:sz w:val="32"/>
          <w:szCs w:val="32"/>
        </w:rPr>
        <w:t>。</w:t>
      </w:r>
    </w:p>
    <w:p w14:paraId="4C41910E">
      <w:pPr>
        <w:pStyle w:val="7"/>
        <w:ind w:left="0" w:leftChars="0" w:firstLine="0" w:firstLineChars="0"/>
        <w:jc w:val="both"/>
        <w:rPr>
          <w:rFonts w:hint="eastAsia"/>
        </w:rPr>
      </w:pPr>
      <w:r>
        <w:rPr>
          <w:rFonts w:hint="eastAsia" w:eastAsia="仿宋_GB2312" w:cs="仿宋_GB2312"/>
          <w:sz w:val="32"/>
          <w:szCs w:val="32"/>
          <w:lang w:val="en-US" w:eastAsia="zh-CN"/>
        </w:rPr>
        <w:t xml:space="preserve">   </w:t>
      </w:r>
      <w:r>
        <w:rPr>
          <w:rFonts w:hint="eastAsia" w:eastAsia="仿宋_GB2312" w:cs="仿宋_GB2312"/>
          <w:sz w:val="32"/>
          <w:szCs w:val="32"/>
          <w:lang w:eastAsia="zh-CN"/>
        </w:rPr>
        <w:drawing>
          <wp:inline distT="0" distB="0" distL="114300" distR="114300">
            <wp:extent cx="4532630" cy="3346450"/>
            <wp:effectExtent l="4445" t="4445" r="15875" b="20955"/>
            <wp:docPr id="12" name="图表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103FCBD7">
      <w:pPr>
        <w:spacing w:line="600" w:lineRule="exact"/>
        <w:rPr>
          <w:rFonts w:eastAsia="仿宋_GB2312" w:cs="仿宋_GB2312"/>
          <w:sz w:val="32"/>
          <w:szCs w:val="32"/>
        </w:rPr>
      </w:pPr>
      <w:r>
        <w:rPr>
          <w:rFonts w:hint="eastAsia" w:eastAsia="仿宋_GB2312" w:cs="仿宋_GB2312"/>
          <w:sz w:val="32"/>
          <w:szCs w:val="32"/>
        </w:rPr>
        <w:t>（图5：一般公共预算财政拨款支出决算变动情况）（柱状图）</w:t>
      </w:r>
    </w:p>
    <w:p w14:paraId="6D139766">
      <w:pPr>
        <w:spacing w:line="600" w:lineRule="exact"/>
        <w:ind w:firstLine="640"/>
        <w:rPr>
          <w:rFonts w:eastAsia="仿宋_GB2312" w:cs="仿宋_GB2312"/>
          <w:sz w:val="32"/>
          <w:szCs w:val="32"/>
        </w:rPr>
      </w:pPr>
    </w:p>
    <w:p w14:paraId="05FC273A">
      <w:pPr>
        <w:spacing w:line="600" w:lineRule="exact"/>
        <w:ind w:firstLine="643" w:firstLineChars="200"/>
        <w:outlineLvl w:val="2"/>
        <w:rPr>
          <w:rFonts w:eastAsia="楷体_GB2312" w:cs="楷体_GB2312"/>
          <w:b/>
          <w:sz w:val="32"/>
          <w:szCs w:val="32"/>
        </w:rPr>
      </w:pPr>
      <w:bookmarkStart w:id="20" w:name="_Toc15377211"/>
      <w:r>
        <w:rPr>
          <w:rFonts w:hint="eastAsia" w:eastAsia="楷体_GB2312" w:cs="楷体_GB2312"/>
          <w:b/>
          <w:sz w:val="32"/>
          <w:szCs w:val="32"/>
        </w:rPr>
        <w:t>（二）一般公共预算财政拨款支出决算结构情况</w:t>
      </w:r>
      <w:bookmarkEnd w:id="20"/>
    </w:p>
    <w:p w14:paraId="716192F3">
      <w:pPr>
        <w:spacing w:line="600" w:lineRule="exact"/>
        <w:ind w:firstLine="640"/>
        <w:rPr>
          <w:rFonts w:hint="eastAsia" w:eastAsia="仿宋_GB2312" w:cs="仿宋_GB2312"/>
          <w:sz w:val="32"/>
          <w:szCs w:val="32"/>
          <w:lang w:eastAsia="zh-CN"/>
        </w:rPr>
      </w:pPr>
      <w:r>
        <w:rPr>
          <w:rFonts w:hint="eastAsia" w:eastAsia="仿宋_GB2312" w:cs="仿宋_GB2312"/>
          <w:sz w:val="32"/>
          <w:szCs w:val="32"/>
          <w:lang w:eastAsia="zh-CN"/>
        </w:rPr>
        <w:t>2025</w:t>
      </w:r>
      <w:r>
        <w:rPr>
          <w:rFonts w:hint="eastAsia" w:eastAsia="仿宋_GB2312" w:cs="仿宋_GB2312"/>
          <w:sz w:val="32"/>
          <w:szCs w:val="32"/>
        </w:rPr>
        <w:t>年度一般公共预算财政拨款支出</w:t>
      </w:r>
      <w:r>
        <w:rPr>
          <w:rFonts w:hint="eastAsia" w:ascii="仿宋_GB2312" w:hAnsi="仿宋_GB2312" w:eastAsia="仿宋_GB2312" w:cs="仿宋_GB2312"/>
          <w:sz w:val="32"/>
          <w:szCs w:val="32"/>
          <w:lang w:val="en-US" w:eastAsia="zh-CN"/>
        </w:rPr>
        <w:t>49822.8</w:t>
      </w:r>
      <w:r>
        <w:rPr>
          <w:rFonts w:hint="eastAsia" w:ascii="仿宋_GB2312" w:hAnsi="仿宋_GB2312" w:eastAsia="仿宋_GB2312" w:cs="仿宋_GB2312"/>
          <w:sz w:val="32"/>
          <w:szCs w:val="32"/>
        </w:rPr>
        <w:t>万元</w:t>
      </w:r>
      <w:r>
        <w:rPr>
          <w:rFonts w:hint="eastAsia" w:eastAsia="仿宋_GB2312" w:cs="仿宋_GB2312"/>
          <w:sz w:val="32"/>
          <w:szCs w:val="32"/>
        </w:rPr>
        <w:t>，主要用于以下方面：社会保障和就业支出</w:t>
      </w:r>
      <w:r>
        <w:rPr>
          <w:rFonts w:hint="eastAsia" w:eastAsia="仿宋_GB2312" w:cs="仿宋_GB2312"/>
          <w:sz w:val="32"/>
          <w:szCs w:val="32"/>
          <w:lang w:val="en-US" w:eastAsia="zh-CN"/>
        </w:rPr>
        <w:t>194.73</w:t>
      </w:r>
      <w:r>
        <w:rPr>
          <w:rFonts w:hint="eastAsia" w:eastAsia="仿宋_GB2312" w:cs="仿宋_GB2312"/>
          <w:sz w:val="32"/>
          <w:szCs w:val="32"/>
        </w:rPr>
        <w:t>万元，占</w:t>
      </w:r>
      <w:r>
        <w:rPr>
          <w:rFonts w:hint="eastAsia" w:eastAsia="仿宋_GB2312" w:cs="仿宋_GB2312"/>
          <w:sz w:val="32"/>
          <w:szCs w:val="32"/>
          <w:lang w:val="en-US" w:eastAsia="zh-CN"/>
        </w:rPr>
        <w:t>0.3</w:t>
      </w:r>
      <w:r>
        <w:rPr>
          <w:rFonts w:hint="eastAsia" w:eastAsia="仿宋_GB2312" w:cs="仿宋_GB2312"/>
          <w:sz w:val="32"/>
          <w:szCs w:val="32"/>
        </w:rPr>
        <w:t>%；卫生健康支出</w:t>
      </w:r>
      <w:r>
        <w:rPr>
          <w:rFonts w:hint="eastAsia" w:eastAsia="仿宋_GB2312" w:cs="仿宋_GB2312"/>
          <w:sz w:val="32"/>
          <w:szCs w:val="32"/>
          <w:lang w:val="en-US" w:eastAsia="zh-CN"/>
        </w:rPr>
        <w:t>71.66</w:t>
      </w:r>
      <w:r>
        <w:rPr>
          <w:rFonts w:hint="eastAsia" w:eastAsia="仿宋_GB2312" w:cs="仿宋_GB2312"/>
          <w:sz w:val="32"/>
          <w:szCs w:val="32"/>
        </w:rPr>
        <w:t>万元，占</w:t>
      </w:r>
      <w:r>
        <w:rPr>
          <w:rFonts w:hint="eastAsia" w:eastAsia="仿宋_GB2312" w:cs="仿宋_GB2312"/>
          <w:sz w:val="32"/>
          <w:szCs w:val="32"/>
          <w:lang w:val="en-US" w:eastAsia="zh-CN"/>
        </w:rPr>
        <w:t>0.1</w:t>
      </w:r>
      <w:r>
        <w:rPr>
          <w:rFonts w:hint="eastAsia" w:eastAsia="仿宋_GB2312" w:cs="仿宋_GB2312"/>
          <w:sz w:val="32"/>
          <w:szCs w:val="32"/>
        </w:rPr>
        <w:t>%；</w:t>
      </w:r>
      <w:r>
        <w:rPr>
          <w:rFonts w:hint="eastAsia" w:eastAsia="仿宋_GB2312" w:cs="仿宋_GB2312"/>
          <w:sz w:val="32"/>
          <w:szCs w:val="32"/>
          <w:lang w:eastAsia="zh-CN"/>
        </w:rPr>
        <w:t>节能环保</w:t>
      </w:r>
      <w:r>
        <w:rPr>
          <w:rFonts w:hint="eastAsia" w:eastAsia="仿宋_GB2312" w:cs="仿宋_GB2312"/>
          <w:sz w:val="32"/>
          <w:szCs w:val="32"/>
        </w:rPr>
        <w:t>支出</w:t>
      </w:r>
      <w:r>
        <w:rPr>
          <w:rFonts w:hint="eastAsia" w:eastAsia="仿宋_GB2312" w:cs="仿宋_GB2312"/>
          <w:sz w:val="32"/>
          <w:szCs w:val="32"/>
          <w:lang w:val="en-US" w:eastAsia="zh-CN"/>
        </w:rPr>
        <w:t>34821.23</w:t>
      </w:r>
      <w:r>
        <w:rPr>
          <w:rFonts w:hint="eastAsia" w:eastAsia="仿宋_GB2312" w:cs="仿宋_GB2312"/>
          <w:sz w:val="32"/>
          <w:szCs w:val="32"/>
        </w:rPr>
        <w:t>万元，占</w:t>
      </w:r>
      <w:r>
        <w:rPr>
          <w:rFonts w:hint="eastAsia" w:eastAsia="仿宋_GB2312" w:cs="仿宋_GB2312"/>
          <w:sz w:val="32"/>
          <w:szCs w:val="32"/>
          <w:lang w:val="en-US" w:eastAsia="zh-CN"/>
        </w:rPr>
        <w:t>69.9</w:t>
      </w:r>
      <w:r>
        <w:rPr>
          <w:rFonts w:hint="eastAsia" w:eastAsia="仿宋_GB2312" w:cs="仿宋_GB2312"/>
          <w:sz w:val="32"/>
          <w:szCs w:val="32"/>
        </w:rPr>
        <w:t>%；</w:t>
      </w:r>
      <w:r>
        <w:rPr>
          <w:rFonts w:hint="eastAsia" w:eastAsia="仿宋_GB2312" w:cs="仿宋_GB2312"/>
          <w:sz w:val="32"/>
          <w:szCs w:val="32"/>
          <w:lang w:eastAsia="zh-CN"/>
        </w:rPr>
        <w:t>农林水支出</w:t>
      </w:r>
      <w:r>
        <w:rPr>
          <w:rFonts w:hint="eastAsia" w:eastAsia="仿宋_GB2312" w:cs="仿宋_GB2312"/>
          <w:sz w:val="32"/>
          <w:szCs w:val="32"/>
          <w:lang w:val="en-US" w:eastAsia="zh-CN"/>
        </w:rPr>
        <w:t>14632.92万元</w:t>
      </w:r>
      <w:r>
        <w:rPr>
          <w:rFonts w:hint="eastAsia" w:eastAsia="仿宋_GB2312" w:cs="仿宋_GB2312"/>
          <w:sz w:val="32"/>
          <w:szCs w:val="32"/>
          <w:lang w:eastAsia="zh-CN"/>
        </w:rPr>
        <w:t>，占</w:t>
      </w:r>
      <w:r>
        <w:rPr>
          <w:rFonts w:hint="eastAsia" w:eastAsia="仿宋_GB2312" w:cs="仿宋_GB2312"/>
          <w:sz w:val="32"/>
          <w:szCs w:val="32"/>
          <w:lang w:val="en-US" w:eastAsia="zh-CN"/>
        </w:rPr>
        <w:t>29.4%</w:t>
      </w:r>
      <w:r>
        <w:rPr>
          <w:rFonts w:hint="eastAsia" w:eastAsia="仿宋_GB2312" w:cs="仿宋_GB2312"/>
          <w:sz w:val="32"/>
          <w:szCs w:val="32"/>
          <w:lang w:eastAsia="zh-CN"/>
        </w:rPr>
        <w:t>；</w:t>
      </w:r>
      <w:r>
        <w:rPr>
          <w:rFonts w:hint="eastAsia" w:eastAsia="仿宋_GB2312" w:cs="仿宋_GB2312"/>
          <w:sz w:val="32"/>
          <w:szCs w:val="32"/>
        </w:rPr>
        <w:t>住房保障支出</w:t>
      </w:r>
      <w:r>
        <w:rPr>
          <w:rFonts w:hint="eastAsia" w:eastAsia="仿宋_GB2312" w:cs="仿宋_GB2312"/>
          <w:sz w:val="32"/>
          <w:szCs w:val="32"/>
          <w:lang w:val="en-US" w:eastAsia="zh-CN"/>
        </w:rPr>
        <w:t>102.26</w:t>
      </w:r>
      <w:r>
        <w:rPr>
          <w:rFonts w:hint="eastAsia" w:eastAsia="仿宋_GB2312" w:cs="仿宋_GB2312"/>
          <w:sz w:val="32"/>
          <w:szCs w:val="32"/>
        </w:rPr>
        <w:t>万元，</w:t>
      </w:r>
      <w:r>
        <w:rPr>
          <w:rFonts w:hint="eastAsia" w:eastAsia="仿宋_GB2312" w:cs="仿宋_GB2312"/>
          <w:sz w:val="32"/>
          <w:szCs w:val="32"/>
          <w:lang w:val="en-US" w:eastAsia="zh-CN"/>
        </w:rPr>
        <w:t>0.3</w:t>
      </w:r>
      <w:r>
        <w:rPr>
          <w:rFonts w:hint="eastAsia" w:eastAsia="仿宋_GB2312" w:cs="仿宋_GB2312"/>
          <w:sz w:val="32"/>
          <w:szCs w:val="32"/>
        </w:rPr>
        <w:t>%</w:t>
      </w:r>
      <w:r>
        <w:rPr>
          <w:rFonts w:hint="eastAsia" w:eastAsia="仿宋_GB2312" w:cs="仿宋_GB2312"/>
          <w:sz w:val="32"/>
          <w:szCs w:val="32"/>
          <w:lang w:eastAsia="zh-CN"/>
        </w:rPr>
        <w:t>。</w:t>
      </w:r>
    </w:p>
    <w:p w14:paraId="633027C5">
      <w:pPr>
        <w:pStyle w:val="7"/>
        <w:ind w:left="0" w:leftChars="0" w:firstLine="0" w:firstLineChars="0"/>
        <w:rPr>
          <w:rFonts w:hint="eastAsia" w:eastAsia="仿宋_GB2312" w:cs="仿宋_GB2312"/>
          <w:sz w:val="32"/>
          <w:szCs w:val="32"/>
          <w:lang w:eastAsia="zh-CN"/>
        </w:rPr>
      </w:pPr>
    </w:p>
    <w:p w14:paraId="0B98F50F">
      <w:pPr>
        <w:pStyle w:val="7"/>
        <w:rPr>
          <w:rFonts w:hint="eastAsia" w:eastAsia="仿宋_GB2312" w:cs="仿宋_GB2312"/>
          <w:sz w:val="32"/>
          <w:szCs w:val="32"/>
          <w:lang w:eastAsia="zh-CN"/>
        </w:rPr>
      </w:pPr>
      <w:r>
        <w:rPr>
          <w:rFonts w:hint="eastAsia" w:eastAsia="仿宋_GB2312" w:cs="仿宋_GB2312"/>
          <w:sz w:val="32"/>
          <w:szCs w:val="32"/>
          <w:lang w:eastAsia="zh-CN"/>
        </w:rPr>
        <w:drawing>
          <wp:anchor distT="0" distB="0" distL="114300" distR="114300" simplePos="0" relativeHeight="251659264" behindDoc="1" locked="0" layoutInCell="1" allowOverlap="1">
            <wp:simplePos x="0" y="0"/>
            <wp:positionH relativeFrom="column">
              <wp:posOffset>349885</wp:posOffset>
            </wp:positionH>
            <wp:positionV relativeFrom="paragraph">
              <wp:posOffset>67310</wp:posOffset>
            </wp:positionV>
            <wp:extent cx="4545330" cy="3131820"/>
            <wp:effectExtent l="5080" t="4445" r="21590" b="6985"/>
            <wp:wrapTight wrapText="bothSides">
              <wp:wrapPolygon>
                <wp:start x="-24" y="-31"/>
                <wp:lineTo x="-24" y="21517"/>
                <wp:lineTo x="21522" y="21517"/>
                <wp:lineTo x="21522" y="-31"/>
                <wp:lineTo x="-24" y="-31"/>
              </wp:wrapPolygon>
            </wp:wrapTight>
            <wp:docPr id="14"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622160B3">
      <w:pPr>
        <w:pStyle w:val="7"/>
        <w:rPr>
          <w:rFonts w:hint="eastAsia" w:eastAsia="仿宋_GB2312" w:cs="仿宋_GB2312"/>
          <w:sz w:val="32"/>
          <w:szCs w:val="32"/>
          <w:lang w:eastAsia="zh-CN"/>
        </w:rPr>
      </w:pPr>
    </w:p>
    <w:p w14:paraId="3318761F">
      <w:pPr>
        <w:spacing w:line="600" w:lineRule="exact"/>
        <w:rPr>
          <w:rFonts w:hint="default" w:eastAsia="仿宋_GB2312" w:cs="仿宋_GB2312"/>
          <w:sz w:val="32"/>
          <w:szCs w:val="32"/>
          <w:lang w:val="en-US" w:eastAsia="zh-CN"/>
        </w:rPr>
      </w:pPr>
      <w:r>
        <w:rPr>
          <w:rFonts w:hint="eastAsia" w:eastAsia="仿宋_GB2312" w:cs="仿宋_GB2312"/>
          <w:sz w:val="32"/>
          <w:szCs w:val="32"/>
          <w:lang w:val="en-US" w:eastAsia="zh-CN"/>
        </w:rPr>
        <w:t xml:space="preserve">  </w:t>
      </w:r>
    </w:p>
    <w:p w14:paraId="61AFC00E">
      <w:pPr>
        <w:spacing w:line="600" w:lineRule="exact"/>
        <w:rPr>
          <w:rFonts w:eastAsia="仿宋_GB2312" w:cs="仿宋_GB2312"/>
          <w:sz w:val="32"/>
          <w:szCs w:val="32"/>
        </w:rPr>
      </w:pPr>
      <w:r>
        <w:rPr>
          <w:rFonts w:hint="eastAsia" w:eastAsia="仿宋_GB2312" w:cs="仿宋_GB2312"/>
          <w:sz w:val="32"/>
          <w:szCs w:val="32"/>
        </w:rPr>
        <w:t>（图6：一般公共预算财政拨款支出决算结构）（饼状图）</w:t>
      </w:r>
    </w:p>
    <w:p w14:paraId="1CCFE51B">
      <w:pPr>
        <w:spacing w:line="600" w:lineRule="exact"/>
        <w:ind w:firstLine="640"/>
        <w:rPr>
          <w:rFonts w:eastAsia="仿宋_GB2312" w:cs="仿宋_GB2312"/>
          <w:sz w:val="32"/>
          <w:szCs w:val="32"/>
        </w:rPr>
      </w:pPr>
    </w:p>
    <w:p w14:paraId="6BD20E4D">
      <w:pPr>
        <w:spacing w:line="600" w:lineRule="exact"/>
        <w:ind w:firstLine="643" w:firstLineChars="200"/>
        <w:outlineLvl w:val="2"/>
        <w:rPr>
          <w:rFonts w:eastAsia="楷体_GB2312" w:cs="楷体_GB2312"/>
          <w:b/>
          <w:sz w:val="32"/>
          <w:szCs w:val="32"/>
        </w:rPr>
      </w:pPr>
      <w:bookmarkStart w:id="21" w:name="_Toc15377212"/>
      <w:r>
        <w:rPr>
          <w:rFonts w:hint="eastAsia" w:eastAsia="楷体_GB2312" w:cs="楷体_GB2312"/>
          <w:b/>
          <w:sz w:val="32"/>
          <w:szCs w:val="32"/>
        </w:rPr>
        <w:t>（三）一般公共预算财政拨款支出决算具体情况</w:t>
      </w:r>
      <w:bookmarkEnd w:id="21"/>
    </w:p>
    <w:p w14:paraId="32E5A343">
      <w:pPr>
        <w:spacing w:line="600" w:lineRule="exact"/>
        <w:ind w:firstLine="640"/>
        <w:rPr>
          <w:rFonts w:eastAsia="仿宋_GB2312" w:cs="仿宋_GB2312"/>
          <w:sz w:val="32"/>
          <w:szCs w:val="32"/>
        </w:rPr>
      </w:pPr>
      <w:bookmarkStart w:id="22" w:name="_Toc15378460"/>
      <w:bookmarkStart w:id="23" w:name="_Toc15377213"/>
      <w:bookmarkStart w:id="24" w:name="_Toc15377444"/>
      <w:r>
        <w:rPr>
          <w:rFonts w:hint="eastAsia" w:eastAsia="仿宋_GB2312" w:cs="仿宋_GB2312"/>
          <w:sz w:val="32"/>
          <w:szCs w:val="32"/>
          <w:lang w:eastAsia="zh-CN"/>
        </w:rPr>
        <w:t>2025</w:t>
      </w:r>
      <w:r>
        <w:rPr>
          <w:rFonts w:hint="eastAsia" w:eastAsia="仿宋_GB2312" w:cs="仿宋_GB2312"/>
          <w:sz w:val="32"/>
          <w:szCs w:val="32"/>
        </w:rPr>
        <w:t>年度一般公共预算财政拨款支出决算数为</w:t>
      </w:r>
      <w:r>
        <w:rPr>
          <w:rFonts w:hint="eastAsia" w:ascii="仿宋_GB2312" w:hAnsi="仿宋_GB2312" w:eastAsia="仿宋_GB2312" w:cs="仿宋_GB2312"/>
          <w:sz w:val="32"/>
          <w:szCs w:val="32"/>
          <w:lang w:val="en-US" w:eastAsia="zh-CN"/>
        </w:rPr>
        <w:t>49822.8万元</w:t>
      </w:r>
      <w:r>
        <w:rPr>
          <w:rFonts w:hint="eastAsia" w:ascii="仿宋_GB2312" w:hAnsi="仿宋_GB2312" w:eastAsia="仿宋_GB2312" w:cs="仿宋_GB2312"/>
          <w:sz w:val="32"/>
          <w:szCs w:val="32"/>
        </w:rPr>
        <w:t>，</w:t>
      </w:r>
      <w:r>
        <w:rPr>
          <w:rFonts w:hint="eastAsia" w:eastAsia="仿宋_GB2312" w:cs="仿宋_GB2312"/>
          <w:sz w:val="32"/>
          <w:szCs w:val="32"/>
        </w:rPr>
        <w:t>完成预算</w:t>
      </w:r>
      <w:r>
        <w:rPr>
          <w:rFonts w:hint="eastAsia" w:eastAsia="仿宋_GB2312" w:cs="仿宋_GB2312"/>
          <w:sz w:val="32"/>
          <w:szCs w:val="32"/>
          <w:lang w:val="en-US" w:eastAsia="zh-CN"/>
        </w:rPr>
        <w:t>100</w:t>
      </w:r>
      <w:r>
        <w:rPr>
          <w:rFonts w:hint="eastAsia" w:eastAsia="仿宋_GB2312" w:cs="仿宋_GB2312"/>
          <w:sz w:val="32"/>
          <w:szCs w:val="32"/>
        </w:rPr>
        <w:t>%。其中：</w:t>
      </w:r>
      <w:bookmarkEnd w:id="22"/>
      <w:bookmarkEnd w:id="23"/>
      <w:bookmarkEnd w:id="24"/>
    </w:p>
    <w:p w14:paraId="566FAACF">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kern w:val="2"/>
          <w:sz w:val="32"/>
          <w:szCs w:val="32"/>
        </w:rPr>
        <w:t>社会保障和就业支出</w:t>
      </w:r>
      <w:r>
        <w:rPr>
          <w:rStyle w:val="17"/>
          <w:rFonts w:hint="eastAsia" w:ascii="仿宋_GB2312" w:hAnsi="仿宋_GB2312" w:eastAsia="仿宋_GB2312" w:cs="仿宋_GB2312"/>
          <w:b w:val="0"/>
          <w:bCs w:val="0"/>
          <w:sz w:val="32"/>
          <w:szCs w:val="32"/>
        </w:rPr>
        <w:t>（208类）行政事业单位养老支出（05款）机关事业单位基本养老保险缴费支出（0</w:t>
      </w:r>
      <w:r>
        <w:rPr>
          <w:rStyle w:val="17"/>
          <w:rFonts w:hint="eastAsia" w:ascii="仿宋_GB2312" w:hAnsi="仿宋_GB2312" w:eastAsia="仿宋_GB2312" w:cs="仿宋_GB2312"/>
          <w:b w:val="0"/>
          <w:bCs w:val="0"/>
          <w:sz w:val="32"/>
          <w:szCs w:val="32"/>
          <w:lang w:val="en-US" w:eastAsia="zh-CN"/>
        </w:rPr>
        <w:t>5</w:t>
      </w:r>
      <w:r>
        <w:rPr>
          <w:rStyle w:val="17"/>
          <w:rFonts w:hint="eastAsia" w:ascii="仿宋_GB2312" w:hAnsi="仿宋_GB2312" w:eastAsia="仿宋_GB2312" w:cs="仿宋_GB2312"/>
          <w:b w:val="0"/>
          <w:bCs w:val="0"/>
          <w:sz w:val="32"/>
          <w:szCs w:val="32"/>
        </w:rPr>
        <w:t>项）: 支出决算为</w:t>
      </w:r>
      <w:r>
        <w:rPr>
          <w:rStyle w:val="17"/>
          <w:rFonts w:hint="eastAsia" w:ascii="仿宋_GB2312" w:hAnsi="仿宋_GB2312" w:eastAsia="仿宋_GB2312" w:cs="仿宋_GB2312"/>
          <w:b w:val="0"/>
          <w:bCs w:val="0"/>
          <w:sz w:val="32"/>
          <w:szCs w:val="32"/>
          <w:lang w:val="en-US" w:eastAsia="zh-CN"/>
        </w:rPr>
        <w:t>112.79</w:t>
      </w:r>
      <w:r>
        <w:rPr>
          <w:rStyle w:val="17"/>
          <w:rFonts w:hint="eastAsia" w:ascii="仿宋_GB2312" w:hAnsi="仿宋_GB2312" w:eastAsia="仿宋_GB2312" w:cs="仿宋_GB2312"/>
          <w:b w:val="0"/>
          <w:bCs w:val="0"/>
          <w:sz w:val="32"/>
          <w:szCs w:val="32"/>
        </w:rPr>
        <w:t>万元，完成预算100%。</w:t>
      </w:r>
    </w:p>
    <w:p w14:paraId="0F09D6F9">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社会保障和就业支出（208类）行政事业单位养老支出（05款）机关事业单位职业年金缴费支出（06项）: 支出决算为</w:t>
      </w:r>
      <w:r>
        <w:rPr>
          <w:rStyle w:val="17"/>
          <w:rFonts w:hint="eastAsia" w:ascii="仿宋_GB2312" w:hAnsi="仿宋_GB2312" w:eastAsia="仿宋_GB2312" w:cs="仿宋_GB2312"/>
          <w:b w:val="0"/>
          <w:bCs w:val="0"/>
          <w:sz w:val="32"/>
          <w:szCs w:val="32"/>
          <w:lang w:val="en-US" w:eastAsia="zh-CN"/>
        </w:rPr>
        <w:t>56.4</w:t>
      </w:r>
      <w:r>
        <w:rPr>
          <w:rStyle w:val="17"/>
          <w:rFonts w:hint="eastAsia" w:ascii="仿宋_GB2312" w:hAnsi="仿宋_GB2312" w:eastAsia="仿宋_GB2312" w:cs="仿宋_GB2312"/>
          <w:b w:val="0"/>
          <w:bCs w:val="0"/>
          <w:sz w:val="32"/>
          <w:szCs w:val="32"/>
        </w:rPr>
        <w:t>万元，完成预算100%。</w:t>
      </w:r>
    </w:p>
    <w:p w14:paraId="1C5C3C00">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社会保障和就业支出（208类）行政事业单位养老支出（05款）其他行政事业单位养老支出（</w:t>
      </w:r>
      <w:r>
        <w:rPr>
          <w:rStyle w:val="17"/>
          <w:rFonts w:hint="eastAsia" w:ascii="仿宋_GB2312" w:hAnsi="仿宋_GB2312" w:eastAsia="仿宋_GB2312" w:cs="仿宋_GB2312"/>
          <w:b w:val="0"/>
          <w:bCs w:val="0"/>
          <w:sz w:val="32"/>
          <w:szCs w:val="32"/>
          <w:lang w:val="en-US" w:eastAsia="zh-CN"/>
        </w:rPr>
        <w:t>99</w:t>
      </w:r>
      <w:r>
        <w:rPr>
          <w:rStyle w:val="17"/>
          <w:rFonts w:hint="eastAsia" w:ascii="仿宋_GB2312" w:hAnsi="仿宋_GB2312" w:eastAsia="仿宋_GB2312" w:cs="仿宋_GB2312"/>
          <w:b w:val="0"/>
          <w:bCs w:val="0"/>
          <w:sz w:val="32"/>
          <w:szCs w:val="32"/>
        </w:rPr>
        <w:t>项）: 支出决算为</w:t>
      </w:r>
      <w:r>
        <w:rPr>
          <w:rStyle w:val="17"/>
          <w:rFonts w:hint="eastAsia" w:ascii="仿宋_GB2312" w:hAnsi="仿宋_GB2312" w:eastAsia="仿宋_GB2312" w:cs="仿宋_GB2312"/>
          <w:b w:val="0"/>
          <w:bCs w:val="0"/>
          <w:sz w:val="32"/>
          <w:szCs w:val="32"/>
          <w:lang w:val="en-US" w:eastAsia="zh-CN"/>
        </w:rPr>
        <w:t>25.54</w:t>
      </w:r>
      <w:r>
        <w:rPr>
          <w:rStyle w:val="17"/>
          <w:rFonts w:hint="eastAsia" w:ascii="仿宋_GB2312" w:hAnsi="仿宋_GB2312" w:eastAsia="仿宋_GB2312" w:cs="仿宋_GB2312"/>
          <w:b w:val="0"/>
          <w:bCs w:val="0"/>
          <w:sz w:val="32"/>
          <w:szCs w:val="32"/>
        </w:rPr>
        <w:t>万元，完成预算100%。</w:t>
      </w:r>
    </w:p>
    <w:p w14:paraId="68A681D4">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卫生健康支出（210类）行政事业单位医疗（11款）行政单位医疗（01项）:支出决算为</w:t>
      </w:r>
      <w:r>
        <w:rPr>
          <w:rStyle w:val="17"/>
          <w:rFonts w:hint="eastAsia" w:ascii="仿宋_GB2312" w:hAnsi="仿宋_GB2312" w:eastAsia="仿宋_GB2312" w:cs="仿宋_GB2312"/>
          <w:b w:val="0"/>
          <w:bCs w:val="0"/>
          <w:sz w:val="32"/>
          <w:szCs w:val="32"/>
          <w:lang w:val="en-US" w:eastAsia="zh-CN"/>
        </w:rPr>
        <w:t>53.99</w:t>
      </w:r>
      <w:r>
        <w:rPr>
          <w:rStyle w:val="17"/>
          <w:rFonts w:hint="eastAsia" w:ascii="仿宋_GB2312" w:hAnsi="仿宋_GB2312" w:eastAsia="仿宋_GB2312" w:cs="仿宋_GB2312"/>
          <w:b w:val="0"/>
          <w:bCs w:val="0"/>
          <w:sz w:val="32"/>
          <w:szCs w:val="32"/>
        </w:rPr>
        <w:t>万元，完成预算100%。</w:t>
      </w:r>
    </w:p>
    <w:p w14:paraId="75318E49">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卫生健康支出（210类）行政事业单位医疗（11款）公务员医疗补助（03项）:支出决算为</w:t>
      </w:r>
      <w:r>
        <w:rPr>
          <w:rStyle w:val="17"/>
          <w:rFonts w:hint="eastAsia" w:ascii="仿宋_GB2312" w:hAnsi="仿宋_GB2312" w:eastAsia="仿宋_GB2312" w:cs="仿宋_GB2312"/>
          <w:b w:val="0"/>
          <w:bCs w:val="0"/>
          <w:sz w:val="32"/>
          <w:szCs w:val="32"/>
          <w:lang w:val="en-US" w:eastAsia="zh-CN"/>
        </w:rPr>
        <w:t>17.67</w:t>
      </w:r>
      <w:r>
        <w:rPr>
          <w:rStyle w:val="17"/>
          <w:rFonts w:hint="eastAsia" w:ascii="仿宋_GB2312" w:hAnsi="仿宋_GB2312" w:eastAsia="仿宋_GB2312" w:cs="仿宋_GB2312"/>
          <w:b w:val="0"/>
          <w:bCs w:val="0"/>
          <w:sz w:val="32"/>
          <w:szCs w:val="32"/>
        </w:rPr>
        <w:t>万元，完成预算100%。</w:t>
      </w:r>
    </w:p>
    <w:p w14:paraId="2347DB91">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节能环保支出（211类）</w:t>
      </w:r>
      <w:r>
        <w:rPr>
          <w:rStyle w:val="17"/>
          <w:rFonts w:hint="eastAsia" w:ascii="仿宋_GB2312" w:hAnsi="仿宋_GB2312" w:eastAsia="仿宋_GB2312" w:cs="仿宋_GB2312"/>
          <w:b w:val="0"/>
          <w:bCs w:val="0"/>
          <w:sz w:val="32"/>
          <w:szCs w:val="32"/>
          <w:lang w:eastAsia="zh-CN"/>
        </w:rPr>
        <w:t>森林保护修复</w:t>
      </w:r>
      <w:r>
        <w:rPr>
          <w:rStyle w:val="17"/>
          <w:rFonts w:hint="eastAsia" w:ascii="仿宋_GB2312" w:hAnsi="仿宋_GB2312" w:eastAsia="仿宋_GB2312" w:cs="仿宋_GB2312"/>
          <w:b w:val="0"/>
          <w:bCs w:val="0"/>
          <w:sz w:val="32"/>
          <w:szCs w:val="32"/>
        </w:rPr>
        <w:t>（</w:t>
      </w:r>
      <w:r>
        <w:rPr>
          <w:rStyle w:val="17"/>
          <w:rFonts w:hint="eastAsia" w:ascii="仿宋_GB2312" w:hAnsi="仿宋_GB2312" w:eastAsia="仿宋_GB2312" w:cs="仿宋_GB2312"/>
          <w:b w:val="0"/>
          <w:bCs w:val="0"/>
          <w:sz w:val="32"/>
          <w:szCs w:val="32"/>
          <w:lang w:val="en-US" w:eastAsia="zh-CN"/>
        </w:rPr>
        <w:t>05</w:t>
      </w:r>
      <w:r>
        <w:rPr>
          <w:rStyle w:val="17"/>
          <w:rFonts w:hint="eastAsia" w:ascii="仿宋_GB2312" w:hAnsi="仿宋_GB2312" w:eastAsia="仿宋_GB2312" w:cs="仿宋_GB2312"/>
          <w:b w:val="0"/>
          <w:bCs w:val="0"/>
          <w:sz w:val="32"/>
          <w:szCs w:val="32"/>
        </w:rPr>
        <w:t>款）</w:t>
      </w:r>
      <w:r>
        <w:rPr>
          <w:rStyle w:val="17"/>
          <w:rFonts w:hint="eastAsia" w:ascii="仿宋_GB2312" w:hAnsi="仿宋_GB2312" w:eastAsia="仿宋_GB2312" w:cs="仿宋_GB2312"/>
          <w:b w:val="0"/>
          <w:bCs w:val="0"/>
          <w:sz w:val="32"/>
          <w:szCs w:val="32"/>
          <w:lang w:eastAsia="zh-CN"/>
        </w:rPr>
        <w:t>森林管护（</w:t>
      </w:r>
      <w:r>
        <w:rPr>
          <w:rStyle w:val="17"/>
          <w:rFonts w:hint="eastAsia" w:ascii="仿宋_GB2312" w:hAnsi="仿宋_GB2312" w:eastAsia="仿宋_GB2312" w:cs="仿宋_GB2312"/>
          <w:b w:val="0"/>
          <w:bCs w:val="0"/>
          <w:sz w:val="32"/>
          <w:szCs w:val="32"/>
          <w:lang w:val="en-US" w:eastAsia="zh-CN"/>
        </w:rPr>
        <w:t>01项</w:t>
      </w:r>
      <w:r>
        <w:rPr>
          <w:rStyle w:val="17"/>
          <w:rFonts w:hint="eastAsia" w:ascii="仿宋_GB2312" w:hAnsi="仿宋_GB2312" w:eastAsia="仿宋_GB2312" w:cs="仿宋_GB2312"/>
          <w:b w:val="0"/>
          <w:bCs w:val="0"/>
          <w:sz w:val="32"/>
          <w:szCs w:val="32"/>
          <w:lang w:eastAsia="zh-CN"/>
        </w:rPr>
        <w:t>）：</w:t>
      </w:r>
      <w:r>
        <w:rPr>
          <w:rStyle w:val="17"/>
          <w:rFonts w:hint="eastAsia" w:ascii="仿宋_GB2312" w:hAnsi="仿宋_GB2312" w:eastAsia="仿宋_GB2312" w:cs="仿宋_GB2312"/>
          <w:b w:val="0"/>
          <w:bCs w:val="0"/>
          <w:sz w:val="32"/>
          <w:szCs w:val="32"/>
        </w:rPr>
        <w:t>支出决算为</w:t>
      </w:r>
      <w:r>
        <w:rPr>
          <w:rStyle w:val="17"/>
          <w:rFonts w:hint="eastAsia" w:ascii="仿宋_GB2312" w:hAnsi="仿宋_GB2312" w:eastAsia="仿宋_GB2312" w:cs="仿宋_GB2312"/>
          <w:b w:val="0"/>
          <w:bCs w:val="0"/>
          <w:sz w:val="32"/>
          <w:szCs w:val="32"/>
          <w:lang w:val="en-US" w:eastAsia="zh-CN"/>
        </w:rPr>
        <w:t>29361.23</w:t>
      </w:r>
      <w:r>
        <w:rPr>
          <w:rStyle w:val="17"/>
          <w:rFonts w:hint="eastAsia" w:ascii="仿宋_GB2312" w:hAnsi="仿宋_GB2312" w:eastAsia="仿宋_GB2312" w:cs="仿宋_GB2312"/>
          <w:b w:val="0"/>
          <w:bCs w:val="0"/>
          <w:sz w:val="32"/>
          <w:szCs w:val="32"/>
        </w:rPr>
        <w:t>万元，完成预算100</w:t>
      </w:r>
      <w:r>
        <w:rPr>
          <w:rStyle w:val="17"/>
          <w:rFonts w:hint="eastAsia" w:ascii="仿宋_GB2312" w:hAnsi="仿宋_GB2312" w:eastAsia="仿宋_GB2312" w:cs="仿宋_GB2312"/>
          <w:b w:val="0"/>
          <w:bCs w:val="0"/>
          <w:sz w:val="32"/>
          <w:szCs w:val="32"/>
          <w:lang w:val="en-US" w:eastAsia="zh-CN"/>
        </w:rPr>
        <w:t>%。</w:t>
      </w:r>
    </w:p>
    <w:p w14:paraId="0D4FA2B9">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节能环保支出（211类）</w:t>
      </w:r>
      <w:r>
        <w:rPr>
          <w:rStyle w:val="17"/>
          <w:rFonts w:hint="eastAsia" w:ascii="仿宋_GB2312" w:hAnsi="仿宋_GB2312" w:eastAsia="仿宋_GB2312" w:cs="仿宋_GB2312"/>
          <w:b w:val="0"/>
          <w:bCs w:val="0"/>
          <w:sz w:val="32"/>
          <w:szCs w:val="32"/>
          <w:lang w:eastAsia="zh-CN"/>
        </w:rPr>
        <w:t>森林保护修复</w:t>
      </w:r>
      <w:r>
        <w:rPr>
          <w:rStyle w:val="17"/>
          <w:rFonts w:hint="eastAsia" w:ascii="仿宋_GB2312" w:hAnsi="仿宋_GB2312" w:eastAsia="仿宋_GB2312" w:cs="仿宋_GB2312"/>
          <w:b w:val="0"/>
          <w:bCs w:val="0"/>
          <w:sz w:val="32"/>
          <w:szCs w:val="32"/>
        </w:rPr>
        <w:t>（05款）</w:t>
      </w:r>
      <w:r>
        <w:rPr>
          <w:rStyle w:val="17"/>
          <w:rFonts w:hint="eastAsia" w:ascii="仿宋_GB2312" w:hAnsi="仿宋_GB2312" w:eastAsia="仿宋_GB2312" w:cs="仿宋_GB2312"/>
          <w:b w:val="0"/>
          <w:bCs w:val="0"/>
          <w:sz w:val="32"/>
          <w:szCs w:val="32"/>
          <w:lang w:eastAsia="zh-CN"/>
        </w:rPr>
        <w:t>其他森林保护修复支出</w:t>
      </w:r>
      <w:r>
        <w:rPr>
          <w:rStyle w:val="17"/>
          <w:rFonts w:hint="eastAsia" w:ascii="仿宋_GB2312" w:hAnsi="仿宋_GB2312" w:eastAsia="仿宋_GB2312" w:cs="仿宋_GB2312"/>
          <w:b w:val="0"/>
          <w:bCs w:val="0"/>
          <w:sz w:val="32"/>
          <w:szCs w:val="32"/>
        </w:rPr>
        <w:t>（</w:t>
      </w:r>
      <w:r>
        <w:rPr>
          <w:rStyle w:val="17"/>
          <w:rFonts w:hint="eastAsia" w:ascii="仿宋_GB2312" w:hAnsi="仿宋_GB2312" w:eastAsia="仿宋_GB2312" w:cs="仿宋_GB2312"/>
          <w:b w:val="0"/>
          <w:bCs w:val="0"/>
          <w:sz w:val="32"/>
          <w:szCs w:val="32"/>
          <w:lang w:val="en-US" w:eastAsia="zh-CN"/>
        </w:rPr>
        <w:t>99</w:t>
      </w:r>
      <w:r>
        <w:rPr>
          <w:rStyle w:val="17"/>
          <w:rFonts w:hint="eastAsia" w:ascii="仿宋_GB2312" w:hAnsi="仿宋_GB2312" w:eastAsia="仿宋_GB2312" w:cs="仿宋_GB2312"/>
          <w:b w:val="0"/>
          <w:bCs w:val="0"/>
          <w:sz w:val="32"/>
          <w:szCs w:val="32"/>
        </w:rPr>
        <w:t>项）:支出决算为</w:t>
      </w:r>
      <w:r>
        <w:rPr>
          <w:rStyle w:val="17"/>
          <w:rFonts w:hint="eastAsia" w:ascii="仿宋_GB2312" w:hAnsi="仿宋_GB2312" w:eastAsia="仿宋_GB2312" w:cs="仿宋_GB2312"/>
          <w:b w:val="0"/>
          <w:bCs w:val="0"/>
          <w:sz w:val="32"/>
          <w:szCs w:val="32"/>
          <w:lang w:val="en-US" w:eastAsia="zh-CN"/>
        </w:rPr>
        <w:t>5460</w:t>
      </w:r>
      <w:r>
        <w:rPr>
          <w:rStyle w:val="17"/>
          <w:rFonts w:hint="eastAsia" w:ascii="仿宋_GB2312" w:hAnsi="仿宋_GB2312" w:eastAsia="仿宋_GB2312" w:cs="仿宋_GB2312"/>
          <w:b w:val="0"/>
          <w:bCs w:val="0"/>
          <w:sz w:val="32"/>
          <w:szCs w:val="32"/>
        </w:rPr>
        <w:t>万元，完成预算100</w:t>
      </w:r>
      <w:r>
        <w:rPr>
          <w:rStyle w:val="17"/>
          <w:rFonts w:hint="eastAsia" w:ascii="仿宋_GB2312" w:hAnsi="仿宋_GB2312" w:eastAsia="仿宋_GB2312" w:cs="仿宋_GB2312"/>
          <w:b w:val="0"/>
          <w:bCs w:val="0"/>
          <w:sz w:val="32"/>
          <w:szCs w:val="32"/>
          <w:lang w:val="en-US" w:eastAsia="zh-CN"/>
        </w:rPr>
        <w:t>%。</w:t>
      </w:r>
    </w:p>
    <w:p w14:paraId="56CD5DA4">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农林水支出（213类）林业和草原（02款）行政运行（01项）:支出决算为</w:t>
      </w:r>
      <w:r>
        <w:rPr>
          <w:rStyle w:val="17"/>
          <w:rFonts w:hint="eastAsia" w:ascii="仿宋_GB2312" w:hAnsi="仿宋_GB2312" w:eastAsia="仿宋_GB2312" w:cs="仿宋_GB2312"/>
          <w:b w:val="0"/>
          <w:bCs w:val="0"/>
          <w:sz w:val="32"/>
          <w:szCs w:val="32"/>
          <w:lang w:val="en-US" w:eastAsia="zh-CN"/>
        </w:rPr>
        <w:t>1528.36</w:t>
      </w:r>
      <w:r>
        <w:rPr>
          <w:rStyle w:val="17"/>
          <w:rFonts w:hint="eastAsia" w:ascii="仿宋_GB2312" w:hAnsi="仿宋_GB2312" w:eastAsia="仿宋_GB2312" w:cs="仿宋_GB2312"/>
          <w:b w:val="0"/>
          <w:bCs w:val="0"/>
          <w:sz w:val="32"/>
          <w:szCs w:val="32"/>
        </w:rPr>
        <w:t>万元，完成预算100%</w:t>
      </w:r>
      <w:r>
        <w:rPr>
          <w:rStyle w:val="17"/>
          <w:rFonts w:hint="eastAsia" w:ascii="仿宋_GB2312" w:hAnsi="仿宋_GB2312" w:eastAsia="仿宋_GB2312" w:cs="仿宋_GB2312"/>
          <w:b w:val="0"/>
          <w:bCs w:val="0"/>
          <w:sz w:val="32"/>
          <w:szCs w:val="32"/>
          <w:lang w:eastAsia="zh-CN"/>
        </w:rPr>
        <w:t>。</w:t>
      </w:r>
    </w:p>
    <w:p w14:paraId="7633FA2A">
      <w:pPr>
        <w:numPr>
          <w:ilvl w:val="0"/>
          <w:numId w:val="2"/>
        </w:numPr>
        <w:spacing w:line="600" w:lineRule="exact"/>
        <w:ind w:firstLine="640" w:firstLineChars="200"/>
        <w:rPr>
          <w:rFonts w:hint="eastAsia" w:ascii="仿宋_GB2312" w:hAnsi="仿宋_GB2312" w:eastAsia="仿宋_GB2312" w:cs="仿宋_GB2312"/>
          <w:b w:val="0"/>
          <w:bCs w:val="0"/>
        </w:rPr>
      </w:pPr>
      <w:r>
        <w:rPr>
          <w:rStyle w:val="17"/>
          <w:rFonts w:hint="eastAsia" w:ascii="仿宋_GB2312" w:hAnsi="仿宋_GB2312" w:eastAsia="仿宋_GB2312" w:cs="仿宋_GB2312"/>
          <w:b w:val="0"/>
          <w:bCs w:val="0"/>
          <w:sz w:val="32"/>
          <w:szCs w:val="32"/>
        </w:rPr>
        <w:t>农林水支出（213类）林业和草原（02款）一般行政管理事务（02项）:支出决算为</w:t>
      </w:r>
      <w:r>
        <w:rPr>
          <w:rStyle w:val="17"/>
          <w:rFonts w:hint="eastAsia" w:ascii="仿宋_GB2312" w:hAnsi="仿宋_GB2312" w:eastAsia="仿宋_GB2312" w:cs="仿宋_GB2312"/>
          <w:b w:val="0"/>
          <w:bCs w:val="0"/>
          <w:sz w:val="32"/>
          <w:szCs w:val="32"/>
          <w:lang w:val="en-US" w:eastAsia="zh-CN"/>
        </w:rPr>
        <w:t>2010.94</w:t>
      </w:r>
      <w:r>
        <w:rPr>
          <w:rStyle w:val="17"/>
          <w:rFonts w:hint="eastAsia" w:ascii="仿宋_GB2312" w:hAnsi="仿宋_GB2312" w:eastAsia="仿宋_GB2312" w:cs="仿宋_GB2312"/>
          <w:b w:val="0"/>
          <w:bCs w:val="0"/>
          <w:sz w:val="32"/>
          <w:szCs w:val="32"/>
        </w:rPr>
        <w:t>万元，完成预算100%。</w:t>
      </w:r>
    </w:p>
    <w:p w14:paraId="1897BBED">
      <w:pPr>
        <w:numPr>
          <w:ilvl w:val="0"/>
          <w:numId w:val="2"/>
        </w:numPr>
        <w:spacing w:line="600" w:lineRule="exact"/>
        <w:ind w:firstLine="640" w:firstLineChars="200"/>
        <w:rPr>
          <w:rFonts w:hint="eastAsia" w:ascii="仿宋_GB2312" w:hAnsi="仿宋_GB2312" w:eastAsia="仿宋_GB2312" w:cs="仿宋_GB2312"/>
          <w:b w:val="0"/>
          <w:bCs w:val="0"/>
        </w:rPr>
      </w:pPr>
      <w:r>
        <w:rPr>
          <w:rStyle w:val="17"/>
          <w:rFonts w:hint="eastAsia" w:ascii="仿宋_GB2312" w:hAnsi="仿宋_GB2312" w:eastAsia="仿宋_GB2312" w:cs="仿宋_GB2312"/>
          <w:b w:val="0"/>
          <w:bCs w:val="0"/>
          <w:sz w:val="32"/>
          <w:szCs w:val="32"/>
        </w:rPr>
        <w:t>农林水支出（213类）林业和草原（02款）森林资源培育（05项）:支出决算为</w:t>
      </w:r>
      <w:r>
        <w:rPr>
          <w:rStyle w:val="17"/>
          <w:rFonts w:hint="eastAsia" w:ascii="仿宋_GB2312" w:hAnsi="仿宋_GB2312" w:eastAsia="仿宋_GB2312" w:cs="仿宋_GB2312"/>
          <w:b w:val="0"/>
          <w:bCs w:val="0"/>
          <w:sz w:val="32"/>
          <w:szCs w:val="32"/>
          <w:lang w:val="en-US" w:eastAsia="zh-CN"/>
        </w:rPr>
        <w:t>7528.42</w:t>
      </w:r>
      <w:r>
        <w:rPr>
          <w:rStyle w:val="17"/>
          <w:rFonts w:hint="eastAsia" w:ascii="仿宋_GB2312" w:hAnsi="仿宋_GB2312" w:eastAsia="仿宋_GB2312" w:cs="仿宋_GB2312"/>
          <w:b w:val="0"/>
          <w:bCs w:val="0"/>
          <w:sz w:val="32"/>
          <w:szCs w:val="32"/>
        </w:rPr>
        <w:t>万元，完成预算100%</w:t>
      </w:r>
      <w:r>
        <w:rPr>
          <w:rStyle w:val="17"/>
          <w:rFonts w:hint="eastAsia" w:ascii="仿宋_GB2312" w:hAnsi="仿宋_GB2312" w:eastAsia="仿宋_GB2312" w:cs="仿宋_GB2312"/>
          <w:b w:val="0"/>
          <w:bCs w:val="0"/>
          <w:sz w:val="32"/>
          <w:szCs w:val="32"/>
          <w:lang w:eastAsia="zh-CN"/>
        </w:rPr>
        <w:t>。</w:t>
      </w:r>
    </w:p>
    <w:p w14:paraId="21771A0D">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农林水支出（213类）林业和草原（02款）技术推广与转化（0</w:t>
      </w:r>
      <w:r>
        <w:rPr>
          <w:rStyle w:val="17"/>
          <w:rFonts w:hint="eastAsia" w:ascii="仿宋_GB2312" w:hAnsi="仿宋_GB2312" w:eastAsia="仿宋_GB2312" w:cs="仿宋_GB2312"/>
          <w:b w:val="0"/>
          <w:bCs w:val="0"/>
          <w:sz w:val="32"/>
          <w:szCs w:val="32"/>
          <w:lang w:val="en-US" w:eastAsia="zh-CN"/>
        </w:rPr>
        <w:t>6</w:t>
      </w:r>
      <w:r>
        <w:rPr>
          <w:rStyle w:val="17"/>
          <w:rFonts w:hint="eastAsia" w:ascii="仿宋_GB2312" w:hAnsi="仿宋_GB2312" w:eastAsia="仿宋_GB2312" w:cs="仿宋_GB2312"/>
          <w:b w:val="0"/>
          <w:bCs w:val="0"/>
          <w:sz w:val="32"/>
          <w:szCs w:val="32"/>
        </w:rPr>
        <w:t>项）:支出决算</w:t>
      </w:r>
      <w:r>
        <w:rPr>
          <w:rStyle w:val="17"/>
          <w:rFonts w:hint="eastAsia" w:ascii="仿宋_GB2312" w:hAnsi="仿宋_GB2312" w:eastAsia="仿宋_GB2312" w:cs="仿宋_GB2312"/>
          <w:b w:val="0"/>
          <w:bCs w:val="0"/>
          <w:sz w:val="32"/>
          <w:szCs w:val="32"/>
          <w:lang w:val="en-US" w:eastAsia="zh-CN"/>
        </w:rPr>
        <w:t>100</w:t>
      </w:r>
      <w:r>
        <w:rPr>
          <w:rStyle w:val="17"/>
          <w:rFonts w:hint="eastAsia" w:ascii="仿宋_GB2312" w:hAnsi="仿宋_GB2312" w:eastAsia="仿宋_GB2312" w:cs="仿宋_GB2312"/>
          <w:b w:val="0"/>
          <w:bCs w:val="0"/>
          <w:sz w:val="32"/>
          <w:szCs w:val="32"/>
        </w:rPr>
        <w:t>万元，完成预算100%</w:t>
      </w:r>
      <w:r>
        <w:rPr>
          <w:rStyle w:val="17"/>
          <w:rFonts w:hint="eastAsia" w:ascii="仿宋_GB2312" w:hAnsi="仿宋_GB2312" w:eastAsia="仿宋_GB2312" w:cs="仿宋_GB2312"/>
          <w:b w:val="0"/>
          <w:bCs w:val="0"/>
          <w:sz w:val="32"/>
          <w:szCs w:val="32"/>
          <w:lang w:eastAsia="zh-CN"/>
        </w:rPr>
        <w:t>。</w:t>
      </w:r>
    </w:p>
    <w:p w14:paraId="1CD19AE9">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农林水支出（213类）林业和草原（02款）森林资源管理（07项）:支出决算</w:t>
      </w:r>
      <w:r>
        <w:rPr>
          <w:rStyle w:val="17"/>
          <w:rFonts w:hint="eastAsia" w:ascii="仿宋_GB2312" w:hAnsi="仿宋_GB2312" w:eastAsia="仿宋_GB2312" w:cs="仿宋_GB2312"/>
          <w:b w:val="0"/>
          <w:bCs w:val="0"/>
          <w:sz w:val="32"/>
          <w:szCs w:val="32"/>
          <w:lang w:val="en-US" w:eastAsia="zh-CN"/>
        </w:rPr>
        <w:t>49.5</w:t>
      </w:r>
      <w:r>
        <w:rPr>
          <w:rStyle w:val="17"/>
          <w:rFonts w:hint="eastAsia" w:ascii="仿宋_GB2312" w:hAnsi="仿宋_GB2312" w:eastAsia="仿宋_GB2312" w:cs="仿宋_GB2312"/>
          <w:b w:val="0"/>
          <w:bCs w:val="0"/>
          <w:sz w:val="32"/>
          <w:szCs w:val="32"/>
        </w:rPr>
        <w:t>万元，完成预算100%</w:t>
      </w:r>
      <w:r>
        <w:rPr>
          <w:rStyle w:val="17"/>
          <w:rFonts w:hint="eastAsia" w:ascii="仿宋_GB2312" w:hAnsi="仿宋_GB2312" w:eastAsia="仿宋_GB2312" w:cs="仿宋_GB2312"/>
          <w:b w:val="0"/>
          <w:bCs w:val="0"/>
          <w:sz w:val="32"/>
          <w:szCs w:val="32"/>
          <w:lang w:eastAsia="zh-CN"/>
        </w:rPr>
        <w:t>。</w:t>
      </w:r>
    </w:p>
    <w:p w14:paraId="5D2E517C">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农林水支出（213类）林业和草原（02款）动植物保护（</w:t>
      </w:r>
      <w:r>
        <w:rPr>
          <w:rStyle w:val="17"/>
          <w:rFonts w:hint="eastAsia" w:ascii="仿宋_GB2312" w:hAnsi="仿宋_GB2312" w:eastAsia="仿宋_GB2312" w:cs="仿宋_GB2312"/>
          <w:b w:val="0"/>
          <w:bCs w:val="0"/>
          <w:sz w:val="32"/>
          <w:szCs w:val="32"/>
          <w:lang w:val="en-US" w:eastAsia="zh-CN"/>
        </w:rPr>
        <w:t>11</w:t>
      </w:r>
      <w:r>
        <w:rPr>
          <w:rStyle w:val="17"/>
          <w:rFonts w:hint="eastAsia" w:ascii="仿宋_GB2312" w:hAnsi="仿宋_GB2312" w:eastAsia="仿宋_GB2312" w:cs="仿宋_GB2312"/>
          <w:b w:val="0"/>
          <w:bCs w:val="0"/>
          <w:sz w:val="32"/>
          <w:szCs w:val="32"/>
        </w:rPr>
        <w:t>项）:支出决算为</w:t>
      </w:r>
      <w:r>
        <w:rPr>
          <w:rStyle w:val="17"/>
          <w:rFonts w:hint="eastAsia" w:ascii="仿宋_GB2312" w:hAnsi="仿宋_GB2312" w:eastAsia="仿宋_GB2312" w:cs="仿宋_GB2312"/>
          <w:b w:val="0"/>
          <w:bCs w:val="0"/>
          <w:sz w:val="32"/>
          <w:szCs w:val="32"/>
          <w:lang w:val="en-US" w:eastAsia="zh-CN"/>
        </w:rPr>
        <w:t>29</w:t>
      </w:r>
      <w:r>
        <w:rPr>
          <w:rStyle w:val="17"/>
          <w:rFonts w:hint="eastAsia" w:ascii="仿宋_GB2312" w:hAnsi="仿宋_GB2312" w:eastAsia="仿宋_GB2312" w:cs="仿宋_GB2312"/>
          <w:b w:val="0"/>
          <w:bCs w:val="0"/>
          <w:sz w:val="32"/>
          <w:szCs w:val="32"/>
        </w:rPr>
        <w:t>万元，完成预算100%。</w:t>
      </w:r>
    </w:p>
    <w:p w14:paraId="4C846C9E">
      <w:pPr>
        <w:numPr>
          <w:ilvl w:val="0"/>
          <w:numId w:val="2"/>
        </w:numPr>
        <w:spacing w:line="600" w:lineRule="exact"/>
        <w:ind w:firstLine="640" w:firstLineChars="200"/>
        <w:rPr>
          <w:rStyle w:val="17"/>
          <w:rFonts w:hint="eastAsia" w:ascii="仿宋_GB2312" w:hAnsi="仿宋_GB2312" w:eastAsia="仿宋_GB2312" w:cs="仿宋_GB2312"/>
          <w:b w:val="0"/>
          <w:bCs w:val="0"/>
          <w:sz w:val="32"/>
          <w:szCs w:val="32"/>
        </w:rPr>
      </w:pPr>
      <w:r>
        <w:rPr>
          <w:rStyle w:val="17"/>
          <w:rFonts w:hint="eastAsia" w:ascii="仿宋_GB2312" w:hAnsi="仿宋_GB2312" w:eastAsia="仿宋_GB2312" w:cs="仿宋_GB2312"/>
          <w:b w:val="0"/>
          <w:bCs w:val="0"/>
          <w:sz w:val="32"/>
          <w:szCs w:val="32"/>
        </w:rPr>
        <w:t>农林水支出（213类）林业和草原（02款）湿地保护（</w:t>
      </w:r>
      <w:r>
        <w:rPr>
          <w:rStyle w:val="17"/>
          <w:rFonts w:hint="eastAsia" w:ascii="仿宋_GB2312" w:hAnsi="仿宋_GB2312" w:eastAsia="仿宋_GB2312" w:cs="仿宋_GB2312"/>
          <w:b w:val="0"/>
          <w:bCs w:val="0"/>
          <w:sz w:val="32"/>
          <w:szCs w:val="32"/>
          <w:lang w:val="en-US" w:eastAsia="zh-CN"/>
        </w:rPr>
        <w:t>12</w:t>
      </w:r>
      <w:r>
        <w:rPr>
          <w:rStyle w:val="17"/>
          <w:rFonts w:hint="eastAsia" w:ascii="仿宋_GB2312" w:hAnsi="仿宋_GB2312" w:eastAsia="仿宋_GB2312" w:cs="仿宋_GB2312"/>
          <w:b w:val="0"/>
          <w:bCs w:val="0"/>
          <w:sz w:val="32"/>
          <w:szCs w:val="32"/>
        </w:rPr>
        <w:t>项）:支出决算为</w:t>
      </w:r>
      <w:r>
        <w:rPr>
          <w:rStyle w:val="17"/>
          <w:rFonts w:hint="eastAsia" w:ascii="仿宋_GB2312" w:hAnsi="仿宋_GB2312" w:eastAsia="仿宋_GB2312" w:cs="仿宋_GB2312"/>
          <w:b w:val="0"/>
          <w:bCs w:val="0"/>
          <w:sz w:val="32"/>
          <w:szCs w:val="32"/>
          <w:lang w:val="en-US" w:eastAsia="zh-CN"/>
        </w:rPr>
        <w:t>158.57</w:t>
      </w:r>
      <w:r>
        <w:rPr>
          <w:rStyle w:val="17"/>
          <w:rFonts w:hint="eastAsia" w:ascii="仿宋_GB2312" w:hAnsi="仿宋_GB2312" w:eastAsia="仿宋_GB2312" w:cs="仿宋_GB2312"/>
          <w:b w:val="0"/>
          <w:bCs w:val="0"/>
          <w:sz w:val="32"/>
          <w:szCs w:val="32"/>
        </w:rPr>
        <w:t>万元，完成预算100%。</w:t>
      </w:r>
    </w:p>
    <w:p w14:paraId="0E346F98">
      <w:pPr>
        <w:numPr>
          <w:ilvl w:val="0"/>
          <w:numId w:val="2"/>
        </w:numPr>
        <w:spacing w:line="600" w:lineRule="exact"/>
        <w:ind w:firstLine="640" w:firstLineChars="200"/>
        <w:rPr>
          <w:rFonts w:hint="eastAsia" w:ascii="仿宋_GB2312" w:hAnsi="仿宋_GB2312" w:eastAsia="仿宋_GB2312" w:cs="仿宋_GB2312"/>
          <w:b w:val="0"/>
          <w:bCs w:val="0"/>
        </w:rPr>
      </w:pPr>
      <w:r>
        <w:rPr>
          <w:rStyle w:val="17"/>
          <w:rFonts w:hint="eastAsia" w:ascii="仿宋_GB2312" w:hAnsi="仿宋_GB2312" w:eastAsia="仿宋_GB2312" w:cs="仿宋_GB2312"/>
          <w:b w:val="0"/>
          <w:bCs w:val="0"/>
          <w:sz w:val="32"/>
          <w:szCs w:val="32"/>
        </w:rPr>
        <w:t>农林水支出（213类）林业和草原（02款）林业草原防灾减灾（34项）:支出决算为</w:t>
      </w:r>
      <w:r>
        <w:rPr>
          <w:rStyle w:val="17"/>
          <w:rFonts w:hint="eastAsia" w:ascii="仿宋_GB2312" w:hAnsi="仿宋_GB2312" w:eastAsia="仿宋_GB2312" w:cs="仿宋_GB2312"/>
          <w:b w:val="0"/>
          <w:bCs w:val="0"/>
          <w:sz w:val="32"/>
          <w:szCs w:val="32"/>
          <w:lang w:val="en-US" w:eastAsia="zh-CN"/>
        </w:rPr>
        <w:t>2825.26</w:t>
      </w:r>
      <w:r>
        <w:rPr>
          <w:rStyle w:val="17"/>
          <w:rFonts w:hint="eastAsia" w:ascii="仿宋_GB2312" w:hAnsi="仿宋_GB2312" w:eastAsia="仿宋_GB2312" w:cs="仿宋_GB2312"/>
          <w:b w:val="0"/>
          <w:bCs w:val="0"/>
          <w:sz w:val="32"/>
          <w:szCs w:val="32"/>
        </w:rPr>
        <w:t>万元，完成预算100%。</w:t>
      </w:r>
    </w:p>
    <w:p w14:paraId="37EC6C4C">
      <w:pPr>
        <w:numPr>
          <w:ilvl w:val="0"/>
          <w:numId w:val="2"/>
        </w:numPr>
        <w:spacing w:line="600" w:lineRule="exact"/>
        <w:ind w:firstLine="640" w:firstLineChars="200"/>
        <w:rPr>
          <w:rFonts w:hint="eastAsia" w:ascii="仿宋_GB2312" w:hAnsi="仿宋_GB2312" w:eastAsia="仿宋_GB2312" w:cs="仿宋_GB2312"/>
          <w:b w:val="0"/>
          <w:bCs w:val="0"/>
        </w:rPr>
      </w:pPr>
      <w:r>
        <w:rPr>
          <w:rStyle w:val="17"/>
          <w:rFonts w:hint="eastAsia" w:ascii="仿宋_GB2312" w:hAnsi="仿宋_GB2312" w:eastAsia="仿宋_GB2312" w:cs="仿宋_GB2312"/>
          <w:b w:val="0"/>
          <w:bCs w:val="0"/>
          <w:sz w:val="32"/>
          <w:szCs w:val="32"/>
        </w:rPr>
        <w:t>农林水支出（213类）林业和草原（02款）草原管理（36项）:支出决算为</w:t>
      </w:r>
      <w:r>
        <w:rPr>
          <w:rStyle w:val="17"/>
          <w:rFonts w:hint="eastAsia" w:ascii="仿宋_GB2312" w:hAnsi="仿宋_GB2312" w:eastAsia="仿宋_GB2312" w:cs="仿宋_GB2312"/>
          <w:b w:val="0"/>
          <w:bCs w:val="0"/>
          <w:sz w:val="32"/>
          <w:szCs w:val="32"/>
          <w:lang w:val="en-US" w:eastAsia="zh-CN"/>
        </w:rPr>
        <w:t>53.57</w:t>
      </w:r>
      <w:r>
        <w:rPr>
          <w:rStyle w:val="17"/>
          <w:rFonts w:hint="eastAsia" w:ascii="仿宋_GB2312" w:hAnsi="仿宋_GB2312" w:eastAsia="仿宋_GB2312" w:cs="仿宋_GB2312"/>
          <w:b w:val="0"/>
          <w:bCs w:val="0"/>
          <w:sz w:val="32"/>
          <w:szCs w:val="32"/>
        </w:rPr>
        <w:t>万元，完成预算100%。</w:t>
      </w:r>
    </w:p>
    <w:p w14:paraId="61C57820">
      <w:pPr>
        <w:numPr>
          <w:ilvl w:val="0"/>
          <w:numId w:val="2"/>
        </w:numPr>
        <w:spacing w:line="600" w:lineRule="exact"/>
        <w:ind w:firstLine="640" w:firstLineChars="200"/>
        <w:rPr>
          <w:rFonts w:hint="eastAsia"/>
        </w:rPr>
      </w:pPr>
      <w:r>
        <w:rPr>
          <w:rStyle w:val="17"/>
          <w:rFonts w:hint="eastAsia" w:ascii="仿宋_GB2312" w:hAnsi="仿宋_GB2312" w:eastAsia="仿宋_GB2312" w:cs="仿宋_GB2312"/>
          <w:b w:val="0"/>
          <w:bCs w:val="0"/>
          <w:sz w:val="32"/>
          <w:szCs w:val="32"/>
        </w:rPr>
        <w:t>农林水支出（213类）林业和草原（02款）其他林业和草原支出（</w:t>
      </w:r>
      <w:r>
        <w:rPr>
          <w:rStyle w:val="17"/>
          <w:rFonts w:hint="eastAsia" w:ascii="仿宋_GB2312" w:hAnsi="仿宋_GB2312" w:eastAsia="仿宋_GB2312" w:cs="仿宋_GB2312"/>
          <w:b w:val="0"/>
          <w:bCs w:val="0"/>
          <w:sz w:val="32"/>
          <w:szCs w:val="32"/>
          <w:lang w:val="en-US" w:eastAsia="zh-CN"/>
        </w:rPr>
        <w:t>99</w:t>
      </w:r>
      <w:r>
        <w:rPr>
          <w:rStyle w:val="17"/>
          <w:rFonts w:hint="eastAsia" w:ascii="仿宋_GB2312" w:hAnsi="仿宋_GB2312" w:eastAsia="仿宋_GB2312" w:cs="仿宋_GB2312"/>
          <w:b w:val="0"/>
          <w:bCs w:val="0"/>
          <w:sz w:val="32"/>
          <w:szCs w:val="32"/>
        </w:rPr>
        <w:t>项）:支出决算为</w:t>
      </w:r>
      <w:r>
        <w:rPr>
          <w:rStyle w:val="17"/>
          <w:rFonts w:hint="eastAsia" w:ascii="仿宋_GB2312" w:hAnsi="仿宋_GB2312" w:eastAsia="仿宋_GB2312" w:cs="仿宋_GB2312"/>
          <w:b w:val="0"/>
          <w:bCs w:val="0"/>
          <w:sz w:val="32"/>
          <w:szCs w:val="32"/>
          <w:lang w:val="en-US" w:eastAsia="zh-CN"/>
        </w:rPr>
        <w:t>349.3</w:t>
      </w:r>
      <w:r>
        <w:rPr>
          <w:rStyle w:val="17"/>
          <w:rFonts w:hint="eastAsia" w:ascii="仿宋_GB2312" w:hAnsi="仿宋_GB2312" w:eastAsia="仿宋_GB2312" w:cs="仿宋_GB2312"/>
          <w:b w:val="0"/>
          <w:bCs w:val="0"/>
          <w:sz w:val="32"/>
          <w:szCs w:val="32"/>
        </w:rPr>
        <w:t>万元，完成预算100%。</w:t>
      </w:r>
    </w:p>
    <w:p w14:paraId="4EE3CAEA">
      <w:pPr>
        <w:numPr>
          <w:ilvl w:val="0"/>
          <w:numId w:val="2"/>
        </w:numPr>
        <w:spacing w:line="600" w:lineRule="exact"/>
        <w:ind w:firstLine="640" w:firstLineChars="200"/>
        <w:rPr>
          <w:rFonts w:hint="eastAsia" w:ascii="仿宋_GB2312" w:hAnsi="仿宋_GB2312" w:eastAsia="仿宋_GB2312" w:cs="仿宋_GB2312"/>
          <w:b w:val="0"/>
          <w:bCs w:val="0"/>
        </w:rPr>
      </w:pPr>
      <w:r>
        <w:rPr>
          <w:rStyle w:val="17"/>
          <w:rFonts w:hint="eastAsia" w:ascii="仿宋_GB2312" w:hAnsi="仿宋_GB2312" w:eastAsia="仿宋_GB2312" w:cs="仿宋_GB2312"/>
          <w:b w:val="0"/>
          <w:bCs w:val="0"/>
          <w:sz w:val="32"/>
          <w:szCs w:val="32"/>
        </w:rPr>
        <w:t>住房保障支出（221类）住房改革支出（02款）住房公积金（01项）:支出决算为</w:t>
      </w:r>
      <w:r>
        <w:rPr>
          <w:rStyle w:val="17"/>
          <w:rFonts w:hint="eastAsia" w:ascii="仿宋_GB2312" w:hAnsi="仿宋_GB2312" w:eastAsia="仿宋_GB2312" w:cs="仿宋_GB2312"/>
          <w:b w:val="0"/>
          <w:bCs w:val="0"/>
          <w:sz w:val="32"/>
          <w:szCs w:val="32"/>
          <w:lang w:val="en-US" w:eastAsia="zh-CN"/>
        </w:rPr>
        <w:t>98.66</w:t>
      </w:r>
      <w:r>
        <w:rPr>
          <w:rStyle w:val="17"/>
          <w:rFonts w:hint="eastAsia" w:ascii="仿宋_GB2312" w:hAnsi="仿宋_GB2312" w:eastAsia="仿宋_GB2312" w:cs="仿宋_GB2312"/>
          <w:b w:val="0"/>
          <w:bCs w:val="0"/>
          <w:sz w:val="32"/>
          <w:szCs w:val="32"/>
        </w:rPr>
        <w:t>万元，完成预算100%。</w:t>
      </w:r>
    </w:p>
    <w:p w14:paraId="74DA62D3">
      <w:pPr>
        <w:numPr>
          <w:ilvl w:val="0"/>
          <w:numId w:val="2"/>
        </w:numPr>
        <w:spacing w:line="600" w:lineRule="exact"/>
        <w:ind w:firstLine="640" w:firstLineChars="200"/>
        <w:rPr>
          <w:rFonts w:hint="eastAsia" w:ascii="仿宋_GB2312" w:hAnsi="仿宋_GB2312" w:eastAsia="仿宋_GB2312" w:cs="仿宋_GB2312"/>
          <w:b w:val="0"/>
          <w:bCs w:val="0"/>
        </w:rPr>
      </w:pPr>
      <w:r>
        <w:rPr>
          <w:rStyle w:val="17"/>
          <w:rFonts w:hint="eastAsia" w:ascii="仿宋_GB2312" w:hAnsi="仿宋_GB2312" w:eastAsia="仿宋_GB2312" w:cs="仿宋_GB2312"/>
          <w:b w:val="0"/>
          <w:bCs w:val="0"/>
          <w:sz w:val="32"/>
          <w:szCs w:val="32"/>
        </w:rPr>
        <w:t>住房保障支出（221类）住房改革支出（02款）购房补贴（0</w:t>
      </w:r>
      <w:r>
        <w:rPr>
          <w:rStyle w:val="17"/>
          <w:rFonts w:hint="eastAsia" w:ascii="仿宋_GB2312" w:hAnsi="仿宋_GB2312" w:eastAsia="仿宋_GB2312" w:cs="仿宋_GB2312"/>
          <w:b w:val="0"/>
          <w:bCs w:val="0"/>
          <w:sz w:val="32"/>
          <w:szCs w:val="32"/>
          <w:lang w:val="en-US" w:eastAsia="zh-CN"/>
        </w:rPr>
        <w:t>3</w:t>
      </w:r>
      <w:r>
        <w:rPr>
          <w:rStyle w:val="17"/>
          <w:rFonts w:hint="eastAsia" w:ascii="仿宋_GB2312" w:hAnsi="仿宋_GB2312" w:eastAsia="仿宋_GB2312" w:cs="仿宋_GB2312"/>
          <w:b w:val="0"/>
          <w:bCs w:val="0"/>
          <w:sz w:val="32"/>
          <w:szCs w:val="32"/>
        </w:rPr>
        <w:t>项）:支出决算为</w:t>
      </w:r>
      <w:r>
        <w:rPr>
          <w:rStyle w:val="17"/>
          <w:rFonts w:hint="eastAsia" w:ascii="仿宋_GB2312" w:hAnsi="仿宋_GB2312" w:eastAsia="仿宋_GB2312" w:cs="仿宋_GB2312"/>
          <w:b w:val="0"/>
          <w:bCs w:val="0"/>
          <w:sz w:val="32"/>
          <w:szCs w:val="32"/>
          <w:lang w:val="en-US" w:eastAsia="zh-CN"/>
        </w:rPr>
        <w:t>3.6</w:t>
      </w:r>
      <w:r>
        <w:rPr>
          <w:rStyle w:val="17"/>
          <w:rFonts w:hint="eastAsia" w:ascii="仿宋_GB2312" w:hAnsi="仿宋_GB2312" w:eastAsia="仿宋_GB2312" w:cs="仿宋_GB2312"/>
          <w:b w:val="0"/>
          <w:bCs w:val="0"/>
          <w:sz w:val="32"/>
          <w:szCs w:val="32"/>
        </w:rPr>
        <w:t>万元，完成预算100%。</w:t>
      </w:r>
    </w:p>
    <w:p w14:paraId="4C929785">
      <w:pPr>
        <w:spacing w:line="600" w:lineRule="exact"/>
        <w:ind w:firstLine="640"/>
        <w:rPr>
          <w:rFonts w:hint="eastAsia" w:ascii="仿宋_GB2312" w:hAnsi="仿宋_GB2312" w:eastAsia="仿宋_GB2312" w:cs="仿宋_GB2312"/>
          <w:b w:val="0"/>
          <w:bCs w:val="0"/>
          <w:sz w:val="32"/>
          <w:szCs w:val="32"/>
        </w:rPr>
      </w:pPr>
    </w:p>
    <w:p w14:paraId="3D4773B1">
      <w:pPr>
        <w:tabs>
          <w:tab w:val="right" w:pos="8306"/>
        </w:tabs>
        <w:spacing w:line="600" w:lineRule="exact"/>
        <w:ind w:firstLine="640"/>
        <w:outlineLvl w:val="1"/>
        <w:rPr>
          <w:rStyle w:val="38"/>
          <w:rFonts w:ascii="Times New Roman" w:hAnsi="Times New Roman"/>
        </w:rPr>
      </w:pPr>
      <w:bookmarkStart w:id="25" w:name="_Toc15377214"/>
      <w:bookmarkStart w:id="26" w:name="_Toc15396608"/>
      <w:r>
        <w:rPr>
          <w:rFonts w:hint="eastAsia" w:eastAsia="黑体"/>
          <w:sz w:val="32"/>
          <w:szCs w:val="32"/>
        </w:rPr>
        <w:t>六</w:t>
      </w:r>
      <w:r>
        <w:rPr>
          <w:rFonts w:hint="eastAsia" w:eastAsia="黑体"/>
          <w:b/>
          <w:sz w:val="32"/>
          <w:szCs w:val="32"/>
        </w:rPr>
        <w:t>、一</w:t>
      </w:r>
      <w:r>
        <w:rPr>
          <w:rStyle w:val="38"/>
          <w:rFonts w:hint="eastAsia" w:ascii="Times New Roman" w:hAnsi="Times New Roman" w:eastAsia="黑体"/>
          <w:b w:val="0"/>
        </w:rPr>
        <w:t>般公共预算财政拨款基本支出决算情况说明</w:t>
      </w:r>
      <w:bookmarkEnd w:id="25"/>
      <w:bookmarkEnd w:id="26"/>
      <w:r>
        <w:rPr>
          <w:rStyle w:val="38"/>
          <w:rFonts w:ascii="Times New Roman" w:hAnsi="Times New Roman" w:eastAsia="黑体"/>
          <w:b w:val="0"/>
        </w:rPr>
        <w:tab/>
      </w:r>
    </w:p>
    <w:p w14:paraId="6B5FF4F9">
      <w:pPr>
        <w:spacing w:line="600" w:lineRule="exact"/>
        <w:ind w:firstLine="645"/>
        <w:rPr>
          <w:rFonts w:ascii="仿宋" w:hAnsi="仿宋" w:eastAsia="仿宋"/>
          <w:color w:val="auto"/>
          <w:sz w:val="32"/>
          <w:szCs w:val="32"/>
        </w:rPr>
      </w:pPr>
      <w:r>
        <w:rPr>
          <w:rFonts w:hint="eastAsia" w:ascii="仿宋" w:hAnsi="仿宋" w:eastAsia="仿宋"/>
          <w:color w:val="auto"/>
          <w:sz w:val="32"/>
          <w:szCs w:val="32"/>
          <w:lang w:eastAsia="zh-CN"/>
        </w:rPr>
        <w:t>2025</w:t>
      </w:r>
      <w:r>
        <w:rPr>
          <w:rFonts w:hint="eastAsia" w:ascii="仿宋" w:hAnsi="仿宋" w:eastAsia="仿宋"/>
          <w:color w:val="auto"/>
          <w:sz w:val="32"/>
          <w:szCs w:val="32"/>
        </w:rPr>
        <w:t>年度一般公共预算财政拨款基本支出</w:t>
      </w:r>
      <w:r>
        <w:rPr>
          <w:rFonts w:hint="eastAsia" w:ascii="仿宋" w:hAnsi="仿宋" w:eastAsia="仿宋"/>
          <w:color w:val="auto"/>
          <w:sz w:val="32"/>
          <w:szCs w:val="32"/>
          <w:lang w:val="en-US" w:eastAsia="zh-CN"/>
        </w:rPr>
        <w:t>1897.01</w:t>
      </w:r>
      <w:r>
        <w:rPr>
          <w:rFonts w:hint="eastAsia" w:ascii="仿宋" w:hAnsi="仿宋" w:eastAsia="仿宋"/>
          <w:color w:val="auto"/>
          <w:sz w:val="32"/>
          <w:szCs w:val="32"/>
        </w:rPr>
        <w:t>万元，其中：</w:t>
      </w:r>
    </w:p>
    <w:p w14:paraId="571785A7">
      <w:pPr>
        <w:spacing w:line="600" w:lineRule="exact"/>
        <w:ind w:firstLine="645"/>
        <w:rPr>
          <w:rFonts w:ascii="仿宋" w:hAnsi="仿宋" w:eastAsia="仿宋"/>
          <w:sz w:val="32"/>
          <w:szCs w:val="32"/>
        </w:rPr>
      </w:pPr>
      <w:r>
        <w:rPr>
          <w:rFonts w:hint="eastAsia" w:ascii="仿宋" w:hAnsi="仿宋" w:eastAsia="仿宋"/>
          <w:sz w:val="32"/>
          <w:szCs w:val="32"/>
        </w:rPr>
        <w:t>人员经费</w:t>
      </w:r>
      <w:r>
        <w:rPr>
          <w:rFonts w:hint="eastAsia" w:ascii="仿宋" w:hAnsi="仿宋" w:eastAsia="仿宋"/>
          <w:b w:val="0"/>
          <w:bCs/>
          <w:sz w:val="32"/>
          <w:szCs w:val="32"/>
          <w:lang w:val="en-US" w:eastAsia="zh-CN"/>
        </w:rPr>
        <w:t>1651.24</w:t>
      </w:r>
      <w:r>
        <w:rPr>
          <w:rFonts w:hint="eastAsia" w:ascii="仿宋" w:hAnsi="仿宋" w:eastAsia="仿宋"/>
          <w:sz w:val="32"/>
          <w:szCs w:val="32"/>
        </w:rPr>
        <w:t>万元，主要包括：基本工资</w:t>
      </w:r>
      <w:r>
        <w:rPr>
          <w:rFonts w:hint="eastAsia" w:ascii="仿宋" w:hAnsi="仿宋" w:eastAsia="仿宋"/>
          <w:sz w:val="32"/>
          <w:szCs w:val="32"/>
          <w:lang w:val="en-US" w:eastAsia="zh-CN"/>
        </w:rPr>
        <w:t>288.03万元</w:t>
      </w:r>
      <w:r>
        <w:rPr>
          <w:rFonts w:hint="eastAsia" w:ascii="仿宋" w:hAnsi="仿宋" w:eastAsia="仿宋"/>
          <w:sz w:val="32"/>
          <w:szCs w:val="32"/>
        </w:rPr>
        <w:t>、津贴补贴</w:t>
      </w:r>
      <w:r>
        <w:rPr>
          <w:rFonts w:hint="eastAsia" w:ascii="仿宋" w:hAnsi="仿宋" w:eastAsia="仿宋"/>
          <w:sz w:val="32"/>
          <w:szCs w:val="32"/>
          <w:lang w:val="en-US" w:eastAsia="zh-CN"/>
        </w:rPr>
        <w:t>316.56万元</w:t>
      </w:r>
      <w:r>
        <w:rPr>
          <w:rFonts w:hint="eastAsia" w:ascii="仿宋" w:hAnsi="仿宋" w:eastAsia="仿宋"/>
          <w:sz w:val="32"/>
          <w:szCs w:val="32"/>
        </w:rPr>
        <w:t>、奖金</w:t>
      </w:r>
      <w:r>
        <w:rPr>
          <w:rFonts w:hint="eastAsia" w:ascii="仿宋" w:hAnsi="仿宋" w:eastAsia="仿宋"/>
          <w:sz w:val="32"/>
          <w:szCs w:val="32"/>
          <w:lang w:val="en-US" w:eastAsia="zh-CN"/>
        </w:rPr>
        <w:t>241.97万元</w:t>
      </w:r>
      <w:r>
        <w:rPr>
          <w:rFonts w:hint="eastAsia" w:ascii="仿宋" w:hAnsi="仿宋" w:eastAsia="仿宋"/>
          <w:sz w:val="32"/>
          <w:szCs w:val="32"/>
        </w:rPr>
        <w:t>、机关事业单位基本养老保险缴费</w:t>
      </w:r>
      <w:r>
        <w:rPr>
          <w:rFonts w:hint="eastAsia" w:ascii="仿宋" w:hAnsi="仿宋" w:eastAsia="仿宋"/>
          <w:sz w:val="32"/>
          <w:szCs w:val="32"/>
          <w:lang w:val="en-US" w:eastAsia="zh-CN"/>
        </w:rPr>
        <w:t>112.79万元</w:t>
      </w:r>
      <w:r>
        <w:rPr>
          <w:rFonts w:hint="eastAsia" w:ascii="仿宋" w:hAnsi="仿宋" w:eastAsia="仿宋"/>
          <w:sz w:val="32"/>
          <w:szCs w:val="32"/>
        </w:rPr>
        <w:t>、职业年金缴费</w:t>
      </w:r>
      <w:r>
        <w:rPr>
          <w:rFonts w:hint="eastAsia" w:ascii="仿宋" w:hAnsi="仿宋" w:eastAsia="仿宋"/>
          <w:sz w:val="32"/>
          <w:szCs w:val="32"/>
          <w:lang w:val="en-US" w:eastAsia="zh-CN"/>
        </w:rPr>
        <w:t>56.4万元</w:t>
      </w:r>
      <w:r>
        <w:rPr>
          <w:rFonts w:hint="eastAsia" w:ascii="仿宋" w:hAnsi="仿宋" w:eastAsia="仿宋"/>
          <w:sz w:val="32"/>
          <w:szCs w:val="32"/>
        </w:rPr>
        <w:t>、职工基本医疗保险缴费</w:t>
      </w:r>
      <w:r>
        <w:rPr>
          <w:rFonts w:hint="eastAsia" w:ascii="仿宋" w:hAnsi="仿宋" w:eastAsia="仿宋"/>
          <w:sz w:val="32"/>
          <w:szCs w:val="32"/>
          <w:lang w:val="en-US" w:eastAsia="zh-CN"/>
        </w:rPr>
        <w:t>53.99万元、公务员医疗补助缴费17.67万元、其他社会保障缴费3.29万元、</w:t>
      </w:r>
      <w:r>
        <w:rPr>
          <w:rFonts w:hint="eastAsia" w:ascii="仿宋" w:hAnsi="仿宋" w:eastAsia="仿宋"/>
          <w:sz w:val="32"/>
          <w:szCs w:val="32"/>
        </w:rPr>
        <w:t>住房公积金</w:t>
      </w:r>
      <w:r>
        <w:rPr>
          <w:rFonts w:hint="eastAsia" w:ascii="仿宋" w:hAnsi="仿宋" w:eastAsia="仿宋"/>
          <w:sz w:val="32"/>
          <w:szCs w:val="32"/>
          <w:lang w:val="en-US" w:eastAsia="zh-CN"/>
        </w:rPr>
        <w:t>98.66万元、</w:t>
      </w:r>
      <w:r>
        <w:rPr>
          <w:rFonts w:hint="eastAsia" w:ascii="仿宋" w:hAnsi="仿宋" w:eastAsia="仿宋"/>
          <w:sz w:val="32"/>
          <w:szCs w:val="32"/>
        </w:rPr>
        <w:t>生活补助</w:t>
      </w:r>
      <w:r>
        <w:rPr>
          <w:rFonts w:hint="eastAsia" w:ascii="仿宋" w:hAnsi="仿宋" w:eastAsia="仿宋"/>
          <w:sz w:val="32"/>
          <w:szCs w:val="32"/>
          <w:lang w:val="en-US" w:eastAsia="zh-CN"/>
        </w:rPr>
        <w:t>268.44万元</w:t>
      </w:r>
      <w:r>
        <w:rPr>
          <w:rFonts w:hint="eastAsia" w:ascii="仿宋" w:hAnsi="仿宋" w:eastAsia="仿宋"/>
          <w:sz w:val="32"/>
          <w:szCs w:val="32"/>
        </w:rPr>
        <w:t>、奖励金</w:t>
      </w:r>
      <w:r>
        <w:rPr>
          <w:rFonts w:hint="eastAsia" w:ascii="仿宋" w:hAnsi="仿宋" w:eastAsia="仿宋"/>
          <w:sz w:val="32"/>
          <w:szCs w:val="32"/>
          <w:lang w:val="en-US" w:eastAsia="zh-CN"/>
        </w:rPr>
        <w:t>0.01万元</w:t>
      </w:r>
      <w:r>
        <w:rPr>
          <w:rFonts w:hint="eastAsia" w:ascii="仿宋" w:hAnsi="仿宋" w:eastAsia="仿宋"/>
          <w:sz w:val="32"/>
          <w:szCs w:val="32"/>
        </w:rPr>
        <w:t>等。</w:t>
      </w:r>
      <w:r>
        <w:rPr>
          <w:rFonts w:ascii="仿宋" w:hAnsi="仿宋" w:eastAsia="仿宋"/>
          <w:sz w:val="32"/>
          <w:szCs w:val="32"/>
        </w:rPr>
        <w:br w:type="textWrapping"/>
      </w:r>
      <w:r>
        <w:rPr>
          <w:rFonts w:hint="eastAsia" w:ascii="仿宋" w:hAnsi="仿宋" w:eastAsia="仿宋"/>
          <w:sz w:val="32"/>
          <w:szCs w:val="32"/>
        </w:rPr>
        <w:t>　　公用经费</w:t>
      </w:r>
      <w:r>
        <w:rPr>
          <w:rFonts w:hint="eastAsia" w:ascii="仿宋" w:hAnsi="仿宋" w:eastAsia="仿宋"/>
          <w:b w:val="0"/>
          <w:bCs w:val="0"/>
          <w:sz w:val="32"/>
          <w:szCs w:val="32"/>
          <w:lang w:val="en-US" w:eastAsia="zh-CN"/>
        </w:rPr>
        <w:t>245.77</w:t>
      </w:r>
      <w:r>
        <w:rPr>
          <w:rFonts w:hint="eastAsia" w:ascii="仿宋" w:hAnsi="仿宋" w:eastAsia="仿宋"/>
          <w:sz w:val="32"/>
          <w:szCs w:val="32"/>
        </w:rPr>
        <w:t>万元，主要包括：办公费</w:t>
      </w:r>
      <w:r>
        <w:rPr>
          <w:rFonts w:hint="eastAsia" w:ascii="仿宋" w:hAnsi="仿宋" w:eastAsia="仿宋"/>
          <w:sz w:val="32"/>
          <w:szCs w:val="32"/>
          <w:lang w:val="en-US" w:eastAsia="zh-CN"/>
        </w:rPr>
        <w:t>15.86万元</w:t>
      </w:r>
      <w:r>
        <w:rPr>
          <w:rFonts w:hint="eastAsia" w:ascii="仿宋" w:hAnsi="仿宋" w:eastAsia="仿宋"/>
          <w:sz w:val="32"/>
          <w:szCs w:val="32"/>
        </w:rPr>
        <w:t>、水费</w:t>
      </w:r>
      <w:r>
        <w:rPr>
          <w:rFonts w:hint="eastAsia" w:ascii="仿宋" w:hAnsi="仿宋" w:eastAsia="仿宋"/>
          <w:sz w:val="32"/>
          <w:szCs w:val="32"/>
          <w:lang w:val="en-US" w:eastAsia="zh-CN"/>
        </w:rPr>
        <w:t>0.52万元</w:t>
      </w:r>
      <w:r>
        <w:rPr>
          <w:rFonts w:hint="eastAsia" w:ascii="仿宋" w:hAnsi="仿宋" w:eastAsia="仿宋"/>
          <w:sz w:val="32"/>
          <w:szCs w:val="32"/>
        </w:rPr>
        <w:t>、邮电费</w:t>
      </w:r>
      <w:r>
        <w:rPr>
          <w:rFonts w:hint="eastAsia" w:ascii="仿宋" w:hAnsi="仿宋" w:eastAsia="仿宋"/>
          <w:sz w:val="32"/>
          <w:szCs w:val="32"/>
          <w:lang w:val="en-US" w:eastAsia="zh-CN"/>
        </w:rPr>
        <w:t>26.86万元</w:t>
      </w:r>
      <w:r>
        <w:rPr>
          <w:rFonts w:hint="eastAsia" w:ascii="仿宋" w:hAnsi="仿宋" w:eastAsia="仿宋"/>
          <w:sz w:val="32"/>
          <w:szCs w:val="32"/>
        </w:rPr>
        <w:t>、差旅费</w:t>
      </w:r>
      <w:r>
        <w:rPr>
          <w:rFonts w:hint="eastAsia" w:ascii="仿宋" w:hAnsi="仿宋" w:eastAsia="仿宋"/>
          <w:sz w:val="32"/>
          <w:szCs w:val="32"/>
          <w:lang w:val="en-US" w:eastAsia="zh-CN"/>
        </w:rPr>
        <w:t>75.49万元</w:t>
      </w:r>
      <w:r>
        <w:rPr>
          <w:rFonts w:hint="eastAsia" w:ascii="仿宋" w:hAnsi="仿宋" w:eastAsia="仿宋"/>
          <w:sz w:val="32"/>
          <w:szCs w:val="32"/>
        </w:rPr>
        <w:t>、</w:t>
      </w:r>
      <w:r>
        <w:rPr>
          <w:rFonts w:hint="eastAsia" w:ascii="仿宋" w:hAnsi="仿宋" w:eastAsia="仿宋"/>
          <w:sz w:val="32"/>
          <w:szCs w:val="32"/>
          <w:lang w:eastAsia="zh-CN"/>
        </w:rPr>
        <w:t>维修费</w:t>
      </w:r>
      <w:r>
        <w:rPr>
          <w:rFonts w:hint="eastAsia" w:ascii="仿宋" w:hAnsi="仿宋" w:eastAsia="仿宋"/>
          <w:sz w:val="32"/>
          <w:szCs w:val="32"/>
          <w:lang w:val="en-US" w:eastAsia="zh-CN"/>
        </w:rPr>
        <w:t>2.3万元</w:t>
      </w:r>
      <w:r>
        <w:rPr>
          <w:rFonts w:hint="eastAsia" w:ascii="仿宋" w:hAnsi="仿宋" w:eastAsia="仿宋"/>
          <w:sz w:val="32"/>
          <w:szCs w:val="32"/>
        </w:rPr>
        <w:t>、培训费</w:t>
      </w:r>
      <w:r>
        <w:rPr>
          <w:rFonts w:hint="eastAsia" w:ascii="仿宋" w:hAnsi="仿宋" w:eastAsia="仿宋"/>
          <w:sz w:val="32"/>
          <w:szCs w:val="32"/>
          <w:lang w:val="en-US" w:eastAsia="zh-CN"/>
        </w:rPr>
        <w:t>2.98万元</w:t>
      </w:r>
      <w:r>
        <w:rPr>
          <w:rFonts w:hint="eastAsia" w:ascii="仿宋" w:hAnsi="仿宋" w:eastAsia="仿宋"/>
          <w:sz w:val="32"/>
          <w:szCs w:val="32"/>
        </w:rPr>
        <w:t>、劳务费</w:t>
      </w:r>
      <w:r>
        <w:rPr>
          <w:rFonts w:hint="eastAsia" w:ascii="仿宋" w:hAnsi="仿宋" w:eastAsia="仿宋"/>
          <w:sz w:val="32"/>
          <w:szCs w:val="32"/>
          <w:lang w:val="en-US" w:eastAsia="zh-CN"/>
        </w:rPr>
        <w:t>1.83万元</w:t>
      </w:r>
      <w:r>
        <w:rPr>
          <w:rFonts w:hint="eastAsia" w:ascii="仿宋" w:hAnsi="仿宋" w:eastAsia="仿宋"/>
          <w:sz w:val="32"/>
          <w:szCs w:val="32"/>
        </w:rPr>
        <w:t>、福利费</w:t>
      </w:r>
      <w:r>
        <w:rPr>
          <w:rFonts w:hint="eastAsia" w:ascii="仿宋" w:hAnsi="仿宋" w:eastAsia="仿宋"/>
          <w:sz w:val="32"/>
          <w:szCs w:val="32"/>
          <w:lang w:val="en-US" w:eastAsia="zh-CN"/>
        </w:rPr>
        <w:t>1.43万元</w:t>
      </w:r>
      <w:r>
        <w:rPr>
          <w:rFonts w:hint="eastAsia" w:ascii="仿宋" w:hAnsi="仿宋" w:eastAsia="仿宋"/>
          <w:sz w:val="32"/>
          <w:szCs w:val="32"/>
        </w:rPr>
        <w:t>等。</w:t>
      </w:r>
    </w:p>
    <w:p w14:paraId="523F12AD">
      <w:pPr>
        <w:spacing w:line="600" w:lineRule="exact"/>
        <w:ind w:firstLine="640"/>
        <w:rPr>
          <w:rFonts w:eastAsia="仿宋_GB2312" w:cs="仿宋_GB2312"/>
          <w:sz w:val="32"/>
          <w:szCs w:val="32"/>
        </w:rPr>
      </w:pPr>
    </w:p>
    <w:p w14:paraId="2F7A7B8F">
      <w:pPr>
        <w:spacing w:line="600" w:lineRule="exact"/>
        <w:ind w:firstLine="640"/>
        <w:outlineLvl w:val="1"/>
        <w:rPr>
          <w:rStyle w:val="38"/>
          <w:rFonts w:ascii="Times New Roman" w:hAnsi="Times New Roman" w:eastAsia="黑体"/>
          <w:b w:val="0"/>
        </w:rPr>
      </w:pPr>
      <w:bookmarkStart w:id="27" w:name="_Toc15377215"/>
      <w:bookmarkStart w:id="28" w:name="_Toc15396609"/>
      <w:r>
        <w:rPr>
          <w:rFonts w:hint="eastAsia" w:eastAsia="黑体"/>
          <w:color w:val="auto"/>
          <w:sz w:val="32"/>
          <w:szCs w:val="32"/>
        </w:rPr>
        <w:t>七、</w:t>
      </w:r>
      <w:r>
        <w:rPr>
          <w:rStyle w:val="38"/>
          <w:rFonts w:hint="eastAsia" w:ascii="Times New Roman" w:hAnsi="Times New Roman" w:eastAsia="黑体"/>
          <w:b w:val="0"/>
          <w:color w:val="auto"/>
        </w:rPr>
        <w:t>财政拨款</w:t>
      </w:r>
      <w:r>
        <w:rPr>
          <w:rStyle w:val="38"/>
          <w:rFonts w:hint="eastAsia" w:ascii="Times New Roman" w:hAnsi="Times New Roman" w:eastAsia="黑体"/>
          <w:color w:val="auto"/>
        </w:rPr>
        <w:t>“</w:t>
      </w:r>
      <w:r>
        <w:rPr>
          <w:rStyle w:val="38"/>
          <w:rFonts w:hint="eastAsia" w:ascii="Times New Roman" w:hAnsi="Times New Roman" w:eastAsia="黑体"/>
          <w:b w:val="0"/>
          <w:color w:val="auto"/>
        </w:rPr>
        <w:t>三公”经费支出决算情况</w:t>
      </w:r>
      <w:r>
        <w:rPr>
          <w:rStyle w:val="38"/>
          <w:rFonts w:hint="eastAsia" w:ascii="Times New Roman" w:hAnsi="Times New Roman" w:eastAsia="黑体"/>
          <w:b w:val="0"/>
        </w:rPr>
        <w:t>说明</w:t>
      </w:r>
      <w:bookmarkEnd w:id="27"/>
      <w:bookmarkEnd w:id="28"/>
    </w:p>
    <w:p w14:paraId="1F954C7C">
      <w:pPr>
        <w:spacing w:line="600" w:lineRule="exact"/>
        <w:ind w:firstLine="643" w:firstLineChars="200"/>
        <w:outlineLvl w:val="2"/>
        <w:rPr>
          <w:rFonts w:eastAsia="楷体_GB2312" w:cs="楷体_GB2312"/>
          <w:b/>
          <w:sz w:val="32"/>
          <w:szCs w:val="32"/>
        </w:rPr>
      </w:pPr>
      <w:bookmarkStart w:id="29" w:name="_Toc15377216"/>
      <w:r>
        <w:rPr>
          <w:rFonts w:hint="eastAsia" w:eastAsia="楷体_GB2312" w:cs="楷体_GB2312"/>
          <w:b/>
          <w:sz w:val="32"/>
          <w:szCs w:val="32"/>
        </w:rPr>
        <w:t>（一）“三公”经费财政拨款支出决算总体情况说明</w:t>
      </w:r>
      <w:bookmarkEnd w:id="29"/>
    </w:p>
    <w:p w14:paraId="6B804CAB">
      <w:pPr>
        <w:spacing w:line="600" w:lineRule="exact"/>
        <w:ind w:firstLine="640"/>
        <w:rPr>
          <w:rFonts w:hint="eastAsia" w:ascii="仿宋_GB2312" w:hAnsi="仿宋_GB2312" w:eastAsia="仿宋_GB2312" w:cs="仿宋_GB2312"/>
          <w:b w:val="0"/>
          <w:bCs w:val="0"/>
          <w:sz w:val="32"/>
          <w:szCs w:val="32"/>
          <w:lang w:val="en-US"/>
        </w:rPr>
      </w:pPr>
      <w:bookmarkStart w:id="30" w:name="_Toc15377217"/>
      <w:r>
        <w:rPr>
          <w:rFonts w:hint="eastAsia" w:ascii="仿宋_GB2312" w:hAnsi="仿宋_GB2312" w:eastAsia="仿宋_GB2312" w:cs="仿宋_GB2312"/>
          <w:b w:val="0"/>
          <w:bCs w:val="0"/>
          <w:sz w:val="32"/>
          <w:szCs w:val="32"/>
          <w:lang w:eastAsia="zh-CN"/>
        </w:rPr>
        <w:t>2025</w:t>
      </w:r>
      <w:r>
        <w:rPr>
          <w:rFonts w:hint="eastAsia" w:ascii="仿宋_GB2312" w:hAnsi="仿宋_GB2312" w:eastAsia="仿宋_GB2312" w:cs="仿宋_GB2312"/>
          <w:b w:val="0"/>
          <w:bCs w:val="0"/>
          <w:sz w:val="32"/>
          <w:szCs w:val="32"/>
        </w:rPr>
        <w:t>年度“三公”经费财政拨款支出决算为</w:t>
      </w:r>
      <w:r>
        <w:rPr>
          <w:rFonts w:hint="eastAsia" w:ascii="仿宋_GB2312" w:hAnsi="仿宋_GB2312" w:eastAsia="仿宋_GB2312" w:cs="仿宋_GB2312"/>
          <w:b w:val="0"/>
          <w:bCs w:val="0"/>
          <w:sz w:val="32"/>
          <w:szCs w:val="32"/>
          <w:lang w:val="en-US" w:eastAsia="zh-CN"/>
        </w:rPr>
        <w:t>95.3</w:t>
      </w:r>
      <w:r>
        <w:rPr>
          <w:rFonts w:hint="eastAsia" w:ascii="仿宋_GB2312" w:hAnsi="仿宋_GB2312" w:eastAsia="仿宋_GB2312" w:cs="仿宋_GB2312"/>
          <w:b w:val="0"/>
          <w:bCs w:val="0"/>
          <w:sz w:val="32"/>
          <w:szCs w:val="32"/>
        </w:rPr>
        <w:t>万元，完成预算</w:t>
      </w:r>
      <w:r>
        <w:rPr>
          <w:rFonts w:hint="eastAsia" w:ascii="仿宋_GB2312" w:hAnsi="仿宋_GB2312" w:eastAsia="仿宋_GB2312" w:cs="仿宋_GB2312"/>
          <w:b w:val="0"/>
          <w:bCs w:val="0"/>
          <w:sz w:val="32"/>
          <w:szCs w:val="32"/>
          <w:lang w:val="en-US" w:eastAsia="zh-CN"/>
        </w:rPr>
        <w:t>100</w:t>
      </w:r>
      <w:r>
        <w:rPr>
          <w:rFonts w:hint="eastAsia" w:ascii="仿宋_GB2312" w:hAnsi="仿宋_GB2312" w:eastAsia="仿宋_GB2312" w:cs="仿宋_GB2312"/>
          <w:b w:val="0"/>
          <w:bCs w:val="0"/>
          <w:sz w:val="32"/>
          <w:szCs w:val="32"/>
        </w:rPr>
        <w:t>%，较上年度</w:t>
      </w:r>
      <w:r>
        <w:rPr>
          <w:rFonts w:hint="eastAsia" w:ascii="仿宋_GB2312" w:hAnsi="仿宋_GB2312" w:eastAsia="仿宋_GB2312" w:cs="仿宋_GB2312"/>
          <w:b w:val="0"/>
          <w:bCs w:val="0"/>
          <w:sz w:val="32"/>
          <w:szCs w:val="32"/>
          <w:lang w:val="en-US" w:eastAsia="zh-CN"/>
        </w:rPr>
        <w:t>增加8.23</w:t>
      </w:r>
      <w:r>
        <w:rPr>
          <w:rFonts w:hint="eastAsia" w:ascii="仿宋_GB2312" w:hAnsi="仿宋_GB2312" w:eastAsia="仿宋_GB2312" w:cs="仿宋_GB2312"/>
          <w:b w:val="0"/>
          <w:bCs w:val="0"/>
          <w:sz w:val="32"/>
          <w:szCs w:val="32"/>
        </w:rPr>
        <w:t>万元，</w:t>
      </w:r>
      <w:r>
        <w:rPr>
          <w:rFonts w:hint="eastAsia" w:ascii="仿宋_GB2312" w:hAnsi="仿宋_GB2312" w:eastAsia="仿宋_GB2312" w:cs="仿宋_GB2312"/>
          <w:b w:val="0"/>
          <w:bCs w:val="0"/>
          <w:sz w:val="32"/>
          <w:szCs w:val="32"/>
          <w:lang w:val="en-US" w:eastAsia="zh-CN"/>
        </w:rPr>
        <w:t>上升9.4</w:t>
      </w:r>
      <w:r>
        <w:rPr>
          <w:rFonts w:hint="eastAsia" w:ascii="仿宋_GB2312" w:hAnsi="仿宋_GB2312" w:eastAsia="仿宋_GB2312" w:cs="仿宋_GB2312"/>
          <w:b w:val="0"/>
          <w:bCs w:val="0"/>
          <w:sz w:val="32"/>
          <w:szCs w:val="32"/>
        </w:rPr>
        <w:t>%。</w:t>
      </w:r>
    </w:p>
    <w:p w14:paraId="13E042C0">
      <w:pPr>
        <w:spacing w:line="600" w:lineRule="exact"/>
        <w:ind w:firstLine="643" w:firstLineChars="200"/>
        <w:outlineLvl w:val="2"/>
        <w:rPr>
          <w:rFonts w:eastAsia="楷体_GB2312" w:cs="楷体_GB2312"/>
          <w:b/>
          <w:sz w:val="32"/>
          <w:szCs w:val="32"/>
        </w:rPr>
      </w:pPr>
      <w:r>
        <w:rPr>
          <w:rFonts w:hint="eastAsia" w:eastAsia="楷体_GB2312" w:cs="楷体_GB2312"/>
          <w:b/>
          <w:sz w:val="32"/>
          <w:szCs w:val="32"/>
        </w:rPr>
        <w:t>（二）“三公”经费财政拨款支出决算具体情况说明</w:t>
      </w:r>
      <w:bookmarkEnd w:id="30"/>
    </w:p>
    <w:p w14:paraId="0830F38F">
      <w:pPr>
        <w:spacing w:line="600" w:lineRule="exact"/>
        <w:ind w:firstLine="640"/>
        <w:rPr>
          <w:rFonts w:hint="eastAsia" w:ascii="仿宋_GB2312" w:hAnsi="仿宋_GB2312" w:eastAsia="仿宋_GB2312" w:cs="仿宋_GB2312"/>
          <w:b w:val="0"/>
          <w:bCs w:val="0"/>
          <w:sz w:val="32"/>
          <w:szCs w:val="32"/>
        </w:rPr>
      </w:pPr>
      <w:bookmarkStart w:id="31" w:name="_Toc15396610"/>
      <w:bookmarkStart w:id="32" w:name="_Toc15377218"/>
      <w:r>
        <w:rPr>
          <w:rFonts w:hint="eastAsia" w:ascii="仿宋_GB2312" w:hAnsi="仿宋_GB2312" w:eastAsia="仿宋_GB2312" w:cs="仿宋_GB2312"/>
          <w:b w:val="0"/>
          <w:bCs w:val="0"/>
          <w:sz w:val="32"/>
          <w:szCs w:val="32"/>
          <w:lang w:eastAsia="zh-CN"/>
        </w:rPr>
        <w:t>2025</w:t>
      </w:r>
      <w:r>
        <w:rPr>
          <w:rFonts w:hint="eastAsia" w:ascii="仿宋_GB2312" w:hAnsi="仿宋_GB2312" w:eastAsia="仿宋_GB2312" w:cs="仿宋_GB2312"/>
          <w:b w:val="0"/>
          <w:bCs w:val="0"/>
          <w:sz w:val="32"/>
          <w:szCs w:val="32"/>
        </w:rPr>
        <w:t>年度“三公”经费财政拨款支出决算中，因公出国（境）费支出决算0万元，占0%；公务用车购置</w:t>
      </w:r>
      <w:r>
        <w:rPr>
          <w:rFonts w:hint="eastAsia" w:ascii="仿宋_GB2312" w:hAnsi="仿宋_GB2312" w:eastAsia="仿宋_GB2312" w:cs="仿宋_GB2312"/>
          <w:b w:val="0"/>
          <w:bCs w:val="0"/>
          <w:sz w:val="32"/>
          <w:szCs w:val="32"/>
          <w:lang w:eastAsia="zh-CN"/>
        </w:rPr>
        <w:t>支出决算</w:t>
      </w:r>
      <w:r>
        <w:rPr>
          <w:rFonts w:hint="eastAsia" w:ascii="仿宋_GB2312" w:hAnsi="仿宋_GB2312" w:eastAsia="仿宋_GB2312" w:cs="仿宋_GB2312"/>
          <w:b w:val="0"/>
          <w:bCs w:val="0"/>
          <w:sz w:val="32"/>
          <w:szCs w:val="32"/>
          <w:lang w:val="en-US" w:eastAsia="zh-CN"/>
        </w:rPr>
        <w:t>0万元，</w:t>
      </w:r>
      <w:r>
        <w:rPr>
          <w:rFonts w:hint="eastAsia" w:ascii="仿宋_GB2312" w:hAnsi="仿宋_GB2312" w:eastAsia="仿宋_GB2312" w:cs="仿宋_GB2312"/>
          <w:b w:val="0"/>
          <w:bCs w:val="0"/>
          <w:sz w:val="32"/>
          <w:szCs w:val="32"/>
        </w:rPr>
        <w:t>占0%；</w:t>
      </w:r>
      <w:r>
        <w:rPr>
          <w:rFonts w:hint="eastAsia" w:ascii="仿宋_GB2312" w:hAnsi="仿宋_GB2312" w:eastAsia="仿宋_GB2312" w:cs="仿宋_GB2312"/>
          <w:b w:val="0"/>
          <w:bCs w:val="0"/>
          <w:sz w:val="32"/>
          <w:szCs w:val="32"/>
          <w:lang w:eastAsia="zh-CN"/>
        </w:rPr>
        <w:t>公务用车</w:t>
      </w:r>
      <w:r>
        <w:rPr>
          <w:rFonts w:hint="eastAsia" w:ascii="仿宋_GB2312" w:hAnsi="仿宋_GB2312" w:eastAsia="仿宋_GB2312" w:cs="仿宋_GB2312"/>
          <w:b w:val="0"/>
          <w:bCs w:val="0"/>
          <w:sz w:val="32"/>
          <w:szCs w:val="32"/>
        </w:rPr>
        <w:t>运行维护费支出决算</w:t>
      </w:r>
      <w:r>
        <w:rPr>
          <w:rFonts w:hint="eastAsia" w:ascii="仿宋_GB2312" w:hAnsi="仿宋_GB2312" w:eastAsia="仿宋_GB2312" w:cs="仿宋_GB2312"/>
          <w:b w:val="0"/>
          <w:bCs w:val="0"/>
          <w:sz w:val="32"/>
          <w:szCs w:val="32"/>
          <w:lang w:val="en-US" w:eastAsia="zh-CN"/>
        </w:rPr>
        <w:t>95.06</w:t>
      </w:r>
      <w:r>
        <w:rPr>
          <w:rFonts w:hint="eastAsia" w:ascii="仿宋_GB2312" w:hAnsi="仿宋_GB2312" w:eastAsia="仿宋_GB2312" w:cs="仿宋_GB2312"/>
          <w:b w:val="0"/>
          <w:bCs w:val="0"/>
          <w:sz w:val="32"/>
          <w:szCs w:val="32"/>
        </w:rPr>
        <w:t>万元，占99.</w:t>
      </w:r>
      <w:r>
        <w:rPr>
          <w:rFonts w:hint="eastAsia" w:ascii="仿宋_GB2312" w:hAnsi="仿宋_GB2312" w:eastAsia="仿宋_GB2312" w:cs="仿宋_GB2312"/>
          <w:b w:val="0"/>
          <w:bCs w:val="0"/>
          <w:sz w:val="32"/>
          <w:szCs w:val="32"/>
          <w:lang w:val="en-US" w:eastAsia="zh-CN"/>
        </w:rPr>
        <w:t>7</w:t>
      </w:r>
      <w:r>
        <w:rPr>
          <w:rFonts w:hint="eastAsia" w:ascii="仿宋_GB2312" w:hAnsi="仿宋_GB2312" w:eastAsia="仿宋_GB2312" w:cs="仿宋_GB2312"/>
          <w:b w:val="0"/>
          <w:bCs w:val="0"/>
          <w:sz w:val="32"/>
          <w:szCs w:val="32"/>
        </w:rPr>
        <w:t>%；公务接待费支出决算</w:t>
      </w:r>
      <w:r>
        <w:rPr>
          <w:rFonts w:hint="eastAsia" w:ascii="仿宋_GB2312" w:hAnsi="仿宋_GB2312" w:eastAsia="仿宋_GB2312" w:cs="仿宋_GB2312"/>
          <w:b w:val="0"/>
          <w:bCs w:val="0"/>
          <w:sz w:val="32"/>
          <w:szCs w:val="32"/>
          <w:lang w:val="en-US" w:eastAsia="zh-CN"/>
        </w:rPr>
        <w:t>0.24</w:t>
      </w:r>
      <w:r>
        <w:rPr>
          <w:rFonts w:hint="eastAsia" w:ascii="仿宋_GB2312" w:hAnsi="仿宋_GB2312" w:eastAsia="仿宋_GB2312" w:cs="仿宋_GB2312"/>
          <w:b w:val="0"/>
          <w:bCs w:val="0"/>
          <w:sz w:val="32"/>
          <w:szCs w:val="32"/>
        </w:rPr>
        <w:t>万元，占0.</w:t>
      </w:r>
      <w:r>
        <w:rPr>
          <w:rFonts w:hint="eastAsia" w:ascii="仿宋_GB2312" w:hAnsi="仿宋_GB2312" w:eastAsia="仿宋_GB2312" w:cs="仿宋_GB2312"/>
          <w:b w:val="0"/>
          <w:bCs w:val="0"/>
          <w:sz w:val="32"/>
          <w:szCs w:val="32"/>
          <w:lang w:val="en-US" w:eastAsia="zh-CN"/>
        </w:rPr>
        <w:t>3</w:t>
      </w:r>
      <w:r>
        <w:rPr>
          <w:rFonts w:hint="eastAsia" w:ascii="仿宋_GB2312" w:hAnsi="仿宋_GB2312" w:eastAsia="仿宋_GB2312" w:cs="仿宋_GB2312"/>
          <w:b w:val="0"/>
          <w:bCs w:val="0"/>
          <w:sz w:val="32"/>
          <w:szCs w:val="32"/>
        </w:rPr>
        <w:t>%。具体情况如下：</w:t>
      </w:r>
    </w:p>
    <w:p w14:paraId="7622C969">
      <w:pPr>
        <w:pStyle w:val="5"/>
      </w:pPr>
      <w:r>
        <w:rPr>
          <w:rFonts w:hint="eastAsia"/>
          <w:lang w:val="en-US" w:eastAsia="zh-CN"/>
        </w:rPr>
        <w:t xml:space="preserve">    </w:t>
      </w:r>
      <w:r>
        <w:drawing>
          <wp:inline distT="0" distB="0" distL="114300" distR="114300">
            <wp:extent cx="4473575" cy="1721485"/>
            <wp:effectExtent l="4445" t="4445" r="17780" b="7620"/>
            <wp:docPr id="13" name="图表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01ED739">
      <w:pPr>
        <w:spacing w:line="600" w:lineRule="exact"/>
        <w:ind w:firstLine="640"/>
        <w:rPr>
          <w:rFonts w:ascii="仿宋" w:hAnsi="仿宋" w:eastAsia="仿宋"/>
          <w:sz w:val="32"/>
          <w:szCs w:val="32"/>
        </w:rPr>
      </w:pPr>
      <w:r>
        <w:rPr>
          <w:rFonts w:hint="eastAsia" w:ascii="仿宋" w:hAnsi="仿宋" w:eastAsia="仿宋"/>
          <w:sz w:val="32"/>
          <w:szCs w:val="32"/>
        </w:rPr>
        <w:t>（图7：“三公”经费财政拨款支出结构）（饼状图）</w:t>
      </w:r>
    </w:p>
    <w:p w14:paraId="36992AEA">
      <w:pPr>
        <w:spacing w:line="600" w:lineRule="exact"/>
        <w:ind w:firstLine="64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1.因公出国（境）经费支出0万元，</w:t>
      </w:r>
      <w:r>
        <w:rPr>
          <w:rStyle w:val="17"/>
          <w:rFonts w:hint="eastAsia" w:ascii="仿宋_GB2312" w:hAnsi="仿宋_GB2312" w:eastAsia="仿宋_GB2312" w:cs="仿宋_GB2312"/>
          <w:b w:val="0"/>
          <w:bCs/>
          <w:sz w:val="32"/>
          <w:szCs w:val="32"/>
        </w:rPr>
        <w:t>完成预算0%。</w:t>
      </w:r>
      <w:r>
        <w:rPr>
          <w:rFonts w:hint="eastAsia" w:ascii="仿宋_GB2312" w:hAnsi="仿宋_GB2312" w:eastAsia="仿宋_GB2312" w:cs="仿宋_GB2312"/>
          <w:b w:val="0"/>
          <w:bCs/>
          <w:sz w:val="32"/>
          <w:szCs w:val="32"/>
        </w:rPr>
        <w:t>全年安排因公出国（境）团组0次，出国（境）0人。</w:t>
      </w:r>
    </w:p>
    <w:p w14:paraId="108E62AD">
      <w:pPr>
        <w:spacing w:line="600" w:lineRule="exact"/>
        <w:ind w:firstLine="64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2.公务用车购置及运行维护费支出</w:t>
      </w:r>
      <w:r>
        <w:rPr>
          <w:rFonts w:hint="eastAsia" w:ascii="仿宋_GB2312" w:hAnsi="仿宋_GB2312" w:eastAsia="仿宋_GB2312" w:cs="仿宋_GB2312"/>
          <w:b w:val="0"/>
          <w:bCs/>
          <w:sz w:val="32"/>
          <w:szCs w:val="32"/>
          <w:lang w:val="en-US" w:eastAsia="zh-CN"/>
        </w:rPr>
        <w:t>95.06</w:t>
      </w:r>
      <w:r>
        <w:rPr>
          <w:rFonts w:hint="eastAsia" w:ascii="仿宋_GB2312" w:hAnsi="仿宋_GB2312" w:eastAsia="仿宋_GB2312" w:cs="仿宋_GB2312"/>
          <w:b w:val="0"/>
          <w:bCs/>
          <w:sz w:val="32"/>
          <w:szCs w:val="32"/>
        </w:rPr>
        <w:t>万元,</w:t>
      </w:r>
      <w:r>
        <w:rPr>
          <w:rStyle w:val="17"/>
          <w:rFonts w:hint="eastAsia" w:ascii="仿宋_GB2312" w:hAnsi="仿宋_GB2312" w:eastAsia="仿宋_GB2312" w:cs="仿宋_GB2312"/>
          <w:b w:val="0"/>
          <w:bCs/>
          <w:sz w:val="32"/>
          <w:szCs w:val="32"/>
        </w:rPr>
        <w:t>完成预算</w:t>
      </w:r>
      <w:r>
        <w:rPr>
          <w:rStyle w:val="17"/>
          <w:rFonts w:hint="eastAsia" w:ascii="仿宋_GB2312" w:hAnsi="仿宋_GB2312" w:eastAsia="仿宋_GB2312" w:cs="仿宋_GB2312"/>
          <w:b w:val="0"/>
          <w:bCs/>
          <w:sz w:val="32"/>
          <w:szCs w:val="32"/>
          <w:lang w:val="en-US" w:eastAsia="zh-CN"/>
        </w:rPr>
        <w:t>100</w:t>
      </w:r>
      <w:r>
        <w:rPr>
          <w:rStyle w:val="17"/>
          <w:rFonts w:hint="eastAsia" w:ascii="仿宋_GB2312" w:hAnsi="仿宋_GB2312" w:eastAsia="仿宋_GB2312" w:cs="仿宋_GB2312"/>
          <w:b w:val="0"/>
          <w:bCs/>
          <w:sz w:val="32"/>
          <w:szCs w:val="32"/>
        </w:rPr>
        <w:t>%。</w:t>
      </w:r>
      <w:r>
        <w:rPr>
          <w:rFonts w:hint="eastAsia" w:ascii="仿宋_GB2312" w:hAnsi="仿宋_GB2312" w:eastAsia="仿宋_GB2312" w:cs="仿宋_GB2312"/>
          <w:b w:val="0"/>
          <w:bCs/>
          <w:color w:val="auto"/>
          <w:sz w:val="32"/>
          <w:szCs w:val="32"/>
          <w:highlight w:val="none"/>
        </w:rPr>
        <w:t>公务用车购置及运行维护费支出决算</w:t>
      </w:r>
      <w:r>
        <w:rPr>
          <w:rFonts w:hint="eastAsia" w:ascii="仿宋_GB2312" w:hAnsi="仿宋_GB2312" w:eastAsia="仿宋_GB2312" w:cs="仿宋_GB2312"/>
          <w:b w:val="0"/>
          <w:bCs/>
          <w:sz w:val="32"/>
          <w:szCs w:val="32"/>
        </w:rPr>
        <w:t>比</w:t>
      </w:r>
      <w:r>
        <w:rPr>
          <w:rFonts w:hint="eastAsia" w:ascii="仿宋_GB2312" w:hAnsi="仿宋_GB2312" w:eastAsia="仿宋_GB2312" w:cs="仿宋_GB2312"/>
          <w:b w:val="0"/>
          <w:bCs/>
          <w:sz w:val="32"/>
          <w:szCs w:val="32"/>
          <w:lang w:eastAsia="zh-CN"/>
        </w:rPr>
        <w:t>2024</w:t>
      </w:r>
      <w:r>
        <w:rPr>
          <w:rFonts w:hint="eastAsia" w:ascii="仿宋_GB2312" w:hAnsi="仿宋_GB2312" w:eastAsia="仿宋_GB2312" w:cs="仿宋_GB2312"/>
          <w:b w:val="0"/>
          <w:bCs/>
          <w:sz w:val="32"/>
          <w:szCs w:val="32"/>
        </w:rPr>
        <w:t>年度</w:t>
      </w:r>
      <w:r>
        <w:rPr>
          <w:rFonts w:hint="eastAsia" w:ascii="仿宋_GB2312" w:hAnsi="仿宋_GB2312" w:eastAsia="仿宋_GB2312" w:cs="仿宋_GB2312"/>
          <w:b w:val="0"/>
          <w:bCs/>
          <w:sz w:val="32"/>
          <w:szCs w:val="32"/>
          <w:lang w:val="en-US" w:eastAsia="zh-CN"/>
        </w:rPr>
        <w:t>增加8.41</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val="en-US" w:eastAsia="zh-CN"/>
        </w:rPr>
        <w:t>上升9.7</w:t>
      </w:r>
      <w:r>
        <w:rPr>
          <w:rFonts w:hint="eastAsia" w:ascii="仿宋_GB2312" w:hAnsi="仿宋_GB2312" w:eastAsia="仿宋_GB2312" w:cs="仿宋_GB2312"/>
          <w:b w:val="0"/>
          <w:bCs/>
          <w:sz w:val="32"/>
          <w:szCs w:val="32"/>
        </w:rPr>
        <w:t>%。主要原因是</w:t>
      </w:r>
      <w:r>
        <w:rPr>
          <w:rFonts w:hint="eastAsia" w:ascii="仿宋_GB2312" w:hAnsi="仿宋_GB2312" w:eastAsia="仿宋_GB2312" w:cs="仿宋_GB2312"/>
          <w:b w:val="0"/>
          <w:bCs/>
          <w:sz w:val="32"/>
          <w:szCs w:val="32"/>
          <w:lang w:eastAsia="zh-CN"/>
        </w:rPr>
        <w:t>2025</w:t>
      </w:r>
      <w:r>
        <w:rPr>
          <w:rFonts w:hint="eastAsia" w:ascii="仿宋_GB2312" w:hAnsi="仿宋_GB2312" w:eastAsia="仿宋_GB2312" w:cs="仿宋_GB2312"/>
          <w:b w:val="0"/>
          <w:bCs/>
          <w:sz w:val="32"/>
          <w:szCs w:val="32"/>
        </w:rPr>
        <w:t>年度</w:t>
      </w:r>
      <w:r>
        <w:rPr>
          <w:rFonts w:hint="eastAsia" w:ascii="仿宋_GB2312" w:hAnsi="仿宋_GB2312" w:eastAsia="仿宋_GB2312" w:cs="仿宋_GB2312"/>
          <w:b w:val="0"/>
          <w:bCs/>
          <w:sz w:val="32"/>
          <w:szCs w:val="32"/>
          <w:lang w:val="en-US" w:eastAsia="zh-CN"/>
        </w:rPr>
        <w:t>项目检查增多</w:t>
      </w:r>
      <w:r>
        <w:rPr>
          <w:rFonts w:hint="eastAsia" w:ascii="仿宋_GB2312" w:hAnsi="仿宋_GB2312" w:eastAsia="仿宋_GB2312" w:cs="仿宋_GB2312"/>
          <w:b w:val="0"/>
          <w:bCs/>
          <w:sz w:val="32"/>
          <w:szCs w:val="32"/>
        </w:rPr>
        <w:t>统筹用车</w:t>
      </w:r>
      <w:r>
        <w:rPr>
          <w:rFonts w:hint="eastAsia" w:ascii="仿宋_GB2312" w:hAnsi="仿宋_GB2312" w:eastAsia="仿宋_GB2312" w:cs="仿宋_GB2312"/>
          <w:b w:val="0"/>
          <w:bCs/>
          <w:sz w:val="32"/>
          <w:szCs w:val="32"/>
          <w:lang w:val="en-US" w:eastAsia="zh-CN"/>
        </w:rPr>
        <w:t>次数增加</w:t>
      </w:r>
      <w:r>
        <w:rPr>
          <w:rFonts w:hint="eastAsia" w:ascii="仿宋_GB2312" w:hAnsi="仿宋_GB2312" w:eastAsia="仿宋_GB2312" w:cs="仿宋_GB2312"/>
          <w:b w:val="0"/>
          <w:bCs/>
          <w:sz w:val="32"/>
          <w:szCs w:val="32"/>
        </w:rPr>
        <w:t>，导致公务用车经费有所</w:t>
      </w:r>
      <w:r>
        <w:rPr>
          <w:rFonts w:hint="eastAsia" w:ascii="仿宋_GB2312" w:hAnsi="仿宋_GB2312" w:eastAsia="仿宋_GB2312" w:cs="仿宋_GB2312"/>
          <w:b w:val="0"/>
          <w:bCs/>
          <w:sz w:val="32"/>
          <w:szCs w:val="32"/>
          <w:lang w:val="en-US" w:eastAsia="zh-CN"/>
        </w:rPr>
        <w:t>上升</w:t>
      </w:r>
      <w:r>
        <w:rPr>
          <w:rFonts w:hint="eastAsia" w:ascii="仿宋_GB2312" w:hAnsi="仿宋_GB2312" w:eastAsia="仿宋_GB2312" w:cs="仿宋_GB2312"/>
          <w:b w:val="0"/>
          <w:bCs/>
          <w:sz w:val="32"/>
          <w:szCs w:val="32"/>
        </w:rPr>
        <w:t>。</w:t>
      </w:r>
    </w:p>
    <w:p w14:paraId="1EB1762B">
      <w:pPr>
        <w:spacing w:line="600" w:lineRule="exact"/>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其中：公务用车购置支出0万元。全年按规定更新购置公务用车</w:t>
      </w:r>
      <w:r>
        <w:rPr>
          <w:rFonts w:hint="eastAsia" w:ascii="仿宋_GB2312" w:hAnsi="仿宋_GB2312" w:eastAsia="仿宋_GB2312" w:cs="仿宋_GB2312"/>
          <w:b w:val="0"/>
          <w:bCs/>
          <w:sz w:val="32"/>
          <w:szCs w:val="32"/>
          <w:lang w:val="en-US" w:eastAsia="zh-CN"/>
        </w:rPr>
        <w:t>0</w:t>
      </w:r>
      <w:r>
        <w:rPr>
          <w:rFonts w:hint="eastAsia" w:ascii="仿宋_GB2312" w:hAnsi="仿宋_GB2312" w:eastAsia="仿宋_GB2312" w:cs="仿宋_GB2312"/>
          <w:b w:val="0"/>
          <w:bCs/>
          <w:sz w:val="32"/>
          <w:szCs w:val="32"/>
        </w:rPr>
        <w:t>辆。截至</w:t>
      </w:r>
      <w:r>
        <w:rPr>
          <w:rFonts w:hint="eastAsia" w:ascii="仿宋_GB2312" w:hAnsi="仿宋_GB2312" w:eastAsia="仿宋_GB2312" w:cs="仿宋_GB2312"/>
          <w:b w:val="0"/>
          <w:bCs/>
          <w:sz w:val="32"/>
          <w:szCs w:val="32"/>
          <w:lang w:eastAsia="zh-CN"/>
        </w:rPr>
        <w:t>2025</w:t>
      </w:r>
      <w:r>
        <w:rPr>
          <w:rFonts w:hint="eastAsia" w:ascii="仿宋_GB2312" w:hAnsi="仿宋_GB2312" w:eastAsia="仿宋_GB2312" w:cs="仿宋_GB2312"/>
          <w:b w:val="0"/>
          <w:bCs/>
          <w:sz w:val="32"/>
          <w:szCs w:val="32"/>
        </w:rPr>
        <w:t>年12月31日，单位共有公务用车</w:t>
      </w:r>
      <w:r>
        <w:rPr>
          <w:rFonts w:hint="eastAsia" w:ascii="仿宋_GB2312" w:hAnsi="仿宋_GB2312" w:eastAsia="仿宋_GB2312" w:cs="仿宋_GB2312"/>
          <w:b w:val="0"/>
          <w:bCs/>
          <w:sz w:val="32"/>
          <w:szCs w:val="32"/>
          <w:lang w:val="en-US" w:eastAsia="zh-CN"/>
        </w:rPr>
        <w:t>8</w:t>
      </w:r>
      <w:r>
        <w:rPr>
          <w:rFonts w:hint="eastAsia" w:ascii="仿宋_GB2312" w:hAnsi="仿宋_GB2312" w:eastAsia="仿宋_GB2312" w:cs="仿宋_GB2312"/>
          <w:b w:val="0"/>
          <w:bCs/>
          <w:sz w:val="32"/>
          <w:szCs w:val="32"/>
        </w:rPr>
        <w:t>辆，其中：轿车</w:t>
      </w:r>
      <w:r>
        <w:rPr>
          <w:rFonts w:hint="eastAsia" w:ascii="仿宋_GB2312" w:hAnsi="仿宋_GB2312" w:eastAsia="仿宋_GB2312" w:cs="仿宋_GB2312"/>
          <w:b w:val="0"/>
          <w:bCs/>
          <w:sz w:val="32"/>
          <w:szCs w:val="32"/>
          <w:lang w:val="en-US" w:eastAsia="zh-CN"/>
        </w:rPr>
        <w:t>0</w:t>
      </w:r>
      <w:r>
        <w:rPr>
          <w:rFonts w:hint="eastAsia" w:ascii="仿宋_GB2312" w:hAnsi="仿宋_GB2312" w:eastAsia="仿宋_GB2312" w:cs="仿宋_GB2312"/>
          <w:b w:val="0"/>
          <w:bCs/>
          <w:sz w:val="32"/>
          <w:szCs w:val="32"/>
        </w:rPr>
        <w:t>辆、越野车</w:t>
      </w:r>
      <w:r>
        <w:rPr>
          <w:rFonts w:hint="eastAsia" w:ascii="仿宋_GB2312" w:hAnsi="仿宋_GB2312" w:eastAsia="仿宋_GB2312" w:cs="仿宋_GB2312"/>
          <w:b w:val="0"/>
          <w:bCs/>
          <w:sz w:val="32"/>
          <w:szCs w:val="32"/>
          <w:lang w:val="en-US" w:eastAsia="zh-CN"/>
        </w:rPr>
        <w:t>7</w:t>
      </w:r>
      <w:r>
        <w:rPr>
          <w:rFonts w:hint="eastAsia" w:ascii="仿宋_GB2312" w:hAnsi="仿宋_GB2312" w:eastAsia="仿宋_GB2312" w:cs="仿宋_GB2312"/>
          <w:b w:val="0"/>
          <w:bCs/>
          <w:sz w:val="32"/>
          <w:szCs w:val="32"/>
        </w:rPr>
        <w:t>辆、载客汽车</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rPr>
        <w:t>辆。</w:t>
      </w:r>
    </w:p>
    <w:p w14:paraId="7B2CBADE">
      <w:pPr>
        <w:spacing w:line="600" w:lineRule="exact"/>
        <w:ind w:firstLine="64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公务用车运行维护费支出</w:t>
      </w:r>
      <w:r>
        <w:rPr>
          <w:rFonts w:hint="eastAsia" w:ascii="仿宋_GB2312" w:hAnsi="仿宋_GB2312" w:eastAsia="仿宋_GB2312" w:cs="仿宋_GB2312"/>
          <w:b w:val="0"/>
          <w:bCs/>
          <w:sz w:val="32"/>
          <w:szCs w:val="32"/>
          <w:lang w:val="en-US" w:eastAsia="zh-CN"/>
        </w:rPr>
        <w:t>95.06</w:t>
      </w:r>
      <w:r>
        <w:rPr>
          <w:rFonts w:hint="eastAsia" w:ascii="仿宋_GB2312" w:hAnsi="仿宋_GB2312" w:eastAsia="仿宋_GB2312" w:cs="仿宋_GB2312"/>
          <w:b w:val="0"/>
          <w:bCs/>
          <w:sz w:val="32"/>
          <w:szCs w:val="32"/>
        </w:rPr>
        <w:t>万元。主要用于</w:t>
      </w:r>
      <w:r>
        <w:rPr>
          <w:rFonts w:hint="eastAsia" w:ascii="仿宋_GB2312" w:hAnsi="仿宋_GB2312" w:eastAsia="仿宋_GB2312" w:cs="仿宋_GB2312"/>
          <w:b w:val="0"/>
          <w:bCs/>
          <w:color w:val="000000"/>
          <w:sz w:val="32"/>
          <w:szCs w:val="32"/>
        </w:rPr>
        <w:t>用于天保二期、退耕还林项目、造林绿化检查、草原检查检测、野生动植物保护、林区改革、各项林草项目检查督导、防火督导检查</w:t>
      </w:r>
      <w:r>
        <w:rPr>
          <w:rFonts w:hint="eastAsia" w:ascii="仿宋_GB2312" w:hAnsi="仿宋_GB2312" w:eastAsia="仿宋_GB2312" w:cs="仿宋_GB2312"/>
          <w:b w:val="0"/>
          <w:bCs/>
          <w:sz w:val="32"/>
          <w:szCs w:val="32"/>
        </w:rPr>
        <w:t>等所需的公务用车燃料费、维修费、过路过桥费、保险费等支出。</w:t>
      </w:r>
    </w:p>
    <w:p w14:paraId="3CF2DB4F">
      <w:pPr>
        <w:spacing w:line="600" w:lineRule="exact"/>
        <w:ind w:firstLine="64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3.公务接待费支出0.</w:t>
      </w:r>
      <w:r>
        <w:rPr>
          <w:rFonts w:hint="eastAsia" w:ascii="仿宋_GB2312" w:hAnsi="仿宋_GB2312" w:eastAsia="仿宋_GB2312" w:cs="仿宋_GB2312"/>
          <w:b w:val="0"/>
          <w:bCs/>
          <w:sz w:val="32"/>
          <w:szCs w:val="32"/>
          <w:lang w:val="en-US" w:eastAsia="zh-CN"/>
        </w:rPr>
        <w:t>24</w:t>
      </w:r>
      <w:r>
        <w:rPr>
          <w:rFonts w:hint="eastAsia" w:ascii="仿宋_GB2312" w:hAnsi="仿宋_GB2312" w:eastAsia="仿宋_GB2312" w:cs="仿宋_GB2312"/>
          <w:b w:val="0"/>
          <w:bCs/>
          <w:sz w:val="32"/>
          <w:szCs w:val="32"/>
        </w:rPr>
        <w:t>万元，</w:t>
      </w:r>
      <w:r>
        <w:rPr>
          <w:rStyle w:val="17"/>
          <w:rFonts w:hint="eastAsia" w:ascii="仿宋_GB2312" w:hAnsi="仿宋_GB2312" w:eastAsia="仿宋_GB2312" w:cs="仿宋_GB2312"/>
          <w:b w:val="0"/>
          <w:bCs/>
          <w:sz w:val="32"/>
          <w:szCs w:val="32"/>
        </w:rPr>
        <w:t>完成预算</w:t>
      </w:r>
      <w:r>
        <w:rPr>
          <w:rStyle w:val="17"/>
          <w:rFonts w:hint="eastAsia" w:ascii="仿宋_GB2312" w:hAnsi="仿宋_GB2312" w:eastAsia="仿宋_GB2312" w:cs="仿宋_GB2312"/>
          <w:b w:val="0"/>
          <w:bCs/>
          <w:sz w:val="32"/>
          <w:szCs w:val="32"/>
          <w:lang w:val="en-US" w:eastAsia="zh-CN"/>
        </w:rPr>
        <w:t>100</w:t>
      </w:r>
      <w:r>
        <w:rPr>
          <w:rStyle w:val="17"/>
          <w:rFonts w:hint="eastAsia" w:ascii="仿宋_GB2312" w:hAnsi="仿宋_GB2312" w:eastAsia="仿宋_GB2312" w:cs="仿宋_GB2312"/>
          <w:b w:val="0"/>
          <w:bCs/>
          <w:sz w:val="32"/>
          <w:szCs w:val="32"/>
        </w:rPr>
        <w:t>%。</w:t>
      </w:r>
      <w:r>
        <w:rPr>
          <w:rFonts w:hint="eastAsia" w:ascii="仿宋_GB2312" w:hAnsi="仿宋_GB2312" w:eastAsia="仿宋_GB2312" w:cs="仿宋_GB2312"/>
          <w:b w:val="0"/>
          <w:bCs/>
          <w:sz w:val="32"/>
          <w:szCs w:val="32"/>
        </w:rPr>
        <w:t>公务接待费支出决算比</w:t>
      </w:r>
      <w:r>
        <w:rPr>
          <w:rFonts w:hint="eastAsia" w:ascii="仿宋_GB2312" w:hAnsi="仿宋_GB2312" w:eastAsia="仿宋_GB2312" w:cs="仿宋_GB2312"/>
          <w:b w:val="0"/>
          <w:bCs/>
          <w:sz w:val="32"/>
          <w:szCs w:val="32"/>
          <w:lang w:eastAsia="zh-CN"/>
        </w:rPr>
        <w:t>2024</w:t>
      </w:r>
      <w:r>
        <w:rPr>
          <w:rFonts w:hint="eastAsia" w:ascii="仿宋_GB2312" w:hAnsi="仿宋_GB2312" w:eastAsia="仿宋_GB2312" w:cs="仿宋_GB2312"/>
          <w:b w:val="0"/>
          <w:bCs/>
          <w:sz w:val="32"/>
          <w:szCs w:val="32"/>
        </w:rPr>
        <w:t>年度</w:t>
      </w:r>
      <w:r>
        <w:rPr>
          <w:rFonts w:hint="eastAsia" w:ascii="仿宋_GB2312" w:hAnsi="仿宋_GB2312" w:eastAsia="仿宋_GB2312" w:cs="仿宋_GB2312"/>
          <w:b w:val="0"/>
          <w:bCs/>
          <w:sz w:val="32"/>
          <w:szCs w:val="32"/>
          <w:lang w:val="en-US" w:eastAsia="zh-CN"/>
        </w:rPr>
        <w:t>减少0.17</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sz w:val="32"/>
          <w:szCs w:val="32"/>
          <w:lang w:val="en-US" w:eastAsia="zh-CN"/>
        </w:rPr>
        <w:t>减少42.2</w:t>
      </w:r>
      <w:r>
        <w:rPr>
          <w:rFonts w:hint="eastAsia" w:ascii="仿宋_GB2312" w:hAnsi="仿宋_GB2312" w:eastAsia="仿宋_GB2312" w:cs="仿宋_GB2312"/>
          <w:b w:val="0"/>
          <w:bCs/>
          <w:sz w:val="32"/>
          <w:szCs w:val="32"/>
        </w:rPr>
        <w:t>%。主要原因是2025年度本单位厉行节约，减少公务接待批次及人次。其中：</w:t>
      </w:r>
    </w:p>
    <w:p w14:paraId="1ABB7D75">
      <w:pPr>
        <w:spacing w:line="600" w:lineRule="exact"/>
        <w:ind w:firstLine="64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sz w:val="32"/>
          <w:szCs w:val="32"/>
        </w:rPr>
        <w:t>国内公务接待支出</w:t>
      </w:r>
      <w:r>
        <w:rPr>
          <w:rFonts w:hint="eastAsia" w:ascii="仿宋_GB2312" w:hAnsi="仿宋_GB2312" w:eastAsia="仿宋_GB2312" w:cs="仿宋_GB2312"/>
          <w:b w:val="0"/>
          <w:bCs/>
          <w:sz w:val="32"/>
          <w:szCs w:val="32"/>
          <w:lang w:val="en-US" w:eastAsia="zh-CN"/>
        </w:rPr>
        <w:t>0.24</w:t>
      </w:r>
      <w:r>
        <w:rPr>
          <w:rFonts w:hint="eastAsia" w:ascii="仿宋_GB2312" w:hAnsi="仿宋_GB2312" w:eastAsia="仿宋_GB2312" w:cs="仿宋_GB2312"/>
          <w:b w:val="0"/>
          <w:bCs/>
          <w:sz w:val="32"/>
          <w:szCs w:val="32"/>
        </w:rPr>
        <w:t>万元</w:t>
      </w:r>
      <w:r>
        <w:rPr>
          <w:rFonts w:hint="eastAsia" w:ascii="仿宋_GB2312" w:hAnsi="仿宋_GB2312" w:eastAsia="仿宋_GB2312" w:cs="仿宋_GB2312"/>
          <w:b w:val="0"/>
          <w:bCs/>
          <w:color w:val="auto"/>
          <w:sz w:val="32"/>
          <w:szCs w:val="32"/>
        </w:rPr>
        <w:t>，主要用于</w:t>
      </w:r>
      <w:r>
        <w:rPr>
          <w:rFonts w:hint="eastAsia" w:ascii="仿宋_GB2312" w:hAnsi="仿宋_GB2312" w:eastAsia="仿宋_GB2312" w:cs="仿宋_GB2312"/>
          <w:b w:val="0"/>
          <w:bCs/>
          <w:color w:val="auto"/>
          <w:sz w:val="32"/>
          <w:szCs w:val="32"/>
          <w:lang w:eastAsia="zh-CN"/>
        </w:rPr>
        <w:t>接待餐费</w:t>
      </w:r>
      <w:r>
        <w:rPr>
          <w:rFonts w:hint="eastAsia" w:ascii="仿宋_GB2312" w:hAnsi="仿宋_GB2312" w:eastAsia="仿宋_GB2312" w:cs="仿宋_GB2312"/>
          <w:b w:val="0"/>
          <w:bCs/>
          <w:color w:val="auto"/>
          <w:sz w:val="32"/>
          <w:szCs w:val="32"/>
        </w:rPr>
        <w:t>。</w:t>
      </w:r>
      <w:r>
        <w:rPr>
          <w:rFonts w:hint="eastAsia" w:ascii="仿宋_GB2312" w:hAnsi="仿宋_GB2312" w:eastAsia="仿宋_GB2312" w:cs="仿宋_GB2312"/>
          <w:b w:val="0"/>
          <w:bCs/>
          <w:sz w:val="32"/>
          <w:szCs w:val="32"/>
        </w:rPr>
        <w:t>国内公务接待</w:t>
      </w: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批次，</w:t>
      </w:r>
      <w:r>
        <w:rPr>
          <w:rFonts w:hint="eastAsia" w:ascii="仿宋_GB2312" w:hAnsi="仿宋_GB2312" w:eastAsia="仿宋_GB2312" w:cs="仿宋_GB2312"/>
          <w:b w:val="0"/>
          <w:bCs/>
          <w:sz w:val="32"/>
          <w:szCs w:val="32"/>
          <w:lang w:val="en-US" w:eastAsia="zh-CN"/>
        </w:rPr>
        <w:t>35</w:t>
      </w:r>
      <w:r>
        <w:rPr>
          <w:rFonts w:hint="eastAsia" w:ascii="仿宋_GB2312" w:hAnsi="仿宋_GB2312" w:eastAsia="仿宋_GB2312" w:cs="仿宋_GB2312"/>
          <w:b w:val="0"/>
          <w:bCs/>
          <w:sz w:val="32"/>
          <w:szCs w:val="32"/>
        </w:rPr>
        <w:t>人次（不包括陪同人员），共计支出</w:t>
      </w:r>
      <w:r>
        <w:rPr>
          <w:rFonts w:hint="eastAsia" w:ascii="仿宋_GB2312" w:hAnsi="仿宋_GB2312" w:eastAsia="仿宋_GB2312" w:cs="仿宋_GB2312"/>
          <w:b w:val="0"/>
          <w:bCs/>
          <w:sz w:val="32"/>
          <w:szCs w:val="32"/>
          <w:lang w:val="en-US" w:eastAsia="zh-CN"/>
        </w:rPr>
        <w:t>0.41</w:t>
      </w:r>
      <w:r>
        <w:rPr>
          <w:rFonts w:hint="eastAsia" w:ascii="仿宋_GB2312" w:hAnsi="仿宋_GB2312" w:eastAsia="仿宋_GB2312" w:cs="仿宋_GB2312"/>
          <w:b w:val="0"/>
          <w:bCs/>
          <w:sz w:val="32"/>
          <w:szCs w:val="32"/>
        </w:rPr>
        <w:t>万元，具体内容包括：</w:t>
      </w:r>
      <w:r>
        <w:rPr>
          <w:rFonts w:hint="eastAsia" w:ascii="仿宋_GB2312" w:hAnsi="仿宋_GB2312" w:eastAsia="仿宋_GB2312" w:cs="仿宋_GB2312"/>
          <w:b w:val="0"/>
          <w:bCs/>
          <w:sz w:val="32"/>
          <w:szCs w:val="32"/>
          <w:lang w:val="en-US" w:eastAsia="zh-CN"/>
        </w:rPr>
        <w:t>森林保险公务接待840元；凉山州湿地保护与候鸟监测调研接待828元；省林草局林木品种审定现场核查指导国家良种基地建设工作接待200元；省林草局行政审批督导接待500元</w:t>
      </w:r>
      <w:r>
        <w:rPr>
          <w:rFonts w:hint="eastAsia" w:ascii="仿宋_GB2312" w:hAnsi="仿宋_GB2312" w:eastAsia="仿宋_GB2312" w:cs="仿宋_GB2312"/>
          <w:b w:val="0"/>
          <w:bCs/>
          <w:sz w:val="32"/>
          <w:szCs w:val="32"/>
        </w:rPr>
        <w:t>。</w:t>
      </w:r>
    </w:p>
    <w:p w14:paraId="109511E3">
      <w:pPr>
        <w:spacing w:line="600" w:lineRule="exact"/>
        <w:ind w:firstLine="640" w:firstLineChars="200"/>
        <w:rPr>
          <w:rFonts w:ascii="仿宋_GB2312" w:eastAsia="仿宋_GB2312"/>
          <w:sz w:val="32"/>
          <w:szCs w:val="32"/>
        </w:rPr>
      </w:pPr>
      <w:r>
        <w:rPr>
          <w:rFonts w:hint="eastAsia" w:ascii="仿宋_GB2312" w:hAnsi="仿宋_GB2312" w:eastAsia="仿宋_GB2312" w:cs="仿宋_GB2312"/>
          <w:b w:val="0"/>
          <w:bCs/>
          <w:sz w:val="32"/>
          <w:szCs w:val="32"/>
        </w:rPr>
        <w:t>外事接待支出0万元。外事接待</w:t>
      </w:r>
      <w:r>
        <w:rPr>
          <w:rFonts w:hint="eastAsia" w:ascii="仿宋_GB2312" w:hAnsi="仿宋_GB2312" w:eastAsia="仿宋_GB2312" w:cs="仿宋_GB2312"/>
          <w:b w:val="0"/>
          <w:bCs/>
          <w:sz w:val="32"/>
          <w:szCs w:val="32"/>
          <w:lang w:val="en-US" w:eastAsia="zh-CN"/>
        </w:rPr>
        <w:t>0</w:t>
      </w:r>
      <w:r>
        <w:rPr>
          <w:rFonts w:hint="eastAsia" w:ascii="仿宋_GB2312" w:hAnsi="仿宋_GB2312" w:eastAsia="仿宋_GB2312" w:cs="仿宋_GB2312"/>
          <w:b w:val="0"/>
          <w:bCs/>
          <w:sz w:val="32"/>
          <w:szCs w:val="32"/>
        </w:rPr>
        <w:t>批次，</w:t>
      </w:r>
      <w:r>
        <w:rPr>
          <w:rFonts w:hint="eastAsia" w:ascii="仿宋_GB2312" w:hAnsi="仿宋_GB2312" w:eastAsia="仿宋_GB2312" w:cs="仿宋_GB2312"/>
          <w:b w:val="0"/>
          <w:bCs/>
          <w:sz w:val="32"/>
          <w:szCs w:val="32"/>
          <w:lang w:val="en-US" w:eastAsia="zh-CN"/>
        </w:rPr>
        <w:t>0</w:t>
      </w:r>
      <w:r>
        <w:rPr>
          <w:rFonts w:hint="eastAsia" w:ascii="仿宋_GB2312" w:hAnsi="仿宋_GB2312" w:eastAsia="仿宋_GB2312" w:cs="仿宋_GB2312"/>
          <w:b w:val="0"/>
          <w:bCs/>
          <w:sz w:val="32"/>
          <w:szCs w:val="32"/>
        </w:rPr>
        <w:t>人次（不包括陪同人员），共计支出</w:t>
      </w:r>
      <w:r>
        <w:rPr>
          <w:rFonts w:hint="eastAsia" w:ascii="仿宋_GB2312" w:hAnsi="仿宋_GB2312" w:eastAsia="仿宋_GB2312" w:cs="仿宋_GB2312"/>
          <w:b w:val="0"/>
          <w:bCs/>
          <w:sz w:val="32"/>
          <w:szCs w:val="32"/>
          <w:lang w:val="en-US" w:eastAsia="zh-CN"/>
        </w:rPr>
        <w:t>0</w:t>
      </w:r>
      <w:r>
        <w:rPr>
          <w:rFonts w:hint="eastAsia" w:ascii="仿宋_GB2312" w:hAnsi="仿宋_GB2312" w:eastAsia="仿宋_GB2312" w:cs="仿宋_GB2312"/>
          <w:b w:val="0"/>
          <w:bCs/>
          <w:sz w:val="32"/>
          <w:szCs w:val="32"/>
        </w:rPr>
        <w:t>万元。</w:t>
      </w:r>
    </w:p>
    <w:p w14:paraId="1331B290">
      <w:pPr>
        <w:spacing w:line="600" w:lineRule="exact"/>
        <w:ind w:firstLine="640"/>
        <w:outlineLvl w:val="1"/>
        <w:rPr>
          <w:rFonts w:hint="eastAsia" w:eastAsia="黑体"/>
          <w:sz w:val="32"/>
          <w:szCs w:val="32"/>
        </w:rPr>
      </w:pPr>
    </w:p>
    <w:p w14:paraId="1BE0DBFE">
      <w:pPr>
        <w:spacing w:line="600" w:lineRule="exact"/>
        <w:ind w:firstLine="640"/>
        <w:outlineLvl w:val="1"/>
        <w:rPr>
          <w:rStyle w:val="38"/>
          <w:rFonts w:ascii="Times New Roman" w:hAnsi="Times New Roman" w:eastAsia="黑体"/>
        </w:rPr>
      </w:pPr>
      <w:r>
        <w:rPr>
          <w:rFonts w:hint="eastAsia" w:eastAsia="黑体"/>
          <w:sz w:val="32"/>
          <w:szCs w:val="32"/>
        </w:rPr>
        <w:t>八、</w:t>
      </w:r>
      <w:r>
        <w:rPr>
          <w:rStyle w:val="38"/>
          <w:rFonts w:hint="eastAsia" w:ascii="Times New Roman" w:hAnsi="Times New Roman" w:eastAsia="黑体"/>
          <w:b w:val="0"/>
        </w:rPr>
        <w:t>政府性基金预算支出决算情况说明</w:t>
      </w:r>
      <w:bookmarkEnd w:id="31"/>
      <w:bookmarkEnd w:id="32"/>
    </w:p>
    <w:p w14:paraId="07195B14">
      <w:pPr>
        <w:spacing w:line="600" w:lineRule="exact"/>
        <w:ind w:firstLine="640"/>
        <w:rPr>
          <w:rStyle w:val="17"/>
          <w:rFonts w:hint="eastAsia" w:ascii="仿宋_GB2312" w:hAnsi="仿宋_GB2312" w:eastAsia="仿宋_GB2312" w:cs="仿宋_GB2312"/>
          <w:b w:val="0"/>
          <w:bCs w:val="0"/>
          <w:sz w:val="32"/>
          <w:szCs w:val="32"/>
        </w:rPr>
      </w:pPr>
      <w:bookmarkStart w:id="33" w:name="_Toc15377219"/>
      <w:bookmarkStart w:id="34" w:name="_Toc15396611"/>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w:t>
      </w:r>
      <w:r>
        <w:rPr>
          <w:rFonts w:hint="eastAsia" w:ascii="仿宋_GB2312" w:hAnsi="仿宋_GB2312" w:eastAsia="仿宋_GB2312" w:cs="仿宋_GB2312"/>
          <w:b w:val="0"/>
          <w:bCs w:val="0"/>
          <w:sz w:val="32"/>
          <w:szCs w:val="32"/>
        </w:rPr>
        <w:t>度政府性基金预算财政拨款支出</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rPr>
        <w:t>万元</w:t>
      </w:r>
      <w:r>
        <w:rPr>
          <w:rStyle w:val="17"/>
          <w:rFonts w:hint="eastAsia" w:ascii="仿宋_GB2312" w:hAnsi="仿宋_GB2312" w:eastAsia="仿宋_GB2312" w:cs="仿宋_GB2312"/>
          <w:b w:val="0"/>
          <w:bCs w:val="0"/>
          <w:sz w:val="32"/>
          <w:szCs w:val="32"/>
        </w:rPr>
        <w:t>。</w:t>
      </w:r>
    </w:p>
    <w:p w14:paraId="3A064397">
      <w:pPr>
        <w:spacing w:line="600" w:lineRule="exact"/>
        <w:outlineLvl w:val="1"/>
        <w:rPr>
          <w:rStyle w:val="38"/>
          <w:rFonts w:hint="eastAsia" w:ascii="Times New Roman" w:hAnsi="Times New Roman" w:eastAsia="黑体"/>
          <w:b w:val="0"/>
        </w:rPr>
      </w:pPr>
    </w:p>
    <w:p w14:paraId="0ED83E4C">
      <w:pPr>
        <w:spacing w:line="600" w:lineRule="exact"/>
        <w:ind w:left="630"/>
        <w:outlineLvl w:val="1"/>
        <w:rPr>
          <w:rStyle w:val="38"/>
          <w:rFonts w:ascii="Times New Roman" w:hAnsi="Times New Roman" w:eastAsia="黑体"/>
          <w:b w:val="0"/>
        </w:rPr>
      </w:pPr>
      <w:r>
        <w:rPr>
          <w:rStyle w:val="38"/>
          <w:rFonts w:hint="eastAsia" w:ascii="Times New Roman" w:hAnsi="Times New Roman" w:eastAsia="黑体"/>
          <w:b w:val="0"/>
        </w:rPr>
        <w:t>九、国有资本经营预算支出决算情况说明</w:t>
      </w:r>
      <w:bookmarkEnd w:id="33"/>
      <w:bookmarkEnd w:id="34"/>
    </w:p>
    <w:p w14:paraId="5CDFE6F0">
      <w:pPr>
        <w:spacing w:line="600" w:lineRule="exact"/>
        <w:ind w:firstLine="640"/>
        <w:rPr>
          <w:rFonts w:ascii="仿宋_GB2312" w:eastAsia="仿宋_GB2312"/>
          <w:sz w:val="32"/>
          <w:szCs w:val="32"/>
        </w:rPr>
      </w:pPr>
      <w:r>
        <w:rPr>
          <w:rFonts w:hint="eastAsia" w:ascii="仿宋_GB2312" w:eastAsia="仿宋_GB2312"/>
          <w:sz w:val="32"/>
          <w:szCs w:val="32"/>
          <w:lang w:eastAsia="zh-CN"/>
        </w:rPr>
        <w:t>2025</w:t>
      </w:r>
      <w:r>
        <w:rPr>
          <w:rFonts w:hint="eastAsia" w:ascii="仿宋_GB2312" w:eastAsia="仿宋_GB2312"/>
          <w:sz w:val="32"/>
          <w:szCs w:val="32"/>
        </w:rPr>
        <w:t>年度国有资本</w:t>
      </w:r>
      <w:r>
        <w:rPr>
          <w:rFonts w:hint="eastAsia" w:ascii="仿宋_GB2312" w:eastAsia="仿宋_GB2312"/>
          <w:b w:val="0"/>
          <w:bCs w:val="0"/>
          <w:sz w:val="32"/>
          <w:szCs w:val="32"/>
        </w:rPr>
        <w:t>经营预算财政拨款支出</w:t>
      </w:r>
      <w:r>
        <w:rPr>
          <w:rFonts w:ascii="仿宋" w:hAnsi="仿宋" w:eastAsia="仿宋"/>
          <w:b w:val="0"/>
          <w:bCs w:val="0"/>
          <w:sz w:val="32"/>
          <w:szCs w:val="32"/>
        </w:rPr>
        <w:t>0</w:t>
      </w:r>
      <w:r>
        <w:rPr>
          <w:rFonts w:hint="eastAsia" w:ascii="仿宋_GB2312" w:eastAsia="仿宋_GB2312"/>
          <w:b w:val="0"/>
          <w:bCs w:val="0"/>
          <w:sz w:val="32"/>
          <w:szCs w:val="32"/>
        </w:rPr>
        <w:t>万元。</w:t>
      </w:r>
    </w:p>
    <w:p w14:paraId="7979ECBE">
      <w:pPr>
        <w:spacing w:line="600" w:lineRule="exact"/>
        <w:ind w:firstLine="640"/>
        <w:rPr>
          <w:rFonts w:eastAsia="仿宋_GB2312" w:cs="仿宋_GB2312"/>
          <w:sz w:val="32"/>
          <w:szCs w:val="32"/>
        </w:rPr>
      </w:pPr>
    </w:p>
    <w:p w14:paraId="44D26356">
      <w:pPr>
        <w:spacing w:line="600" w:lineRule="exact"/>
        <w:ind w:left="630"/>
        <w:outlineLvl w:val="1"/>
        <w:rPr>
          <w:rStyle w:val="38"/>
          <w:rFonts w:ascii="Times New Roman" w:hAnsi="Times New Roman" w:eastAsia="黑体"/>
          <w:b w:val="0"/>
        </w:rPr>
      </w:pPr>
      <w:bookmarkStart w:id="35" w:name="_Toc15396612"/>
      <w:bookmarkStart w:id="36" w:name="_Toc15377221"/>
      <w:r>
        <w:rPr>
          <w:rStyle w:val="38"/>
          <w:rFonts w:hint="eastAsia" w:ascii="Times New Roman" w:hAnsi="Times New Roman" w:eastAsia="黑体"/>
          <w:b w:val="0"/>
        </w:rPr>
        <w:t>十、其他重要事项的情况说明</w:t>
      </w:r>
      <w:bookmarkEnd w:id="35"/>
      <w:bookmarkEnd w:id="36"/>
    </w:p>
    <w:p w14:paraId="10FDB040">
      <w:pPr>
        <w:spacing w:line="600" w:lineRule="exact"/>
        <w:ind w:firstLine="643" w:firstLineChars="200"/>
        <w:outlineLvl w:val="2"/>
        <w:rPr>
          <w:rFonts w:ascii="仿宋" w:hAnsi="仿宋" w:eastAsia="仿宋"/>
          <w:sz w:val="32"/>
          <w:szCs w:val="32"/>
        </w:rPr>
      </w:pPr>
      <w:bookmarkStart w:id="37" w:name="_Toc15377222"/>
      <w:r>
        <w:rPr>
          <w:rFonts w:hint="eastAsia" w:ascii="仿宋" w:hAnsi="仿宋" w:eastAsia="仿宋"/>
          <w:b/>
          <w:sz w:val="32"/>
          <w:szCs w:val="32"/>
        </w:rPr>
        <w:t>（一）机关运行经费支出情况</w:t>
      </w:r>
      <w:bookmarkEnd w:id="37"/>
    </w:p>
    <w:p w14:paraId="410B916D">
      <w:pPr>
        <w:spacing w:line="600" w:lineRule="exact"/>
        <w:ind w:firstLine="640" w:firstLineChars="200"/>
        <w:rPr>
          <w:rFonts w:hint="eastAsia" w:ascii="仿宋_GB2312" w:hAnsi="仿宋_GB2312" w:eastAsia="仿宋_GB2312" w:cs="仿宋_GB2312"/>
          <w:b w:val="0"/>
          <w:bCs w:val="0"/>
          <w:sz w:val="32"/>
          <w:szCs w:val="32"/>
          <w:lang w:eastAsia="zh-CN"/>
        </w:rPr>
      </w:pPr>
      <w:r>
        <w:rPr>
          <w:rFonts w:hint="eastAsia" w:ascii="仿宋_GB2312" w:hAnsi="仿宋_GB2312" w:eastAsia="仿宋_GB2312" w:cs="仿宋_GB2312"/>
          <w:b w:val="0"/>
          <w:bCs w:val="0"/>
          <w:sz w:val="32"/>
          <w:szCs w:val="32"/>
          <w:lang w:eastAsia="zh-CN"/>
        </w:rPr>
        <w:t>2025</w:t>
      </w:r>
      <w:r>
        <w:rPr>
          <w:rFonts w:hint="eastAsia" w:ascii="仿宋_GB2312" w:hAnsi="仿宋_GB2312" w:eastAsia="仿宋_GB2312" w:cs="仿宋_GB2312"/>
          <w:b w:val="0"/>
          <w:bCs w:val="0"/>
          <w:sz w:val="32"/>
          <w:szCs w:val="32"/>
        </w:rPr>
        <w:t>年度</w:t>
      </w:r>
      <w:r>
        <w:rPr>
          <w:rFonts w:hint="eastAsia" w:ascii="仿宋_GB2312" w:hAnsi="仿宋_GB2312" w:eastAsia="仿宋_GB2312" w:cs="仿宋_GB2312"/>
          <w:b w:val="0"/>
          <w:bCs w:val="0"/>
          <w:color w:val="auto"/>
          <w:sz w:val="32"/>
          <w:szCs w:val="32"/>
        </w:rPr>
        <w:t>，州林草局机关运行经费支出</w:t>
      </w:r>
      <w:r>
        <w:rPr>
          <w:rFonts w:hint="eastAsia" w:ascii="仿宋_GB2312" w:hAnsi="仿宋_GB2312" w:eastAsia="仿宋_GB2312" w:cs="仿宋_GB2312"/>
          <w:b w:val="0"/>
          <w:bCs w:val="0"/>
          <w:color w:val="auto"/>
          <w:sz w:val="32"/>
          <w:szCs w:val="32"/>
          <w:lang w:val="en-US" w:eastAsia="zh-CN"/>
        </w:rPr>
        <w:t>245.77</w:t>
      </w:r>
      <w:r>
        <w:rPr>
          <w:rFonts w:hint="eastAsia" w:ascii="仿宋_GB2312" w:hAnsi="仿宋_GB2312" w:eastAsia="仿宋_GB2312" w:cs="仿宋_GB2312"/>
          <w:b w:val="0"/>
          <w:bCs w:val="0"/>
          <w:color w:val="auto"/>
          <w:sz w:val="32"/>
          <w:szCs w:val="32"/>
        </w:rPr>
        <w:t>万元，比</w:t>
      </w:r>
      <w:r>
        <w:rPr>
          <w:rFonts w:hint="eastAsia" w:ascii="仿宋_GB2312" w:hAnsi="仿宋_GB2312" w:eastAsia="仿宋_GB2312" w:cs="仿宋_GB2312"/>
          <w:b w:val="0"/>
          <w:bCs w:val="0"/>
          <w:color w:val="auto"/>
          <w:sz w:val="32"/>
          <w:szCs w:val="32"/>
          <w:lang w:eastAsia="zh-CN"/>
        </w:rPr>
        <w:t>2024</w:t>
      </w:r>
      <w:r>
        <w:rPr>
          <w:rFonts w:hint="eastAsia" w:ascii="仿宋_GB2312" w:hAnsi="仿宋_GB2312" w:eastAsia="仿宋_GB2312" w:cs="仿宋_GB2312"/>
          <w:b w:val="0"/>
          <w:bCs w:val="0"/>
          <w:color w:val="auto"/>
          <w:sz w:val="32"/>
          <w:szCs w:val="32"/>
        </w:rPr>
        <w:t>年度</w:t>
      </w:r>
      <w:r>
        <w:rPr>
          <w:rFonts w:hint="eastAsia" w:ascii="仿宋_GB2312" w:hAnsi="仿宋_GB2312" w:eastAsia="仿宋_GB2312" w:cs="仿宋_GB2312"/>
          <w:b w:val="0"/>
          <w:bCs w:val="0"/>
          <w:color w:val="auto"/>
          <w:sz w:val="32"/>
          <w:szCs w:val="32"/>
          <w:lang w:val="en-US" w:eastAsia="zh-CN"/>
        </w:rPr>
        <w:t>增加95.59</w:t>
      </w:r>
      <w:r>
        <w:rPr>
          <w:rFonts w:hint="eastAsia" w:ascii="仿宋_GB2312" w:hAnsi="仿宋_GB2312" w:eastAsia="仿宋_GB2312" w:cs="仿宋_GB2312"/>
          <w:b w:val="0"/>
          <w:bCs w:val="0"/>
          <w:color w:val="auto"/>
          <w:sz w:val="32"/>
          <w:szCs w:val="32"/>
        </w:rPr>
        <w:t>万元，</w:t>
      </w:r>
      <w:r>
        <w:rPr>
          <w:rFonts w:hint="eastAsia" w:ascii="仿宋_GB2312" w:hAnsi="仿宋_GB2312" w:eastAsia="仿宋_GB2312" w:cs="仿宋_GB2312"/>
          <w:b w:val="0"/>
          <w:bCs w:val="0"/>
          <w:color w:val="auto"/>
          <w:sz w:val="32"/>
          <w:szCs w:val="32"/>
          <w:lang w:val="en-US" w:eastAsia="zh-CN"/>
        </w:rPr>
        <w:t>上升63.6</w:t>
      </w:r>
      <w:r>
        <w:rPr>
          <w:rFonts w:hint="eastAsia" w:ascii="仿宋_GB2312" w:hAnsi="仿宋_GB2312" w:eastAsia="仿宋_GB2312" w:cs="仿宋_GB2312"/>
          <w:b w:val="0"/>
          <w:bCs w:val="0"/>
          <w:color w:val="auto"/>
          <w:sz w:val="32"/>
          <w:szCs w:val="32"/>
        </w:rPr>
        <w:t>%。主要原因是</w:t>
      </w:r>
      <w:r>
        <w:rPr>
          <w:rFonts w:hint="eastAsia" w:ascii="仿宋_GB2312" w:hAnsi="仿宋_GB2312" w:eastAsia="仿宋_GB2312" w:cs="仿宋_GB2312"/>
          <w:b w:val="0"/>
          <w:bCs w:val="0"/>
          <w:color w:val="auto"/>
          <w:sz w:val="32"/>
          <w:szCs w:val="32"/>
          <w:lang w:val="en-US" w:eastAsia="zh-CN"/>
        </w:rPr>
        <w:t>2025</w:t>
      </w:r>
      <w:r>
        <w:rPr>
          <w:rFonts w:hint="eastAsia" w:ascii="仿宋_GB2312" w:hAnsi="仿宋_GB2312" w:eastAsia="仿宋_GB2312" w:cs="仿宋_GB2312"/>
          <w:b w:val="0"/>
          <w:bCs w:val="0"/>
          <w:color w:val="auto"/>
          <w:sz w:val="32"/>
          <w:szCs w:val="32"/>
          <w:lang w:eastAsia="zh-CN"/>
        </w:rPr>
        <w:t>年度</w:t>
      </w:r>
      <w:r>
        <w:rPr>
          <w:rFonts w:hint="eastAsia" w:ascii="仿宋_GB2312" w:hAnsi="仿宋_GB2312" w:eastAsia="仿宋_GB2312" w:cs="仿宋_GB2312"/>
          <w:color w:val="auto"/>
          <w:sz w:val="32"/>
          <w:szCs w:val="32"/>
        </w:rPr>
        <w:t>新进及晋升人员</w:t>
      </w:r>
      <w:r>
        <w:rPr>
          <w:rFonts w:hint="eastAsia" w:ascii="仿宋_GB2312" w:hAnsi="仿宋_GB2312" w:eastAsia="仿宋_GB2312" w:cs="仿宋_GB2312"/>
          <w:sz w:val="32"/>
          <w:szCs w:val="32"/>
          <w:lang w:val="en-US" w:eastAsia="zh-CN"/>
        </w:rPr>
        <w:t>增加，</w:t>
      </w:r>
      <w:r>
        <w:rPr>
          <w:rFonts w:hint="eastAsia" w:ascii="仿宋_GB2312" w:hAnsi="仿宋_GB2312" w:eastAsia="仿宋_GB2312" w:cs="仿宋_GB2312"/>
          <w:sz w:val="32"/>
          <w:szCs w:val="32"/>
        </w:rPr>
        <w:t>追加工资性收入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增加公用经费支</w:t>
      </w:r>
      <w:r>
        <w:rPr>
          <w:rFonts w:hint="eastAsia" w:ascii="仿宋_GB2312" w:hAnsi="仿宋_GB2312" w:eastAsia="仿宋_GB2312" w:cs="仿宋_GB2312"/>
          <w:color w:val="auto"/>
          <w:sz w:val="32"/>
          <w:szCs w:val="32"/>
          <w:lang w:val="en-US" w:eastAsia="zh-CN"/>
        </w:rPr>
        <w:t>出</w:t>
      </w:r>
      <w:r>
        <w:rPr>
          <w:rFonts w:hint="eastAsia" w:ascii="仿宋_GB2312" w:hAnsi="仿宋_GB2312" w:eastAsia="仿宋_GB2312" w:cs="仿宋_GB2312"/>
          <w:b w:val="0"/>
          <w:bCs w:val="0"/>
          <w:color w:val="auto"/>
          <w:sz w:val="32"/>
          <w:szCs w:val="32"/>
          <w:lang w:eastAsia="zh-CN"/>
        </w:rPr>
        <w:t>。</w:t>
      </w:r>
    </w:p>
    <w:p w14:paraId="559345B1">
      <w:pPr>
        <w:autoSpaceDE w:val="0"/>
        <w:autoSpaceDN w:val="0"/>
        <w:adjustRightInd w:val="0"/>
        <w:spacing w:line="600" w:lineRule="exact"/>
        <w:ind w:firstLine="643" w:firstLineChars="200"/>
        <w:jc w:val="left"/>
        <w:outlineLvl w:val="2"/>
        <w:rPr>
          <w:rFonts w:ascii="仿宋" w:hAnsi="仿宋" w:eastAsia="仿宋"/>
          <w:b/>
          <w:sz w:val="32"/>
          <w:szCs w:val="32"/>
        </w:rPr>
      </w:pPr>
      <w:bookmarkStart w:id="38" w:name="_Toc15377223"/>
      <w:r>
        <w:rPr>
          <w:rFonts w:hint="eastAsia" w:ascii="仿宋" w:hAnsi="仿宋" w:eastAsia="仿宋"/>
          <w:b/>
          <w:sz w:val="32"/>
          <w:szCs w:val="32"/>
        </w:rPr>
        <w:t>（二）政府采购支出情况</w:t>
      </w:r>
      <w:bookmarkEnd w:id="38"/>
    </w:p>
    <w:p w14:paraId="4F32F54E">
      <w:pPr>
        <w:autoSpaceDE w:val="0"/>
        <w:autoSpaceDN w:val="0"/>
        <w:adjustRightInd w:val="0"/>
        <w:spacing w:line="600" w:lineRule="exact"/>
        <w:ind w:firstLine="640" w:firstLineChars="200"/>
        <w:jc w:val="left"/>
        <w:outlineLvl w:val="2"/>
        <w:rPr>
          <w:rFonts w:hint="eastAsia" w:ascii="仿宋_GB2312" w:hAnsi="仿宋_GB2312" w:eastAsia="仿宋_GB2312" w:cs="仿宋_GB2312"/>
          <w:b w:val="0"/>
          <w:bCs w:val="0"/>
          <w:color w:val="0000FF"/>
          <w:sz w:val="32"/>
          <w:szCs w:val="32"/>
          <w:lang w:val="en-US" w:eastAsia="zh-CN"/>
        </w:rPr>
      </w:pPr>
      <w:bookmarkStart w:id="39" w:name="_Toc15377224"/>
      <w:r>
        <w:rPr>
          <w:rFonts w:hint="eastAsia" w:ascii="仿宋_GB2312" w:hAnsi="仿宋_GB2312" w:eastAsia="仿宋_GB2312" w:cs="仿宋_GB2312"/>
          <w:b w:val="0"/>
          <w:bCs w:val="0"/>
          <w:color w:val="auto"/>
          <w:sz w:val="32"/>
          <w:szCs w:val="32"/>
          <w:lang w:eastAsia="zh-CN"/>
        </w:rPr>
        <w:t>2025</w:t>
      </w:r>
      <w:r>
        <w:rPr>
          <w:rFonts w:hint="eastAsia" w:ascii="仿宋_GB2312" w:hAnsi="仿宋_GB2312" w:eastAsia="仿宋_GB2312" w:cs="仿宋_GB2312"/>
          <w:b w:val="0"/>
          <w:bCs w:val="0"/>
          <w:color w:val="auto"/>
          <w:sz w:val="32"/>
          <w:szCs w:val="32"/>
        </w:rPr>
        <w:t>年度，州林草部门政府采购支出总额</w:t>
      </w:r>
      <w:r>
        <w:rPr>
          <w:rFonts w:hint="eastAsia" w:ascii="仿宋_GB2312" w:hAnsi="仿宋_GB2312" w:eastAsia="仿宋_GB2312" w:cs="仿宋_GB2312"/>
          <w:b w:val="0"/>
          <w:bCs w:val="0"/>
          <w:color w:val="auto"/>
          <w:sz w:val="32"/>
          <w:szCs w:val="32"/>
          <w:lang w:val="en-US" w:eastAsia="zh-CN"/>
        </w:rPr>
        <w:t>2735.15</w:t>
      </w:r>
      <w:r>
        <w:rPr>
          <w:rFonts w:hint="eastAsia" w:ascii="仿宋_GB2312" w:hAnsi="仿宋_GB2312" w:eastAsia="仿宋_GB2312" w:cs="仿宋_GB2312"/>
          <w:b w:val="0"/>
          <w:bCs w:val="0"/>
          <w:color w:val="auto"/>
          <w:sz w:val="32"/>
          <w:szCs w:val="32"/>
        </w:rPr>
        <w:t>万元，其中：政府采购货物支出</w:t>
      </w:r>
      <w:r>
        <w:rPr>
          <w:rFonts w:hint="eastAsia" w:ascii="仿宋_GB2312" w:hAnsi="仿宋_GB2312" w:eastAsia="仿宋_GB2312" w:cs="仿宋_GB2312"/>
          <w:b w:val="0"/>
          <w:bCs w:val="0"/>
          <w:color w:val="auto"/>
          <w:sz w:val="32"/>
          <w:szCs w:val="32"/>
          <w:lang w:val="en-US" w:eastAsia="zh-CN"/>
        </w:rPr>
        <w:t>2421.14</w:t>
      </w:r>
      <w:r>
        <w:rPr>
          <w:rFonts w:hint="eastAsia" w:ascii="仿宋_GB2312" w:hAnsi="仿宋_GB2312" w:eastAsia="仿宋_GB2312" w:cs="仿宋_GB2312"/>
          <w:b w:val="0"/>
          <w:bCs w:val="0"/>
          <w:color w:val="auto"/>
          <w:sz w:val="32"/>
          <w:szCs w:val="32"/>
        </w:rPr>
        <w:t>万元、政府采购工程支出0万元、政府采购服务支出</w:t>
      </w:r>
      <w:r>
        <w:rPr>
          <w:rFonts w:hint="eastAsia" w:ascii="仿宋_GB2312" w:hAnsi="仿宋_GB2312" w:eastAsia="仿宋_GB2312" w:cs="仿宋_GB2312"/>
          <w:b w:val="0"/>
          <w:bCs w:val="0"/>
          <w:color w:val="auto"/>
          <w:sz w:val="32"/>
          <w:szCs w:val="32"/>
          <w:lang w:val="en-US" w:eastAsia="zh-CN"/>
        </w:rPr>
        <w:t>314.01</w:t>
      </w:r>
      <w:r>
        <w:rPr>
          <w:rFonts w:hint="eastAsia" w:ascii="仿宋_GB2312" w:hAnsi="仿宋_GB2312" w:eastAsia="仿宋_GB2312" w:cs="仿宋_GB2312"/>
          <w:b w:val="0"/>
          <w:bCs w:val="0"/>
          <w:color w:val="auto"/>
          <w:sz w:val="32"/>
          <w:szCs w:val="32"/>
        </w:rPr>
        <w:t>万元。主要用于</w:t>
      </w:r>
      <w:r>
        <w:rPr>
          <w:rFonts w:hint="eastAsia" w:ascii="仿宋_GB2312" w:hAnsi="仿宋_GB2312" w:eastAsia="仿宋_GB2312" w:cs="仿宋_GB2312"/>
          <w:b w:val="0"/>
          <w:bCs w:val="0"/>
          <w:color w:val="auto"/>
          <w:sz w:val="32"/>
          <w:szCs w:val="32"/>
          <w:lang w:val="en-US" w:eastAsia="zh-CN"/>
        </w:rPr>
        <w:t>林地草原核查、</w:t>
      </w:r>
      <w:r>
        <w:rPr>
          <w:rFonts w:hint="eastAsia" w:ascii="仿宋_GB2312" w:hAnsi="仿宋_GB2312" w:eastAsia="仿宋_GB2312" w:cs="仿宋_GB2312"/>
          <w:b w:val="0"/>
          <w:bCs w:val="0"/>
          <w:color w:val="auto"/>
          <w:sz w:val="32"/>
          <w:szCs w:val="32"/>
        </w:rPr>
        <w:t>防火项目、若尔盖国家公园项目的货物及服务采购。授予中小企业合同金额</w:t>
      </w:r>
      <w:r>
        <w:rPr>
          <w:rFonts w:hint="eastAsia" w:ascii="仿宋_GB2312" w:hAnsi="仿宋_GB2312" w:eastAsia="仿宋_GB2312" w:cs="仿宋_GB2312"/>
          <w:b w:val="0"/>
          <w:bCs w:val="0"/>
          <w:color w:val="auto"/>
          <w:sz w:val="32"/>
          <w:szCs w:val="32"/>
          <w:lang w:val="en-US" w:eastAsia="zh-CN"/>
        </w:rPr>
        <w:t>2735.15</w:t>
      </w:r>
      <w:r>
        <w:rPr>
          <w:rFonts w:hint="eastAsia" w:ascii="仿宋_GB2312" w:hAnsi="仿宋_GB2312" w:eastAsia="仿宋_GB2312" w:cs="仿宋_GB2312"/>
          <w:b w:val="0"/>
          <w:bCs w:val="0"/>
          <w:color w:val="auto"/>
          <w:sz w:val="32"/>
          <w:szCs w:val="32"/>
        </w:rPr>
        <w:t>万元，占政府采购支出总额的100%，其中：授予小微企业合同金额</w:t>
      </w:r>
      <w:r>
        <w:rPr>
          <w:rFonts w:hint="eastAsia" w:ascii="仿宋_GB2312" w:hAnsi="仿宋_GB2312" w:eastAsia="仿宋_GB2312" w:cs="仿宋_GB2312"/>
          <w:b w:val="0"/>
          <w:bCs w:val="0"/>
          <w:color w:val="auto"/>
          <w:sz w:val="32"/>
          <w:szCs w:val="32"/>
          <w:lang w:val="en-US" w:eastAsia="zh-CN"/>
        </w:rPr>
        <w:t>2735.15</w:t>
      </w:r>
      <w:r>
        <w:rPr>
          <w:rFonts w:hint="eastAsia" w:ascii="仿宋_GB2312" w:hAnsi="仿宋_GB2312" w:eastAsia="仿宋_GB2312" w:cs="仿宋_GB2312"/>
          <w:b w:val="0"/>
          <w:bCs w:val="0"/>
          <w:color w:val="auto"/>
          <w:sz w:val="32"/>
          <w:szCs w:val="32"/>
        </w:rPr>
        <w:t>万元，占政府采购支出总额的100%。</w:t>
      </w:r>
      <w:r>
        <w:rPr>
          <w:rFonts w:hint="eastAsia" w:ascii="仿宋_GB2312" w:hAnsi="仿宋_GB2312" w:eastAsia="仿宋_GB2312" w:cs="仿宋_GB2312"/>
          <w:b w:val="0"/>
          <w:bCs w:val="0"/>
          <w:color w:val="0000FF"/>
          <w:sz w:val="32"/>
          <w:szCs w:val="32"/>
          <w:lang w:val="en-US" w:eastAsia="zh-CN"/>
        </w:rPr>
        <w:t xml:space="preserve">    </w:t>
      </w:r>
    </w:p>
    <w:p w14:paraId="54228AFF">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（三）国有资产占有使用情况</w:t>
      </w:r>
      <w:bookmarkEnd w:id="39"/>
    </w:p>
    <w:p w14:paraId="4C74FD69">
      <w:pPr>
        <w:spacing w:line="600" w:lineRule="exact"/>
        <w:ind w:firstLine="640" w:firstLineChars="200"/>
        <w:rPr>
          <w:rFonts w:hint="eastAsia" w:ascii="仿宋_GB2312" w:hAnsi="仿宋_GB2312" w:eastAsia="仿宋_GB2312" w:cs="仿宋_GB2312"/>
          <w:b w:val="0"/>
          <w:bCs w:val="0"/>
          <w:sz w:val="32"/>
          <w:szCs w:val="32"/>
        </w:rPr>
      </w:pPr>
      <w:r>
        <w:rPr>
          <w:rFonts w:hint="eastAsia" w:ascii="仿宋_GB2312" w:hAnsi="仿宋_GB2312" w:eastAsia="仿宋_GB2312" w:cs="仿宋_GB2312"/>
          <w:b w:val="0"/>
          <w:bCs w:val="0"/>
          <w:sz w:val="32"/>
          <w:szCs w:val="32"/>
        </w:rPr>
        <w:t>截至</w:t>
      </w:r>
      <w:r>
        <w:rPr>
          <w:rFonts w:hint="eastAsia" w:ascii="仿宋_GB2312" w:hAnsi="仿宋_GB2312" w:eastAsia="仿宋_GB2312" w:cs="仿宋_GB2312"/>
          <w:b w:val="0"/>
          <w:bCs w:val="0"/>
          <w:sz w:val="32"/>
          <w:szCs w:val="32"/>
          <w:lang w:eastAsia="zh-CN"/>
        </w:rPr>
        <w:t>2025</w:t>
      </w:r>
      <w:r>
        <w:rPr>
          <w:rFonts w:hint="eastAsia" w:ascii="仿宋_GB2312" w:hAnsi="仿宋_GB2312" w:eastAsia="仿宋_GB2312" w:cs="仿宋_GB2312"/>
          <w:b w:val="0"/>
          <w:bCs w:val="0"/>
          <w:sz w:val="32"/>
          <w:szCs w:val="32"/>
        </w:rPr>
        <w:t>年12月31日，州林草局共有车辆8辆，其中：主要领导干部用车</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rPr>
        <w:t>辆、机要通信用车</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rPr>
        <w:t>辆、应急保障用车</w:t>
      </w:r>
      <w:r>
        <w:rPr>
          <w:rFonts w:hint="eastAsia" w:ascii="仿宋_GB2312" w:hAnsi="仿宋_GB2312" w:eastAsia="仿宋_GB2312" w:cs="仿宋_GB2312"/>
          <w:b w:val="0"/>
          <w:bCs w:val="0"/>
          <w:sz w:val="32"/>
          <w:szCs w:val="32"/>
          <w:lang w:val="en-US" w:eastAsia="zh-CN"/>
        </w:rPr>
        <w:t>0</w:t>
      </w:r>
      <w:r>
        <w:rPr>
          <w:rFonts w:hint="eastAsia" w:ascii="仿宋_GB2312" w:hAnsi="仿宋_GB2312" w:eastAsia="仿宋_GB2312" w:cs="仿宋_GB2312"/>
          <w:b w:val="0"/>
          <w:bCs w:val="0"/>
          <w:sz w:val="32"/>
          <w:szCs w:val="32"/>
        </w:rPr>
        <w:t>辆、其他用车</w:t>
      </w:r>
      <w:r>
        <w:rPr>
          <w:rFonts w:hint="eastAsia" w:ascii="仿宋_GB2312" w:hAnsi="仿宋_GB2312" w:eastAsia="仿宋_GB2312" w:cs="仿宋_GB2312"/>
          <w:b w:val="0"/>
          <w:bCs w:val="0"/>
          <w:sz w:val="32"/>
          <w:szCs w:val="32"/>
          <w:lang w:val="en-US" w:eastAsia="zh-CN"/>
        </w:rPr>
        <w:t>8</w:t>
      </w:r>
      <w:r>
        <w:rPr>
          <w:rFonts w:hint="eastAsia" w:ascii="仿宋_GB2312" w:hAnsi="仿宋_GB2312" w:eastAsia="仿宋_GB2312" w:cs="仿宋_GB2312"/>
          <w:b w:val="0"/>
          <w:bCs w:val="0"/>
          <w:sz w:val="32"/>
          <w:szCs w:val="32"/>
        </w:rPr>
        <w:t>辆，其他用车主要是用于天保二期、退耕还林项目、造林绿化检查、草原检查监测、野生动物保护、林区改革、各项林草项目检查督导。单价100万元以上设备（不含车辆）0台（套）。</w:t>
      </w:r>
    </w:p>
    <w:p w14:paraId="7F79ADED">
      <w:pPr>
        <w:autoSpaceDE w:val="0"/>
        <w:autoSpaceDN w:val="0"/>
        <w:adjustRightInd w:val="0"/>
        <w:spacing w:line="600" w:lineRule="exact"/>
        <w:ind w:firstLine="643" w:firstLineChars="200"/>
        <w:jc w:val="left"/>
        <w:outlineLvl w:val="2"/>
        <w:rPr>
          <w:rFonts w:ascii="仿宋" w:hAnsi="仿宋" w:eastAsia="仿宋"/>
          <w:b/>
          <w:sz w:val="32"/>
          <w:szCs w:val="32"/>
        </w:rPr>
      </w:pPr>
      <w:r>
        <w:rPr>
          <w:rFonts w:hint="eastAsia" w:ascii="仿宋" w:hAnsi="仿宋" w:eastAsia="仿宋"/>
          <w:b/>
          <w:sz w:val="32"/>
          <w:szCs w:val="32"/>
        </w:rPr>
        <w:t>（四）预算绩效管理情况</w:t>
      </w:r>
    </w:p>
    <w:p w14:paraId="10CA3946">
      <w:pPr>
        <w:spacing w:line="60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根据预算绩效管理要求，本</w:t>
      </w:r>
      <w:r>
        <w:rPr>
          <w:rFonts w:hint="eastAsia" w:ascii="仿宋_GB2312" w:hAnsi="仿宋_GB2312" w:eastAsia="仿宋_GB2312" w:cs="仿宋_GB2312"/>
          <w:b w:val="0"/>
          <w:bCs w:val="0"/>
          <w:color w:val="auto"/>
          <w:sz w:val="32"/>
          <w:szCs w:val="32"/>
          <w:lang w:eastAsia="zh-CN"/>
        </w:rPr>
        <w:t>部门</w:t>
      </w:r>
      <w:r>
        <w:rPr>
          <w:rFonts w:hint="eastAsia" w:ascii="仿宋_GB2312" w:hAnsi="仿宋_GB2312" w:eastAsia="仿宋_GB2312" w:cs="仿宋_GB2312"/>
          <w:b w:val="0"/>
          <w:bCs w:val="0"/>
          <w:color w:val="auto"/>
          <w:sz w:val="32"/>
          <w:szCs w:val="32"/>
        </w:rPr>
        <w:t>在</w:t>
      </w:r>
      <w:r>
        <w:rPr>
          <w:rFonts w:hint="eastAsia" w:ascii="仿宋_GB2312" w:hAnsi="仿宋_GB2312" w:eastAsia="仿宋_GB2312" w:cs="仿宋_GB2312"/>
          <w:b w:val="0"/>
          <w:bCs w:val="0"/>
          <w:color w:val="auto"/>
          <w:sz w:val="32"/>
          <w:szCs w:val="32"/>
          <w:lang w:eastAsia="zh-CN"/>
        </w:rPr>
        <w:t>2025</w:t>
      </w:r>
      <w:r>
        <w:rPr>
          <w:rFonts w:hint="eastAsia" w:ascii="仿宋_GB2312" w:hAnsi="仿宋_GB2312" w:eastAsia="仿宋_GB2312" w:cs="仿宋_GB2312"/>
          <w:b w:val="0"/>
          <w:bCs w:val="0"/>
          <w:color w:val="auto"/>
          <w:sz w:val="32"/>
          <w:szCs w:val="32"/>
        </w:rPr>
        <w:t>年度预算编制阶段，组织对</w:t>
      </w:r>
      <w:r>
        <w:rPr>
          <w:rFonts w:hint="eastAsia" w:ascii="仿宋_GB2312" w:hAnsi="仿宋_GB2312" w:eastAsia="仿宋_GB2312" w:cs="仿宋_GB2312"/>
          <w:b w:val="0"/>
          <w:bCs w:val="0"/>
          <w:color w:val="auto"/>
          <w:sz w:val="32"/>
          <w:szCs w:val="32"/>
          <w:lang w:val="en-US" w:eastAsia="zh-CN"/>
        </w:rPr>
        <w:t>阿坝州林地审核审批服务项目</w:t>
      </w:r>
      <w:r>
        <w:rPr>
          <w:rFonts w:hint="eastAsia" w:ascii="仿宋_GB2312" w:hAnsi="仿宋_GB2312" w:eastAsia="仿宋_GB2312" w:cs="仿宋_GB2312"/>
          <w:b w:val="0"/>
          <w:bCs w:val="0"/>
          <w:color w:val="auto"/>
          <w:sz w:val="32"/>
          <w:szCs w:val="32"/>
        </w:rPr>
        <w:t>等</w:t>
      </w:r>
      <w:r>
        <w:rPr>
          <w:rFonts w:hint="eastAsia" w:ascii="仿宋_GB2312" w:hAnsi="仿宋_GB2312" w:eastAsia="仿宋_GB2312" w:cs="仿宋_GB2312"/>
          <w:b w:val="0"/>
          <w:bCs w:val="0"/>
          <w:color w:val="auto"/>
          <w:sz w:val="32"/>
          <w:szCs w:val="32"/>
          <w:lang w:val="en-US" w:eastAsia="zh-CN"/>
        </w:rPr>
        <w:t>40</w:t>
      </w:r>
      <w:r>
        <w:rPr>
          <w:rFonts w:hint="eastAsia" w:ascii="仿宋_GB2312" w:hAnsi="仿宋_GB2312" w:eastAsia="仿宋_GB2312" w:cs="仿宋_GB2312"/>
          <w:b w:val="0"/>
          <w:bCs w:val="0"/>
          <w:color w:val="auto"/>
          <w:sz w:val="32"/>
          <w:szCs w:val="32"/>
        </w:rPr>
        <w:t>个项目开展了预算事前绩效评估，对</w:t>
      </w:r>
      <w:r>
        <w:rPr>
          <w:rFonts w:hint="eastAsia" w:ascii="仿宋_GB2312" w:hAnsi="仿宋_GB2312" w:eastAsia="仿宋_GB2312" w:cs="仿宋_GB2312"/>
          <w:b w:val="0"/>
          <w:bCs w:val="0"/>
          <w:color w:val="auto"/>
          <w:sz w:val="32"/>
          <w:szCs w:val="32"/>
          <w:lang w:val="en-US" w:eastAsia="zh-CN"/>
        </w:rPr>
        <w:t>40</w:t>
      </w:r>
      <w:r>
        <w:rPr>
          <w:rFonts w:hint="eastAsia" w:ascii="仿宋_GB2312" w:hAnsi="仿宋_GB2312" w:eastAsia="仿宋_GB2312" w:cs="仿宋_GB2312"/>
          <w:b w:val="0"/>
          <w:bCs w:val="0"/>
          <w:color w:val="auto"/>
          <w:sz w:val="32"/>
          <w:szCs w:val="32"/>
        </w:rPr>
        <w:t>个项目编制了绩效目标，预算执行过程中，选取</w:t>
      </w:r>
      <w:r>
        <w:rPr>
          <w:rFonts w:hint="eastAsia" w:ascii="仿宋_GB2312" w:hAnsi="仿宋_GB2312" w:eastAsia="仿宋_GB2312" w:cs="仿宋_GB2312"/>
          <w:b w:val="0"/>
          <w:bCs w:val="0"/>
          <w:color w:val="auto"/>
          <w:sz w:val="32"/>
          <w:szCs w:val="32"/>
          <w:lang w:val="en-US" w:eastAsia="zh-CN"/>
        </w:rPr>
        <w:t>40</w:t>
      </w:r>
      <w:r>
        <w:rPr>
          <w:rFonts w:hint="eastAsia" w:ascii="仿宋_GB2312" w:hAnsi="仿宋_GB2312" w:eastAsia="仿宋_GB2312" w:cs="仿宋_GB2312"/>
          <w:b w:val="0"/>
          <w:bCs w:val="0"/>
          <w:color w:val="auto"/>
          <w:sz w:val="32"/>
          <w:szCs w:val="32"/>
        </w:rPr>
        <w:t>个项目开展绩效监控，组织对</w:t>
      </w:r>
      <w:r>
        <w:rPr>
          <w:rFonts w:hint="eastAsia" w:ascii="仿宋_GB2312" w:hAnsi="仿宋_GB2312" w:eastAsia="仿宋_GB2312" w:cs="仿宋_GB2312"/>
          <w:b w:val="0"/>
          <w:bCs w:val="0"/>
          <w:color w:val="auto"/>
          <w:sz w:val="32"/>
          <w:szCs w:val="32"/>
          <w:lang w:val="en-US" w:eastAsia="zh-CN"/>
        </w:rPr>
        <w:t>40</w:t>
      </w:r>
      <w:r>
        <w:rPr>
          <w:rFonts w:hint="eastAsia" w:ascii="仿宋_GB2312" w:hAnsi="仿宋_GB2312" w:eastAsia="仿宋_GB2312" w:cs="仿宋_GB2312"/>
          <w:b w:val="0"/>
          <w:bCs w:val="0"/>
          <w:color w:val="auto"/>
          <w:sz w:val="32"/>
          <w:szCs w:val="32"/>
        </w:rPr>
        <w:t>个项目开展绩效自评，绩效自评表详见第四部分附件。</w:t>
      </w:r>
    </w:p>
    <w:p w14:paraId="366CEED0">
      <w:pPr>
        <w:spacing w:line="600" w:lineRule="exact"/>
        <w:ind w:firstLine="640"/>
        <w:rPr>
          <w:rFonts w:eastAsia="仿宋_GB2312" w:cs="仿宋_GB2312"/>
          <w:color w:val="0000FF"/>
          <w:sz w:val="32"/>
          <w:szCs w:val="32"/>
        </w:rPr>
      </w:pPr>
    </w:p>
    <w:p w14:paraId="08A4C80A">
      <w:pPr>
        <w:pStyle w:val="5"/>
        <w:rPr>
          <w:rFonts w:eastAsia="仿宋_GB2312" w:cs="仿宋_GB2312"/>
          <w:sz w:val="32"/>
          <w:szCs w:val="32"/>
        </w:rPr>
      </w:pPr>
    </w:p>
    <w:p w14:paraId="3D78E02F">
      <w:pPr>
        <w:pStyle w:val="5"/>
        <w:rPr>
          <w:rFonts w:eastAsia="仿宋_GB2312" w:cs="仿宋_GB2312"/>
          <w:sz w:val="32"/>
          <w:szCs w:val="32"/>
        </w:rPr>
      </w:pPr>
    </w:p>
    <w:p w14:paraId="7A39C562">
      <w:pPr>
        <w:pStyle w:val="5"/>
        <w:rPr>
          <w:rFonts w:eastAsia="仿宋_GB2312" w:cs="仿宋_GB2312"/>
          <w:sz w:val="32"/>
          <w:szCs w:val="32"/>
        </w:rPr>
      </w:pPr>
    </w:p>
    <w:p w14:paraId="5FF8B577">
      <w:pPr>
        <w:pStyle w:val="5"/>
        <w:rPr>
          <w:rFonts w:eastAsia="仿宋_GB2312" w:cs="仿宋_GB2312"/>
          <w:sz w:val="32"/>
          <w:szCs w:val="32"/>
        </w:rPr>
      </w:pPr>
    </w:p>
    <w:p w14:paraId="28538C8A">
      <w:pPr>
        <w:pStyle w:val="5"/>
        <w:rPr>
          <w:rFonts w:eastAsia="仿宋_GB2312" w:cs="仿宋_GB2312"/>
          <w:sz w:val="32"/>
          <w:szCs w:val="32"/>
        </w:rPr>
      </w:pPr>
    </w:p>
    <w:p w14:paraId="01AAC9A9">
      <w:pPr>
        <w:spacing w:line="600" w:lineRule="exact"/>
        <w:jc w:val="both"/>
        <w:outlineLvl w:val="0"/>
        <w:rPr>
          <w:rFonts w:hint="eastAsia" w:eastAsia="黑体"/>
          <w:sz w:val="44"/>
          <w:szCs w:val="44"/>
        </w:rPr>
      </w:pPr>
      <w:bookmarkStart w:id="40" w:name="_Toc15396613"/>
      <w:bookmarkStart w:id="41" w:name="_Toc15377225"/>
    </w:p>
    <w:p w14:paraId="6A4A2F07">
      <w:pPr>
        <w:spacing w:line="600" w:lineRule="exact"/>
        <w:jc w:val="center"/>
        <w:outlineLvl w:val="0"/>
        <w:rPr>
          <w:rFonts w:hint="eastAsia" w:eastAsia="黑体"/>
          <w:sz w:val="44"/>
          <w:szCs w:val="44"/>
        </w:rPr>
      </w:pPr>
    </w:p>
    <w:p w14:paraId="002E436C">
      <w:pPr>
        <w:spacing w:line="600" w:lineRule="exact"/>
        <w:jc w:val="center"/>
        <w:outlineLvl w:val="0"/>
        <w:rPr>
          <w:rFonts w:eastAsia="黑体"/>
          <w:sz w:val="44"/>
          <w:szCs w:val="44"/>
        </w:rPr>
      </w:pPr>
      <w:r>
        <w:rPr>
          <w:rFonts w:hint="eastAsia" w:eastAsia="黑体"/>
          <w:sz w:val="44"/>
          <w:szCs w:val="44"/>
        </w:rPr>
        <w:t>第三部分  名词解释</w:t>
      </w:r>
      <w:bookmarkEnd w:id="40"/>
      <w:bookmarkEnd w:id="41"/>
    </w:p>
    <w:p w14:paraId="61DCA934">
      <w:pPr>
        <w:spacing w:line="600" w:lineRule="exact"/>
        <w:jc w:val="left"/>
        <w:rPr>
          <w:b/>
          <w:sz w:val="44"/>
          <w:szCs w:val="44"/>
        </w:rPr>
      </w:pPr>
    </w:p>
    <w:p w14:paraId="790B0DFB">
      <w:pPr>
        <w:pStyle w:val="26"/>
        <w:spacing w:line="560" w:lineRule="exact"/>
        <w:ind w:firstLine="640" w:firstLineChars="200"/>
        <w:rPr>
          <w:rFonts w:ascii="仿宋_GB2312" w:eastAsia="仿宋_GB2312"/>
          <w:color w:val="auto"/>
          <w:sz w:val="32"/>
          <w:szCs w:val="32"/>
        </w:rPr>
      </w:pPr>
      <w:bookmarkStart w:id="42" w:name="_Toc15396614"/>
      <w:bookmarkStart w:id="43" w:name="_Toc15377226"/>
      <w:r>
        <w:rPr>
          <w:rFonts w:ascii="仿宋_GB2312" w:eastAsia="仿宋_GB2312"/>
          <w:color w:val="auto"/>
          <w:sz w:val="32"/>
          <w:szCs w:val="32"/>
        </w:rPr>
        <w:t>1.</w:t>
      </w:r>
      <w:r>
        <w:rPr>
          <w:rFonts w:hint="eastAsia" w:ascii="仿宋_GB2312" w:eastAsia="仿宋_GB2312"/>
          <w:color w:val="auto"/>
          <w:sz w:val="32"/>
          <w:szCs w:val="32"/>
        </w:rPr>
        <w:t>财政拨款收入：指单位从同级财政部门取得的财政预算资金。</w:t>
      </w:r>
    </w:p>
    <w:p w14:paraId="69AD0093">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2.</w:t>
      </w:r>
      <w:r>
        <w:rPr>
          <w:rFonts w:hint="eastAsia" w:ascii="仿宋_GB2312" w:eastAsia="仿宋_GB2312"/>
          <w:color w:val="auto"/>
          <w:sz w:val="32"/>
          <w:szCs w:val="32"/>
        </w:rPr>
        <w:t>事业收入：指事业单位开展专业业务活动及辅助活动取得的收入。</w:t>
      </w:r>
    </w:p>
    <w:p w14:paraId="349245A6">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w:t>
      </w:r>
      <w:r>
        <w:rPr>
          <w:rFonts w:hint="eastAsia" w:ascii="仿宋_GB2312" w:eastAsia="仿宋_GB2312"/>
          <w:color w:val="auto"/>
          <w:sz w:val="32"/>
          <w:szCs w:val="32"/>
        </w:rPr>
        <w:t>经营收入：指事业单位在专业业务活动及其辅助活动之外开展非独立核算经营活动取得的收入。</w:t>
      </w:r>
    </w:p>
    <w:p w14:paraId="3A34436D">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4.</w:t>
      </w:r>
      <w:r>
        <w:rPr>
          <w:rFonts w:hint="eastAsia" w:ascii="仿宋_GB2312" w:eastAsia="仿宋_GB2312"/>
          <w:color w:val="auto"/>
          <w:sz w:val="32"/>
          <w:szCs w:val="32"/>
        </w:rPr>
        <w:t>其他收入：指单位取得的除上述收入以外的各项收入。</w:t>
      </w:r>
    </w:p>
    <w:p w14:paraId="4E3713AE">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5.</w:t>
      </w:r>
      <w:r>
        <w:rPr>
          <w:rFonts w:hint="eastAsia" w:ascii="仿宋_GB2312" w:eastAsia="仿宋_GB2312"/>
          <w:color w:val="auto"/>
          <w:sz w:val="32"/>
          <w:szCs w:val="32"/>
        </w:rPr>
        <w:t>使用非财政拨款结余：指事业单位使用以前年度积累的非财政拨款结余弥补当年收支差额的金额。</w:t>
      </w:r>
      <w:r>
        <w:rPr>
          <w:rFonts w:ascii="仿宋_GB2312" w:eastAsia="仿宋_GB2312"/>
          <w:color w:val="auto"/>
          <w:sz w:val="32"/>
          <w:szCs w:val="32"/>
        </w:rPr>
        <w:t xml:space="preserve"> </w:t>
      </w:r>
    </w:p>
    <w:p w14:paraId="047698B0">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6.</w:t>
      </w:r>
      <w:r>
        <w:rPr>
          <w:rFonts w:hint="eastAsia" w:ascii="仿宋_GB2312" w:eastAsia="仿宋_GB2312"/>
          <w:color w:val="auto"/>
          <w:sz w:val="32"/>
          <w:szCs w:val="32"/>
        </w:rPr>
        <w:t>年初结转和结余：指以前年度尚未完成、结转到本年按有关规定继续使用的资金。</w:t>
      </w:r>
      <w:r>
        <w:rPr>
          <w:rFonts w:ascii="仿宋_GB2312" w:eastAsia="仿宋_GB2312"/>
          <w:color w:val="auto"/>
          <w:sz w:val="32"/>
          <w:szCs w:val="32"/>
        </w:rPr>
        <w:t xml:space="preserve"> </w:t>
      </w:r>
    </w:p>
    <w:p w14:paraId="55B7DE37">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7.</w:t>
      </w:r>
      <w:r>
        <w:rPr>
          <w:rFonts w:hint="eastAsia" w:ascii="仿宋_GB2312" w:eastAsia="仿宋_GB2312"/>
          <w:color w:val="auto"/>
          <w:sz w:val="32"/>
          <w:szCs w:val="32"/>
        </w:rPr>
        <w:t>结余分配：指事业单位按照会计制度规定缴纳的所得税、提取的专用结余以及转入非财政拨款结余的金额等。</w:t>
      </w:r>
    </w:p>
    <w:p w14:paraId="3F28EC5F">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8</w:t>
      </w:r>
      <w:r>
        <w:rPr>
          <w:rFonts w:hint="eastAsia" w:ascii="仿宋_GB2312" w:eastAsia="仿宋_GB2312"/>
          <w:color w:val="auto"/>
          <w:sz w:val="32"/>
          <w:szCs w:val="32"/>
        </w:rPr>
        <w:t>、年末结转和结余：指单位按有关规定结转到下年或以后年度继续使用的资金。</w:t>
      </w:r>
    </w:p>
    <w:p w14:paraId="0BEBFA5D">
      <w:pPr>
        <w:spacing w:line="600" w:lineRule="exact"/>
        <w:ind w:firstLine="640" w:firstLineChars="200"/>
        <w:rPr>
          <w:rFonts w:ascii="仿宋" w:eastAsia="仿宋"/>
          <w:sz w:val="32"/>
          <w:szCs w:val="32"/>
        </w:rPr>
      </w:pPr>
      <w:r>
        <w:rPr>
          <w:rFonts w:ascii="仿宋_GB2312" w:eastAsia="仿宋_GB2312"/>
          <w:sz w:val="32"/>
          <w:szCs w:val="32"/>
        </w:rPr>
        <w:t>9.</w:t>
      </w:r>
      <w:r>
        <w:rPr>
          <w:rStyle w:val="17"/>
          <w:rFonts w:hint="eastAsia" w:ascii="仿宋_GB2312" w:eastAsia="仿宋_GB2312"/>
          <w:b w:val="0"/>
          <w:sz w:val="32"/>
          <w:szCs w:val="32"/>
        </w:rPr>
        <w:t>一般公共服务支出（201类）政府办公厅（室）及相关机构事务（03款）一般行政管理事务（02项）:指反映行政单位（包括实行公务员管理的事业单位）未单独设置项级科目的其他项目支出。</w:t>
      </w:r>
    </w:p>
    <w:p w14:paraId="0D1B0079">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10.教育支出（205类）其他教育支出（99款）其他教育支出（99项）: 指反映除农村中小学校舍建设、农村中小学教学设施、城市中小学校舍建设、城市中小学教学设施、中等职业学校教学设施项目以外其他用于教育方面的支出。</w:t>
      </w:r>
    </w:p>
    <w:p w14:paraId="305214A6">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11.科学技术支出（206类）技术研究与开发（04款）其他技术研究与开发支出（99项）:指反映除机构运行、科技成果转化与扩散、共性技术研究与开发项目以外的其他用于技术研究与开发方面的支出。</w:t>
      </w:r>
    </w:p>
    <w:p w14:paraId="096EA242">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kern w:val="2"/>
          <w:sz w:val="32"/>
          <w:szCs w:val="32"/>
        </w:rPr>
        <w:t>12.社会保障和就业支出</w:t>
      </w:r>
      <w:r>
        <w:rPr>
          <w:rStyle w:val="17"/>
          <w:rFonts w:hint="eastAsia" w:ascii="仿宋_GB2312" w:eastAsia="仿宋_GB2312"/>
          <w:b w:val="0"/>
          <w:sz w:val="32"/>
          <w:szCs w:val="32"/>
        </w:rPr>
        <w:t>（208类）行政事业单位养老支出（05款）机关事业单位基本养老保险缴费支出（05项）: 指反映机关事业单位实施养老保险制度有单位缴纳的基本养老保险费支出。</w:t>
      </w:r>
    </w:p>
    <w:p w14:paraId="732A0AF1">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13.社会保障和就业支出（208类）行政事业单位养老支出（05款）机关事业单位职业年金缴费支出（06项）: 指反映机关事业单位实施养老保险制度由单位实际缴纳的职业年金支出。</w:t>
      </w:r>
    </w:p>
    <w:p w14:paraId="47E3BD25">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14.社会保障和就业支出（208类）抚恤（08款）死亡抚恤（01项）: 指反映按规定用于烈士和牺牲、病故人员家属的一次性和定期抚恤金以及丧葬补助费。</w:t>
      </w:r>
    </w:p>
    <w:p w14:paraId="0D5CEC60">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15.卫生健康支出（210类）行政事业单位医疗（11款）行政单位医疗（01项）:指反映财政部门安排的行政单位（包括实行公务员管理的事业单位）基本医疗报销缴费经费，未参加医疗保险的行政单位的公费医疗经费，按国家规定享受离休人员、红军老战士待遇人员的医疗经费。</w:t>
      </w:r>
    </w:p>
    <w:p w14:paraId="59DD18E5">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16.卫生健康支出（210类）行政事业单位医疗（11款）公务员医疗补助（03项）:指反映财政部安排的公务员医疗补助经费。</w:t>
      </w:r>
    </w:p>
    <w:p w14:paraId="430A17BA">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17.节能环保支出（211类）其他节能环保支出（99款）其他节能环保支出（99项）:指其他用于节能环保方面的支出。</w:t>
      </w:r>
    </w:p>
    <w:p w14:paraId="31F24AA7">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18.农林水支出（213类）林业和草原（02款）行政运行（01项）:指反映行政单位（包括实行公务员管理的事业单位）用于农林水方面的基本支出。</w:t>
      </w:r>
    </w:p>
    <w:p w14:paraId="1E693E16">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19.农林水支出（213类）林业和草原（02款）一般行政管理事务（02项）:指反映行政单位（包括实行公务员管理的事业单位）未单独设置项级科目的其他项目支出。</w:t>
      </w:r>
    </w:p>
    <w:p w14:paraId="2781AED6">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20.农林水支出（213类）林业和草原（02款）森林资源培育（05项）:指反映育苗（种）、造林、抚育、退化林修复、义务植树以及生物质能源建设等方面的支出。</w:t>
      </w:r>
    </w:p>
    <w:p w14:paraId="30208051">
      <w:pPr>
        <w:spacing w:line="600" w:lineRule="exact"/>
        <w:ind w:firstLine="640" w:firstLineChars="200"/>
        <w:rPr>
          <w:rStyle w:val="17"/>
          <w:rFonts w:hint="eastAsia" w:ascii="仿宋_GB2312" w:eastAsia="仿宋_GB2312"/>
          <w:b w:val="0"/>
          <w:sz w:val="32"/>
          <w:szCs w:val="32"/>
        </w:rPr>
      </w:pPr>
      <w:r>
        <w:rPr>
          <w:rStyle w:val="17"/>
          <w:rFonts w:hint="eastAsia" w:ascii="仿宋_GB2312" w:eastAsia="仿宋_GB2312"/>
          <w:b w:val="0"/>
          <w:sz w:val="32"/>
          <w:szCs w:val="32"/>
        </w:rPr>
        <w:t>21.农林水支出（213类）林业和草原（02款）森林生态效益补偿（09项）:指反映用于公益林保护和管理等方面的支出。</w:t>
      </w:r>
    </w:p>
    <w:p w14:paraId="496B7BF2">
      <w:pPr>
        <w:pStyle w:val="5"/>
        <w:ind w:firstLine="640" w:firstLineChars="200"/>
        <w:rPr>
          <w:rFonts w:hint="eastAsia"/>
        </w:rPr>
      </w:pPr>
      <w:r>
        <w:rPr>
          <w:rStyle w:val="17"/>
          <w:rFonts w:hint="eastAsia"/>
          <w:b w:val="0"/>
          <w:sz w:val="32"/>
          <w:szCs w:val="32"/>
        </w:rPr>
        <w:t>22.农林水支出（213类）林业和草原（02款）动植物保护（11项）:指反映动植物资源生存环境调查、监测、保护管理、野外放（回）归、巡护、野生动物疫源疫病监测防控、濒危野生动植物拯救、繁育及进出口管理等方面的支出。</w:t>
      </w:r>
    </w:p>
    <w:p w14:paraId="30F45B98">
      <w:pPr>
        <w:pStyle w:val="5"/>
        <w:ind w:firstLine="640" w:firstLineChars="200"/>
        <w:rPr>
          <w:rFonts w:hint="eastAsia"/>
        </w:rPr>
      </w:pPr>
      <w:r>
        <w:rPr>
          <w:rStyle w:val="17"/>
          <w:rFonts w:hint="eastAsia"/>
          <w:b w:val="0"/>
          <w:sz w:val="32"/>
          <w:szCs w:val="32"/>
        </w:rPr>
        <w:t>23.农林水支出（213类）林业和草原（02款）防沙治沙（17项）:指反映荒漠化和沙化土地普查、监测、防治和管理等方面的支出。</w:t>
      </w:r>
    </w:p>
    <w:p w14:paraId="186653A0">
      <w:pPr>
        <w:pStyle w:val="5"/>
        <w:ind w:firstLine="640" w:firstLineChars="200"/>
        <w:rPr>
          <w:rFonts w:hint="eastAsia"/>
        </w:rPr>
      </w:pPr>
      <w:r>
        <w:rPr>
          <w:rStyle w:val="17"/>
          <w:rFonts w:hint="eastAsia"/>
          <w:b w:val="0"/>
          <w:sz w:val="32"/>
          <w:szCs w:val="32"/>
        </w:rPr>
        <w:t>24.农林水支出（213类）林业和草原（02款）林业草原防灾减灾（34项）:指反映用于病虫害等有害生物灾害、森林草原防火、野生动物疫病灾害等方面的支出。</w:t>
      </w:r>
    </w:p>
    <w:p w14:paraId="71E4E583">
      <w:pPr>
        <w:pStyle w:val="5"/>
        <w:ind w:firstLine="640" w:firstLineChars="200"/>
        <w:rPr>
          <w:rStyle w:val="17"/>
          <w:rFonts w:hint="eastAsia"/>
          <w:b w:val="0"/>
          <w:sz w:val="32"/>
          <w:szCs w:val="32"/>
        </w:rPr>
      </w:pPr>
      <w:r>
        <w:rPr>
          <w:rStyle w:val="17"/>
          <w:rFonts w:hint="eastAsia"/>
          <w:b w:val="0"/>
          <w:sz w:val="32"/>
          <w:szCs w:val="32"/>
        </w:rPr>
        <w:t>25.农林水支出（213类）林业和草原（02款）其他林业和草原支出（99项）:指除技术推广与转化、森林资源管理、森林生态效益补偿、自然保护区等管理、动植物保护、湿地保护、执法与监督、防沙治沙、对外合作与交流、产业化管理、信息管理、林区公共支出、贷款贴息、成品油价格改革对林业的补贴、林业草原防灾减灾、国家公园、草原管理、行业业务管理项目以外其他用于林业和草原方面的支出。</w:t>
      </w:r>
    </w:p>
    <w:p w14:paraId="12C2B4C6">
      <w:pPr>
        <w:pStyle w:val="5"/>
        <w:ind w:firstLine="640" w:firstLineChars="200"/>
        <w:rPr>
          <w:rFonts w:hint="eastAsia"/>
        </w:rPr>
      </w:pPr>
      <w:r>
        <w:rPr>
          <w:rStyle w:val="17"/>
          <w:rFonts w:hint="eastAsia"/>
          <w:b w:val="0"/>
          <w:sz w:val="32"/>
          <w:szCs w:val="32"/>
        </w:rPr>
        <w:t>26.农林水支出（213类）其他农林水支出（99款）其他农林水支出（99项）:指反映除化解债务支出以外其他用于农林水方面的支出。</w:t>
      </w:r>
    </w:p>
    <w:p w14:paraId="51610347">
      <w:pPr>
        <w:pStyle w:val="5"/>
        <w:ind w:firstLine="640" w:firstLineChars="200"/>
        <w:rPr>
          <w:rFonts w:hint="eastAsia"/>
        </w:rPr>
      </w:pPr>
      <w:r>
        <w:rPr>
          <w:rStyle w:val="17"/>
          <w:rFonts w:hint="eastAsia"/>
          <w:b w:val="0"/>
          <w:sz w:val="32"/>
          <w:szCs w:val="32"/>
        </w:rPr>
        <w:t>27.资源勘探工业信息等支出（215类）建筑业（03款）其他建筑业支出（99项）:指除建筑业行政运行、一般行政管理事务、机关服务项目以外其他用于建筑业方面的支出。</w:t>
      </w:r>
    </w:p>
    <w:p w14:paraId="7E9A47C9">
      <w:pPr>
        <w:pStyle w:val="5"/>
        <w:ind w:firstLine="640" w:firstLineChars="200"/>
        <w:rPr>
          <w:rFonts w:hint="eastAsia"/>
        </w:rPr>
      </w:pPr>
      <w:r>
        <w:rPr>
          <w:rStyle w:val="17"/>
          <w:rFonts w:hint="eastAsia"/>
          <w:b w:val="0"/>
          <w:sz w:val="32"/>
          <w:szCs w:val="32"/>
        </w:rPr>
        <w:t>28.住房保障支出（221类）住房改革支出（02款）住房公积金（01项）:指反映行政事业单位按人力资源和社会保障部、财政部规定的基本工资和津贴补贴以及规定比例为职工缴纳的住房公积金。</w:t>
      </w:r>
    </w:p>
    <w:p w14:paraId="465E3E8A">
      <w:pPr>
        <w:pStyle w:val="5"/>
        <w:ind w:firstLine="640" w:firstLineChars="200"/>
        <w:rPr>
          <w:rStyle w:val="17"/>
          <w:rFonts w:hint="eastAsia"/>
          <w:b w:val="0"/>
          <w:sz w:val="32"/>
          <w:szCs w:val="32"/>
        </w:rPr>
      </w:pPr>
      <w:r>
        <w:rPr>
          <w:rStyle w:val="17"/>
          <w:rFonts w:hint="eastAsia"/>
          <w:b w:val="0"/>
          <w:sz w:val="32"/>
          <w:szCs w:val="32"/>
        </w:rPr>
        <w:t>29.灾害防治及应急管理支出（224类）自然灾害救灾及恢复重建支出（07款）自然灾害灾后重建补助（04项）:指反映政府预算安排用于自然灾害恢复重建的补助支出。</w:t>
      </w:r>
    </w:p>
    <w:p w14:paraId="1D3C1358">
      <w:pPr>
        <w:pStyle w:val="5"/>
        <w:ind w:firstLine="640" w:firstLineChars="200"/>
        <w:rPr>
          <w:rFonts w:hint="eastAsia"/>
        </w:rPr>
      </w:pPr>
      <w:r>
        <w:rPr>
          <w:rStyle w:val="17"/>
          <w:rFonts w:hint="eastAsia"/>
          <w:b w:val="0"/>
          <w:sz w:val="32"/>
          <w:szCs w:val="32"/>
        </w:rPr>
        <w:t>30.灾害防治及应急管理支出（224类）其他灾害防治及应急管理支出（99款）其他灾害防治及应急管理支出（99项）:指除应急管理事务、消防事务、森林消防事务、煤矿安全、地震事务、自然灾害防治、自然灾害救灾及恢复重建支出以外其他用于灾害防治及应急管理的支出。</w:t>
      </w:r>
    </w:p>
    <w:p w14:paraId="7A8E02CE">
      <w:pPr>
        <w:ind w:left="0" w:firstLine="640" w:firstLineChars="200"/>
        <w:rPr>
          <w:rFonts w:ascii="仿宋_GB2312" w:eastAsia="仿宋_GB2312"/>
          <w:sz w:val="32"/>
          <w:szCs w:val="32"/>
        </w:rPr>
      </w:pPr>
      <w:r>
        <w:rPr>
          <w:rFonts w:ascii="仿宋_GB2312" w:eastAsia="仿宋_GB2312"/>
          <w:sz w:val="32"/>
          <w:szCs w:val="32"/>
        </w:rPr>
        <w:t>31.</w:t>
      </w:r>
      <w:r>
        <w:rPr>
          <w:rFonts w:hint="eastAsia" w:ascii="仿宋_GB2312" w:eastAsia="仿宋_GB2312"/>
          <w:sz w:val="32"/>
          <w:szCs w:val="32"/>
        </w:rPr>
        <w:t>基本支出：指为保障机构正常运转、完成日常工作任务而发生的人员支出和公用支出。</w:t>
      </w:r>
    </w:p>
    <w:p w14:paraId="3BAFCA4A">
      <w:pPr>
        <w:ind w:firstLine="640" w:firstLineChars="200"/>
        <w:rPr>
          <w:rFonts w:ascii="仿宋_GB2312" w:eastAsia="仿宋_GB2312"/>
          <w:sz w:val="32"/>
          <w:szCs w:val="32"/>
        </w:rPr>
      </w:pPr>
      <w:r>
        <w:rPr>
          <w:rFonts w:ascii="仿宋_GB2312" w:eastAsia="仿宋_GB2312"/>
          <w:sz w:val="32"/>
          <w:szCs w:val="32"/>
        </w:rPr>
        <w:t>32.</w:t>
      </w:r>
      <w:r>
        <w:rPr>
          <w:rFonts w:hint="eastAsia" w:ascii="仿宋_GB2312" w:eastAsia="仿宋_GB2312"/>
          <w:sz w:val="32"/>
          <w:szCs w:val="32"/>
        </w:rPr>
        <w:t>项目支出：指在基本支出之外为完成特定行政任务和事业发展目标所发生的支出。</w:t>
      </w:r>
      <w:r>
        <w:rPr>
          <w:rFonts w:ascii="仿宋_GB2312" w:eastAsia="仿宋_GB2312"/>
          <w:sz w:val="32"/>
          <w:szCs w:val="32"/>
        </w:rPr>
        <w:t xml:space="preserve"> </w:t>
      </w:r>
    </w:p>
    <w:p w14:paraId="6A0EC411">
      <w:pPr>
        <w:ind w:firstLine="640" w:firstLineChars="200"/>
        <w:rPr>
          <w:rFonts w:ascii="仿宋_GB2312" w:eastAsia="仿宋_GB2312"/>
          <w:sz w:val="32"/>
          <w:szCs w:val="32"/>
        </w:rPr>
      </w:pPr>
      <w:r>
        <w:rPr>
          <w:rFonts w:ascii="仿宋_GB2312" w:eastAsia="仿宋_GB2312"/>
          <w:sz w:val="32"/>
          <w:szCs w:val="32"/>
        </w:rPr>
        <w:t>33.</w:t>
      </w:r>
      <w:r>
        <w:rPr>
          <w:rFonts w:hint="eastAsia" w:ascii="仿宋_GB2312" w:eastAsia="仿宋_GB2312"/>
          <w:sz w:val="32"/>
          <w:szCs w:val="32"/>
        </w:rPr>
        <w:t>经营支出：指事业单位在专业业务活动及其辅助活动之外开展非独立核算经营活动发生的支出。</w:t>
      </w:r>
    </w:p>
    <w:p w14:paraId="610D24B0">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34.</w:t>
      </w:r>
      <w:r>
        <w:rPr>
          <w:rFonts w:hint="eastAsia" w:ascii="仿宋_GB2312" w:eastAsia="仿宋_GB2312"/>
          <w:color w:val="auto"/>
          <w:sz w:val="32"/>
          <w:szCs w:val="32"/>
        </w:rPr>
        <w:t>“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13DC6BFB">
      <w:pPr>
        <w:pStyle w:val="26"/>
        <w:spacing w:line="560" w:lineRule="exact"/>
        <w:ind w:firstLine="640" w:firstLineChars="200"/>
        <w:rPr>
          <w:rFonts w:ascii="仿宋_GB2312" w:eastAsia="仿宋_GB2312"/>
          <w:color w:val="auto"/>
          <w:sz w:val="32"/>
          <w:szCs w:val="32"/>
        </w:rPr>
      </w:pPr>
      <w:r>
        <w:rPr>
          <w:rFonts w:ascii="仿宋_GB2312" w:eastAsia="仿宋_GB2312"/>
          <w:color w:val="auto"/>
          <w:sz w:val="32"/>
          <w:szCs w:val="32"/>
        </w:rPr>
        <w:t>35.</w:t>
      </w:r>
      <w:r>
        <w:rPr>
          <w:rFonts w:hint="eastAsia" w:ascii="仿宋_GB2312" w:eastAsia="仿宋_GB2312"/>
          <w:color w:val="auto"/>
          <w:sz w:val="32"/>
          <w:szCs w:val="32"/>
        </w:rPr>
        <w:t>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F1D8E66">
      <w:pPr>
        <w:pStyle w:val="26"/>
        <w:spacing w:line="560" w:lineRule="exact"/>
        <w:ind w:firstLine="640" w:firstLineChars="200"/>
        <w:rPr>
          <w:rFonts w:ascii="仿宋_GB2312" w:eastAsia="仿宋_GB2312" w:cs="黑体"/>
          <w:color w:val="auto"/>
          <w:sz w:val="32"/>
          <w:szCs w:val="32"/>
        </w:rPr>
      </w:pPr>
    </w:p>
    <w:p w14:paraId="01B6F1A4">
      <w:pPr>
        <w:spacing w:line="600" w:lineRule="exact"/>
        <w:jc w:val="center"/>
        <w:rPr>
          <w:rFonts w:hint="eastAsia" w:eastAsia="黑体"/>
          <w:sz w:val="44"/>
          <w:szCs w:val="44"/>
        </w:rPr>
      </w:pPr>
    </w:p>
    <w:p w14:paraId="7070ABDF">
      <w:pPr>
        <w:spacing w:line="600" w:lineRule="exact"/>
        <w:jc w:val="center"/>
        <w:rPr>
          <w:rFonts w:hint="eastAsia" w:eastAsia="黑体"/>
          <w:sz w:val="44"/>
          <w:szCs w:val="44"/>
        </w:rPr>
      </w:pPr>
    </w:p>
    <w:p w14:paraId="3FEB3962">
      <w:pPr>
        <w:spacing w:line="600" w:lineRule="exact"/>
        <w:jc w:val="center"/>
        <w:rPr>
          <w:rFonts w:hint="eastAsia" w:eastAsia="黑体"/>
          <w:sz w:val="44"/>
          <w:szCs w:val="44"/>
        </w:rPr>
      </w:pPr>
    </w:p>
    <w:p w14:paraId="2171E8F1">
      <w:pPr>
        <w:spacing w:line="600" w:lineRule="exact"/>
        <w:jc w:val="center"/>
        <w:rPr>
          <w:rFonts w:hint="eastAsia" w:eastAsia="黑体"/>
          <w:sz w:val="44"/>
          <w:szCs w:val="44"/>
        </w:rPr>
      </w:pPr>
    </w:p>
    <w:p w14:paraId="46CCFB78">
      <w:pPr>
        <w:spacing w:line="600" w:lineRule="exact"/>
        <w:jc w:val="center"/>
        <w:rPr>
          <w:rFonts w:hint="eastAsia" w:eastAsia="黑体"/>
          <w:sz w:val="44"/>
          <w:szCs w:val="44"/>
        </w:rPr>
      </w:pPr>
    </w:p>
    <w:p w14:paraId="0A06E1B0">
      <w:pPr>
        <w:spacing w:line="600" w:lineRule="exact"/>
        <w:jc w:val="center"/>
        <w:rPr>
          <w:rFonts w:hint="eastAsia" w:eastAsia="黑体"/>
          <w:sz w:val="44"/>
          <w:szCs w:val="44"/>
        </w:rPr>
      </w:pPr>
    </w:p>
    <w:p w14:paraId="28CD7454">
      <w:pPr>
        <w:spacing w:line="600" w:lineRule="exact"/>
        <w:jc w:val="center"/>
        <w:rPr>
          <w:rFonts w:hint="eastAsia" w:eastAsia="黑体"/>
          <w:sz w:val="44"/>
          <w:szCs w:val="44"/>
        </w:rPr>
      </w:pPr>
    </w:p>
    <w:p w14:paraId="4B8BDFB1">
      <w:pPr>
        <w:spacing w:line="600" w:lineRule="exact"/>
        <w:jc w:val="center"/>
        <w:rPr>
          <w:rFonts w:hint="eastAsia" w:eastAsia="黑体"/>
          <w:sz w:val="44"/>
          <w:szCs w:val="44"/>
        </w:rPr>
      </w:pPr>
    </w:p>
    <w:p w14:paraId="53C3F803">
      <w:pPr>
        <w:spacing w:line="600" w:lineRule="exact"/>
        <w:jc w:val="center"/>
        <w:rPr>
          <w:rFonts w:hint="eastAsia" w:eastAsia="黑体"/>
          <w:sz w:val="44"/>
          <w:szCs w:val="44"/>
        </w:rPr>
      </w:pPr>
    </w:p>
    <w:p w14:paraId="631F69EC">
      <w:pPr>
        <w:spacing w:line="600" w:lineRule="exact"/>
        <w:jc w:val="center"/>
        <w:rPr>
          <w:rFonts w:hint="eastAsia" w:eastAsia="黑体"/>
          <w:sz w:val="44"/>
          <w:szCs w:val="44"/>
        </w:rPr>
      </w:pPr>
    </w:p>
    <w:p w14:paraId="080713F9">
      <w:pPr>
        <w:spacing w:line="600" w:lineRule="exact"/>
        <w:jc w:val="center"/>
        <w:rPr>
          <w:rFonts w:hint="eastAsia" w:eastAsia="黑体"/>
          <w:sz w:val="44"/>
          <w:szCs w:val="44"/>
        </w:rPr>
      </w:pPr>
    </w:p>
    <w:p w14:paraId="7A5386B0">
      <w:pPr>
        <w:spacing w:line="600" w:lineRule="exact"/>
        <w:jc w:val="center"/>
        <w:rPr>
          <w:rFonts w:hint="eastAsia" w:eastAsia="黑体"/>
          <w:sz w:val="44"/>
          <w:szCs w:val="44"/>
        </w:rPr>
      </w:pPr>
    </w:p>
    <w:p w14:paraId="7524AF2C">
      <w:pPr>
        <w:spacing w:line="600" w:lineRule="exact"/>
        <w:jc w:val="center"/>
        <w:rPr>
          <w:rFonts w:hint="eastAsia" w:eastAsia="黑体"/>
          <w:sz w:val="44"/>
          <w:szCs w:val="44"/>
        </w:rPr>
      </w:pPr>
    </w:p>
    <w:p w14:paraId="5B0843BE">
      <w:pPr>
        <w:spacing w:line="600" w:lineRule="exact"/>
        <w:jc w:val="center"/>
        <w:rPr>
          <w:rFonts w:hint="eastAsia" w:eastAsia="黑体"/>
          <w:sz w:val="44"/>
          <w:szCs w:val="44"/>
        </w:rPr>
      </w:pPr>
    </w:p>
    <w:p w14:paraId="490ACD93">
      <w:pPr>
        <w:spacing w:line="600" w:lineRule="exact"/>
        <w:jc w:val="center"/>
        <w:rPr>
          <w:rFonts w:hint="eastAsia" w:eastAsia="黑体"/>
          <w:sz w:val="44"/>
          <w:szCs w:val="44"/>
        </w:rPr>
      </w:pPr>
    </w:p>
    <w:p w14:paraId="56AA4524">
      <w:pPr>
        <w:spacing w:line="600" w:lineRule="exact"/>
        <w:jc w:val="center"/>
        <w:rPr>
          <w:rFonts w:hint="eastAsia" w:eastAsia="黑体"/>
          <w:sz w:val="44"/>
          <w:szCs w:val="44"/>
        </w:rPr>
      </w:pPr>
    </w:p>
    <w:p w14:paraId="08B03988">
      <w:pPr>
        <w:spacing w:line="600" w:lineRule="exact"/>
        <w:jc w:val="center"/>
        <w:rPr>
          <w:rFonts w:hint="eastAsia" w:eastAsia="黑体"/>
          <w:sz w:val="44"/>
          <w:szCs w:val="44"/>
        </w:rPr>
      </w:pPr>
    </w:p>
    <w:p w14:paraId="2AD7D5C4">
      <w:pPr>
        <w:spacing w:line="600" w:lineRule="exact"/>
        <w:jc w:val="center"/>
        <w:rPr>
          <w:rFonts w:hint="eastAsia" w:eastAsia="黑体"/>
          <w:sz w:val="44"/>
          <w:szCs w:val="44"/>
        </w:rPr>
      </w:pPr>
    </w:p>
    <w:p w14:paraId="287CF73A">
      <w:pPr>
        <w:spacing w:line="600" w:lineRule="exact"/>
        <w:jc w:val="center"/>
        <w:rPr>
          <w:rStyle w:val="37"/>
          <w:rFonts w:eastAsia="黑体"/>
          <w:b w:val="0"/>
        </w:rPr>
      </w:pPr>
      <w:r>
        <w:rPr>
          <w:rFonts w:hint="eastAsia" w:eastAsia="黑体"/>
          <w:sz w:val="44"/>
          <w:szCs w:val="44"/>
        </w:rPr>
        <w:t>第四部分  附件</w:t>
      </w:r>
      <w:bookmarkEnd w:id="42"/>
    </w:p>
    <w:p w14:paraId="06AD77E3">
      <w:pPr>
        <w:spacing w:line="572" w:lineRule="exact"/>
        <w:jc w:val="left"/>
        <w:outlineLvl w:val="0"/>
        <w:rPr>
          <w:rFonts w:eastAsia="黑体" w:cs="黑体"/>
          <w:color w:val="FF0000"/>
          <w:sz w:val="32"/>
          <w:szCs w:val="32"/>
        </w:rPr>
      </w:pPr>
    </w:p>
    <w:p w14:paraId="2F117C4B">
      <w:pPr>
        <w:spacing w:line="600" w:lineRule="exact"/>
        <w:ind w:firstLine="640" w:firstLineChars="200"/>
        <w:jc w:val="both"/>
        <w:outlineLvl w:val="0"/>
        <w:rPr>
          <w:rFonts w:hint="default" w:hAnsi="Calibri" w:eastAsia="仿宋_GB2312" w:cs="仿宋"/>
          <w:sz w:val="32"/>
          <w:lang w:val="en-US" w:eastAsia="zh-CN"/>
        </w:rPr>
      </w:pPr>
      <w:bookmarkStart w:id="44" w:name="_Toc16742"/>
      <w:r>
        <w:rPr>
          <w:rFonts w:hint="eastAsia" w:ascii="仿宋_GB2312" w:hAnsi="仿宋_GB2312" w:eastAsia="仿宋_GB2312" w:cs="仿宋_GB2312"/>
          <w:sz w:val="32"/>
          <w:szCs w:val="32"/>
        </w:rPr>
        <w:t>部门预算项目支出绩效自评表（</w:t>
      </w:r>
      <w:r>
        <w:rPr>
          <w:rFonts w:hint="eastAsia" w:ascii="仿宋_GB2312" w:hAnsi="仿宋_GB2312" w:eastAsia="仿宋_GB2312" w:cs="仿宋_GB2312"/>
          <w:sz w:val="32"/>
          <w:szCs w:val="32"/>
          <w:lang w:eastAsia="zh-CN"/>
        </w:rPr>
        <w:t>2025</w:t>
      </w:r>
      <w:r>
        <w:rPr>
          <w:rFonts w:hint="eastAsia" w:ascii="仿宋_GB2312" w:hAnsi="仿宋_GB2312" w:eastAsia="仿宋_GB2312" w:cs="仿宋_GB2312"/>
          <w:sz w:val="32"/>
          <w:szCs w:val="32"/>
        </w:rPr>
        <w:t>年度）</w:t>
      </w:r>
      <w:bookmarkEnd w:id="44"/>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lang w:val="zh-CN" w:eastAsia="zh-CN"/>
        </w:rPr>
        <w:t>见附件</w:t>
      </w:r>
      <w:r>
        <w:rPr>
          <w:rFonts w:hint="eastAsia" w:ascii="仿宋_GB2312" w:hAnsi="仿宋_GB2312" w:eastAsia="仿宋_GB2312" w:cs="仿宋_GB2312"/>
          <w:sz w:val="32"/>
          <w:lang w:val="en-US" w:eastAsia="zh-CN"/>
        </w:rPr>
        <w:t>1。</w:t>
      </w:r>
    </w:p>
    <w:p w14:paraId="699F0FEC">
      <w:pPr>
        <w:spacing w:line="578" w:lineRule="exact"/>
        <w:ind w:firstLine="640"/>
        <w:rPr>
          <w:rFonts w:eastAsia="仿宋_GB2312" w:cs="仿宋_GB2312"/>
          <w:kern w:val="0"/>
          <w:sz w:val="32"/>
          <w:szCs w:val="32"/>
        </w:rPr>
      </w:pPr>
    </w:p>
    <w:p w14:paraId="6E194148">
      <w:pPr>
        <w:spacing w:line="578" w:lineRule="exact"/>
        <w:ind w:firstLine="640"/>
        <w:rPr>
          <w:rFonts w:eastAsia="仿宋_GB2312" w:cs="仿宋_GB2312"/>
          <w:kern w:val="0"/>
          <w:sz w:val="32"/>
          <w:szCs w:val="32"/>
        </w:rPr>
      </w:pPr>
    </w:p>
    <w:p w14:paraId="7B61C8A6">
      <w:pPr>
        <w:spacing w:line="578" w:lineRule="exact"/>
        <w:ind w:firstLine="640"/>
        <w:rPr>
          <w:rFonts w:eastAsia="仿宋_GB2312" w:cs="仿宋_GB2312"/>
          <w:kern w:val="0"/>
          <w:sz w:val="32"/>
          <w:szCs w:val="32"/>
        </w:rPr>
      </w:pPr>
      <w:bookmarkStart w:id="45" w:name="_Toc15396618"/>
      <w:r>
        <w:rPr>
          <w:rFonts w:hint="eastAsia" w:eastAsia="仿宋_GB2312" w:cs="仿宋_GB2312"/>
          <w:kern w:val="0"/>
          <w:sz w:val="32"/>
          <w:szCs w:val="32"/>
        </w:rPr>
        <w:br w:type="page"/>
      </w:r>
    </w:p>
    <w:p w14:paraId="57F13429">
      <w:pPr>
        <w:widowControl/>
        <w:jc w:val="center"/>
        <w:rPr>
          <w:rFonts w:eastAsia="仿宋"/>
        </w:rPr>
      </w:pPr>
      <w:r>
        <w:rPr>
          <w:rFonts w:hint="eastAsia" w:eastAsia="黑体"/>
          <w:sz w:val="44"/>
          <w:szCs w:val="44"/>
        </w:rPr>
        <w:t>第</w:t>
      </w:r>
      <w:r>
        <w:rPr>
          <w:rStyle w:val="37"/>
          <w:rFonts w:hint="eastAsia" w:eastAsia="黑体"/>
          <w:b w:val="0"/>
        </w:rPr>
        <w:t>五部分 附表</w:t>
      </w:r>
      <w:bookmarkEnd w:id="43"/>
      <w:bookmarkEnd w:id="45"/>
      <w:bookmarkStart w:id="46" w:name="_Toc15396619"/>
    </w:p>
    <w:p w14:paraId="741AF4F1">
      <w:pPr>
        <w:pStyle w:val="14"/>
        <w:adjustRightInd w:val="0"/>
        <w:snapToGrid w:val="0"/>
        <w:spacing w:line="560" w:lineRule="exact"/>
        <w:jc w:val="left"/>
        <w:rPr>
          <w:rFonts w:eastAsia="仿宋_GB2312" w:cs="仿宋_GB2312"/>
          <w:sz w:val="32"/>
          <w:szCs w:val="32"/>
        </w:rPr>
      </w:pPr>
    </w:p>
    <w:bookmarkEnd w:id="46"/>
    <w:p w14:paraId="117BE070">
      <w:pPr>
        <w:pStyle w:val="3"/>
        <w:rPr>
          <w:rFonts w:ascii="仿宋" w:hAnsi="仿宋" w:eastAsia="仿宋"/>
        </w:rPr>
      </w:pPr>
      <w:bookmarkStart w:id="47" w:name="_Toc24332"/>
      <w:r>
        <w:rPr>
          <w:rFonts w:hint="eastAsia" w:ascii="仿宋" w:hAnsi="仿宋" w:eastAsia="仿宋"/>
          <w:b w:val="0"/>
        </w:rPr>
        <w:t>一、收</w:t>
      </w:r>
      <w:r>
        <w:rPr>
          <w:rStyle w:val="38"/>
          <w:rFonts w:hint="eastAsia" w:ascii="仿宋" w:hAnsi="仿宋" w:eastAsia="仿宋"/>
          <w:b w:val="0"/>
          <w:bCs w:val="0"/>
        </w:rPr>
        <w:t>入支出决算总表</w:t>
      </w:r>
      <w:bookmarkEnd w:id="47"/>
    </w:p>
    <w:p w14:paraId="604143CB">
      <w:pPr>
        <w:pStyle w:val="3"/>
        <w:rPr>
          <w:rFonts w:ascii="仿宋" w:hAnsi="仿宋" w:eastAsia="仿宋"/>
        </w:rPr>
      </w:pPr>
      <w:bookmarkStart w:id="48" w:name="_Toc15396620"/>
      <w:bookmarkStart w:id="49" w:name="_Toc31538"/>
      <w:r>
        <w:rPr>
          <w:rFonts w:hint="eastAsia" w:ascii="仿宋" w:hAnsi="仿宋" w:eastAsia="仿宋"/>
          <w:b w:val="0"/>
        </w:rPr>
        <w:t>二、收</w:t>
      </w:r>
      <w:r>
        <w:rPr>
          <w:rStyle w:val="38"/>
          <w:rFonts w:hint="eastAsia" w:ascii="仿宋" w:hAnsi="仿宋" w:eastAsia="仿宋"/>
          <w:b w:val="0"/>
          <w:bCs w:val="0"/>
        </w:rPr>
        <w:t>入决算表</w:t>
      </w:r>
      <w:bookmarkEnd w:id="48"/>
      <w:bookmarkEnd w:id="49"/>
    </w:p>
    <w:p w14:paraId="2A217C53">
      <w:pPr>
        <w:pStyle w:val="3"/>
        <w:rPr>
          <w:rFonts w:ascii="仿宋" w:hAnsi="仿宋" w:eastAsia="仿宋"/>
        </w:rPr>
      </w:pPr>
      <w:bookmarkStart w:id="50" w:name="_Toc6672"/>
      <w:bookmarkStart w:id="51" w:name="_Toc15396621"/>
      <w:r>
        <w:rPr>
          <w:rStyle w:val="38"/>
          <w:rFonts w:hint="eastAsia" w:ascii="仿宋" w:hAnsi="仿宋" w:eastAsia="仿宋"/>
          <w:b w:val="0"/>
          <w:bCs w:val="0"/>
        </w:rPr>
        <w:t>三、</w:t>
      </w:r>
      <w:r>
        <w:rPr>
          <w:rFonts w:hint="eastAsia" w:ascii="仿宋" w:hAnsi="仿宋" w:eastAsia="仿宋"/>
          <w:b w:val="0"/>
        </w:rPr>
        <w:t>支</w:t>
      </w:r>
      <w:r>
        <w:rPr>
          <w:rStyle w:val="38"/>
          <w:rFonts w:hint="eastAsia" w:ascii="仿宋" w:hAnsi="仿宋" w:eastAsia="仿宋"/>
          <w:b w:val="0"/>
          <w:bCs w:val="0"/>
        </w:rPr>
        <w:t>出决算表</w:t>
      </w:r>
      <w:bookmarkEnd w:id="50"/>
      <w:bookmarkEnd w:id="51"/>
    </w:p>
    <w:p w14:paraId="73922D9E">
      <w:pPr>
        <w:pStyle w:val="3"/>
        <w:rPr>
          <w:rFonts w:ascii="仿宋" w:hAnsi="仿宋" w:eastAsia="仿宋"/>
          <w:b w:val="0"/>
        </w:rPr>
      </w:pPr>
      <w:bookmarkStart w:id="52" w:name="_Toc15396622"/>
      <w:bookmarkStart w:id="53" w:name="_Toc30515"/>
      <w:r>
        <w:rPr>
          <w:rStyle w:val="38"/>
          <w:rFonts w:hint="eastAsia" w:ascii="仿宋" w:hAnsi="仿宋" w:eastAsia="仿宋"/>
          <w:b w:val="0"/>
          <w:bCs w:val="0"/>
        </w:rPr>
        <w:t>四、</w:t>
      </w:r>
      <w:r>
        <w:rPr>
          <w:rFonts w:hint="eastAsia" w:ascii="仿宋" w:hAnsi="仿宋" w:eastAsia="仿宋"/>
          <w:b w:val="0"/>
        </w:rPr>
        <w:t>财</w:t>
      </w:r>
      <w:r>
        <w:rPr>
          <w:rStyle w:val="38"/>
          <w:rFonts w:hint="eastAsia" w:ascii="仿宋" w:hAnsi="仿宋" w:eastAsia="仿宋"/>
          <w:b w:val="0"/>
          <w:bCs w:val="0"/>
        </w:rPr>
        <w:t>政拨款收入支出决算总表</w:t>
      </w:r>
      <w:bookmarkEnd w:id="52"/>
      <w:bookmarkEnd w:id="53"/>
    </w:p>
    <w:p w14:paraId="6C8A7A28">
      <w:pPr>
        <w:pStyle w:val="3"/>
        <w:rPr>
          <w:rStyle w:val="38"/>
          <w:rFonts w:ascii="仿宋" w:hAnsi="仿宋" w:eastAsia="仿宋"/>
          <w:b w:val="0"/>
          <w:bCs w:val="0"/>
        </w:rPr>
      </w:pPr>
      <w:bookmarkStart w:id="54" w:name="_Toc15396623"/>
      <w:bookmarkStart w:id="55" w:name="_Toc14213"/>
      <w:r>
        <w:rPr>
          <w:rStyle w:val="38"/>
          <w:rFonts w:hint="eastAsia" w:ascii="仿宋" w:hAnsi="仿宋" w:eastAsia="仿宋"/>
          <w:b w:val="0"/>
          <w:bCs w:val="0"/>
        </w:rPr>
        <w:t>五、</w:t>
      </w:r>
      <w:r>
        <w:rPr>
          <w:rFonts w:hint="eastAsia" w:ascii="仿宋" w:hAnsi="仿宋" w:eastAsia="仿宋"/>
          <w:b w:val="0"/>
        </w:rPr>
        <w:t>财</w:t>
      </w:r>
      <w:r>
        <w:rPr>
          <w:rStyle w:val="38"/>
          <w:rFonts w:hint="eastAsia" w:ascii="仿宋" w:hAnsi="仿宋" w:eastAsia="仿宋"/>
          <w:b w:val="0"/>
          <w:bCs w:val="0"/>
        </w:rPr>
        <w:t>政拨款支出决算明细表</w:t>
      </w:r>
      <w:bookmarkEnd w:id="54"/>
      <w:bookmarkEnd w:id="55"/>
      <w:bookmarkStart w:id="56" w:name="_Toc15396624"/>
    </w:p>
    <w:p w14:paraId="4DF1A197">
      <w:pPr>
        <w:pStyle w:val="3"/>
        <w:rPr>
          <w:rFonts w:ascii="仿宋" w:hAnsi="仿宋" w:eastAsia="仿宋"/>
        </w:rPr>
      </w:pPr>
      <w:bookmarkStart w:id="57" w:name="_Toc8334"/>
      <w:r>
        <w:rPr>
          <w:rStyle w:val="38"/>
          <w:rFonts w:hint="eastAsia" w:ascii="仿宋" w:hAnsi="仿宋" w:eastAsia="仿宋"/>
          <w:b w:val="0"/>
          <w:bCs w:val="0"/>
        </w:rPr>
        <w:t>六、</w:t>
      </w:r>
      <w:r>
        <w:rPr>
          <w:rFonts w:hint="eastAsia" w:ascii="仿宋" w:hAnsi="仿宋" w:eastAsia="仿宋"/>
          <w:b w:val="0"/>
        </w:rPr>
        <w:t>一</w:t>
      </w:r>
      <w:r>
        <w:rPr>
          <w:rStyle w:val="38"/>
          <w:rFonts w:hint="eastAsia" w:ascii="仿宋" w:hAnsi="仿宋" w:eastAsia="仿宋"/>
          <w:b w:val="0"/>
          <w:bCs w:val="0"/>
        </w:rPr>
        <w:t>般公共预算财政拨款支出决算表</w:t>
      </w:r>
      <w:bookmarkEnd w:id="56"/>
      <w:bookmarkEnd w:id="57"/>
    </w:p>
    <w:p w14:paraId="19D44796">
      <w:pPr>
        <w:pStyle w:val="3"/>
        <w:rPr>
          <w:rFonts w:ascii="仿宋" w:hAnsi="仿宋" w:eastAsia="仿宋"/>
        </w:rPr>
      </w:pPr>
      <w:bookmarkStart w:id="58" w:name="_Toc5090"/>
      <w:bookmarkStart w:id="59" w:name="_Toc15396625"/>
      <w:r>
        <w:rPr>
          <w:rStyle w:val="38"/>
          <w:rFonts w:hint="eastAsia" w:ascii="仿宋" w:hAnsi="仿宋" w:eastAsia="仿宋"/>
          <w:b w:val="0"/>
          <w:bCs w:val="0"/>
        </w:rPr>
        <w:t>七、</w:t>
      </w:r>
      <w:r>
        <w:rPr>
          <w:rFonts w:hint="eastAsia" w:ascii="仿宋" w:hAnsi="仿宋" w:eastAsia="仿宋"/>
          <w:b w:val="0"/>
        </w:rPr>
        <w:t>一</w:t>
      </w:r>
      <w:r>
        <w:rPr>
          <w:rStyle w:val="38"/>
          <w:rFonts w:hint="eastAsia" w:ascii="仿宋" w:hAnsi="仿宋" w:eastAsia="仿宋"/>
          <w:b w:val="0"/>
          <w:bCs w:val="0"/>
        </w:rPr>
        <w:t>般公共预算财政拨款支出决算明细表</w:t>
      </w:r>
      <w:bookmarkEnd w:id="58"/>
      <w:bookmarkEnd w:id="59"/>
    </w:p>
    <w:p w14:paraId="417E27A8">
      <w:pPr>
        <w:pStyle w:val="3"/>
        <w:rPr>
          <w:rFonts w:ascii="仿宋" w:hAnsi="仿宋" w:eastAsia="仿宋"/>
        </w:rPr>
      </w:pPr>
      <w:bookmarkStart w:id="60" w:name="_Toc26954"/>
      <w:bookmarkStart w:id="61" w:name="_Toc15396626"/>
      <w:r>
        <w:rPr>
          <w:rStyle w:val="38"/>
          <w:rFonts w:hint="eastAsia" w:ascii="仿宋" w:hAnsi="仿宋" w:eastAsia="仿宋"/>
          <w:b w:val="0"/>
          <w:bCs w:val="0"/>
        </w:rPr>
        <w:t>八、</w:t>
      </w:r>
      <w:r>
        <w:rPr>
          <w:rFonts w:hint="eastAsia" w:ascii="仿宋" w:hAnsi="仿宋" w:eastAsia="仿宋"/>
          <w:b w:val="0"/>
        </w:rPr>
        <w:t>一</w:t>
      </w:r>
      <w:r>
        <w:rPr>
          <w:rStyle w:val="38"/>
          <w:rFonts w:hint="eastAsia" w:ascii="仿宋" w:hAnsi="仿宋" w:eastAsia="仿宋"/>
          <w:b w:val="0"/>
          <w:bCs w:val="0"/>
        </w:rPr>
        <w:t>般公共预算财政拨款基本支出决算表</w:t>
      </w:r>
      <w:bookmarkEnd w:id="60"/>
      <w:bookmarkEnd w:id="61"/>
    </w:p>
    <w:p w14:paraId="5D29F4E7">
      <w:pPr>
        <w:pStyle w:val="3"/>
        <w:rPr>
          <w:rFonts w:ascii="仿宋" w:hAnsi="仿宋" w:eastAsia="仿宋"/>
        </w:rPr>
      </w:pPr>
      <w:bookmarkStart w:id="62" w:name="_Toc27352"/>
      <w:bookmarkStart w:id="63" w:name="_Toc15396627"/>
      <w:r>
        <w:rPr>
          <w:rStyle w:val="38"/>
          <w:rFonts w:hint="eastAsia" w:ascii="仿宋" w:hAnsi="仿宋" w:eastAsia="仿宋"/>
          <w:b w:val="0"/>
          <w:bCs w:val="0"/>
        </w:rPr>
        <w:t>九、</w:t>
      </w:r>
      <w:r>
        <w:rPr>
          <w:rFonts w:hint="eastAsia" w:ascii="仿宋" w:hAnsi="仿宋" w:eastAsia="仿宋"/>
          <w:b w:val="0"/>
        </w:rPr>
        <w:t>一</w:t>
      </w:r>
      <w:r>
        <w:rPr>
          <w:rStyle w:val="38"/>
          <w:rFonts w:hint="eastAsia" w:ascii="仿宋" w:hAnsi="仿宋" w:eastAsia="仿宋"/>
          <w:b w:val="0"/>
          <w:bCs w:val="0"/>
        </w:rPr>
        <w:t>般公共预算财政拨款项目支出决算表</w:t>
      </w:r>
      <w:bookmarkEnd w:id="62"/>
      <w:bookmarkEnd w:id="63"/>
    </w:p>
    <w:p w14:paraId="26BA157A">
      <w:pPr>
        <w:pStyle w:val="3"/>
        <w:rPr>
          <w:rFonts w:ascii="仿宋" w:hAnsi="仿宋" w:eastAsia="仿宋"/>
        </w:rPr>
      </w:pPr>
      <w:bookmarkStart w:id="64" w:name="_Toc15396628"/>
      <w:bookmarkStart w:id="65" w:name="_Toc28940"/>
      <w:r>
        <w:rPr>
          <w:rStyle w:val="38"/>
          <w:rFonts w:hint="eastAsia" w:ascii="仿宋" w:hAnsi="仿宋" w:eastAsia="仿宋"/>
          <w:b w:val="0"/>
          <w:bCs w:val="0"/>
        </w:rPr>
        <w:t>十、</w:t>
      </w:r>
      <w:bookmarkEnd w:id="64"/>
      <w:r>
        <w:rPr>
          <w:rFonts w:hint="eastAsia" w:ascii="仿宋" w:hAnsi="仿宋" w:eastAsia="仿宋"/>
          <w:b w:val="0"/>
        </w:rPr>
        <w:t>政</w:t>
      </w:r>
      <w:r>
        <w:rPr>
          <w:rStyle w:val="38"/>
          <w:rFonts w:hint="eastAsia" w:ascii="仿宋" w:hAnsi="仿宋" w:eastAsia="仿宋"/>
          <w:b w:val="0"/>
          <w:bCs w:val="0"/>
        </w:rPr>
        <w:t>府性基金预算财政拨款收入支出决算表</w:t>
      </w:r>
      <w:bookmarkEnd w:id="65"/>
    </w:p>
    <w:p w14:paraId="32D87C75">
      <w:pPr>
        <w:pStyle w:val="3"/>
        <w:rPr>
          <w:rFonts w:ascii="仿宋" w:hAnsi="仿宋" w:eastAsia="仿宋"/>
        </w:rPr>
      </w:pPr>
      <w:bookmarkStart w:id="66" w:name="_Toc15396629"/>
      <w:bookmarkStart w:id="67" w:name="_Toc19783"/>
      <w:r>
        <w:rPr>
          <w:rStyle w:val="38"/>
          <w:rFonts w:hint="eastAsia" w:ascii="仿宋" w:hAnsi="仿宋" w:eastAsia="仿宋"/>
          <w:b w:val="0"/>
          <w:bCs w:val="0"/>
        </w:rPr>
        <w:t>十一、</w:t>
      </w:r>
      <w:bookmarkEnd w:id="66"/>
      <w:r>
        <w:rPr>
          <w:rFonts w:hint="eastAsia" w:ascii="仿宋" w:hAnsi="仿宋" w:eastAsia="仿宋"/>
          <w:b w:val="0"/>
        </w:rPr>
        <w:t>国</w:t>
      </w:r>
      <w:r>
        <w:rPr>
          <w:rStyle w:val="38"/>
          <w:rFonts w:hint="eastAsia" w:ascii="仿宋" w:hAnsi="仿宋" w:eastAsia="仿宋"/>
          <w:b w:val="0"/>
          <w:bCs w:val="0"/>
        </w:rPr>
        <w:t>有资本经营预算财政拨款收入支出决算表</w:t>
      </w:r>
      <w:bookmarkEnd w:id="67"/>
    </w:p>
    <w:p w14:paraId="3122D5AE">
      <w:pPr>
        <w:pStyle w:val="3"/>
        <w:rPr>
          <w:rFonts w:ascii="仿宋" w:hAnsi="仿宋" w:eastAsia="仿宋"/>
        </w:rPr>
      </w:pPr>
      <w:bookmarkStart w:id="68" w:name="_Toc15396630"/>
      <w:bookmarkStart w:id="69" w:name="_Toc32189"/>
      <w:r>
        <w:rPr>
          <w:rStyle w:val="38"/>
          <w:rFonts w:hint="eastAsia" w:ascii="仿宋" w:hAnsi="仿宋" w:eastAsia="仿宋"/>
          <w:b w:val="0"/>
          <w:bCs w:val="0"/>
        </w:rPr>
        <w:t>十二、</w:t>
      </w:r>
      <w:bookmarkEnd w:id="68"/>
      <w:r>
        <w:rPr>
          <w:rStyle w:val="38"/>
          <w:rFonts w:hint="eastAsia" w:ascii="仿宋" w:hAnsi="仿宋" w:eastAsia="仿宋"/>
          <w:b w:val="0"/>
          <w:bCs w:val="0"/>
        </w:rPr>
        <w:t>国有资本经营预算财政拨款支出决算表</w:t>
      </w:r>
      <w:bookmarkEnd w:id="69"/>
    </w:p>
    <w:p w14:paraId="08592800">
      <w:pPr>
        <w:pStyle w:val="3"/>
        <w:rPr>
          <w:rStyle w:val="38"/>
          <w:rFonts w:hint="eastAsia" w:ascii="仿宋" w:hAnsi="仿宋" w:eastAsia="仿宋"/>
          <w:b w:val="0"/>
          <w:bCs w:val="0"/>
        </w:rPr>
      </w:pPr>
      <w:bookmarkStart w:id="70" w:name="_Toc15396631"/>
      <w:bookmarkStart w:id="71" w:name="_Toc10202"/>
      <w:r>
        <w:rPr>
          <w:rStyle w:val="38"/>
          <w:rFonts w:hint="eastAsia" w:ascii="仿宋" w:hAnsi="仿宋" w:eastAsia="仿宋"/>
          <w:b w:val="0"/>
          <w:bCs w:val="0"/>
        </w:rPr>
        <w:t>十三、</w:t>
      </w:r>
      <w:bookmarkEnd w:id="70"/>
      <w:r>
        <w:rPr>
          <w:rStyle w:val="38"/>
          <w:rFonts w:hint="eastAsia" w:ascii="仿宋" w:hAnsi="仿宋" w:eastAsia="仿宋"/>
          <w:b w:val="0"/>
          <w:bCs w:val="0"/>
        </w:rPr>
        <w:t>财政拨款“三公”经费支出决算表</w:t>
      </w:r>
      <w:bookmarkEnd w:id="71"/>
    </w:p>
    <w:p w14:paraId="7DA78323">
      <w:pPr>
        <w:rPr>
          <w:rStyle w:val="38"/>
          <w:rFonts w:hint="default" w:ascii="仿宋" w:hAnsi="仿宋" w:eastAsia="仿宋"/>
          <w:b w:val="0"/>
          <w:bCs w:val="0"/>
          <w:lang w:val="en-US" w:eastAsia="zh-CN" w:bidi="ar-SA"/>
        </w:rPr>
      </w:pPr>
      <w:bookmarkStart w:id="72" w:name="_Toc5690"/>
      <w:r>
        <w:rPr>
          <w:rStyle w:val="38"/>
          <w:rFonts w:hint="eastAsia" w:ascii="仿宋" w:hAnsi="仿宋" w:eastAsia="仿宋"/>
          <w:b w:val="0"/>
          <w:bCs w:val="0"/>
          <w:lang w:val="en-US" w:eastAsia="zh-CN" w:bidi="ar-SA"/>
        </w:rPr>
        <w:t>见附件2</w:t>
      </w:r>
    </w:p>
    <w:bookmarkEnd w:id="72"/>
    <w:p w14:paraId="3FB06899">
      <w:pPr>
        <w:rPr>
          <w:rFonts w:hint="eastAsia" w:ascii="Times New Roman" w:hAnsi="Times New Roman"/>
          <w:lang w:eastAsia="zh-CN"/>
        </w:rPr>
      </w:pPr>
    </w:p>
    <w:sectPr>
      <w:footerReference r:id="rId5" w:type="first"/>
      <w:headerReference r:id="rId3" w:type="default"/>
      <w:footerReference r:id="rId4" w:type="default"/>
      <w:pgSz w:w="11906" w:h="16838"/>
      <w:pgMar w:top="1440" w:right="1800" w:bottom="1440" w:left="1800" w:header="851" w:footer="992" w:gutter="0"/>
      <w:pgNumType w:fmt="numberInDash" w:start="1"/>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D0474">
    <w:pPr>
      <w:pStyle w:val="1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078863">
                          <w:pPr>
                            <w:pStyle w:val="10"/>
                          </w:pPr>
                          <w:r>
                            <w:fldChar w:fldCharType="begin"/>
                          </w:r>
                          <w:r>
                            <w:instrText xml:space="preserve"> PAGE  \* MERGEFORMAT </w:instrText>
                          </w:r>
                          <w:r>
                            <w:fldChar w:fldCharType="separate"/>
                          </w:r>
                          <w:r>
                            <w:t>- 2 -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75078863">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276F1528">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6BD996">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772680">
                          <w:pPr>
                            <w:pStyle w:val="10"/>
                          </w:pPr>
                          <w:r>
                            <w:fldChar w:fldCharType="begin"/>
                          </w:r>
                          <w:r>
                            <w:instrText xml:space="preserve"> PAGE  \* MERGEFORMAT </w:instrText>
                          </w:r>
                          <w:r>
                            <w:fldChar w:fldCharType="separate"/>
                          </w:r>
                          <w:r>
                            <w:t>- 1 -</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48772680">
                    <w:pPr>
                      <w:pStyle w:val="10"/>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DD6C24">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D7A2E34"/>
    <w:multiLevelType w:val="singleLevel"/>
    <w:tmpl w:val="DD7A2E34"/>
    <w:lvl w:ilvl="0" w:tentative="0">
      <w:start w:val="1"/>
      <w:numFmt w:val="decimal"/>
      <w:lvlText w:val="%1."/>
      <w:lvlJc w:val="left"/>
      <w:pPr>
        <w:tabs>
          <w:tab w:val="left" w:pos="312"/>
        </w:tabs>
      </w:pPr>
      <w:rPr>
        <w:rFonts w:hint="default" w:ascii="仿宋" w:hAnsi="仿宋" w:eastAsia="仿宋" w:cs="仿宋"/>
        <w:b/>
        <w:bCs/>
        <w:sz w:val="32"/>
        <w:szCs w:val="32"/>
      </w:rPr>
    </w:lvl>
  </w:abstractNum>
  <w:abstractNum w:abstractNumId="1">
    <w:nsid w:val="3818A09A"/>
    <w:multiLevelType w:val="singleLevel"/>
    <w:tmpl w:val="3818A09A"/>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2"/>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2317B1B"/>
    <w:rsid w:val="02FEBE30"/>
    <w:rsid w:val="061E35DE"/>
    <w:rsid w:val="066E0107"/>
    <w:rsid w:val="07996F6E"/>
    <w:rsid w:val="07DFD8BA"/>
    <w:rsid w:val="08DB07E4"/>
    <w:rsid w:val="09473135"/>
    <w:rsid w:val="09867E8F"/>
    <w:rsid w:val="0A2032A3"/>
    <w:rsid w:val="0C6C4794"/>
    <w:rsid w:val="0CA8290A"/>
    <w:rsid w:val="0D35B1ED"/>
    <w:rsid w:val="0DE07E2B"/>
    <w:rsid w:val="0E893AF9"/>
    <w:rsid w:val="0EF333D1"/>
    <w:rsid w:val="0F98263C"/>
    <w:rsid w:val="101860EC"/>
    <w:rsid w:val="10C055FF"/>
    <w:rsid w:val="11772AA4"/>
    <w:rsid w:val="118107EC"/>
    <w:rsid w:val="13D50BC4"/>
    <w:rsid w:val="14022904"/>
    <w:rsid w:val="152F2A07"/>
    <w:rsid w:val="165E0673"/>
    <w:rsid w:val="16BB723D"/>
    <w:rsid w:val="186504BB"/>
    <w:rsid w:val="1938089F"/>
    <w:rsid w:val="19A445FC"/>
    <w:rsid w:val="1B7D550C"/>
    <w:rsid w:val="1BE8440E"/>
    <w:rsid w:val="1D155CEE"/>
    <w:rsid w:val="1E740ACF"/>
    <w:rsid w:val="1F3B05EB"/>
    <w:rsid w:val="1F62156A"/>
    <w:rsid w:val="1FF35744"/>
    <w:rsid w:val="1FF6BC77"/>
    <w:rsid w:val="21962A9E"/>
    <w:rsid w:val="21AE7C77"/>
    <w:rsid w:val="22042D52"/>
    <w:rsid w:val="22BC3C41"/>
    <w:rsid w:val="23860B96"/>
    <w:rsid w:val="240371BF"/>
    <w:rsid w:val="25B06B01"/>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4281836"/>
    <w:rsid w:val="349D6851"/>
    <w:rsid w:val="35BA6CAF"/>
    <w:rsid w:val="364D14C1"/>
    <w:rsid w:val="36AA5135"/>
    <w:rsid w:val="36BE0DA7"/>
    <w:rsid w:val="376B6AA6"/>
    <w:rsid w:val="376D39B2"/>
    <w:rsid w:val="37E16F03"/>
    <w:rsid w:val="37F53A3B"/>
    <w:rsid w:val="389B6C89"/>
    <w:rsid w:val="38D469F0"/>
    <w:rsid w:val="39627CCD"/>
    <w:rsid w:val="397BAF1F"/>
    <w:rsid w:val="3AB79AF3"/>
    <w:rsid w:val="3B7EF35A"/>
    <w:rsid w:val="3B9FDB6C"/>
    <w:rsid w:val="3BF5BC2F"/>
    <w:rsid w:val="3CEBA265"/>
    <w:rsid w:val="3D420D09"/>
    <w:rsid w:val="3D98207C"/>
    <w:rsid w:val="3D9B0D99"/>
    <w:rsid w:val="3DEE7CF3"/>
    <w:rsid w:val="3DF02244"/>
    <w:rsid w:val="3E78745D"/>
    <w:rsid w:val="3FF4CAE0"/>
    <w:rsid w:val="3FF7B227"/>
    <w:rsid w:val="40E54C45"/>
    <w:rsid w:val="43A407DF"/>
    <w:rsid w:val="44515BEA"/>
    <w:rsid w:val="44E268DA"/>
    <w:rsid w:val="453F7E5B"/>
    <w:rsid w:val="486A6C7A"/>
    <w:rsid w:val="49176D9B"/>
    <w:rsid w:val="4A627F82"/>
    <w:rsid w:val="4B0E749A"/>
    <w:rsid w:val="4B4F25DA"/>
    <w:rsid w:val="4BDA0CFB"/>
    <w:rsid w:val="4BE068DB"/>
    <w:rsid w:val="4D3C0CCC"/>
    <w:rsid w:val="4D577224"/>
    <w:rsid w:val="4DBF1CEB"/>
    <w:rsid w:val="4EAB630A"/>
    <w:rsid w:val="4ECE2238"/>
    <w:rsid w:val="4F833267"/>
    <w:rsid w:val="4FE9BD67"/>
    <w:rsid w:val="4FFB052F"/>
    <w:rsid w:val="53083A92"/>
    <w:rsid w:val="537E6D0A"/>
    <w:rsid w:val="53AF27A2"/>
    <w:rsid w:val="53F74C96"/>
    <w:rsid w:val="56E47B74"/>
    <w:rsid w:val="57BD3DD4"/>
    <w:rsid w:val="591F3EEB"/>
    <w:rsid w:val="5AF92295"/>
    <w:rsid w:val="5BDD79E6"/>
    <w:rsid w:val="5BF561CA"/>
    <w:rsid w:val="5BFF5DFC"/>
    <w:rsid w:val="5CD71FC4"/>
    <w:rsid w:val="5D1F11B5"/>
    <w:rsid w:val="5DAE1B18"/>
    <w:rsid w:val="5DE7D9E5"/>
    <w:rsid w:val="5ECEC941"/>
    <w:rsid w:val="5F493CB7"/>
    <w:rsid w:val="5FBF9FF3"/>
    <w:rsid w:val="5FCD4E2C"/>
    <w:rsid w:val="5FD15F49"/>
    <w:rsid w:val="5FEF394A"/>
    <w:rsid w:val="5FF67715"/>
    <w:rsid w:val="62BF3928"/>
    <w:rsid w:val="647F5392"/>
    <w:rsid w:val="664B1D71"/>
    <w:rsid w:val="67AA3209"/>
    <w:rsid w:val="681C4F0D"/>
    <w:rsid w:val="69046D0F"/>
    <w:rsid w:val="698D0931"/>
    <w:rsid w:val="6A993CED"/>
    <w:rsid w:val="6A995680"/>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0D633F"/>
    <w:rsid w:val="7332FE48"/>
    <w:rsid w:val="73AB61DA"/>
    <w:rsid w:val="73AD73D5"/>
    <w:rsid w:val="73B6EB34"/>
    <w:rsid w:val="73FA497D"/>
    <w:rsid w:val="744731E5"/>
    <w:rsid w:val="74527205"/>
    <w:rsid w:val="74BBD01D"/>
    <w:rsid w:val="74ED5379"/>
    <w:rsid w:val="74FC2395"/>
    <w:rsid w:val="75DEEEC2"/>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C577F"/>
    <w:rsid w:val="7F4FC4EF"/>
    <w:rsid w:val="7F5E4D54"/>
    <w:rsid w:val="7F6E0135"/>
    <w:rsid w:val="7F954DBA"/>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37"/>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5"/>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2"/>
    <w:qFormat/>
    <w:uiPriority w:val="9"/>
    <w:rPr>
      <w:rFonts w:ascii="Times New Roman" w:hAnsi="Times New Roman"/>
      <w:b/>
      <w:bCs/>
      <w:kern w:val="44"/>
      <w:sz w:val="44"/>
      <w:szCs w:val="44"/>
    </w:rPr>
  </w:style>
  <w:style w:type="character" w:customStyle="1" w:styleId="29">
    <w:name w:val="标题 2 Char"/>
    <w:basedOn w:val="16"/>
    <w:link w:val="3"/>
    <w:qFormat/>
    <w:uiPriority w:val="9"/>
    <w:rPr>
      <w:rFonts w:asciiTheme="majorHAnsi" w:hAnsiTheme="majorHAnsi" w:eastAsiaTheme="majorEastAsia" w:cstheme="majorBidi"/>
      <w:b/>
      <w:bCs/>
      <w:kern w:val="2"/>
      <w:sz w:val="32"/>
      <w:szCs w:val="32"/>
    </w:rPr>
  </w:style>
  <w:style w:type="paragraph" w:customStyle="1" w:styleId="30">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4"/>
    <w:qFormat/>
    <w:uiPriority w:val="9"/>
    <w:rPr>
      <w:rFonts w:ascii="Times New Roman" w:hAnsi="Times New Roman"/>
      <w:b/>
      <w:bCs/>
      <w:kern w:val="2"/>
      <w:sz w:val="32"/>
      <w:szCs w:val="32"/>
    </w:rPr>
  </w:style>
  <w:style w:type="paragraph" w:customStyle="1" w:styleId="33">
    <w:name w:val="TOC Heading"/>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 w:type="paragraph" w:customStyle="1" w:styleId="35">
    <w:name w:val="WPSOffice手动目录 1"/>
    <w:qFormat/>
    <w:uiPriority w:val="0"/>
    <w:pPr>
      <w:ind w:leftChars="0"/>
    </w:pPr>
    <w:rPr>
      <w:rFonts w:asciiTheme="minorHAnsi" w:hAnsiTheme="minorHAnsi" w:eastAsiaTheme="minorEastAsia" w:cstheme="minorBidi"/>
      <w:sz w:val="20"/>
      <w:szCs w:val="20"/>
    </w:rPr>
  </w:style>
  <w:style w:type="paragraph" w:customStyle="1" w:styleId="36">
    <w:name w:val="WPSOffice手动目录 2"/>
    <w:qFormat/>
    <w:uiPriority w:val="0"/>
    <w:pPr>
      <w:ind w:leftChars="200"/>
    </w:pPr>
    <w:rPr>
      <w:rFonts w:asciiTheme="minorHAnsi" w:hAnsiTheme="minorHAnsi" w:eastAsiaTheme="minorEastAsia" w:cstheme="minorBidi"/>
      <w:sz w:val="20"/>
      <w:szCs w:val="20"/>
    </w:rPr>
  </w:style>
  <w:style w:type="character" w:customStyle="1" w:styleId="37">
    <w:name w:val="标题 1 字符"/>
    <w:basedOn w:val="16"/>
    <w:link w:val="2"/>
    <w:qFormat/>
    <w:uiPriority w:val="9"/>
    <w:rPr>
      <w:rFonts w:ascii="Times New Roman" w:hAnsi="Times New Roman"/>
      <w:b/>
      <w:bCs/>
      <w:kern w:val="44"/>
      <w:sz w:val="44"/>
      <w:szCs w:val="44"/>
    </w:rPr>
  </w:style>
  <w:style w:type="character" w:customStyle="1" w:styleId="38">
    <w:name w:val="标题 2 字符"/>
    <w:basedOn w:val="16"/>
    <w:link w:val="3"/>
    <w:qFormat/>
    <w:uiPriority w:val="9"/>
    <w:rPr>
      <w:rFonts w:asciiTheme="majorHAnsi" w:hAnsiTheme="majorHAnsi" w:eastAsiaTheme="majorEastAsia" w:cstheme="majorBidi"/>
      <w:b/>
      <w:bCs/>
      <w:kern w:val="2"/>
      <w:sz w:val="32"/>
      <w:szCs w:val="32"/>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6.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package" Target="../embeddings/Workbook6.xlsx"/></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package" Target="../embeddings/Workbook7.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40" b="1" i="0" u="none" strike="noStrike" kern="1200" baseline="0">
                <a:solidFill>
                  <a:schemeClr val="dk1">
                    <a:lumMod val="75000"/>
                    <a:lumOff val="25000"/>
                  </a:schemeClr>
                </a:solidFill>
                <a:latin typeface="+mn-lt"/>
                <a:ea typeface="+mn-ea"/>
                <a:cs typeface="+mn-cs"/>
              </a:defRPr>
            </a:pPr>
            <a:r>
              <a:rPr sz="1440"/>
              <a:t>收入、支出决算总计变动情况图</a:t>
            </a:r>
            <a:endParaRPr sz="144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38054.66</c:v>
                </c:pt>
                <c:pt idx="1">
                  <c:v>38054.66</c:v>
                </c:pt>
              </c:numCache>
            </c:numRef>
          </c:val>
        </c:ser>
        <c:ser>
          <c:idx val="1"/>
          <c:order val="1"/>
          <c:tx>
            <c:strRef>
              <c:f>Sheet1!$C$1</c:f>
              <c:strCache>
                <c:ptCount val="1"/>
                <c:pt idx="0">
                  <c:v>2025年</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49822.8</c:v>
                </c:pt>
                <c:pt idx="1">
                  <c:v>49822.8</c:v>
                </c:pt>
              </c:numCache>
            </c:numRef>
          </c:val>
        </c:ser>
        <c:dLbls>
          <c:showLegendKey val="0"/>
          <c:showVal val="1"/>
          <c:showCatName val="0"/>
          <c:showSerName val="0"/>
          <c:showPercent val="0"/>
          <c:showBubbleSize val="0"/>
        </c:dLbls>
        <c:gapWidth val="65"/>
        <c:overlap val="0"/>
        <c:axId val="884896971"/>
        <c:axId val="772269939"/>
      </c:barChart>
      <c:catAx>
        <c:axId val="88489697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1200" b="0" i="0" u="none" strike="noStrike" kern="1200" cap="all" baseline="0">
                <a:solidFill>
                  <a:schemeClr val="dk1">
                    <a:lumMod val="75000"/>
                    <a:lumOff val="25000"/>
                  </a:schemeClr>
                </a:solidFill>
                <a:latin typeface="+mn-lt"/>
                <a:ea typeface="+mn-ea"/>
                <a:cs typeface="+mn-cs"/>
              </a:defRPr>
            </a:pPr>
          </a:p>
        </c:txPr>
        <c:crossAx val="772269939"/>
        <c:crosses val="autoZero"/>
        <c:auto val="1"/>
        <c:lblAlgn val="ctr"/>
        <c:lblOffset val="100"/>
        <c:noMultiLvlLbl val="0"/>
      </c:catAx>
      <c:valAx>
        <c:axId val="77226993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1200" b="0" i="0" u="none" strike="noStrike" kern="1200" baseline="0">
                <a:solidFill>
                  <a:schemeClr val="dk1">
                    <a:lumMod val="75000"/>
                    <a:lumOff val="25000"/>
                  </a:schemeClr>
                </a:solidFill>
                <a:latin typeface="+mn-lt"/>
                <a:ea typeface="+mn-ea"/>
                <a:cs typeface="+mn-cs"/>
              </a:defRPr>
            </a:pPr>
          </a:p>
        </c:txPr>
        <c:crossAx val="884896971"/>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mn-lt"/>
                <a:ea typeface="+mn-ea"/>
                <a:cs typeface="+mn-cs"/>
              </a:defRPr>
            </a:pPr>
          </a:p>
        </c:txPr>
      </c:legendEntry>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7d530541-10aa-49b1-981b-3ead881ce31c}"/>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sz="1200"/>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收入决算结构图</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销售额</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c:spPr>
          </c:dPt>
          <c:dLbls>
            <c:dLbl>
              <c:idx val="0"/>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100</a:t>
                    </a:r>
                    <a:r>
                      <a:t>%</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c:f>
              <c:strCache>
                <c:ptCount val="1"/>
                <c:pt idx="0">
                  <c:v>一般公共预算财政拨款收入</c:v>
                </c:pt>
              </c:strCache>
            </c:strRef>
          </c:cat>
          <c:val>
            <c:numRef>
              <c:f>Sheet1!$B$2</c:f>
              <c:numCache>
                <c:formatCode>General</c:formatCode>
                <c:ptCount val="1"/>
                <c:pt idx="0">
                  <c:v>49822.8</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950ea956-49d7-44b1-b8cd-1a99a1e3061b}"/>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支出决算结构图</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1"/>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3.8</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9</a:t>
                    </a:r>
                    <a:r>
                      <a:rPr lang="en-US" altLang="zh-CN"/>
                      <a:t>6.2</a:t>
                    </a:r>
                    <a:r>
                      <a:t>%</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Sheet1!$A$2:$A$3</c:f>
              <c:strCache>
                <c:ptCount val="2"/>
                <c:pt idx="0">
                  <c:v>基本支出</c:v>
                </c:pt>
                <c:pt idx="1">
                  <c:v>项目支出</c:v>
                </c:pt>
              </c:strCache>
            </c:strRef>
          </c:cat>
          <c:val>
            <c:numRef>
              <c:f>Sheet1!$B$2:$B$3</c:f>
              <c:numCache>
                <c:formatCode>General</c:formatCode>
                <c:ptCount val="2"/>
                <c:pt idx="0">
                  <c:v>1897.01</c:v>
                </c:pt>
                <c:pt idx="1">
                  <c:v>47925.79</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bd3e87f0-86fb-401f-b152-51bf7581a0a3}"/>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40" b="1" i="0" u="none" strike="noStrike" kern="1200" baseline="0">
                <a:solidFill>
                  <a:schemeClr val="dk1">
                    <a:lumMod val="75000"/>
                    <a:lumOff val="25000"/>
                  </a:schemeClr>
                </a:solidFill>
                <a:latin typeface="+mn-lt"/>
                <a:ea typeface="+mn-ea"/>
                <a:cs typeface="+mn-cs"/>
              </a:defRPr>
            </a:pPr>
            <a:r>
              <a:rPr sz="1440"/>
              <a:t>财政拨款收、支决算总计变动情况图</a:t>
            </a:r>
            <a:endParaRPr sz="144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2024年</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收入</c:v>
                </c:pt>
                <c:pt idx="1">
                  <c:v>支出</c:v>
                </c:pt>
              </c:strCache>
            </c:strRef>
          </c:cat>
          <c:val>
            <c:numRef>
              <c:f>Sheet1!$B$2:$B$3</c:f>
              <c:numCache>
                <c:formatCode>General</c:formatCode>
                <c:ptCount val="2"/>
                <c:pt idx="0">
                  <c:v>38054.66</c:v>
                </c:pt>
                <c:pt idx="1">
                  <c:v>38054.66</c:v>
                </c:pt>
              </c:numCache>
            </c:numRef>
          </c:val>
        </c:ser>
        <c:ser>
          <c:idx val="1"/>
          <c:order val="1"/>
          <c:tx>
            <c:strRef>
              <c:f>Sheet1!$C$1</c:f>
              <c:strCache>
                <c:ptCount val="1"/>
                <c:pt idx="0">
                  <c:v>2025年</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12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Sheet1!$A$2:$A$3</c:f>
              <c:strCache>
                <c:ptCount val="2"/>
                <c:pt idx="0">
                  <c:v>收入</c:v>
                </c:pt>
                <c:pt idx="1">
                  <c:v>支出</c:v>
                </c:pt>
              </c:strCache>
            </c:strRef>
          </c:cat>
          <c:val>
            <c:numRef>
              <c:f>Sheet1!$C$2:$C$3</c:f>
              <c:numCache>
                <c:formatCode>General</c:formatCode>
                <c:ptCount val="2"/>
                <c:pt idx="0">
                  <c:v>49822.8</c:v>
                </c:pt>
                <c:pt idx="1">
                  <c:v>49822.8</c:v>
                </c:pt>
              </c:numCache>
            </c:numRef>
          </c:val>
        </c:ser>
        <c:dLbls>
          <c:showLegendKey val="0"/>
          <c:showVal val="1"/>
          <c:showCatName val="0"/>
          <c:showSerName val="0"/>
          <c:showPercent val="0"/>
          <c:showBubbleSize val="0"/>
        </c:dLbls>
        <c:gapWidth val="65"/>
        <c:overlap val="0"/>
        <c:axId val="884896971"/>
        <c:axId val="772269939"/>
      </c:barChart>
      <c:catAx>
        <c:axId val="88489697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1200" b="0" i="0" u="none" strike="noStrike" kern="1200" cap="all" baseline="0">
                <a:solidFill>
                  <a:schemeClr val="dk1">
                    <a:lumMod val="75000"/>
                    <a:lumOff val="25000"/>
                  </a:schemeClr>
                </a:solidFill>
                <a:latin typeface="+mn-lt"/>
                <a:ea typeface="+mn-ea"/>
                <a:cs typeface="+mn-cs"/>
              </a:defRPr>
            </a:pPr>
          </a:p>
        </c:txPr>
        <c:crossAx val="772269939"/>
        <c:crosses val="autoZero"/>
        <c:auto val="1"/>
        <c:lblAlgn val="ctr"/>
        <c:lblOffset val="100"/>
        <c:noMultiLvlLbl val="0"/>
      </c:catAx>
      <c:valAx>
        <c:axId val="77226993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1200" b="0" i="0" u="none" strike="noStrike" kern="1200" baseline="0">
                <a:solidFill>
                  <a:schemeClr val="dk1">
                    <a:lumMod val="75000"/>
                    <a:lumOff val="25000"/>
                  </a:schemeClr>
                </a:solidFill>
                <a:latin typeface="+mn-lt"/>
                <a:ea typeface="+mn-ea"/>
                <a:cs typeface="+mn-cs"/>
              </a:defRPr>
            </a:pPr>
          </a:p>
        </c:txPr>
        <c:crossAx val="884896971"/>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mn-lt"/>
                <a:ea typeface="+mn-ea"/>
                <a:cs typeface="+mn-cs"/>
              </a:defRPr>
            </a:pPr>
          </a:p>
        </c:txPr>
      </c:legendEntry>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12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7d530541-10aa-49b1-981b-3ead881ce31c}"/>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sz="1200"/>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200" b="1" i="0" u="none" strike="noStrike" kern="1200" baseline="0">
                <a:solidFill>
                  <a:schemeClr val="dk1">
                    <a:lumMod val="75000"/>
                    <a:lumOff val="25000"/>
                  </a:schemeClr>
                </a:solidFill>
                <a:latin typeface="+mn-lt"/>
                <a:ea typeface="+mn-ea"/>
                <a:cs typeface="+mn-cs"/>
              </a:defRPr>
            </a:pPr>
            <a:r>
              <a:rPr sz="1200"/>
              <a:t>一般公共预算财政拨款支出决算变动情况</a:t>
            </a:r>
            <a:endParaRPr sz="1200"/>
          </a:p>
        </c:rich>
      </c:tx>
      <c:layout/>
      <c:overlay val="0"/>
      <c:spPr>
        <a:noFill/>
        <a:ln>
          <a:noFill/>
        </a:ln>
        <a:effectLst/>
      </c:spPr>
    </c:title>
    <c:autoTitleDeleted val="0"/>
    <c:plotArea>
      <c:layout/>
      <c:barChart>
        <c:barDir val="col"/>
        <c:grouping val="clustered"/>
        <c:varyColors val="0"/>
        <c:ser>
          <c:idx val="0"/>
          <c:order val="0"/>
          <c:tx>
            <c:strRef>
              <c:f>Sheet1!$B$1</c:f>
              <c:strCache>
                <c:ptCount val="1"/>
                <c:pt idx="0">
                  <c:v>2025年</c:v>
                </c:pt>
              </c:strCache>
            </c:strRef>
          </c:tx>
          <c:spPr>
            <a:solidFill>
              <a:schemeClr val="accent1">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c:f>
              <c:strCache>
                <c:ptCount val="1"/>
                <c:pt idx="0">
                  <c:v>一般公共预算财政拨款支出</c:v>
                </c:pt>
              </c:strCache>
            </c:strRef>
          </c:cat>
          <c:val>
            <c:numRef>
              <c:f>Sheet1!$B$2</c:f>
              <c:numCache>
                <c:formatCode>General</c:formatCode>
                <c:ptCount val="1"/>
                <c:pt idx="0">
                  <c:v>35254.66</c:v>
                </c:pt>
              </c:numCache>
            </c:numRef>
          </c:val>
        </c:ser>
        <c:ser>
          <c:idx val="1"/>
          <c:order val="1"/>
          <c:tx>
            <c:strRef>
              <c:f>Sheet1!$C$1</c:f>
              <c:strCache>
                <c:ptCount val="1"/>
                <c:pt idx="0">
                  <c:v>2024年</c:v>
                </c:pt>
              </c:strCache>
            </c:strRef>
          </c:tx>
          <c:spPr>
            <a:solidFill>
              <a:schemeClr val="accent2">
                <a:alpha val="85000"/>
              </a:schemeClr>
            </a:solidFill>
            <a:ln w="9525" cap="flat" cmpd="sng" algn="ctr">
              <a:solidFill>
                <a:schemeClr val="lt1">
                  <a:alpha val="50000"/>
                </a:schemeClr>
              </a:solidFill>
              <a:round/>
            </a:ln>
            <a:effectLst/>
          </c:spPr>
          <c:invertIfNegative val="0"/>
          <c:dLbls>
            <c:spPr>
              <a:noFill/>
              <a:ln>
                <a:noFill/>
              </a:ln>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a:solidFill>
                        <a:schemeClr val="dk1">
                          <a:lumMod val="50000"/>
                          <a:lumOff val="50000"/>
                        </a:schemeClr>
                      </a:solidFill>
                    </a:ln>
                    <a:effectLst/>
                  </c:spPr>
                </c15:leaderLines>
              </c:ext>
            </c:extLst>
          </c:dLbls>
          <c:cat>
            <c:strRef>
              <c:f>Sheet1!$A$2</c:f>
              <c:strCache>
                <c:ptCount val="1"/>
                <c:pt idx="0">
                  <c:v>一般公共预算财政拨款支出</c:v>
                </c:pt>
              </c:strCache>
            </c:strRef>
          </c:cat>
          <c:val>
            <c:numRef>
              <c:f>Sheet1!$C$2</c:f>
              <c:numCache>
                <c:formatCode>General</c:formatCode>
                <c:ptCount val="1"/>
                <c:pt idx="0">
                  <c:v>49822.8</c:v>
                </c:pt>
              </c:numCache>
            </c:numRef>
          </c:val>
        </c:ser>
        <c:dLbls>
          <c:showLegendKey val="0"/>
          <c:showVal val="1"/>
          <c:showCatName val="0"/>
          <c:showSerName val="0"/>
          <c:showPercent val="0"/>
          <c:showBubbleSize val="0"/>
        </c:dLbls>
        <c:gapWidth val="65"/>
        <c:overlap val="0"/>
        <c:axId val="884896971"/>
        <c:axId val="772269939"/>
      </c:barChart>
      <c:catAx>
        <c:axId val="884896971"/>
        <c:scaling>
          <c:orientation val="minMax"/>
        </c:scaling>
        <c:delete val="0"/>
        <c:axPos val="b"/>
        <c:majorTickMark val="none"/>
        <c:minorTickMark val="none"/>
        <c:tickLblPos val="nextTo"/>
        <c:spPr>
          <a:noFill/>
          <a:ln w="19050" cap="flat" cmpd="sng" algn="ctr">
            <a:solidFill>
              <a:schemeClr val="dk1">
                <a:lumMod val="75000"/>
                <a:lumOff val="25000"/>
              </a:schemeClr>
            </a:solidFill>
            <a:round/>
          </a:ln>
          <a:effectLst/>
        </c:spPr>
        <c:txPr>
          <a:bodyPr rot="-60000000" spcFirstLastPara="0" vertOverflow="ellipsis" vert="horz" wrap="square" anchor="ctr" anchorCtr="1"/>
          <a:lstStyle/>
          <a:p>
            <a:pPr>
              <a:defRPr lang="zh-CN" sz="1000" b="0" i="0" u="none" strike="noStrike" kern="1200" cap="all" baseline="0">
                <a:solidFill>
                  <a:schemeClr val="dk1">
                    <a:lumMod val="75000"/>
                    <a:lumOff val="25000"/>
                  </a:schemeClr>
                </a:solidFill>
                <a:latin typeface="+mn-lt"/>
                <a:ea typeface="+mn-ea"/>
                <a:cs typeface="+mn-cs"/>
              </a:defRPr>
            </a:pPr>
          </a:p>
        </c:txPr>
        <c:crossAx val="772269939"/>
        <c:crosses val="autoZero"/>
        <c:auto val="1"/>
        <c:lblAlgn val="ctr"/>
        <c:lblOffset val="100"/>
        <c:noMultiLvlLbl val="0"/>
      </c:catAx>
      <c:valAx>
        <c:axId val="772269939"/>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General" sourceLinked="1"/>
        <c:majorTickMark val="none"/>
        <c:minorTickMark val="none"/>
        <c:tickLblPos val="nextTo"/>
        <c:txPr>
          <a:bodyPr rot="-60000000" spcFirstLastPara="0" vertOverflow="ellipsis" vert="horz" wrap="square" anchor="ctr" anchorCtr="1"/>
          <a:lstStyle/>
          <a:p>
            <a:pPr>
              <a:defRPr lang="zh-CN" sz="1000" b="0" i="0" u="none" strike="noStrike" kern="1200" baseline="0">
                <a:solidFill>
                  <a:schemeClr val="dk1">
                    <a:lumMod val="75000"/>
                    <a:lumOff val="25000"/>
                  </a:schemeClr>
                </a:solidFill>
                <a:latin typeface="+mn-lt"/>
                <a:ea typeface="+mn-ea"/>
                <a:cs typeface="+mn-cs"/>
              </a:defRPr>
            </a:pPr>
          </a:p>
        </c:txPr>
        <c:crossAx val="884896971"/>
        <c:crosses val="autoZero"/>
        <c:crossBetween val="between"/>
      </c:valAx>
      <c:spPr>
        <a:noFill/>
        <a:ln>
          <a:noFill/>
        </a:ln>
        <a:effectLst/>
      </c:spPr>
    </c:plotArea>
    <c:legend>
      <c:legendPos val="b"/>
      <c:legendEntry>
        <c:idx val="0"/>
        <c:txPr>
          <a:bodyPr rot="0" spcFirstLastPara="0" vertOverflow="ellipsis" vert="horz" wrap="square" anchor="ctr" anchorCtr="1"/>
          <a:lstStyle/>
          <a:p>
            <a:pPr>
              <a:defRPr lang="zh-CN" sz="1000" b="0" i="0" u="none" strike="noStrike" kern="1200" baseline="0">
                <a:solidFill>
                  <a:schemeClr val="dk1">
                    <a:lumMod val="75000"/>
                    <a:lumOff val="25000"/>
                  </a:schemeClr>
                </a:solidFill>
                <a:latin typeface="+mn-lt"/>
                <a:ea typeface="+mn-ea"/>
                <a:cs typeface="+mn-cs"/>
              </a:defRPr>
            </a:pPr>
          </a:p>
        </c:txPr>
      </c:legendEntry>
      <c:legendEntry>
        <c:idx val="1"/>
        <c:txPr>
          <a:bodyPr rot="0" spcFirstLastPara="0" vertOverflow="ellipsis" vert="horz" wrap="square" anchor="ctr" anchorCtr="1"/>
          <a:lstStyle/>
          <a:p>
            <a:pPr>
              <a:defRPr lang="zh-CN" sz="1000" b="0" i="0" u="none" strike="noStrike" kern="1200" baseline="0">
                <a:solidFill>
                  <a:schemeClr val="dk1">
                    <a:lumMod val="75000"/>
                    <a:lumOff val="25000"/>
                  </a:schemeClr>
                </a:solidFill>
                <a:latin typeface="+mn-lt"/>
                <a:ea typeface="+mn-ea"/>
                <a:cs typeface="+mn-cs"/>
              </a:defRPr>
            </a:pPr>
          </a:p>
        </c:txPr>
      </c:legendEntry>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10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cbf9ae81-32e5-4c49-9c9d-1737fe3fae32}"/>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sz="1000"/>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800" b="1" i="0" u="none" strike="noStrike" kern="1200" baseline="0">
                <a:solidFill>
                  <a:schemeClr val="dk1">
                    <a:lumMod val="75000"/>
                    <a:lumOff val="25000"/>
                  </a:schemeClr>
                </a:solidFill>
                <a:latin typeface="+mn-lt"/>
                <a:ea typeface="+mn-ea"/>
                <a:cs typeface="+mn-cs"/>
              </a:defRPr>
            </a:pPr>
            <a:r>
              <a:t>一般公共预算财政拨款支出决算结构</a:t>
            </a:r>
          </a:p>
        </c:rich>
      </c:tx>
      <c:layout/>
      <c:overlay val="0"/>
      <c:spPr>
        <a:noFill/>
        <a:ln>
          <a:noFill/>
        </a:ln>
        <a:effectLst/>
      </c:sp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销售额</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1"/>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2"/>
            <c:bubble3D val="0"/>
            <c:spPr>
              <a:solidFill>
                <a:schemeClr val="accent3"/>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3"/>
            <c:bubble3D val="0"/>
            <c:spPr>
              <a:solidFill>
                <a:schemeClr val="accent4"/>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4"/>
            <c:bubble3D val="0"/>
            <c:spPr>
              <a:solidFill>
                <a:schemeClr val="accent5"/>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dLbl>
              <c:idx val="2"/>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69.9</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3"/>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29.4</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4"/>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0</a:t>
                    </a:r>
                    <a:r>
                      <a:rPr lang="en-US" altLang="zh-CN"/>
                      <a:t>.3</a:t>
                    </a:r>
                    <a:r>
                      <a:t>%</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Sheet1!$A$2:$A$6</c:f>
              <c:strCache>
                <c:ptCount val="5"/>
                <c:pt idx="0">
                  <c:v>社会保障和就业支出</c:v>
                </c:pt>
                <c:pt idx="1">
                  <c:v>卫生健康支出</c:v>
                </c:pt>
                <c:pt idx="2">
                  <c:v>节能环保支出</c:v>
                </c:pt>
                <c:pt idx="3">
                  <c:v>农林水支出</c:v>
                </c:pt>
                <c:pt idx="4">
                  <c:v>住房保障支出</c:v>
                </c:pt>
              </c:strCache>
            </c:strRef>
          </c:cat>
          <c:val>
            <c:numRef>
              <c:f>Sheet1!$B$2:$B$6</c:f>
              <c:numCache>
                <c:formatCode>General</c:formatCode>
                <c:ptCount val="5"/>
                <c:pt idx="0">
                  <c:v>194.73</c:v>
                </c:pt>
                <c:pt idx="1">
                  <c:v>71.66</c:v>
                </c:pt>
                <c:pt idx="2">
                  <c:v>34821.23</c:v>
                </c:pt>
                <c:pt idx="3">
                  <c:v>14632.92</c:v>
                </c:pt>
                <c:pt idx="4">
                  <c:v>102.26</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53195c46-f48e-428f-888a-a8fced6fabe1}"/>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800" b="1" i="0" u="none" strike="noStrike" kern="1200" baseline="0">
              <a:solidFill>
                <a:schemeClr val="dk1">
                  <a:lumMod val="75000"/>
                  <a:lumOff val="25000"/>
                </a:schemeClr>
              </a:solidFill>
              <a:latin typeface="+mn-lt"/>
              <a:ea typeface="+mn-ea"/>
              <a:cs typeface="+mn-cs"/>
            </a:defRPr>
          </a:pPr>
        </a:p>
      </c:txPr>
    </c:title>
    <c:autoTitleDeleted val="0"/>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pie3DChart>
        <c:varyColors val="1"/>
        <c:ser>
          <c:idx val="0"/>
          <c:order val="0"/>
          <c:tx>
            <c:strRef>
              <c:f>Sheet1!$B$1</c:f>
              <c:strCache>
                <c:ptCount val="1"/>
                <c:pt idx="0">
                  <c:v>“三公”经费财政拨款支出结构</c:v>
                </c:pt>
              </c:strCache>
            </c:strRef>
          </c:tx>
          <c:spPr>
            <a:scene3d>
              <a:camera prst="orthographicFront"/>
              <a:lightRig rig="threePt" dir="t"/>
            </a:scene3d>
            <a:sp3d contourW="9525"/>
          </c:spPr>
          <c:explosion val="0"/>
          <c:dPt>
            <c:idx val="0"/>
            <c:bubble3D val="0"/>
            <c:spPr>
              <a:solidFill>
                <a:schemeClr val="accent1"/>
              </a:solidFill>
              <a:ln>
                <a:noFill/>
              </a:ln>
              <a:effectLst>
                <a:outerShdw blurRad="254000" sx="102000" sy="102000" algn="ctr" rotWithShape="0">
                  <a:prstClr val="black">
                    <a:alpha val="20000"/>
                  </a:prstClr>
                </a:outerShdw>
              </a:effectLst>
              <a:scene3d>
                <a:camera prst="orthographicFront"/>
                <a:lightRig rig="threePt" dir="t"/>
              </a:scene3d>
              <a:sp3d contourW="9525"/>
            </c:spPr>
          </c:dPt>
          <c:dPt>
            <c:idx val="1"/>
            <c:bubble3D val="0"/>
            <c:spPr>
              <a:solidFill>
                <a:schemeClr val="accent2"/>
              </a:solidFill>
              <a:ln>
                <a:noFill/>
              </a:ln>
              <a:effectLst>
                <a:outerShdw blurRad="254000" sx="102000" sy="102000" algn="ctr" rotWithShape="0">
                  <a:prstClr val="black">
                    <a:alpha val="20000"/>
                  </a:prstClr>
                </a:outerShdw>
              </a:effectLst>
              <a:scene3d>
                <a:camera prst="orthographicFront"/>
                <a:lightRig rig="threePt" dir="t"/>
              </a:scene3d>
              <a:sp3d contourW="9525"/>
            </c:spPr>
          </c:dPt>
          <c:dLbls>
            <c:dLbl>
              <c:idx val="0"/>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rPr lang="en-US" altLang="zh-CN"/>
                      <a:t>99.7</a:t>
                    </a:r>
                    <a:r>
                      <a:t>%</a:t>
                    </a:r>
                  </a:p>
                </c:rich>
              </c:tx>
              <c:dLblPos val="ctr"/>
              <c:showLegendKey val="0"/>
              <c:showVal val="0"/>
              <c:showCatName val="0"/>
              <c:showSerName val="0"/>
              <c:showPercent val="1"/>
              <c:showBubbleSize val="0"/>
              <c:extLst>
                <c:ext xmlns:c15="http://schemas.microsoft.com/office/drawing/2012/chart" uri="{CE6537A1-D6FC-4f65-9D91-7224C49458BB}"/>
              </c:extLst>
            </c:dLbl>
            <c:dLbl>
              <c:idx val="1"/>
              <c:layout/>
              <c:tx>
                <c:rich>
                  <a:bodyPr rot="0" spcFirstLastPara="0" vertOverflow="ellipsis" vert="horz" wrap="square" lIns="38100" tIns="19050" rIns="38100" bIns="19050" anchor="ctr" anchorCtr="1"/>
                  <a:lstStyle/>
                  <a:p>
                    <a:pPr defTabSz="914400">
                      <a:defRPr lang="zh-CN" sz="1000" b="1" i="0" u="none" strike="noStrike" kern="1200" baseline="0">
                        <a:solidFill>
                          <a:schemeClr val="lt1"/>
                        </a:solidFill>
                        <a:latin typeface="+mn-lt"/>
                        <a:ea typeface="+mn-ea"/>
                        <a:cs typeface="+mn-cs"/>
                      </a:defRPr>
                    </a:pPr>
                    <a:r>
                      <a:t>0</a:t>
                    </a:r>
                    <a:r>
                      <a:rPr lang="en-US" altLang="zh-CN"/>
                      <a:t>.3</a:t>
                    </a:r>
                    <a:r>
                      <a:t>%</a:t>
                    </a:r>
                  </a:p>
                </c:rich>
              </c:tx>
              <c:dLblPos val="ctr"/>
              <c:showLegendKey val="0"/>
              <c:showVal val="0"/>
              <c:showCatName val="0"/>
              <c:showSerName val="0"/>
              <c:showPercent val="1"/>
              <c:showBubbleSize val="0"/>
              <c:extLst>
                <c:ext xmlns:c15="http://schemas.microsoft.com/office/drawing/2012/chart" uri="{CE6537A1-D6FC-4f65-9D91-7224C49458BB}"/>
              </c:extLst>
            </c:dLbl>
            <c:spPr>
              <a:pattFill prst="pct75">
                <a:fgClr>
                  <a:schemeClr val="dk1">
                    <a:lumMod val="75000"/>
                    <a:lumOff val="25000"/>
                  </a:schemeClr>
                </a:fgClr>
                <a:bgClr>
                  <a:schemeClr val="dk1">
                    <a:lumMod val="65000"/>
                    <a:lumOff val="35000"/>
                  </a:schemeClr>
                </a:bgClr>
              </a:pattFill>
              <a:ln>
                <a:noFill/>
              </a:ln>
              <a:effectLst>
                <a:outerShdw blurRad="50800" dist="38100" dir="2700000" algn="tl" rotWithShape="0">
                  <a:prstClr val="black">
                    <a:alpha val="40000"/>
                  </a:prstClr>
                </a:outerShdw>
              </a:effectLst>
            </c:spPr>
            <c:txPr>
              <a:bodyPr rot="0" spcFirstLastPara="0" vertOverflow="ellipsis" vert="horz" wrap="square" lIns="38100" tIns="19050" rIns="38100" bIns="19050" anchor="ctr" anchorCtr="1"/>
              <a:lstStyle/>
              <a:p>
                <a:pPr>
                  <a:defRPr lang="zh-CN" sz="1000" b="1" i="0" u="none" strike="noStrike" kern="1200" baseline="0">
                    <a:solidFill>
                      <a:schemeClr val="lt1"/>
                    </a:solidFill>
                    <a:latin typeface="+mn-lt"/>
                    <a:ea typeface="+mn-ea"/>
                    <a:cs typeface="+mn-cs"/>
                  </a:defRPr>
                </a:pPr>
              </a:p>
            </c:txPr>
            <c:dLblPos val="ctr"/>
            <c:showLegendKey val="0"/>
            <c:showVal val="0"/>
            <c:showCatName val="0"/>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Sheet1!$A$2:$A$3</c:f>
              <c:strCache>
                <c:ptCount val="2"/>
                <c:pt idx="0">
                  <c:v>公务用车运行维护费支出</c:v>
                </c:pt>
                <c:pt idx="1">
                  <c:v>公务接待费支出</c:v>
                </c:pt>
              </c:strCache>
            </c:strRef>
          </c:cat>
          <c:val>
            <c:numRef>
              <c:f>Sheet1!$B$2:$B$3</c:f>
              <c:numCache>
                <c:formatCode>General</c:formatCode>
                <c:ptCount val="2"/>
                <c:pt idx="0">
                  <c:v>95.06</c:v>
                </c:pt>
                <c:pt idx="1">
                  <c:v>0.24</c:v>
                </c:pt>
              </c:numCache>
            </c:numRef>
          </c:val>
        </c:ser>
        <c:dLbls>
          <c:showLegendKey val="0"/>
          <c:showVal val="0"/>
          <c:showCatName val="0"/>
          <c:showSerName val="0"/>
          <c:showPercent val="1"/>
          <c:showBubbleSize val="0"/>
        </c:dLbls>
      </c:pie3DChart>
      <c:spPr>
        <a:noFill/>
        <a:ln>
          <a:noFill/>
        </a:ln>
        <a:effectLst/>
      </c:spPr>
    </c:plotArea>
    <c:legend>
      <c:legendPos val="r"/>
      <c:layout/>
      <c:overlay val="0"/>
      <c:spPr>
        <a:solidFill>
          <a:schemeClr val="lt1">
            <a:lumMod val="95000"/>
            <a:alpha val="39000"/>
          </a:schemeClr>
        </a:solidFill>
        <a:ln>
          <a:noFill/>
        </a:ln>
        <a:effectLst/>
      </c:spPr>
      <c:txPr>
        <a:bodyPr rot="0" spcFirstLastPara="0" vertOverflow="ellipsis" vert="horz" wrap="square" anchor="ctr" anchorCtr="1"/>
        <a:lstStyle/>
        <a:p>
          <a:pPr>
            <a:defRPr lang="zh-CN" sz="900" b="0" i="0" u="none" strike="noStrike" kern="1200" baseline="0">
              <a:solidFill>
                <a:schemeClr val="dk1">
                  <a:lumMod val="75000"/>
                  <a:lumOff val="25000"/>
                </a:schemeClr>
              </a:solidFill>
              <a:latin typeface="+mn-lt"/>
              <a:ea typeface="+mn-ea"/>
              <a:cs typeface="+mn-cs"/>
            </a:defRPr>
          </a:pPr>
        </a:p>
      </c:txPr>
    </c:legend>
    <c:plotVisOnly val="1"/>
    <c:dispBlanksAs val="gap"/>
    <c:showDLblsOverMax val="0"/>
    <c:extLst>
      <c:ext uri="{0b15fc19-7d7d-44ad-8c2d-2c3a37ce22c3}">
        <chartProps xmlns="https://web.wps.cn/et/2018/main" chartId="{303154dc-0c34-4eac-85d6-8ec5d3775e35}"/>
      </c:ext>
    </c:extLst>
  </c:chart>
  <c: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205">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64">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gradFill>
      <a:ln w="9525" cap="flat" cmpd="sng" algn="ctr">
        <a:solidFill>
          <a:schemeClr val="dk1">
            <a:lumMod val="25000"/>
            <a:lumOff val="75000"/>
          </a:schemeClr>
        </a:solidFill>
        <a:round/>
      </a:ln>
    </cs:spPr>
    <cs:defRPr sz="900" kern="1200"/>
  </cs:chartArea>
  <cs:dataLabel>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dataLabel>
  <cs:dataLabelCallout>
    <cs:lnRef idx="0"/>
    <cs:fillRef idx="0"/>
    <cs:effectRef idx="0"/>
    <cs:fontRef idx="minor">
      <a:schemeClr val="lt1"/>
    </cs:fontRef>
    <cs:spPr>
      <a:pattFill prst="pct75">
        <a:fgClr>
          <a:schemeClr val="dk1">
            <a:lumMod val="75000"/>
            <a:lumOff val="25000"/>
          </a:schemeClr>
        </a:fgClr>
        <a:bgClr>
          <a:schemeClr val="dk1">
            <a:lumMod val="65000"/>
            <a:lumOff val="35000"/>
          </a:schemeClr>
        </a:bgClr>
      </a:pattFill>
      <a:effectLst>
        <a:outerShdw blurRad="50800" dist="38100" dir="2700000" algn="tl" rotWithShape="0">
          <a:prstClr val="black">
            <a:alpha val="40000"/>
          </a:prstClr>
        </a:outerShdw>
      </a:effectLst>
    </cs:spPr>
    <cs:defRPr sz="1000" b="1" i="0" u="none" strike="noStrike" kern="1200" baseline="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
  <cs:dataPoint3D>
    <cs:lnRef idx="0"/>
    <cs:fillRef idx="0">
      <cs:styleClr val="auto"/>
    </cs:fillRef>
    <cs:effectRef idx="0"/>
    <cs:fontRef idx="minor">
      <a:schemeClr val="dk1"/>
    </cs:fontRef>
    <cs:spPr>
      <a:solidFill>
        <a:schemeClr val="phClr"/>
      </a:solidFill>
      <a:effectLst>
        <a:outerShdw blurRad="254000" sx="102000" sy="102000" algn="ctr" rotWithShape="0">
          <a:prstClr val="black">
            <a:alpha val="20000"/>
          </a:prstClr>
        </a:outerShdw>
      </a:effectLst>
    </cs:spPr>
  </cs:dataPoint3D>
  <cs:dataPointLine>
    <cs:lnRef idx="0">
      <cs:styleClr val="auto"/>
    </cs:lnRef>
    <cs:fillRef idx="0"/>
    <cs:effectRef idx="0"/>
    <cs:fontRef idx="minor">
      <a:schemeClr val="dk1"/>
    </cs:fontRef>
    <cs:spPr>
      <a:ln w="31750" cap="rnd">
        <a:solidFill>
          <a:schemeClr val="phClr">
            <a:alpha val="85000"/>
          </a:schemeClr>
        </a:solidFill>
        <a:round/>
      </a:ln>
    </cs:spPr>
  </cs:dataPointLine>
  <cs:dataPointMarker>
    <cs:lnRef idx="0"/>
    <cs:fillRef idx="0">
      <cs:styleClr val="auto"/>
    </cs:fillRef>
    <cs:effectRef idx="0"/>
    <cs:fontRef idx="minor">
      <a:schemeClr val="dk1"/>
    </cs:fontRef>
    <cs:spPr>
      <a:solidFill>
        <a:schemeClr val="phClr">
          <a:alpha val="85000"/>
        </a:schemeClr>
      </a:solidFill>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27</Pages>
  <Words>8974</Words>
  <Characters>9855</Characters>
  <Lines>61</Lines>
  <Paragraphs>17</Paragraphs>
  <TotalTime>395</TotalTime>
  <ScaleCrop>false</ScaleCrop>
  <LinksUpToDate>false</LinksUpToDate>
  <CharactersWithSpaces>9946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王欣媛</cp:lastModifiedBy>
  <cp:lastPrinted>2026-09-10T01:17:00Z</cp:lastPrinted>
  <dcterms:modified xsi:type="dcterms:W3CDTF">2026-09-11T01:21:15Z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1A9C62DB03DB44F3A9C48C0AB52475E2_13</vt:lpwstr>
  </property>
  <property fmtid="{D5CDD505-2E9C-101B-9397-08002B2CF9AE}" pid="4" name="KSOTemplateDocerSaveRecord">
    <vt:lpwstr>eyJoZGlkIjoiODY1YjE0ODMyZjljZGVhMGMyZTg1YTExM2RlZDQ2YTQiLCJ1c2VySWQiOiI0MTQwMzQyNDAifQ==</vt:lpwstr>
  </property>
</Properties>
</file>