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30508">
      <w:pPr>
        <w:pStyle w:val="8"/>
        <w:spacing w:before="93"/>
        <w:rPr>
          <w:rFonts w:ascii="Times New Roman" w:eastAsia="方正小标宋简体"/>
          <w:kern w:val="2"/>
          <w:sz w:val="72"/>
          <w:szCs w:val="72"/>
        </w:rPr>
      </w:pPr>
      <w:bookmarkStart w:id="0" w:name="_Toc15396475"/>
      <w:bookmarkStart w:id="1" w:name="_Toc15377193"/>
      <w:bookmarkStart w:id="2" w:name="_Toc15378441"/>
      <w:bookmarkStart w:id="3" w:name="_Toc15396597"/>
      <w:bookmarkStart w:id="4" w:name="_Toc15306267"/>
      <w:bookmarkStart w:id="5" w:name="_Toc15377425"/>
    </w:p>
    <w:p w14:paraId="51F4F6EF">
      <w:pPr>
        <w:pStyle w:val="8"/>
        <w:spacing w:before="93"/>
        <w:rPr>
          <w:rFonts w:ascii="Times New Roman" w:eastAsia="方正小标宋简体"/>
          <w:kern w:val="2"/>
          <w:sz w:val="72"/>
          <w:szCs w:val="72"/>
        </w:rPr>
      </w:pPr>
    </w:p>
    <w:p w14:paraId="7012FE68">
      <w:pPr>
        <w:pStyle w:val="8"/>
        <w:spacing w:before="93"/>
        <w:rPr>
          <w:rFonts w:ascii="Times New Roman" w:eastAsia="方正小标宋简体"/>
          <w:kern w:val="2"/>
          <w:sz w:val="72"/>
          <w:szCs w:val="72"/>
        </w:rPr>
      </w:pPr>
    </w:p>
    <w:p w14:paraId="6DF9ACCB">
      <w:pPr>
        <w:pStyle w:val="8"/>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2025</w:t>
      </w:r>
      <w:r>
        <w:rPr>
          <w:rFonts w:hint="eastAsia" w:ascii="Times New Roman" w:eastAsia="方正小标宋简体"/>
          <w:kern w:val="2"/>
          <w:sz w:val="44"/>
          <w:szCs w:val="44"/>
        </w:rPr>
        <w:t>年度</w:t>
      </w:r>
      <w:r>
        <w:rPr>
          <w:rFonts w:hint="eastAsia" w:ascii="Times New Roman" w:eastAsia="方正小标宋简体"/>
          <w:kern w:val="2"/>
          <w:sz w:val="44"/>
          <w:szCs w:val="44"/>
          <w:lang w:eastAsia="zh-CN"/>
        </w:rPr>
        <w:t>阿坝州退耕还林工程办公室</w:t>
      </w:r>
    </w:p>
    <w:p w14:paraId="7A1BDA93">
      <w:pPr>
        <w:pStyle w:val="8"/>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单位决算</w:t>
      </w:r>
    </w:p>
    <w:p w14:paraId="6A3D6BE8">
      <w:pPr>
        <w:pStyle w:val="8"/>
        <w:spacing w:before="93"/>
        <w:jc w:val="center"/>
        <w:rPr>
          <w:rFonts w:hint="eastAsia" w:ascii="Times New Roman" w:eastAsia="方正小标宋简体"/>
          <w:kern w:val="2"/>
          <w:sz w:val="44"/>
          <w:szCs w:val="44"/>
        </w:rPr>
      </w:pPr>
    </w:p>
    <w:p w14:paraId="5DF22809">
      <w:pPr>
        <w:pStyle w:val="8"/>
        <w:spacing w:before="93"/>
        <w:jc w:val="center"/>
        <w:rPr>
          <w:rFonts w:hint="eastAsia" w:ascii="Times New Roman" w:eastAsia="方正小标宋简体"/>
          <w:kern w:val="2"/>
          <w:sz w:val="44"/>
          <w:szCs w:val="44"/>
        </w:rPr>
      </w:pPr>
    </w:p>
    <w:p w14:paraId="71D3199F">
      <w:pPr>
        <w:pStyle w:val="8"/>
        <w:spacing w:before="93"/>
        <w:jc w:val="center"/>
        <w:rPr>
          <w:rFonts w:hint="eastAsia" w:ascii="Times New Roman" w:eastAsia="方正小标宋简体"/>
          <w:kern w:val="2"/>
          <w:sz w:val="44"/>
          <w:szCs w:val="44"/>
        </w:rPr>
      </w:pPr>
    </w:p>
    <w:p w14:paraId="2077733F">
      <w:pPr>
        <w:pStyle w:val="8"/>
        <w:spacing w:before="93"/>
        <w:jc w:val="center"/>
        <w:rPr>
          <w:rFonts w:hint="eastAsia" w:ascii="Times New Roman" w:eastAsia="方正小标宋简体"/>
          <w:kern w:val="2"/>
          <w:sz w:val="44"/>
          <w:szCs w:val="44"/>
        </w:rPr>
      </w:pPr>
    </w:p>
    <w:p w14:paraId="697AAD10">
      <w:pPr>
        <w:pStyle w:val="8"/>
        <w:spacing w:before="93"/>
        <w:jc w:val="both"/>
        <w:rPr>
          <w:rFonts w:hint="eastAsia" w:ascii="Times New Roman" w:eastAsia="方正小标宋简体"/>
          <w:kern w:val="2"/>
          <w:sz w:val="44"/>
          <w:szCs w:val="44"/>
        </w:rPr>
      </w:pPr>
    </w:p>
    <w:p w14:paraId="0B9AD483">
      <w:pPr>
        <w:pStyle w:val="8"/>
        <w:spacing w:before="93"/>
        <w:jc w:val="center"/>
        <w:rPr>
          <w:rFonts w:hint="eastAsia" w:ascii="Times New Roman" w:eastAsia="方正小标宋简体"/>
          <w:kern w:val="2"/>
          <w:sz w:val="44"/>
          <w:szCs w:val="44"/>
        </w:rPr>
      </w:pPr>
    </w:p>
    <w:p w14:paraId="178ABE97">
      <w:pPr>
        <w:pStyle w:val="8"/>
        <w:spacing w:before="93"/>
        <w:jc w:val="center"/>
        <w:rPr>
          <w:rFonts w:hint="eastAsia" w:ascii="Times New Roman" w:eastAsia="方正小标宋简体"/>
          <w:kern w:val="2"/>
          <w:sz w:val="44"/>
          <w:szCs w:val="44"/>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3EE5AA1D">
      <w:pPr>
        <w:widowControl/>
        <w:jc w:val="center"/>
        <w:rPr>
          <w:rFonts w:eastAsia="黑体"/>
          <w:sz w:val="48"/>
          <w:szCs w:val="48"/>
        </w:rPr>
      </w:pPr>
      <w:r>
        <w:rPr>
          <w:rFonts w:hint="eastAsia" w:eastAsia="黑体"/>
          <w:sz w:val="48"/>
          <w:szCs w:val="48"/>
        </w:rPr>
        <w:t>目录</w:t>
      </w:r>
    </w:p>
    <w:p w14:paraId="55A8ED0E">
      <w:pPr>
        <w:widowControl/>
        <w:jc w:val="center"/>
        <w:rPr>
          <w:rFonts w:eastAsia="黑体" w:cstheme="minorBidi"/>
          <w:sz w:val="28"/>
          <w:szCs w:val="28"/>
        </w:rPr>
      </w:pPr>
    </w:p>
    <w:p w14:paraId="61D286D8">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w:t>
      </w:r>
      <w:r>
        <w:rPr>
          <w:rFonts w:hint="eastAsia" w:ascii="Times New Roman" w:hAnsi="Times New Roman" w:eastAsia="仿宋_GB2312" w:cs="仿宋_GB2312"/>
          <w:sz w:val="32"/>
          <w:szCs w:val="32"/>
          <w:lang w:eastAsia="zh-CN"/>
        </w:rPr>
        <w:t>2025</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11</w:t>
      </w:r>
      <w:bookmarkStart w:id="110" w:name="_GoBack"/>
      <w:bookmarkEnd w:id="110"/>
      <w:r>
        <w:rPr>
          <w:rFonts w:hint="eastAsia" w:ascii="Times New Roman" w:hAnsi="Times New Roman" w:eastAsia="仿宋_GB2312" w:cs="仿宋_GB2312"/>
          <w:sz w:val="32"/>
          <w:szCs w:val="32"/>
        </w:rPr>
        <w:t>日</w:t>
      </w:r>
    </w:p>
    <w:p w14:paraId="21731D87"/>
    <w:p w14:paraId="6281652F">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Cs w:val="0"/>
          <w:kern w:val="0"/>
          <w:sz w:val="32"/>
          <w:szCs w:val="32"/>
        </w:rPr>
      </w:pPr>
      <w:bookmarkStart w:id="6" w:name="_Toc15396599"/>
      <w:bookmarkStart w:id="7" w:name="_Toc15377196"/>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TOC \o "1-2" \h \u </w:instrText>
      </w:r>
      <w:r>
        <w:rPr>
          <w:rFonts w:hint="eastAsia" w:ascii="仿宋_GB2312" w:hAnsi="仿宋_GB2312" w:eastAsia="仿宋_GB2312" w:cs="仿宋_GB2312"/>
          <w:bCs w:val="0"/>
          <w:kern w:val="0"/>
          <w:sz w:val="32"/>
          <w:szCs w:val="32"/>
        </w:rPr>
        <w:fldChar w:fldCharType="separate"/>
      </w:r>
    </w:p>
    <w:p w14:paraId="2B461E1A">
      <w:pPr>
        <w:pStyle w:val="35"/>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_Toc882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第一部分 单位概况</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3</w:t>
      </w:r>
      <w:r>
        <w:rPr>
          <w:rFonts w:hint="eastAsia" w:ascii="仿宋_GB2312" w:hAnsi="仿宋_GB2312" w:eastAsia="仿宋_GB2312" w:cs="仿宋_GB2312"/>
          <w:bCs w:val="0"/>
          <w:kern w:val="0"/>
          <w:sz w:val="32"/>
          <w:szCs w:val="32"/>
        </w:rPr>
        <w:fldChar w:fldCharType="end"/>
      </w:r>
    </w:p>
    <w:p w14:paraId="406B5E40">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_Toc18582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 主要职责</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3</w:t>
      </w:r>
      <w:r>
        <w:rPr>
          <w:rFonts w:hint="eastAsia" w:ascii="仿宋_GB2312" w:hAnsi="仿宋_GB2312" w:eastAsia="仿宋_GB2312" w:cs="仿宋_GB2312"/>
          <w:bCs w:val="0"/>
          <w:kern w:val="0"/>
          <w:sz w:val="32"/>
          <w:szCs w:val="32"/>
        </w:rPr>
        <w:fldChar w:fldCharType="end"/>
      </w:r>
    </w:p>
    <w:p w14:paraId="4B2A9D02">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_Toc23608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二、机构设置</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w:t>
      </w:r>
      <w:r>
        <w:rPr>
          <w:rFonts w:hint="eastAsia" w:ascii="仿宋_GB2312" w:hAnsi="仿宋_GB2312" w:eastAsia="仿宋_GB2312" w:cs="仿宋_GB2312"/>
          <w:bCs w:val="0"/>
          <w:kern w:val="0"/>
          <w:sz w:val="32"/>
          <w:szCs w:val="32"/>
        </w:rPr>
        <w:fldChar w:fldCharType="end"/>
      </w:r>
    </w:p>
    <w:p w14:paraId="12540BCF">
      <w:pPr>
        <w:pStyle w:val="35"/>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_Toc24986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 xml:space="preserve">第二部分 </w:t>
      </w:r>
      <w:r>
        <w:rPr>
          <w:rFonts w:hint="eastAsia" w:ascii="仿宋_GB2312" w:hAnsi="仿宋_GB2312" w:eastAsia="仿宋_GB2312" w:cs="仿宋_GB2312"/>
          <w:bCs w:val="0"/>
          <w:kern w:val="0"/>
          <w:sz w:val="32"/>
          <w:szCs w:val="32"/>
          <w:lang w:eastAsia="zh-CN"/>
        </w:rPr>
        <w:t>2025</w:t>
      </w:r>
      <w:r>
        <w:rPr>
          <w:rFonts w:hint="eastAsia" w:ascii="仿宋_GB2312" w:hAnsi="仿宋_GB2312" w:eastAsia="仿宋_GB2312" w:cs="仿宋_GB2312"/>
          <w:bCs w:val="0"/>
          <w:kern w:val="0"/>
          <w:sz w:val="32"/>
          <w:szCs w:val="32"/>
        </w:rPr>
        <w:t>年度单位决算情况说明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5</w:t>
      </w:r>
      <w:r>
        <w:rPr>
          <w:rFonts w:hint="eastAsia" w:ascii="仿宋_GB2312" w:hAnsi="仿宋_GB2312" w:eastAsia="仿宋_GB2312" w:cs="仿宋_GB2312"/>
          <w:bCs w:val="0"/>
          <w:kern w:val="0"/>
          <w:sz w:val="32"/>
          <w:szCs w:val="32"/>
        </w:rPr>
        <w:fldChar w:fldCharType="end"/>
      </w:r>
    </w:p>
    <w:p w14:paraId="7EFB29F1">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_Toc28033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 收入支出决算总体情况说明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5</w:t>
      </w:r>
      <w:r>
        <w:rPr>
          <w:rFonts w:hint="eastAsia" w:ascii="仿宋_GB2312" w:hAnsi="仿宋_GB2312" w:eastAsia="仿宋_GB2312" w:cs="仿宋_GB2312"/>
          <w:bCs w:val="0"/>
          <w:kern w:val="0"/>
          <w:sz w:val="32"/>
          <w:szCs w:val="32"/>
        </w:rPr>
        <w:fldChar w:fldCharType="end"/>
      </w:r>
    </w:p>
    <w:p w14:paraId="24771207">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_Toc18330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 收入决算情况说明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5</w:t>
      </w:r>
      <w:r>
        <w:rPr>
          <w:rFonts w:hint="eastAsia" w:ascii="仿宋_GB2312" w:hAnsi="仿宋_GB2312" w:eastAsia="仿宋_GB2312" w:cs="仿宋_GB2312"/>
          <w:bCs w:val="0"/>
          <w:kern w:val="0"/>
          <w:sz w:val="32"/>
          <w:szCs w:val="32"/>
        </w:rPr>
        <w:fldChar w:fldCharType="end"/>
      </w:r>
    </w:p>
    <w:p w14:paraId="2E8269F2">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_Toc12720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三、 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6</w:t>
      </w:r>
      <w:r>
        <w:rPr>
          <w:rFonts w:hint="eastAsia" w:ascii="仿宋_GB2312" w:hAnsi="仿宋_GB2312" w:eastAsia="仿宋_GB2312" w:cs="仿宋_GB2312"/>
          <w:bCs w:val="0"/>
          <w:kern w:val="0"/>
          <w:sz w:val="32"/>
          <w:szCs w:val="32"/>
        </w:rPr>
        <w:fldChar w:fldCharType="end"/>
      </w:r>
    </w:p>
    <w:p w14:paraId="0E80485B">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_Toc990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四、财政拨款收入支出决算总体情况说明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7</w:t>
      </w:r>
      <w:r>
        <w:rPr>
          <w:rFonts w:hint="eastAsia" w:ascii="仿宋_GB2312" w:hAnsi="仿宋_GB2312" w:eastAsia="仿宋_GB2312" w:cs="仿宋_GB2312"/>
          <w:bCs w:val="0"/>
          <w:kern w:val="0"/>
          <w:sz w:val="32"/>
          <w:szCs w:val="32"/>
        </w:rPr>
        <w:fldChar w:fldCharType="end"/>
      </w:r>
    </w:p>
    <w:p w14:paraId="35701578">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_Toc2282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五、一般公共预算财政拨款支出决算情况说明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7</w:t>
      </w:r>
      <w:r>
        <w:rPr>
          <w:rFonts w:hint="eastAsia" w:ascii="仿宋_GB2312" w:hAnsi="仿宋_GB2312" w:eastAsia="仿宋_GB2312" w:cs="仿宋_GB2312"/>
          <w:bCs w:val="0"/>
          <w:kern w:val="0"/>
          <w:sz w:val="32"/>
          <w:szCs w:val="32"/>
        </w:rPr>
        <w:fldChar w:fldCharType="end"/>
      </w:r>
    </w:p>
    <w:p w14:paraId="39B1AE7A">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_Toc28824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六、一般公共预算财政拨款基本支出决算情况说明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0</w:t>
      </w:r>
    </w:p>
    <w:p w14:paraId="5E54BBDF">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_Toc6092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七、财政拨款“三公”经费支出决算情况说明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0</w:t>
      </w:r>
    </w:p>
    <w:p w14:paraId="7FA5DE0E">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_Toc32615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八、政府性基金预算支出决算情况说明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2</w:t>
      </w:r>
    </w:p>
    <w:p w14:paraId="015A6B6C">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_Toc2334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九、 国有资本经营预算支出决算情况说明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2</w:t>
      </w:r>
    </w:p>
    <w:p w14:paraId="29993DB1">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_Toc25045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 其他重要事项的情况说明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2</w:t>
      </w:r>
    </w:p>
    <w:p w14:paraId="289A7EB6">
      <w:pPr>
        <w:pStyle w:val="35"/>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_Toc4047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第三部分 名词解释</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4</w:t>
      </w:r>
    </w:p>
    <w:p w14:paraId="6EB33D85">
      <w:pPr>
        <w:pStyle w:val="35"/>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_Toc17924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第四部分 附件</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7</w:t>
      </w:r>
    </w:p>
    <w:p w14:paraId="261F3AC8">
      <w:pPr>
        <w:pStyle w:val="35"/>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_Toc2894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第五部分 附表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41808E0F">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_Toc24332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一、收入支出决算总表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3D837F8B">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_Toc31538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二、收入决算表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4101EDB0">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_Toc6672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三、支出决算表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4496F38E">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_Toc30515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四、财政拨款收入支出决算总表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23517056">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_Toc14213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五、财政拨款支出决算明细表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6BE38E4F">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_Toc8334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六、一般公共预算财政拨款支出决算表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6F3C0597">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_Toc5090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七、一般公共预算财政拨款支出决算明细表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050F3B62">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_Toc26954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八、一般公共预算财政拨款基本支出决算表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173D0872">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_Toc27352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九、一般公共预算财政拨款项目支出决算表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4CB4937B">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_Toc28940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十、政府性基金预算财政拨款收入支出决算表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56E42339">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_Toc19783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十一、国有资本经营预算财政拨款收入支出决算表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552FBE9C">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_Toc32189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十二、国有资本经营预算财政拨款支出决算表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0D3FA7A3">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_Toc10202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十三、财政拨款“三公”经费支出决算表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8</w:t>
      </w:r>
    </w:p>
    <w:p w14:paraId="3E0CFA30">
      <w:pPr>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end"/>
      </w:r>
    </w:p>
    <w:p w14:paraId="4FB66A49">
      <w:pPr>
        <w:widowControl/>
        <w:spacing w:line="560" w:lineRule="exact"/>
        <w:jc w:val="left"/>
        <w:rPr>
          <w:rFonts w:eastAsia="仿宋_GB2312" w:cs="仿宋_GB2312"/>
          <w:bCs/>
          <w:kern w:val="44"/>
          <w:sz w:val="32"/>
          <w:szCs w:val="32"/>
        </w:rPr>
      </w:pPr>
      <w:r>
        <w:rPr>
          <w:rFonts w:hint="eastAsia" w:eastAsia="仿宋_GB2312" w:cs="仿宋_GB2312"/>
          <w:b/>
          <w:sz w:val="32"/>
          <w:szCs w:val="32"/>
        </w:rPr>
        <w:br w:type="page"/>
      </w:r>
    </w:p>
    <w:p w14:paraId="7B4D52D3">
      <w:pPr>
        <w:pStyle w:val="5"/>
        <w:jc w:val="center"/>
        <w:rPr>
          <w:rStyle w:val="37"/>
          <w:rFonts w:eastAsia="方正小标宋简体" w:cs="方正小标宋简体"/>
          <w:b/>
          <w:bCs w:val="0"/>
        </w:rPr>
      </w:pPr>
      <w:r>
        <w:rPr>
          <w:rFonts w:hint="eastAsia" w:eastAsia="方正小标宋简体" w:cs="方正小标宋简体"/>
          <w:b w:val="0"/>
        </w:rPr>
        <w:t xml:space="preserve">第一部分  </w:t>
      </w:r>
      <w:r>
        <w:rPr>
          <w:rFonts w:hint="eastAsia" w:eastAsia="方正小标宋简体" w:cs="方正小标宋简体"/>
          <w:b w:val="0"/>
          <w:lang w:eastAsia="zh-CN"/>
        </w:rPr>
        <w:t>单位</w:t>
      </w:r>
      <w:r>
        <w:rPr>
          <w:rStyle w:val="37"/>
          <w:rFonts w:hint="eastAsia" w:eastAsia="方正小标宋简体" w:cs="方正小标宋简体"/>
          <w:b w:val="0"/>
          <w:bCs w:val="0"/>
        </w:rPr>
        <w:t>概况</w:t>
      </w:r>
      <w:bookmarkEnd w:id="6"/>
      <w:bookmarkEnd w:id="7"/>
    </w:p>
    <w:p w14:paraId="6ED2F64C">
      <w:pPr>
        <w:pStyle w:val="6"/>
        <w:numPr>
          <w:ilvl w:val="0"/>
          <w:numId w:val="0"/>
        </w:numPr>
        <w:rPr>
          <w:rFonts w:hint="eastAsia" w:ascii="Times New Roman" w:hAnsi="Times New Roman" w:eastAsia="黑体"/>
          <w:b w:val="0"/>
        </w:rPr>
      </w:pPr>
      <w:r>
        <w:rPr>
          <w:rFonts w:hint="eastAsia" w:ascii="Times New Roman" w:hAnsi="Times New Roman" w:eastAsia="黑体"/>
          <w:b w:val="0"/>
          <w:lang w:eastAsia="zh-CN"/>
        </w:rPr>
        <w:t>一、单位</w:t>
      </w:r>
      <w:r>
        <w:rPr>
          <w:rFonts w:hint="eastAsia" w:ascii="Times New Roman" w:hAnsi="Times New Roman" w:eastAsia="黑体"/>
          <w:b w:val="0"/>
        </w:rPr>
        <w:t>职责</w:t>
      </w:r>
    </w:p>
    <w:p w14:paraId="2A25F041">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8" w:name="_Toc19058"/>
      <w:r>
        <w:rPr>
          <w:rFonts w:hint="eastAsia" w:ascii="仿宋" w:eastAsia="仿宋" w:cs="仿宋"/>
          <w:b w:val="0"/>
          <w:bCs w:val="0"/>
          <w:color w:val="auto"/>
          <w:spacing w:val="0"/>
          <w:position w:val="0"/>
          <w:sz w:val="32"/>
          <w:shd w:val="clear" w:color="auto" w:fill="auto"/>
        </w:rPr>
        <w:t>根据阿委发〔2010〕9号文件规定，我</w:t>
      </w:r>
      <w:r>
        <w:rPr>
          <w:rFonts w:hint="eastAsia" w:ascii="仿宋" w:eastAsia="仿宋" w:cs="仿宋"/>
          <w:b w:val="0"/>
          <w:bCs w:val="0"/>
          <w:color w:val="auto"/>
          <w:spacing w:val="0"/>
          <w:position w:val="0"/>
          <w:sz w:val="32"/>
          <w:shd w:val="clear" w:color="auto" w:fill="auto"/>
          <w:lang w:eastAsia="zh-CN"/>
        </w:rPr>
        <w:t>单位的</w:t>
      </w:r>
      <w:r>
        <w:rPr>
          <w:rFonts w:hint="eastAsia" w:ascii="仿宋" w:eastAsia="仿宋" w:cs="仿宋"/>
          <w:b w:val="0"/>
          <w:bCs w:val="0"/>
          <w:color w:val="auto"/>
          <w:spacing w:val="0"/>
          <w:position w:val="0"/>
          <w:sz w:val="32"/>
          <w:shd w:val="clear" w:color="auto" w:fill="auto"/>
        </w:rPr>
        <w:t>主要职责是：</w:t>
      </w:r>
      <w:bookmarkEnd w:id="8"/>
    </w:p>
    <w:p w14:paraId="5F569794">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9" w:name="_Toc881"/>
      <w:r>
        <w:rPr>
          <w:rFonts w:hint="eastAsia" w:ascii="仿宋" w:eastAsia="仿宋" w:cs="仿宋"/>
          <w:b w:val="0"/>
          <w:bCs w:val="0"/>
          <w:color w:val="auto"/>
          <w:spacing w:val="0"/>
          <w:position w:val="0"/>
          <w:sz w:val="32"/>
          <w:shd w:val="clear" w:color="auto" w:fill="auto"/>
        </w:rPr>
        <w:t>（1）负责全州林业及其生态建设的监督管理。</w:t>
      </w:r>
      <w:bookmarkEnd w:id="9"/>
    </w:p>
    <w:p w14:paraId="778E8E60">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0" w:name="_Toc17773"/>
      <w:r>
        <w:rPr>
          <w:rFonts w:hint="eastAsia" w:ascii="仿宋" w:eastAsia="仿宋" w:cs="仿宋"/>
          <w:b w:val="0"/>
          <w:bCs w:val="0"/>
          <w:color w:val="auto"/>
          <w:spacing w:val="0"/>
          <w:position w:val="0"/>
          <w:sz w:val="32"/>
          <w:shd w:val="clear" w:color="auto" w:fill="auto"/>
        </w:rPr>
        <w:t>（2）组织、协调、指导和监督全州造林绿化工作。</w:t>
      </w:r>
      <w:bookmarkEnd w:id="10"/>
    </w:p>
    <w:p w14:paraId="40B5F596">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1" w:name="_Toc32384"/>
      <w:r>
        <w:rPr>
          <w:rFonts w:hint="eastAsia" w:ascii="仿宋" w:eastAsia="仿宋" w:cs="仿宋"/>
          <w:b w:val="0"/>
          <w:bCs w:val="0"/>
          <w:color w:val="auto"/>
          <w:spacing w:val="0"/>
          <w:position w:val="0"/>
          <w:sz w:val="32"/>
          <w:shd w:val="clear" w:color="auto" w:fill="auto"/>
        </w:rPr>
        <w:t>（3）承担全州森林资源保护发展监督管理的责任。</w:t>
      </w:r>
      <w:bookmarkEnd w:id="11"/>
    </w:p>
    <w:p w14:paraId="3313A31F">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2" w:name="_Toc17509"/>
      <w:r>
        <w:rPr>
          <w:rFonts w:hint="eastAsia" w:ascii="仿宋" w:eastAsia="仿宋" w:cs="仿宋"/>
          <w:b w:val="0"/>
          <w:bCs w:val="0"/>
          <w:color w:val="auto"/>
          <w:spacing w:val="0"/>
          <w:position w:val="0"/>
          <w:sz w:val="32"/>
          <w:shd w:val="clear" w:color="auto" w:fill="auto"/>
        </w:rPr>
        <w:t>（4）组织、协调、指导和监督全州湿地保护工作。</w:t>
      </w:r>
      <w:bookmarkEnd w:id="12"/>
    </w:p>
    <w:p w14:paraId="46510305">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3" w:name="_Toc5322"/>
      <w:r>
        <w:rPr>
          <w:rFonts w:hint="eastAsia" w:ascii="仿宋" w:eastAsia="仿宋" w:cs="仿宋"/>
          <w:b w:val="0"/>
          <w:bCs w:val="0"/>
          <w:color w:val="auto"/>
          <w:spacing w:val="0"/>
          <w:position w:val="0"/>
          <w:sz w:val="32"/>
          <w:shd w:val="clear" w:color="auto" w:fill="auto"/>
        </w:rPr>
        <w:t>（5）组织、协调、指导和监督全州荒漠化（沙化）防治工作。</w:t>
      </w:r>
      <w:bookmarkEnd w:id="13"/>
    </w:p>
    <w:p w14:paraId="67A82894">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4" w:name="_Toc7440"/>
      <w:r>
        <w:rPr>
          <w:rFonts w:hint="eastAsia" w:ascii="仿宋" w:eastAsia="仿宋" w:cs="仿宋"/>
          <w:b w:val="0"/>
          <w:bCs w:val="0"/>
          <w:color w:val="auto"/>
          <w:spacing w:val="0"/>
          <w:position w:val="0"/>
          <w:sz w:val="32"/>
          <w:shd w:val="clear" w:color="auto" w:fill="auto"/>
        </w:rPr>
        <w:t>（6）组织、指导全州陆生野生动植物资源的保护和合理开发利用。</w:t>
      </w:r>
      <w:bookmarkEnd w:id="14"/>
    </w:p>
    <w:p w14:paraId="1A9D8061">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5" w:name="_Toc14547"/>
      <w:r>
        <w:rPr>
          <w:rFonts w:hint="eastAsia" w:ascii="仿宋" w:eastAsia="仿宋" w:cs="仿宋"/>
          <w:b w:val="0"/>
          <w:bCs w:val="0"/>
          <w:color w:val="auto"/>
          <w:spacing w:val="0"/>
          <w:position w:val="0"/>
          <w:sz w:val="32"/>
          <w:shd w:val="clear" w:color="auto" w:fill="auto"/>
        </w:rPr>
        <w:t>（7）负责全州林业系统自然保护区的监督管理。</w:t>
      </w:r>
      <w:bookmarkEnd w:id="15"/>
    </w:p>
    <w:p w14:paraId="6A615F06">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6" w:name="_Toc9465"/>
      <w:r>
        <w:rPr>
          <w:rFonts w:hint="eastAsia" w:ascii="仿宋" w:eastAsia="仿宋" w:cs="仿宋"/>
          <w:b w:val="0"/>
          <w:bCs w:val="0"/>
          <w:color w:val="auto"/>
          <w:spacing w:val="0"/>
          <w:position w:val="0"/>
          <w:sz w:val="32"/>
          <w:shd w:val="clear" w:color="auto" w:fill="auto"/>
        </w:rPr>
        <w:t>（8）承担推进全州林业改革，维护农民和其他经营者经营林业合法权益的责任。</w:t>
      </w:r>
      <w:bookmarkEnd w:id="16"/>
    </w:p>
    <w:p w14:paraId="0381DCC4">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7" w:name="_Toc19112"/>
      <w:r>
        <w:rPr>
          <w:rFonts w:hint="eastAsia" w:ascii="仿宋" w:eastAsia="仿宋" w:cs="仿宋"/>
          <w:b w:val="0"/>
          <w:bCs w:val="0"/>
          <w:color w:val="auto"/>
          <w:spacing w:val="0"/>
          <w:position w:val="0"/>
          <w:sz w:val="32"/>
          <w:shd w:val="clear" w:color="auto" w:fill="auto"/>
        </w:rPr>
        <w:t>（9）监督检查全州各产业对森林、湿地、荒漠和陆生野生动植物资源的开发利用。</w:t>
      </w:r>
      <w:bookmarkEnd w:id="17"/>
    </w:p>
    <w:p w14:paraId="5506DB78">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8" w:name="_Toc25062"/>
      <w:r>
        <w:rPr>
          <w:rFonts w:hint="eastAsia" w:ascii="仿宋" w:eastAsia="仿宋" w:cs="仿宋"/>
          <w:b w:val="0"/>
          <w:bCs w:val="0"/>
          <w:color w:val="auto"/>
          <w:spacing w:val="0"/>
          <w:position w:val="0"/>
          <w:sz w:val="32"/>
          <w:shd w:val="clear" w:color="auto" w:fill="auto"/>
        </w:rPr>
        <w:t>（10）承担组织、协调、指导、监督全州森林防火工作的责任。</w:t>
      </w:r>
      <w:bookmarkEnd w:id="18"/>
    </w:p>
    <w:p w14:paraId="7A10C937">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19" w:name="_Toc28477"/>
      <w:r>
        <w:rPr>
          <w:rFonts w:hint="eastAsia" w:ascii="仿宋" w:eastAsia="仿宋" w:cs="仿宋"/>
          <w:b w:val="0"/>
          <w:bCs w:val="0"/>
          <w:color w:val="auto"/>
          <w:spacing w:val="0"/>
          <w:position w:val="0"/>
          <w:sz w:val="32"/>
          <w:shd w:val="clear" w:color="auto" w:fill="auto"/>
        </w:rPr>
        <w:t>（11）负责指导、协调全州的林业经济工作。</w:t>
      </w:r>
      <w:bookmarkEnd w:id="19"/>
    </w:p>
    <w:p w14:paraId="5942AC2D">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20" w:name="_Toc18996"/>
      <w:r>
        <w:rPr>
          <w:rFonts w:hint="eastAsia" w:ascii="仿宋" w:eastAsia="仿宋" w:cs="仿宋"/>
          <w:b w:val="0"/>
          <w:bCs w:val="0"/>
          <w:color w:val="auto"/>
          <w:spacing w:val="0"/>
          <w:position w:val="0"/>
          <w:sz w:val="32"/>
          <w:shd w:val="clear" w:color="auto" w:fill="auto"/>
        </w:rPr>
        <w:t>（12）负责州属林业企事业单位管理，指导全州林业队伍建设。</w:t>
      </w:r>
      <w:bookmarkEnd w:id="20"/>
    </w:p>
    <w:p w14:paraId="220DBF93">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21" w:name="_Toc31690"/>
      <w:r>
        <w:rPr>
          <w:rFonts w:hint="eastAsia" w:ascii="仿宋" w:eastAsia="仿宋" w:cs="仿宋"/>
          <w:b w:val="0"/>
          <w:bCs w:val="0"/>
          <w:color w:val="auto"/>
          <w:spacing w:val="0"/>
          <w:position w:val="0"/>
          <w:sz w:val="32"/>
          <w:shd w:val="clear" w:color="auto" w:fill="auto"/>
        </w:rPr>
        <w:t>（13）负责全州林业及其生态建设的科技、宣传、教育和外事工作。</w:t>
      </w:r>
      <w:bookmarkEnd w:id="21"/>
    </w:p>
    <w:p w14:paraId="4110E584">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bookmarkStart w:id="22" w:name="_Toc32069"/>
      <w:r>
        <w:rPr>
          <w:rFonts w:hint="eastAsia" w:ascii="仿宋" w:eastAsia="仿宋" w:cs="仿宋"/>
          <w:b w:val="0"/>
          <w:bCs w:val="0"/>
          <w:color w:val="auto"/>
          <w:spacing w:val="0"/>
          <w:position w:val="0"/>
          <w:sz w:val="32"/>
          <w:shd w:val="clear" w:color="auto" w:fill="auto"/>
        </w:rPr>
        <w:t>（14）承担州政府公布的有关行政审批事项。</w:t>
      </w:r>
      <w:bookmarkEnd w:id="22"/>
    </w:p>
    <w:p w14:paraId="50616B65">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pPr>
      <w:bookmarkStart w:id="23" w:name="_Toc23822"/>
      <w:r>
        <w:rPr>
          <w:rFonts w:hint="eastAsia" w:ascii="仿宋" w:eastAsia="仿宋" w:cs="仿宋"/>
          <w:b w:val="0"/>
          <w:bCs w:val="0"/>
          <w:color w:val="auto"/>
          <w:spacing w:val="0"/>
          <w:position w:val="0"/>
          <w:sz w:val="32"/>
          <w:shd w:val="clear" w:color="auto" w:fill="auto"/>
        </w:rPr>
        <w:t>（15）承办州政府交办的其他事项。</w:t>
      </w:r>
      <w:bookmarkEnd w:id="23"/>
    </w:p>
    <w:p w14:paraId="28C58AAB">
      <w:pPr>
        <w:pStyle w:val="6"/>
        <w:rPr>
          <w:rStyle w:val="38"/>
          <w:rFonts w:ascii="Times New Roman" w:hAnsi="Times New Roman"/>
          <w:b w:val="0"/>
          <w:bCs w:val="0"/>
        </w:rPr>
      </w:pPr>
      <w:bookmarkStart w:id="24" w:name="_Toc15377200"/>
      <w:bookmarkStart w:id="25" w:name="_Toc15396601"/>
      <w:r>
        <w:rPr>
          <w:rFonts w:hint="eastAsia" w:ascii="Times New Roman" w:hAnsi="Times New Roman" w:eastAsia="黑体"/>
          <w:b w:val="0"/>
        </w:rPr>
        <w:t>二、机</w:t>
      </w:r>
      <w:r>
        <w:rPr>
          <w:rStyle w:val="38"/>
          <w:rFonts w:hint="eastAsia" w:ascii="Times New Roman" w:hAnsi="Times New Roman" w:eastAsia="黑体"/>
          <w:b w:val="0"/>
          <w:bCs w:val="0"/>
        </w:rPr>
        <w:t>构设置</w:t>
      </w:r>
      <w:bookmarkEnd w:id="24"/>
      <w:bookmarkEnd w:id="25"/>
    </w:p>
    <w:p w14:paraId="05B5C579">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r>
        <w:rPr>
          <w:rFonts w:hint="eastAsia" w:ascii="仿宋" w:eastAsia="仿宋" w:cs="仿宋"/>
          <w:b w:val="0"/>
          <w:bCs w:val="0"/>
          <w:color w:val="auto"/>
          <w:spacing w:val="0"/>
          <w:position w:val="0"/>
          <w:sz w:val="32"/>
          <w:shd w:val="clear" w:color="auto" w:fill="auto"/>
        </w:rPr>
        <w:t xml:space="preserve">本单位本年度纳入本套决算编制范围的独立编制机构数共1个，比上年增加0个；独立核算机构数共1个，比上年增加0个。 </w:t>
      </w:r>
    </w:p>
    <w:p w14:paraId="3B616232">
      <w:pPr>
        <w:pStyle w:val="6"/>
        <w:keepNext/>
        <w:keepLines/>
        <w:pageBreakBefore w:val="0"/>
        <w:widowControl w:val="0"/>
        <w:kinsoku/>
        <w:wordWrap/>
        <w:overflowPunct/>
        <w:topLinePunct w:val="0"/>
        <w:autoSpaceDE/>
        <w:autoSpaceDN/>
        <w:bidi w:val="0"/>
        <w:adjustRightInd/>
        <w:snapToGrid/>
        <w:spacing w:before="0" w:after="0" w:line="360" w:lineRule="auto"/>
        <w:ind w:firstLine="640" w:firstLineChars="200"/>
        <w:textAlignment w:val="auto"/>
        <w:rPr>
          <w:rFonts w:hint="eastAsia" w:ascii="仿宋" w:eastAsia="仿宋" w:cs="仿宋"/>
          <w:b w:val="0"/>
          <w:bCs w:val="0"/>
          <w:color w:val="auto"/>
          <w:spacing w:val="0"/>
          <w:position w:val="0"/>
          <w:sz w:val="32"/>
          <w:shd w:val="clear" w:color="auto" w:fill="auto"/>
        </w:rPr>
      </w:pPr>
      <w:r>
        <w:rPr>
          <w:rFonts w:hint="eastAsia" w:ascii="仿宋" w:eastAsia="仿宋" w:cs="仿宋"/>
          <w:b w:val="0"/>
          <w:bCs w:val="0"/>
          <w:color w:val="auto"/>
          <w:spacing w:val="0"/>
          <w:position w:val="0"/>
          <w:sz w:val="32"/>
          <w:shd w:val="clear" w:color="auto" w:fill="auto"/>
        </w:rPr>
        <w:t>本单位本年度年末实有人数为</w:t>
      </w:r>
      <w:r>
        <w:rPr>
          <w:rFonts w:hint="eastAsia" w:ascii="仿宋" w:eastAsia="仿宋" w:cs="仿宋"/>
          <w:b w:val="0"/>
          <w:bCs w:val="0"/>
          <w:color w:val="auto"/>
          <w:spacing w:val="0"/>
          <w:position w:val="0"/>
          <w:sz w:val="32"/>
          <w:shd w:val="clear" w:color="auto" w:fill="auto"/>
          <w:lang w:val="en-US" w:eastAsia="zh-CN"/>
        </w:rPr>
        <w:t>58</w:t>
      </w:r>
      <w:r>
        <w:rPr>
          <w:rFonts w:hint="eastAsia" w:ascii="仿宋" w:eastAsia="仿宋" w:cs="仿宋"/>
          <w:b w:val="0"/>
          <w:bCs w:val="0"/>
          <w:color w:val="auto"/>
          <w:spacing w:val="0"/>
          <w:position w:val="0"/>
          <w:sz w:val="32"/>
          <w:shd w:val="clear" w:color="auto" w:fill="auto"/>
        </w:rPr>
        <w:t>人，</w:t>
      </w:r>
      <w:r>
        <w:rPr>
          <w:rFonts w:hint="eastAsia" w:ascii="仿宋" w:eastAsia="仿宋" w:cs="仿宋"/>
          <w:b w:val="0"/>
          <w:bCs w:val="0"/>
          <w:color w:val="auto"/>
          <w:spacing w:val="0"/>
          <w:position w:val="0"/>
          <w:sz w:val="32"/>
          <w:shd w:val="clear" w:color="auto" w:fill="auto"/>
          <w:lang w:eastAsia="zh-CN"/>
        </w:rPr>
        <w:t>较</w:t>
      </w:r>
      <w:r>
        <w:rPr>
          <w:rFonts w:hint="eastAsia" w:ascii="仿宋" w:eastAsia="仿宋" w:cs="仿宋"/>
          <w:b w:val="0"/>
          <w:bCs w:val="0"/>
          <w:color w:val="auto"/>
          <w:spacing w:val="0"/>
          <w:position w:val="0"/>
          <w:sz w:val="32"/>
          <w:shd w:val="clear" w:color="auto" w:fill="auto"/>
        </w:rPr>
        <w:t>上年</w:t>
      </w:r>
      <w:r>
        <w:rPr>
          <w:rFonts w:hint="eastAsia" w:ascii="仿宋" w:eastAsia="仿宋" w:cs="仿宋"/>
          <w:b w:val="0"/>
          <w:bCs w:val="0"/>
          <w:color w:val="auto"/>
          <w:spacing w:val="0"/>
          <w:position w:val="0"/>
          <w:sz w:val="32"/>
          <w:shd w:val="clear" w:color="auto" w:fill="auto"/>
          <w:lang w:val="en-US" w:eastAsia="zh-CN"/>
        </w:rPr>
        <w:t>增加26人，变动原因为2025年度新进人员较多及部门内部编制调整</w:t>
      </w:r>
      <w:r>
        <w:rPr>
          <w:rFonts w:hint="eastAsia" w:ascii="仿宋" w:eastAsia="仿宋" w:cs="仿宋"/>
          <w:b w:val="0"/>
          <w:bCs w:val="0"/>
          <w:color w:val="auto"/>
          <w:spacing w:val="0"/>
          <w:position w:val="0"/>
          <w:sz w:val="32"/>
          <w:shd w:val="clear" w:color="auto" w:fill="auto"/>
        </w:rPr>
        <w:t>。</w:t>
      </w:r>
    </w:p>
    <w:p w14:paraId="0DD07E05">
      <w:pPr>
        <w:widowControl/>
        <w:jc w:val="left"/>
        <w:rPr>
          <w:rFonts w:eastAsia="仿宋"/>
          <w:kern w:val="0"/>
          <w:sz w:val="32"/>
          <w:szCs w:val="32"/>
        </w:rPr>
      </w:pPr>
      <w:r>
        <w:rPr>
          <w:rFonts w:eastAsia="仿宋"/>
          <w:sz w:val="32"/>
          <w:szCs w:val="32"/>
        </w:rPr>
        <w:br w:type="page"/>
      </w:r>
    </w:p>
    <w:p w14:paraId="6A33A5AE">
      <w:pPr>
        <w:pStyle w:val="5"/>
        <w:jc w:val="center"/>
        <w:rPr>
          <w:rFonts w:eastAsia="方正小标宋简体" w:cs="方正小标宋简体"/>
          <w:b w:val="0"/>
        </w:rPr>
      </w:pPr>
      <w:bookmarkStart w:id="26" w:name="_Toc15396602"/>
      <w:bookmarkStart w:id="27" w:name="_Toc15377204"/>
      <w:r>
        <w:rPr>
          <w:rFonts w:hint="eastAsia" w:eastAsia="方正小标宋简体" w:cs="方正小标宋简体"/>
          <w:b w:val="0"/>
        </w:rPr>
        <w:t xml:space="preserve">第二部分  </w:t>
      </w:r>
      <w:r>
        <w:rPr>
          <w:rFonts w:hint="eastAsia" w:eastAsia="方正小标宋简体" w:cs="方正小标宋简体"/>
          <w:b w:val="0"/>
          <w:lang w:eastAsia="zh-CN"/>
        </w:rPr>
        <w:t>2025</w:t>
      </w:r>
      <w:r>
        <w:rPr>
          <w:rFonts w:hint="eastAsia" w:eastAsia="方正小标宋简体" w:cs="方正小标宋简体"/>
          <w:b w:val="0"/>
        </w:rPr>
        <w:t>年度部门决算情况说明</w:t>
      </w:r>
      <w:bookmarkEnd w:id="26"/>
      <w:bookmarkEnd w:id="27"/>
    </w:p>
    <w:p w14:paraId="5E6A20EF"/>
    <w:p w14:paraId="54A1BCA3">
      <w:pPr>
        <w:pStyle w:val="27"/>
        <w:spacing w:line="600" w:lineRule="exact"/>
        <w:ind w:firstLine="640"/>
        <w:outlineLvl w:val="1"/>
        <w:rPr>
          <w:rStyle w:val="38"/>
          <w:rFonts w:ascii="Times New Roman" w:hAnsi="Times New Roman" w:eastAsia="黑体"/>
          <w:b w:val="0"/>
        </w:rPr>
      </w:pPr>
      <w:bookmarkStart w:id="28" w:name="_Toc15377205"/>
      <w:bookmarkStart w:id="29" w:name="_Toc15396603"/>
      <w:r>
        <w:rPr>
          <w:rFonts w:hint="eastAsia" w:eastAsia="黑体"/>
          <w:sz w:val="32"/>
          <w:szCs w:val="32"/>
        </w:rPr>
        <w:t>一、收</w:t>
      </w:r>
      <w:r>
        <w:rPr>
          <w:rStyle w:val="38"/>
          <w:rFonts w:hint="eastAsia" w:ascii="Times New Roman" w:hAnsi="Times New Roman" w:eastAsia="黑体"/>
          <w:b w:val="0"/>
        </w:rPr>
        <w:t>入支出决算总体情况说明</w:t>
      </w:r>
      <w:bookmarkEnd w:id="28"/>
      <w:bookmarkEnd w:id="29"/>
    </w:p>
    <w:p w14:paraId="0DCAA144">
      <w:pPr>
        <w:ind w:firstLine="640" w:firstLineChars="200"/>
        <w:rPr>
          <w:rFonts w:hint="eastAsia" w:eastAsia="仿宋_GB2312" w:cs="仿宋_GB2312"/>
          <w:sz w:val="32"/>
          <w:szCs w:val="32"/>
        </w:rPr>
      </w:pPr>
      <w:r>
        <w:rPr>
          <w:rFonts w:hint="eastAsia" w:eastAsia="仿宋_GB2312" w:cs="仿宋_GB2312"/>
          <w:sz w:val="32"/>
          <w:szCs w:val="32"/>
          <w:lang w:eastAsia="zh-CN"/>
        </w:rPr>
        <w:t>2025</w:t>
      </w:r>
      <w:r>
        <w:rPr>
          <w:rFonts w:hint="eastAsia" w:eastAsia="仿宋_GB2312" w:cs="仿宋_GB2312"/>
          <w:sz w:val="32"/>
          <w:szCs w:val="32"/>
        </w:rPr>
        <w:t>年度收入、支出总计均为1054.31万元。与</w:t>
      </w:r>
      <w:r>
        <w:rPr>
          <w:rFonts w:hint="eastAsia" w:eastAsia="仿宋_GB2312" w:cs="仿宋_GB2312"/>
          <w:sz w:val="32"/>
          <w:szCs w:val="32"/>
          <w:lang w:eastAsia="zh-CN"/>
        </w:rPr>
        <w:t>202</w:t>
      </w:r>
      <w:r>
        <w:rPr>
          <w:rFonts w:hint="eastAsia" w:eastAsia="仿宋_GB2312" w:cs="仿宋_GB2312"/>
          <w:sz w:val="32"/>
          <w:szCs w:val="32"/>
          <w:lang w:val="en-US" w:eastAsia="zh-CN"/>
        </w:rPr>
        <w:t>4</w:t>
      </w:r>
      <w:r>
        <w:rPr>
          <w:rFonts w:hint="eastAsia" w:eastAsia="仿宋_GB2312" w:cs="仿宋_GB2312"/>
          <w:sz w:val="32"/>
          <w:szCs w:val="32"/>
        </w:rPr>
        <w:t>年度相比，收入、支出总计各</w:t>
      </w:r>
      <w:r>
        <w:rPr>
          <w:rFonts w:hint="eastAsia" w:eastAsia="仿宋_GB2312" w:cs="仿宋_GB2312"/>
          <w:sz w:val="32"/>
          <w:szCs w:val="32"/>
          <w:lang w:eastAsia="zh-CN"/>
        </w:rPr>
        <w:t>增加</w:t>
      </w:r>
      <w:r>
        <w:rPr>
          <w:rFonts w:hint="eastAsia" w:eastAsia="仿宋_GB2312" w:cs="仿宋_GB2312"/>
          <w:sz w:val="32"/>
          <w:szCs w:val="32"/>
          <w:lang w:val="en-US" w:eastAsia="zh-CN"/>
        </w:rPr>
        <w:t>100.24</w:t>
      </w:r>
      <w:r>
        <w:rPr>
          <w:rFonts w:hint="eastAsia" w:eastAsia="仿宋_GB2312" w:cs="仿宋_GB2312"/>
          <w:sz w:val="32"/>
          <w:szCs w:val="32"/>
        </w:rPr>
        <w:t>万元，</w:t>
      </w:r>
      <w:r>
        <w:rPr>
          <w:rFonts w:hint="eastAsia" w:eastAsia="仿宋_GB2312" w:cs="仿宋_GB2312"/>
          <w:sz w:val="32"/>
          <w:szCs w:val="32"/>
          <w:lang w:eastAsia="zh-CN"/>
        </w:rPr>
        <w:t>增长</w:t>
      </w:r>
      <w:r>
        <w:rPr>
          <w:rFonts w:hint="eastAsia" w:eastAsia="仿宋_GB2312" w:cs="仿宋_GB2312"/>
          <w:sz w:val="32"/>
          <w:szCs w:val="32"/>
          <w:lang w:val="en-US" w:eastAsia="zh-CN"/>
        </w:rPr>
        <w:t>10.5</w:t>
      </w:r>
      <w:r>
        <w:rPr>
          <w:rFonts w:hint="eastAsia" w:eastAsia="仿宋_GB2312" w:cs="仿宋_GB2312"/>
          <w:sz w:val="32"/>
          <w:szCs w:val="32"/>
        </w:rPr>
        <w:t>%。主要变动原因是2025年度新进人员较多，人员及公用经费较上年增加。</w:t>
      </w:r>
    </w:p>
    <w:p w14:paraId="57C9A945">
      <w:pPr>
        <w:rPr>
          <w:rFonts w:hint="eastAsia" w:eastAsia="仿宋_GB2312" w:cs="仿宋_GB2312"/>
          <w:sz w:val="32"/>
          <w:szCs w:val="32"/>
          <w:lang w:eastAsia="zh-CN"/>
        </w:rPr>
      </w:pPr>
      <w:r>
        <w:rPr>
          <w:rFonts w:hint="eastAsia" w:eastAsia="仿宋_GB2312" w:cs="仿宋_GB2312"/>
          <w:sz w:val="32"/>
          <w:szCs w:val="32"/>
          <w:lang w:val="en-US" w:eastAsia="zh-CN"/>
        </w:rPr>
        <w:t xml:space="preserve">   </w:t>
      </w:r>
      <w:r>
        <w:rPr>
          <w:rFonts w:hint="eastAsia" w:eastAsia="仿宋_GB2312" w:cs="仿宋_GB2312"/>
          <w:sz w:val="32"/>
          <w:szCs w:val="32"/>
          <w:lang w:eastAsia="zh-CN"/>
        </w:rPr>
        <w:drawing>
          <wp:inline distT="0" distB="0" distL="114300" distR="114300">
            <wp:extent cx="4615180" cy="3620135"/>
            <wp:effectExtent l="4445" t="4445" r="9525"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93CDDE6">
      <w:pPr>
        <w:ind w:firstLine="320" w:firstLineChars="100"/>
        <w:rPr>
          <w:rFonts w:eastAsia="仿宋_GB2312" w:cs="仿宋_GB2312"/>
          <w:sz w:val="32"/>
          <w:szCs w:val="32"/>
        </w:rPr>
      </w:pPr>
      <w:r>
        <w:rPr>
          <w:rFonts w:hint="eastAsia" w:eastAsia="仿宋_GB2312" w:cs="仿宋_GB2312"/>
          <w:sz w:val="32"/>
          <w:szCs w:val="32"/>
        </w:rPr>
        <w:t>（图1：收入、支出决算总计变动情况图）（柱状图）</w:t>
      </w:r>
    </w:p>
    <w:p w14:paraId="1B640196">
      <w:pPr>
        <w:ind w:firstLine="640" w:firstLineChars="200"/>
        <w:rPr>
          <w:rFonts w:eastAsia="仿宋_GB2312" w:cs="仿宋_GB2312"/>
          <w:sz w:val="32"/>
          <w:szCs w:val="32"/>
        </w:rPr>
      </w:pPr>
    </w:p>
    <w:p w14:paraId="69AA689C">
      <w:pPr>
        <w:pStyle w:val="27"/>
        <w:spacing w:line="600" w:lineRule="exact"/>
        <w:ind w:firstLine="640"/>
        <w:outlineLvl w:val="1"/>
        <w:rPr>
          <w:rFonts w:eastAsia="黑体"/>
          <w:sz w:val="32"/>
          <w:szCs w:val="32"/>
        </w:rPr>
      </w:pPr>
      <w:bookmarkStart w:id="30" w:name="_Toc15377206"/>
      <w:bookmarkStart w:id="31" w:name="_Toc15396604"/>
      <w:r>
        <w:rPr>
          <w:rFonts w:hint="eastAsia" w:eastAsia="黑体"/>
          <w:sz w:val="32"/>
          <w:szCs w:val="32"/>
        </w:rPr>
        <w:t>二、收入决算情况说明</w:t>
      </w:r>
      <w:bookmarkEnd w:id="30"/>
      <w:bookmarkEnd w:id="31"/>
    </w:p>
    <w:p w14:paraId="7E0D7733">
      <w:pPr>
        <w:spacing w:line="600" w:lineRule="exact"/>
        <w:ind w:firstLine="640" w:firstLineChars="200"/>
        <w:outlineLvl w:val="1"/>
        <w:rPr>
          <w:rFonts w:hint="eastAsia" w:ascii="仿宋" w:hAnsi="仿宋" w:eastAsia="仿宋"/>
          <w:sz w:val="32"/>
          <w:szCs w:val="32"/>
          <w:lang w:eastAsia="zh-CN"/>
        </w:rPr>
      </w:pPr>
      <w:bookmarkStart w:id="32" w:name="_Toc2584"/>
      <w:r>
        <w:rPr>
          <w:rFonts w:hint="eastAsia" w:ascii="仿宋" w:hAnsi="仿宋" w:eastAsia="仿宋"/>
          <w:sz w:val="32"/>
          <w:szCs w:val="32"/>
          <w:lang w:eastAsia="zh-CN"/>
        </w:rPr>
        <w:t>2025</w:t>
      </w:r>
      <w:r>
        <w:rPr>
          <w:rFonts w:hint="eastAsia" w:ascii="仿宋" w:hAnsi="仿宋" w:eastAsia="仿宋"/>
          <w:sz w:val="32"/>
          <w:szCs w:val="32"/>
        </w:rPr>
        <w:t>年度收入合计</w:t>
      </w:r>
      <w:r>
        <w:rPr>
          <w:rFonts w:hint="eastAsia" w:eastAsia="仿宋_GB2312" w:cs="仿宋_GB2312"/>
          <w:sz w:val="32"/>
          <w:szCs w:val="32"/>
        </w:rPr>
        <w:t>1054.31</w:t>
      </w:r>
      <w:r>
        <w:rPr>
          <w:rFonts w:hint="eastAsia" w:ascii="仿宋" w:hAnsi="仿宋" w:eastAsia="仿宋"/>
          <w:b w:val="0"/>
          <w:bCs/>
          <w:sz w:val="32"/>
          <w:szCs w:val="32"/>
        </w:rPr>
        <w:t>万元，其中：一般公共预算财政拨款收入</w:t>
      </w:r>
      <w:r>
        <w:rPr>
          <w:rFonts w:hint="eastAsia" w:eastAsia="仿宋_GB2312" w:cs="仿宋_GB2312"/>
          <w:sz w:val="32"/>
          <w:szCs w:val="32"/>
        </w:rPr>
        <w:t>1054.31</w:t>
      </w:r>
      <w:r>
        <w:rPr>
          <w:rFonts w:hint="eastAsia" w:ascii="仿宋" w:hAnsi="仿宋" w:eastAsia="仿宋"/>
          <w:b w:val="0"/>
          <w:bCs/>
          <w:sz w:val="32"/>
          <w:szCs w:val="32"/>
        </w:rPr>
        <w:t>万元，占</w:t>
      </w:r>
      <w:r>
        <w:rPr>
          <w:rFonts w:ascii="仿宋" w:hAnsi="仿宋" w:eastAsia="仿宋"/>
          <w:b w:val="0"/>
          <w:bCs/>
          <w:sz w:val="32"/>
          <w:szCs w:val="32"/>
        </w:rPr>
        <w:t>100%</w:t>
      </w:r>
      <w:bookmarkEnd w:id="32"/>
      <w:r>
        <w:rPr>
          <w:rFonts w:hint="eastAsia" w:ascii="仿宋" w:hAnsi="仿宋" w:eastAsia="仿宋"/>
          <w:b w:val="0"/>
          <w:bCs/>
          <w:sz w:val="32"/>
          <w:szCs w:val="32"/>
          <w:lang w:eastAsia="zh-CN"/>
        </w:rPr>
        <w:t>；</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p>
    <w:p w14:paraId="3085AC4A">
      <w:pPr>
        <w:pStyle w:val="2"/>
        <w:rPr>
          <w:rFonts w:hint="eastAsia" w:eastAsia="仿宋"/>
          <w:lang w:eastAsia="zh-CN"/>
        </w:rPr>
      </w:pPr>
      <w:r>
        <w:rPr>
          <w:rFonts w:hint="eastAsia" w:eastAsia="仿宋"/>
          <w:lang w:val="en-US" w:eastAsia="zh-CN"/>
        </w:rPr>
        <w:t xml:space="preserve">    </w:t>
      </w:r>
      <w:r>
        <w:rPr>
          <w:rFonts w:hint="eastAsia" w:eastAsia="仿宋"/>
          <w:lang w:eastAsia="zh-CN"/>
        </w:rPr>
        <w:drawing>
          <wp:inline distT="0" distB="0" distL="114300" distR="114300">
            <wp:extent cx="4808220" cy="3041650"/>
            <wp:effectExtent l="4445" t="4445" r="6985" b="2095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23BE55">
      <w:pPr>
        <w:ind w:firstLine="1760" w:firstLineChars="550"/>
        <w:rPr>
          <w:rFonts w:hint="eastAsia" w:eastAsia="仿宋_GB2312" w:cs="仿宋_GB2312"/>
          <w:sz w:val="32"/>
          <w:szCs w:val="32"/>
        </w:rPr>
      </w:pPr>
      <w:r>
        <w:rPr>
          <w:rFonts w:hint="eastAsia" w:eastAsia="仿宋_GB2312" w:cs="仿宋_GB2312"/>
          <w:sz w:val="32"/>
          <w:szCs w:val="32"/>
        </w:rPr>
        <w:t>（图2：收入决算结构图）（饼状图）</w:t>
      </w:r>
    </w:p>
    <w:p w14:paraId="7371099F">
      <w:pPr>
        <w:pStyle w:val="2"/>
      </w:pPr>
    </w:p>
    <w:p w14:paraId="00302B61">
      <w:pPr>
        <w:pStyle w:val="27"/>
        <w:spacing w:line="600" w:lineRule="exact"/>
        <w:ind w:firstLine="640"/>
        <w:outlineLvl w:val="1"/>
        <w:rPr>
          <w:rStyle w:val="38"/>
          <w:rFonts w:ascii="Times New Roman" w:hAnsi="Times New Roman" w:eastAsia="黑体"/>
          <w:b w:val="0"/>
        </w:rPr>
      </w:pPr>
      <w:bookmarkStart w:id="33" w:name="_Toc15396605"/>
      <w:bookmarkStart w:id="34" w:name="_Toc15377207"/>
      <w:r>
        <w:rPr>
          <w:rFonts w:hint="eastAsia" w:eastAsia="黑体"/>
          <w:sz w:val="32"/>
          <w:szCs w:val="32"/>
        </w:rPr>
        <w:t>三、支</w:t>
      </w:r>
      <w:r>
        <w:rPr>
          <w:rStyle w:val="38"/>
          <w:rFonts w:hint="eastAsia" w:ascii="Times New Roman" w:hAnsi="Times New Roman" w:eastAsia="黑体"/>
          <w:b w:val="0"/>
        </w:rPr>
        <w:t>出决算情况说明</w:t>
      </w:r>
      <w:bookmarkEnd w:id="33"/>
      <w:bookmarkEnd w:id="34"/>
    </w:p>
    <w:p w14:paraId="149A47BD">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年度支出合计</w:t>
      </w:r>
      <w:r>
        <w:rPr>
          <w:rFonts w:hint="eastAsia" w:eastAsia="仿宋_GB2312" w:cs="仿宋_GB2312"/>
          <w:sz w:val="32"/>
          <w:szCs w:val="32"/>
        </w:rPr>
        <w:t>1054.31</w:t>
      </w:r>
      <w:r>
        <w:rPr>
          <w:rFonts w:hint="eastAsia" w:ascii="仿宋_GB2312" w:hAnsi="仿宋_GB2312" w:eastAsia="仿宋_GB2312" w:cs="仿宋_GB2312"/>
          <w:sz w:val="32"/>
          <w:szCs w:val="32"/>
        </w:rPr>
        <w:t>万元，其中：基本支出954.07万元，占100%；无项目支出、经营支出等。</w:t>
      </w:r>
    </w:p>
    <w:p w14:paraId="786695D1">
      <w:pPr>
        <w:ind w:firstLine="525" w:firstLineChars="250"/>
        <w:rPr>
          <w:rFonts w:hint="eastAsia" w:ascii="仿宋_GB2312" w:hAnsi="仿宋_GB2312" w:eastAsia="仿宋_GB2312" w:cs="仿宋_GB2312"/>
          <w:sz w:val="32"/>
          <w:szCs w:val="32"/>
        </w:rPr>
      </w:pPr>
      <w:r>
        <w:rPr>
          <w:rFonts w:hint="eastAsia" w:eastAsia="仿宋"/>
          <w:lang w:eastAsia="zh-CN"/>
        </w:rPr>
        <w:drawing>
          <wp:inline distT="0" distB="0" distL="114300" distR="114300">
            <wp:extent cx="4723765" cy="2813050"/>
            <wp:effectExtent l="4445" t="5080" r="15240" b="2032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45B2589">
      <w:pPr>
        <w:ind w:firstLine="1760" w:firstLineChars="550"/>
        <w:rPr>
          <w:rFonts w:eastAsia="仿宋_GB2312" w:cs="仿宋_GB2312"/>
          <w:sz w:val="32"/>
          <w:szCs w:val="32"/>
        </w:rPr>
      </w:pPr>
      <w:r>
        <w:rPr>
          <w:rFonts w:hint="eastAsia" w:eastAsia="仿宋_GB2312" w:cs="仿宋_GB2312"/>
          <w:sz w:val="32"/>
          <w:szCs w:val="32"/>
        </w:rPr>
        <w:t>（图3：支出决算结构图）（饼状图）</w:t>
      </w:r>
    </w:p>
    <w:p w14:paraId="2324A4A4">
      <w:pPr>
        <w:ind w:firstLine="800" w:firstLineChars="250"/>
        <w:rPr>
          <w:rFonts w:eastAsia="仿宋_GB2312" w:cs="仿宋_GB2312"/>
          <w:sz w:val="32"/>
          <w:szCs w:val="32"/>
        </w:rPr>
      </w:pPr>
    </w:p>
    <w:p w14:paraId="0AB178C1">
      <w:pPr>
        <w:spacing w:line="600" w:lineRule="exact"/>
        <w:ind w:firstLine="640" w:firstLineChars="200"/>
        <w:outlineLvl w:val="1"/>
        <w:rPr>
          <w:rStyle w:val="38"/>
          <w:rFonts w:ascii="Times New Roman" w:hAnsi="Times New Roman" w:eastAsia="黑体"/>
          <w:b w:val="0"/>
        </w:rPr>
      </w:pPr>
      <w:bookmarkStart w:id="35" w:name="_Toc15377208"/>
      <w:bookmarkStart w:id="36" w:name="_Toc15396606"/>
      <w:r>
        <w:rPr>
          <w:rFonts w:hint="eastAsia" w:eastAsia="黑体"/>
          <w:sz w:val="32"/>
          <w:szCs w:val="32"/>
        </w:rPr>
        <w:t>四、财</w:t>
      </w:r>
      <w:r>
        <w:rPr>
          <w:rStyle w:val="38"/>
          <w:rFonts w:hint="eastAsia" w:ascii="Times New Roman" w:hAnsi="Times New Roman" w:eastAsia="黑体"/>
          <w:b w:val="0"/>
        </w:rPr>
        <w:t>政拨款收入支出决算总体情况说明</w:t>
      </w:r>
      <w:bookmarkEnd w:id="35"/>
      <w:bookmarkEnd w:id="36"/>
    </w:p>
    <w:p w14:paraId="73842733">
      <w:pPr>
        <w:ind w:firstLine="640" w:firstLineChars="200"/>
        <w:rPr>
          <w:rFonts w:hint="eastAsia" w:eastAsia="仿宋_GB2312" w:cs="仿宋_GB2312"/>
          <w:sz w:val="32"/>
          <w:szCs w:val="32"/>
        </w:rPr>
      </w:pPr>
      <w:r>
        <w:rPr>
          <w:rFonts w:hint="eastAsia" w:eastAsia="仿宋_GB2312" w:cs="仿宋_GB2312"/>
          <w:sz w:val="32"/>
          <w:szCs w:val="32"/>
          <w:lang w:eastAsia="zh-CN"/>
        </w:rPr>
        <w:t>2025</w:t>
      </w:r>
      <w:r>
        <w:rPr>
          <w:rFonts w:hint="eastAsia" w:eastAsia="仿宋_GB2312" w:cs="仿宋_GB2312"/>
          <w:sz w:val="32"/>
          <w:szCs w:val="32"/>
        </w:rPr>
        <w:t>年度</w:t>
      </w:r>
      <w:r>
        <w:rPr>
          <w:rFonts w:hint="eastAsia" w:eastAsia="仿宋_GB2312" w:cs="仿宋_GB2312"/>
          <w:sz w:val="32"/>
          <w:szCs w:val="32"/>
          <w:lang w:eastAsia="zh-CN"/>
        </w:rPr>
        <w:t>财政拨款</w:t>
      </w:r>
      <w:r>
        <w:rPr>
          <w:rFonts w:hint="eastAsia" w:eastAsia="仿宋_GB2312" w:cs="仿宋_GB2312"/>
          <w:sz w:val="32"/>
          <w:szCs w:val="32"/>
        </w:rPr>
        <w:t>收入、支出总计均为1054.31万元。与</w:t>
      </w:r>
      <w:r>
        <w:rPr>
          <w:rFonts w:hint="eastAsia" w:eastAsia="仿宋_GB2312" w:cs="仿宋_GB2312"/>
          <w:sz w:val="32"/>
          <w:szCs w:val="32"/>
          <w:lang w:eastAsia="zh-CN"/>
        </w:rPr>
        <w:t>202</w:t>
      </w:r>
      <w:r>
        <w:rPr>
          <w:rFonts w:hint="eastAsia" w:eastAsia="仿宋_GB2312" w:cs="仿宋_GB2312"/>
          <w:sz w:val="32"/>
          <w:szCs w:val="32"/>
          <w:lang w:val="en-US" w:eastAsia="zh-CN"/>
        </w:rPr>
        <w:t>4</w:t>
      </w:r>
      <w:r>
        <w:rPr>
          <w:rFonts w:hint="eastAsia" w:eastAsia="仿宋_GB2312" w:cs="仿宋_GB2312"/>
          <w:sz w:val="32"/>
          <w:szCs w:val="32"/>
        </w:rPr>
        <w:t>年度相比，</w:t>
      </w:r>
      <w:r>
        <w:rPr>
          <w:rFonts w:hint="eastAsia" w:eastAsia="仿宋_GB2312" w:cs="仿宋_GB2312"/>
          <w:sz w:val="32"/>
          <w:szCs w:val="32"/>
          <w:lang w:eastAsia="zh-CN"/>
        </w:rPr>
        <w:t>财政拨款</w:t>
      </w:r>
      <w:r>
        <w:rPr>
          <w:rFonts w:hint="eastAsia" w:eastAsia="仿宋_GB2312" w:cs="仿宋_GB2312"/>
          <w:sz w:val="32"/>
          <w:szCs w:val="32"/>
        </w:rPr>
        <w:t>收入、支出总计各</w:t>
      </w:r>
      <w:r>
        <w:rPr>
          <w:rFonts w:hint="eastAsia" w:eastAsia="仿宋_GB2312" w:cs="仿宋_GB2312"/>
          <w:sz w:val="32"/>
          <w:szCs w:val="32"/>
          <w:lang w:eastAsia="zh-CN"/>
        </w:rPr>
        <w:t>增加</w:t>
      </w:r>
      <w:r>
        <w:rPr>
          <w:rFonts w:hint="eastAsia" w:eastAsia="仿宋_GB2312" w:cs="仿宋_GB2312"/>
          <w:sz w:val="32"/>
          <w:szCs w:val="32"/>
          <w:lang w:val="en-US" w:eastAsia="zh-CN"/>
        </w:rPr>
        <w:t>100.24</w:t>
      </w:r>
      <w:r>
        <w:rPr>
          <w:rFonts w:hint="eastAsia" w:eastAsia="仿宋_GB2312" w:cs="仿宋_GB2312"/>
          <w:sz w:val="32"/>
          <w:szCs w:val="32"/>
        </w:rPr>
        <w:t>万元，</w:t>
      </w:r>
      <w:r>
        <w:rPr>
          <w:rFonts w:hint="eastAsia" w:eastAsia="仿宋_GB2312" w:cs="仿宋_GB2312"/>
          <w:sz w:val="32"/>
          <w:szCs w:val="32"/>
          <w:lang w:eastAsia="zh-CN"/>
        </w:rPr>
        <w:t>增长</w:t>
      </w:r>
      <w:r>
        <w:rPr>
          <w:rFonts w:hint="eastAsia" w:eastAsia="仿宋_GB2312" w:cs="仿宋_GB2312"/>
          <w:sz w:val="32"/>
          <w:szCs w:val="32"/>
          <w:lang w:val="en-US" w:eastAsia="zh-CN"/>
        </w:rPr>
        <w:t>10.5</w:t>
      </w:r>
      <w:r>
        <w:rPr>
          <w:rFonts w:hint="eastAsia" w:eastAsia="仿宋_GB2312" w:cs="仿宋_GB2312"/>
          <w:sz w:val="32"/>
          <w:szCs w:val="32"/>
        </w:rPr>
        <w:t>%。主要变动原因是2025年度新进人员较多，人员及公用经费较上年增加。</w:t>
      </w:r>
    </w:p>
    <w:p w14:paraId="5828E14D">
      <w:pPr>
        <w:ind w:firstLine="640" w:firstLineChars="200"/>
        <w:rPr>
          <w:rFonts w:hint="eastAsia" w:eastAsia="仿宋_GB2312" w:cs="仿宋_GB2312"/>
          <w:sz w:val="32"/>
          <w:szCs w:val="32"/>
        </w:rPr>
      </w:pPr>
      <w:r>
        <w:rPr>
          <w:rFonts w:hint="eastAsia" w:eastAsia="仿宋_GB2312" w:cs="仿宋_GB2312"/>
          <w:sz w:val="32"/>
          <w:szCs w:val="32"/>
          <w:lang w:eastAsia="zh-CN"/>
        </w:rPr>
        <w:drawing>
          <wp:inline distT="0" distB="0" distL="114300" distR="114300">
            <wp:extent cx="4532630" cy="3346450"/>
            <wp:effectExtent l="4445" t="4445" r="15875" b="2095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9735C4">
      <w:pPr>
        <w:spacing w:line="600" w:lineRule="exact"/>
        <w:ind w:firstLine="320" w:firstLineChars="100"/>
        <w:rPr>
          <w:rFonts w:eastAsia="仿宋_GB2312" w:cs="仿宋_GB2312"/>
          <w:sz w:val="32"/>
          <w:szCs w:val="32"/>
        </w:rPr>
      </w:pPr>
      <w:r>
        <w:rPr>
          <w:rFonts w:hint="eastAsia" w:eastAsia="仿宋_GB2312" w:cs="仿宋_GB2312"/>
          <w:sz w:val="32"/>
          <w:szCs w:val="32"/>
        </w:rPr>
        <w:t>（图4：财政拨款收、支决算总计变动情况）（柱状图）</w:t>
      </w:r>
    </w:p>
    <w:p w14:paraId="3F63235C">
      <w:pPr>
        <w:spacing w:line="600" w:lineRule="exact"/>
        <w:ind w:firstLine="640"/>
        <w:rPr>
          <w:rFonts w:eastAsia="仿宋_GB2312" w:cs="仿宋_GB2312"/>
          <w:sz w:val="32"/>
          <w:szCs w:val="32"/>
        </w:rPr>
      </w:pPr>
    </w:p>
    <w:p w14:paraId="27F68A67">
      <w:pPr>
        <w:spacing w:line="600" w:lineRule="exact"/>
        <w:ind w:firstLine="640" w:firstLineChars="200"/>
        <w:outlineLvl w:val="1"/>
        <w:rPr>
          <w:rStyle w:val="38"/>
          <w:rFonts w:ascii="Times New Roman" w:hAnsi="Times New Roman" w:eastAsia="黑体"/>
          <w:b w:val="0"/>
        </w:rPr>
      </w:pPr>
      <w:bookmarkStart w:id="37" w:name="_Toc15396607"/>
      <w:bookmarkStart w:id="38" w:name="_Toc15377209"/>
      <w:r>
        <w:rPr>
          <w:rFonts w:hint="eastAsia" w:eastAsia="黑体"/>
          <w:sz w:val="32"/>
          <w:szCs w:val="32"/>
        </w:rPr>
        <w:t>五、</w:t>
      </w:r>
      <w:r>
        <w:rPr>
          <w:rFonts w:hint="eastAsia" w:eastAsia="黑体"/>
          <w:b/>
          <w:sz w:val="32"/>
          <w:szCs w:val="32"/>
        </w:rPr>
        <w:t>一</w:t>
      </w:r>
      <w:r>
        <w:rPr>
          <w:rStyle w:val="38"/>
          <w:rFonts w:hint="eastAsia" w:ascii="Times New Roman" w:hAnsi="Times New Roman" w:eastAsia="黑体"/>
          <w:b w:val="0"/>
        </w:rPr>
        <w:t>般公共预算财政拨款支出决算情况说明</w:t>
      </w:r>
      <w:bookmarkEnd w:id="37"/>
      <w:bookmarkEnd w:id="38"/>
    </w:p>
    <w:p w14:paraId="5139FFC9">
      <w:pPr>
        <w:spacing w:line="600" w:lineRule="exact"/>
        <w:ind w:firstLine="643" w:firstLineChars="200"/>
        <w:outlineLvl w:val="2"/>
        <w:rPr>
          <w:rFonts w:eastAsia="楷体_GB2312" w:cs="楷体_GB2312"/>
          <w:b/>
          <w:sz w:val="32"/>
          <w:szCs w:val="32"/>
        </w:rPr>
      </w:pPr>
      <w:bookmarkStart w:id="39" w:name="_Toc15377210"/>
      <w:r>
        <w:rPr>
          <w:rFonts w:hint="eastAsia" w:eastAsia="楷体_GB2312" w:cs="楷体_GB2312"/>
          <w:b/>
          <w:sz w:val="32"/>
          <w:szCs w:val="32"/>
        </w:rPr>
        <w:t>（一）一般公共预算财政拨款支出决算总体情况</w:t>
      </w:r>
      <w:bookmarkEnd w:id="39"/>
    </w:p>
    <w:p w14:paraId="20C22236">
      <w:pPr>
        <w:ind w:firstLine="640" w:firstLineChars="200"/>
        <w:rPr>
          <w:rFonts w:hint="eastAsia"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年度一般公共预算财政拨款支出</w:t>
      </w:r>
      <w:r>
        <w:rPr>
          <w:rFonts w:hint="eastAsia" w:eastAsia="仿宋_GB2312" w:cs="仿宋_GB2312"/>
          <w:sz w:val="32"/>
          <w:szCs w:val="32"/>
          <w:lang w:val="en-US" w:eastAsia="zh-CN"/>
        </w:rPr>
        <w:t>1054.31</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年度相比，一般公共预算财政拨款支出增加</w:t>
      </w:r>
      <w:r>
        <w:rPr>
          <w:rFonts w:hint="eastAsia" w:eastAsia="仿宋_GB2312" w:cs="仿宋_GB2312"/>
          <w:sz w:val="32"/>
          <w:szCs w:val="32"/>
          <w:lang w:val="en-US" w:eastAsia="zh-CN"/>
        </w:rPr>
        <w:t>100.24</w:t>
      </w:r>
      <w:r>
        <w:rPr>
          <w:rFonts w:hint="eastAsia" w:eastAsia="仿宋_GB2312" w:cs="仿宋_GB2312"/>
          <w:sz w:val="32"/>
          <w:szCs w:val="32"/>
        </w:rPr>
        <w:t>万元，</w:t>
      </w:r>
      <w:r>
        <w:rPr>
          <w:rFonts w:hint="eastAsia" w:eastAsia="仿宋_GB2312" w:cs="仿宋_GB2312"/>
          <w:sz w:val="32"/>
          <w:szCs w:val="32"/>
          <w:lang w:eastAsia="zh-CN"/>
        </w:rPr>
        <w:t>增长</w:t>
      </w:r>
      <w:r>
        <w:rPr>
          <w:rFonts w:hint="eastAsia" w:eastAsia="仿宋_GB2312" w:cs="仿宋_GB2312"/>
          <w:sz w:val="32"/>
          <w:szCs w:val="32"/>
          <w:lang w:val="en-US" w:eastAsia="zh-CN"/>
        </w:rPr>
        <w:t>10.5</w:t>
      </w:r>
      <w:r>
        <w:rPr>
          <w:rFonts w:hint="eastAsia" w:eastAsia="仿宋_GB2312" w:cs="仿宋_GB2312"/>
          <w:sz w:val="32"/>
          <w:szCs w:val="32"/>
        </w:rPr>
        <w:t>%。主要变动原因是2025年度新进人员较多，人员及公用经费较上年增加。</w:t>
      </w:r>
    </w:p>
    <w:p w14:paraId="4CCD5306">
      <w:pPr>
        <w:spacing w:line="600" w:lineRule="exact"/>
        <w:ind w:firstLine="640"/>
        <w:rPr>
          <w:rFonts w:hint="eastAsia" w:eastAsia="仿宋_GB2312" w:cs="仿宋_GB2312"/>
          <w:sz w:val="32"/>
          <w:szCs w:val="32"/>
        </w:rPr>
      </w:pPr>
    </w:p>
    <w:p w14:paraId="679B17E2">
      <w:pPr>
        <w:pStyle w:val="3"/>
        <w:ind w:left="0" w:leftChars="0" w:firstLine="0" w:firstLineChars="0"/>
        <w:jc w:val="both"/>
        <w:rPr>
          <w:rFonts w:hint="eastAsia"/>
        </w:rPr>
      </w:pPr>
      <w:r>
        <w:rPr>
          <w:rFonts w:hint="eastAsia" w:eastAsia="仿宋_GB2312" w:cs="仿宋_GB2312"/>
          <w:sz w:val="32"/>
          <w:szCs w:val="32"/>
          <w:lang w:val="en-US" w:eastAsia="zh-CN"/>
        </w:rPr>
        <w:t xml:space="preserve">   </w:t>
      </w:r>
      <w:r>
        <w:rPr>
          <w:rFonts w:hint="eastAsia" w:eastAsia="仿宋_GB2312" w:cs="仿宋_GB2312"/>
          <w:sz w:val="32"/>
          <w:szCs w:val="32"/>
          <w:lang w:eastAsia="zh-CN"/>
        </w:rPr>
        <w:drawing>
          <wp:inline distT="0" distB="0" distL="114300" distR="114300">
            <wp:extent cx="4532630" cy="3346450"/>
            <wp:effectExtent l="4445" t="4445" r="15875" b="2095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CD94C9D">
      <w:pPr>
        <w:spacing w:line="600" w:lineRule="exact"/>
        <w:rPr>
          <w:rFonts w:eastAsia="仿宋_GB2312" w:cs="仿宋_GB2312"/>
          <w:sz w:val="32"/>
          <w:szCs w:val="32"/>
        </w:rPr>
      </w:pPr>
      <w:r>
        <w:rPr>
          <w:rFonts w:hint="eastAsia" w:eastAsia="仿宋_GB2312" w:cs="仿宋_GB2312"/>
          <w:sz w:val="32"/>
          <w:szCs w:val="32"/>
        </w:rPr>
        <w:t>（图5：一般公共预算财政拨款支出决算变动情况）（柱状图）</w:t>
      </w:r>
    </w:p>
    <w:p w14:paraId="1D121690">
      <w:pPr>
        <w:spacing w:line="600" w:lineRule="exact"/>
        <w:ind w:firstLine="640"/>
        <w:rPr>
          <w:rFonts w:eastAsia="仿宋_GB2312" w:cs="仿宋_GB2312"/>
          <w:sz w:val="32"/>
          <w:szCs w:val="32"/>
        </w:rPr>
      </w:pPr>
    </w:p>
    <w:p w14:paraId="433CD1D2">
      <w:pPr>
        <w:spacing w:line="600" w:lineRule="exact"/>
        <w:ind w:firstLine="643" w:firstLineChars="200"/>
        <w:outlineLvl w:val="2"/>
        <w:rPr>
          <w:rFonts w:eastAsia="楷体_GB2312" w:cs="楷体_GB2312"/>
          <w:b/>
          <w:sz w:val="32"/>
          <w:szCs w:val="32"/>
        </w:rPr>
      </w:pPr>
      <w:bookmarkStart w:id="40" w:name="_Toc15377211"/>
      <w:r>
        <w:rPr>
          <w:rFonts w:hint="eastAsia" w:eastAsia="楷体_GB2312" w:cs="楷体_GB2312"/>
          <w:b/>
          <w:sz w:val="32"/>
          <w:szCs w:val="32"/>
        </w:rPr>
        <w:t>（二）一般公共预算财政拨款支出决算结构情况</w:t>
      </w:r>
      <w:bookmarkEnd w:id="40"/>
    </w:p>
    <w:p w14:paraId="2D5B39AC">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eastAsia="zh-CN"/>
        </w:rPr>
        <w:t>2025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1054.31</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，主要用于以下方面：社会保障和就业支出</w:t>
      </w:r>
      <w:r>
        <w:rPr>
          <w:rFonts w:hint="eastAsia" w:eastAsia="仿宋_GB2312" w:cs="仿宋_GB2312"/>
          <w:sz w:val="32"/>
          <w:szCs w:val="32"/>
          <w:lang w:val="en-US" w:eastAsia="zh-CN"/>
        </w:rPr>
        <w:t>127.36</w:t>
      </w:r>
      <w:r>
        <w:rPr>
          <w:rFonts w:hint="eastAsia" w:eastAsia="仿宋_GB2312" w:cs="仿宋_GB2312"/>
          <w:sz w:val="32"/>
          <w:szCs w:val="32"/>
        </w:rPr>
        <w:t>万元，占</w:t>
      </w:r>
      <w:r>
        <w:rPr>
          <w:rFonts w:hint="eastAsia" w:eastAsia="仿宋_GB2312" w:cs="仿宋_GB2312"/>
          <w:sz w:val="32"/>
          <w:szCs w:val="32"/>
          <w:lang w:val="en-US" w:eastAsia="zh-CN"/>
        </w:rPr>
        <w:t>12</w:t>
      </w:r>
      <w:r>
        <w:rPr>
          <w:rFonts w:hint="eastAsia" w:eastAsia="仿宋_GB2312" w:cs="仿宋_GB2312"/>
          <w:sz w:val="32"/>
          <w:szCs w:val="32"/>
        </w:rPr>
        <w:t>%；卫生健康支出</w:t>
      </w:r>
      <w:r>
        <w:rPr>
          <w:rFonts w:hint="eastAsia" w:eastAsia="仿宋_GB2312" w:cs="仿宋_GB2312"/>
          <w:sz w:val="32"/>
          <w:szCs w:val="32"/>
          <w:lang w:val="en-US" w:eastAsia="zh-CN"/>
        </w:rPr>
        <w:t>65.52</w:t>
      </w:r>
      <w:r>
        <w:rPr>
          <w:rFonts w:hint="eastAsia" w:eastAsia="仿宋_GB2312" w:cs="仿宋_GB2312"/>
          <w:sz w:val="32"/>
          <w:szCs w:val="32"/>
        </w:rPr>
        <w:t>万元，占</w:t>
      </w:r>
      <w:r>
        <w:rPr>
          <w:rFonts w:hint="eastAsia" w:eastAsia="仿宋_GB2312" w:cs="仿宋_GB2312"/>
          <w:sz w:val="32"/>
          <w:szCs w:val="32"/>
          <w:lang w:val="en-US" w:eastAsia="zh-CN"/>
        </w:rPr>
        <w:t>6.2</w:t>
      </w:r>
      <w:r>
        <w:rPr>
          <w:rFonts w:hint="eastAsia" w:eastAsia="仿宋_GB2312" w:cs="仿宋_GB2312"/>
          <w:sz w:val="32"/>
          <w:szCs w:val="32"/>
        </w:rPr>
        <w:t>%；农林水支出</w:t>
      </w:r>
      <w:r>
        <w:rPr>
          <w:rFonts w:hint="eastAsia" w:eastAsia="仿宋_GB2312" w:cs="仿宋_GB2312"/>
          <w:sz w:val="32"/>
          <w:szCs w:val="32"/>
          <w:lang w:val="en-US" w:eastAsia="zh-CN"/>
        </w:rPr>
        <w:t>801.72</w:t>
      </w:r>
      <w:r>
        <w:rPr>
          <w:rFonts w:hint="eastAsia" w:eastAsia="仿宋_GB2312" w:cs="仿宋_GB2312"/>
          <w:sz w:val="32"/>
          <w:szCs w:val="32"/>
        </w:rPr>
        <w:t>万元，占</w:t>
      </w:r>
      <w:r>
        <w:rPr>
          <w:rFonts w:hint="eastAsia" w:eastAsia="仿宋_GB2312" w:cs="仿宋_GB2312"/>
          <w:sz w:val="32"/>
          <w:szCs w:val="32"/>
          <w:lang w:val="en-US" w:eastAsia="zh-CN"/>
        </w:rPr>
        <w:t>76</w:t>
      </w:r>
      <w:r>
        <w:rPr>
          <w:rFonts w:hint="eastAsia" w:eastAsia="仿宋_GB2312" w:cs="仿宋_GB2312"/>
          <w:sz w:val="32"/>
          <w:szCs w:val="32"/>
        </w:rPr>
        <w:t>%；住房保障支出</w:t>
      </w:r>
      <w:r>
        <w:rPr>
          <w:rFonts w:hint="eastAsia" w:eastAsia="仿宋_GB2312" w:cs="仿宋_GB2312"/>
          <w:sz w:val="32"/>
          <w:szCs w:val="32"/>
          <w:lang w:val="en-US" w:eastAsia="zh-CN"/>
        </w:rPr>
        <w:t>59.71</w:t>
      </w:r>
      <w:r>
        <w:rPr>
          <w:rFonts w:hint="eastAsia" w:eastAsia="仿宋_GB2312" w:cs="仿宋_GB2312"/>
          <w:sz w:val="32"/>
          <w:szCs w:val="32"/>
        </w:rPr>
        <w:t>万元，</w:t>
      </w:r>
      <w:r>
        <w:rPr>
          <w:rFonts w:hint="eastAsia" w:eastAsia="仿宋_GB2312" w:cs="仿宋_GB2312"/>
          <w:sz w:val="32"/>
          <w:szCs w:val="32"/>
          <w:lang w:val="en-US" w:eastAsia="zh-CN"/>
        </w:rPr>
        <w:t>5.8</w:t>
      </w:r>
      <w:r>
        <w:rPr>
          <w:rFonts w:hint="eastAsia" w:eastAsia="仿宋_GB2312" w:cs="仿宋_GB2312"/>
          <w:sz w:val="32"/>
          <w:szCs w:val="32"/>
        </w:rPr>
        <w:t>%</w:t>
      </w:r>
      <w:r>
        <w:rPr>
          <w:rFonts w:hint="eastAsia" w:eastAsia="仿宋_GB2312" w:cs="仿宋_GB2312"/>
          <w:sz w:val="32"/>
          <w:szCs w:val="32"/>
          <w:lang w:eastAsia="zh-CN"/>
        </w:rPr>
        <w:t>。</w:t>
      </w:r>
    </w:p>
    <w:p w14:paraId="5C57B780">
      <w:pPr>
        <w:spacing w:line="600" w:lineRule="exact"/>
        <w:rPr>
          <w:rFonts w:hint="eastAsia" w:eastAsia="仿宋_GB2312" w:cs="仿宋_GB2312"/>
          <w:sz w:val="32"/>
          <w:szCs w:val="32"/>
          <w:lang w:eastAsia="zh-CN"/>
        </w:rPr>
      </w:pPr>
    </w:p>
    <w:p w14:paraId="36E51857">
      <w:pPr>
        <w:pStyle w:val="2"/>
        <w:rPr>
          <w:rFonts w:hint="eastAsia" w:eastAsia="仿宋_GB2312" w:cs="仿宋_GB2312"/>
          <w:sz w:val="32"/>
          <w:szCs w:val="32"/>
          <w:lang w:eastAsia="zh-CN"/>
        </w:rPr>
      </w:pPr>
    </w:p>
    <w:p w14:paraId="430C304A">
      <w:pPr>
        <w:pStyle w:val="3"/>
        <w:rPr>
          <w:rFonts w:hint="eastAsia" w:eastAsia="仿宋_GB2312" w:cs="仿宋_GB2312"/>
          <w:sz w:val="32"/>
          <w:szCs w:val="32"/>
          <w:lang w:eastAsia="zh-CN"/>
        </w:rPr>
      </w:pPr>
    </w:p>
    <w:p w14:paraId="4592B957">
      <w:pPr>
        <w:pStyle w:val="3"/>
        <w:rPr>
          <w:rFonts w:hint="eastAsia" w:eastAsia="仿宋_GB2312" w:cs="仿宋_GB2312"/>
          <w:sz w:val="32"/>
          <w:szCs w:val="32"/>
          <w:lang w:eastAsia="zh-CN"/>
        </w:rPr>
      </w:pPr>
    </w:p>
    <w:p w14:paraId="3C814F4A">
      <w:pPr>
        <w:pStyle w:val="3"/>
        <w:rPr>
          <w:rFonts w:hint="eastAsia" w:eastAsia="仿宋_GB2312" w:cs="仿宋_GB2312"/>
          <w:sz w:val="32"/>
          <w:szCs w:val="32"/>
          <w:lang w:eastAsia="zh-CN"/>
        </w:rPr>
      </w:pPr>
      <w:r>
        <w:rPr>
          <w:rFonts w:hint="eastAsia"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349885</wp:posOffset>
            </wp:positionH>
            <wp:positionV relativeFrom="paragraph">
              <wp:posOffset>67310</wp:posOffset>
            </wp:positionV>
            <wp:extent cx="4664075" cy="3203575"/>
            <wp:effectExtent l="4445" t="4445" r="17780" b="11430"/>
            <wp:wrapTight wrapText="bothSides">
              <wp:wrapPolygon>
                <wp:start x="-21" y="-30"/>
                <wp:lineTo x="-21" y="21549"/>
                <wp:lineTo x="21506" y="21549"/>
                <wp:lineTo x="21506" y="-30"/>
                <wp:lineTo x="-21" y="-30"/>
              </wp:wrapPolygon>
            </wp:wrapTight>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E91BCB3">
      <w:pPr>
        <w:pStyle w:val="3"/>
        <w:rPr>
          <w:rFonts w:hint="eastAsia" w:eastAsia="仿宋_GB2312" w:cs="仿宋_GB2312"/>
          <w:sz w:val="32"/>
          <w:szCs w:val="32"/>
          <w:lang w:eastAsia="zh-CN"/>
        </w:rPr>
      </w:pPr>
    </w:p>
    <w:p w14:paraId="754E2F63">
      <w:pPr>
        <w:spacing w:line="600" w:lineRule="exact"/>
        <w:rPr>
          <w:rFonts w:hint="default" w:eastAsia="仿宋_GB2312" w:cs="仿宋_GB2312"/>
          <w:sz w:val="32"/>
          <w:szCs w:val="32"/>
          <w:lang w:val="en-US" w:eastAsia="zh-CN"/>
        </w:rPr>
      </w:pPr>
      <w:r>
        <w:rPr>
          <w:rFonts w:hint="eastAsia" w:eastAsia="仿宋_GB2312" w:cs="仿宋_GB2312"/>
          <w:sz w:val="32"/>
          <w:szCs w:val="32"/>
          <w:lang w:val="en-US" w:eastAsia="zh-CN"/>
        </w:rPr>
        <w:t xml:space="preserve">  </w:t>
      </w:r>
    </w:p>
    <w:p w14:paraId="31FBA838">
      <w:pPr>
        <w:spacing w:line="600" w:lineRule="exact"/>
        <w:rPr>
          <w:rFonts w:eastAsia="仿宋_GB2312" w:cs="仿宋_GB2312"/>
          <w:sz w:val="32"/>
          <w:szCs w:val="32"/>
        </w:rPr>
      </w:pPr>
      <w:r>
        <w:rPr>
          <w:rFonts w:hint="eastAsia" w:eastAsia="仿宋_GB2312" w:cs="仿宋_GB2312"/>
          <w:sz w:val="32"/>
          <w:szCs w:val="32"/>
        </w:rPr>
        <w:t>（图6：一般公共预算财政拨款支出决算结构）（饼状图）</w:t>
      </w:r>
    </w:p>
    <w:p w14:paraId="403D6C35">
      <w:pPr>
        <w:spacing w:line="600" w:lineRule="exact"/>
        <w:ind w:firstLine="640"/>
        <w:rPr>
          <w:rFonts w:eastAsia="仿宋_GB2312" w:cs="仿宋_GB2312"/>
          <w:sz w:val="32"/>
          <w:szCs w:val="32"/>
        </w:rPr>
      </w:pPr>
    </w:p>
    <w:p w14:paraId="519F605B">
      <w:pPr>
        <w:spacing w:line="600" w:lineRule="exact"/>
        <w:ind w:firstLine="643" w:firstLineChars="200"/>
        <w:outlineLvl w:val="2"/>
        <w:rPr>
          <w:rFonts w:eastAsia="楷体_GB2312" w:cs="楷体_GB2312"/>
          <w:b/>
          <w:sz w:val="32"/>
          <w:szCs w:val="32"/>
        </w:rPr>
      </w:pPr>
      <w:bookmarkStart w:id="41" w:name="_Toc15377212"/>
      <w:r>
        <w:rPr>
          <w:rFonts w:hint="eastAsia" w:eastAsia="楷体_GB2312" w:cs="楷体_GB2312"/>
          <w:b/>
          <w:sz w:val="32"/>
          <w:szCs w:val="32"/>
        </w:rPr>
        <w:t>（三）一般公共预算财政拨款支出决算具体情况</w:t>
      </w:r>
      <w:bookmarkEnd w:id="41"/>
    </w:p>
    <w:p w14:paraId="165CEEE5">
      <w:pPr>
        <w:spacing w:line="600" w:lineRule="exact"/>
        <w:ind w:firstLine="640"/>
        <w:rPr>
          <w:rFonts w:eastAsia="仿宋_GB2312" w:cs="仿宋_GB2312"/>
          <w:sz w:val="32"/>
          <w:szCs w:val="32"/>
        </w:rPr>
      </w:pPr>
      <w:bookmarkStart w:id="42" w:name="_Toc15378460"/>
      <w:bookmarkStart w:id="43" w:name="_Toc15377444"/>
      <w:bookmarkStart w:id="44" w:name="_Toc15377213"/>
      <w:r>
        <w:rPr>
          <w:rFonts w:hint="eastAsia" w:eastAsia="仿宋_GB2312" w:cs="仿宋_GB2312"/>
          <w:sz w:val="32"/>
          <w:szCs w:val="32"/>
          <w:lang w:eastAsia="zh-CN"/>
        </w:rPr>
        <w:t>2025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1054.31</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2"/>
      <w:bookmarkEnd w:id="43"/>
      <w:bookmarkEnd w:id="44"/>
    </w:p>
    <w:p w14:paraId="26D02C37">
      <w:pPr>
        <w:spacing w:line="600" w:lineRule="exact"/>
        <w:ind w:firstLine="640"/>
        <w:rPr>
          <w:rFonts w:hint="eastAsia" w:eastAsia="仿宋_GB2312" w:cs="仿宋_GB2312"/>
          <w:sz w:val="32"/>
          <w:szCs w:val="32"/>
        </w:rPr>
      </w:pPr>
      <w:r>
        <w:rPr>
          <w:rFonts w:hint="eastAsia" w:eastAsia="仿宋_GB2312" w:cs="仿宋_GB2312"/>
          <w:sz w:val="32"/>
          <w:szCs w:val="32"/>
        </w:rPr>
        <w:t>1.社会保障和就业（208类）行政事业单位养老支出（05款）机关事业单位基本养老保险缴费支出（05项）: 支出决算为</w:t>
      </w:r>
      <w:r>
        <w:rPr>
          <w:rFonts w:hint="eastAsia" w:eastAsia="仿宋_GB2312" w:cs="仿宋_GB2312"/>
          <w:sz w:val="32"/>
          <w:szCs w:val="32"/>
          <w:lang w:val="en-US" w:eastAsia="zh-CN"/>
        </w:rPr>
        <w:t>84.91</w:t>
      </w:r>
      <w:r>
        <w:rPr>
          <w:rFonts w:hint="eastAsia" w:eastAsia="仿宋_GB2312" w:cs="仿宋_GB2312"/>
          <w:sz w:val="32"/>
          <w:szCs w:val="32"/>
        </w:rPr>
        <w:t>万元，完成预算100%。</w:t>
      </w:r>
    </w:p>
    <w:p w14:paraId="72694CD9">
      <w:pPr>
        <w:spacing w:line="600" w:lineRule="exact"/>
        <w:ind w:firstLine="640"/>
        <w:rPr>
          <w:rFonts w:hint="eastAsia" w:eastAsia="仿宋_GB2312" w:cs="仿宋_GB2312"/>
          <w:sz w:val="32"/>
          <w:szCs w:val="32"/>
        </w:rPr>
      </w:pPr>
      <w:r>
        <w:rPr>
          <w:rFonts w:hint="eastAsia" w:eastAsia="仿宋_GB2312" w:cs="仿宋_GB2312"/>
          <w:sz w:val="32"/>
          <w:szCs w:val="32"/>
        </w:rPr>
        <w:t>2.社会保障和就业（208类）行政事业单位养老支出（05款）机关事业单位职业年金缴费支出（06项）: 支出决算为</w:t>
      </w:r>
      <w:r>
        <w:rPr>
          <w:rFonts w:hint="eastAsia" w:eastAsia="仿宋_GB2312" w:cs="仿宋_GB2312"/>
          <w:sz w:val="32"/>
          <w:szCs w:val="32"/>
          <w:lang w:val="en-US" w:eastAsia="zh-CN"/>
        </w:rPr>
        <w:t>42.45</w:t>
      </w:r>
      <w:r>
        <w:rPr>
          <w:rFonts w:hint="eastAsia" w:eastAsia="仿宋_GB2312" w:cs="仿宋_GB2312"/>
          <w:sz w:val="32"/>
          <w:szCs w:val="32"/>
        </w:rPr>
        <w:t>万元，完成预算100%。</w:t>
      </w:r>
    </w:p>
    <w:p w14:paraId="648C2B3F">
      <w:pPr>
        <w:spacing w:line="600" w:lineRule="exact"/>
        <w:ind w:firstLine="640"/>
        <w:rPr>
          <w:rFonts w:hint="eastAsia" w:eastAsia="仿宋_GB2312" w:cs="仿宋_GB2312"/>
          <w:sz w:val="32"/>
          <w:szCs w:val="32"/>
        </w:rPr>
      </w:pPr>
      <w:r>
        <w:rPr>
          <w:rFonts w:hint="eastAsia" w:eastAsia="仿宋_GB2312" w:cs="仿宋_GB2312"/>
          <w:sz w:val="32"/>
          <w:szCs w:val="32"/>
        </w:rPr>
        <w:t>3.卫生健康（210类）行政事业单位医疗（11款）事业单位医疗（02项）:支出决算为</w:t>
      </w:r>
      <w:r>
        <w:rPr>
          <w:rFonts w:hint="eastAsia" w:eastAsia="仿宋_GB2312" w:cs="仿宋_GB2312"/>
          <w:sz w:val="32"/>
          <w:szCs w:val="32"/>
          <w:lang w:val="en-US" w:eastAsia="zh-CN"/>
        </w:rPr>
        <w:t>39.2</w:t>
      </w:r>
      <w:r>
        <w:rPr>
          <w:rFonts w:hint="eastAsia" w:eastAsia="仿宋_GB2312" w:cs="仿宋_GB2312"/>
          <w:sz w:val="32"/>
          <w:szCs w:val="32"/>
        </w:rPr>
        <w:t>万元，完成预算100%。</w:t>
      </w:r>
    </w:p>
    <w:p w14:paraId="3020EE56">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4.</w:t>
      </w:r>
      <w:r>
        <w:rPr>
          <w:rFonts w:hint="eastAsia" w:eastAsia="仿宋_GB2312" w:cs="仿宋_GB2312"/>
          <w:sz w:val="32"/>
          <w:szCs w:val="32"/>
        </w:rPr>
        <w:t>卫生健康（210类）行政事业单位医疗（11款）其他行政事业单位医疗支出（</w:t>
      </w:r>
      <w:r>
        <w:rPr>
          <w:rFonts w:hint="eastAsia" w:eastAsia="仿宋_GB2312" w:cs="仿宋_GB2312"/>
          <w:sz w:val="32"/>
          <w:szCs w:val="32"/>
          <w:lang w:val="en-US" w:eastAsia="zh-CN"/>
        </w:rPr>
        <w:t>99</w:t>
      </w:r>
      <w:r>
        <w:rPr>
          <w:rFonts w:hint="eastAsia" w:eastAsia="仿宋_GB2312" w:cs="仿宋_GB2312"/>
          <w:sz w:val="32"/>
          <w:szCs w:val="32"/>
        </w:rPr>
        <w:t>项）:支出决算为</w:t>
      </w:r>
      <w:r>
        <w:rPr>
          <w:rFonts w:hint="eastAsia" w:eastAsia="仿宋_GB2312" w:cs="仿宋_GB2312"/>
          <w:sz w:val="32"/>
          <w:szCs w:val="32"/>
          <w:lang w:val="en-US" w:eastAsia="zh-CN"/>
        </w:rPr>
        <w:t>26.32</w:t>
      </w:r>
      <w:r>
        <w:rPr>
          <w:rFonts w:hint="eastAsia" w:eastAsia="仿宋_GB2312" w:cs="仿宋_GB2312"/>
          <w:sz w:val="32"/>
          <w:szCs w:val="32"/>
        </w:rPr>
        <w:t>万元，完成预算100%。</w:t>
      </w:r>
    </w:p>
    <w:p w14:paraId="6F10262E">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5</w:t>
      </w:r>
      <w:r>
        <w:rPr>
          <w:rFonts w:hint="eastAsia" w:eastAsia="仿宋_GB2312" w:cs="仿宋_GB2312"/>
          <w:sz w:val="32"/>
          <w:szCs w:val="32"/>
        </w:rPr>
        <w:t>.农林水（213类）林业和草原（02款）事业机构（04项）:支出决算为</w:t>
      </w:r>
      <w:r>
        <w:rPr>
          <w:rFonts w:hint="eastAsia" w:eastAsia="仿宋_GB2312" w:cs="仿宋_GB2312"/>
          <w:sz w:val="32"/>
          <w:szCs w:val="32"/>
          <w:lang w:val="en-US" w:eastAsia="zh-CN"/>
        </w:rPr>
        <w:t>801.72</w:t>
      </w:r>
      <w:r>
        <w:rPr>
          <w:rFonts w:hint="eastAsia" w:eastAsia="仿宋_GB2312" w:cs="仿宋_GB2312"/>
          <w:sz w:val="32"/>
          <w:szCs w:val="32"/>
        </w:rPr>
        <w:t>万元，完成预算100%。</w:t>
      </w:r>
    </w:p>
    <w:p w14:paraId="02AD7677">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.住房保障（221类）住房改革支出（02款）住房公积金（01项）:支出决算为</w:t>
      </w:r>
      <w:r>
        <w:rPr>
          <w:rFonts w:hint="eastAsia" w:eastAsia="仿宋_GB2312" w:cs="仿宋_GB2312"/>
          <w:sz w:val="32"/>
          <w:szCs w:val="32"/>
          <w:lang w:val="en-US" w:eastAsia="zh-CN"/>
        </w:rPr>
        <w:t>59.71</w:t>
      </w:r>
      <w:r>
        <w:rPr>
          <w:rFonts w:hint="eastAsia" w:eastAsia="仿宋_GB2312" w:cs="仿宋_GB2312"/>
          <w:sz w:val="32"/>
          <w:szCs w:val="32"/>
        </w:rPr>
        <w:t>万元，完成预算100%。</w:t>
      </w:r>
    </w:p>
    <w:p w14:paraId="7FD6F9ED">
      <w:pPr>
        <w:spacing w:line="600" w:lineRule="exact"/>
        <w:ind w:firstLine="640"/>
        <w:rPr>
          <w:rFonts w:eastAsia="仿宋_GB2312" w:cs="仿宋_GB2312"/>
          <w:sz w:val="32"/>
          <w:szCs w:val="32"/>
        </w:rPr>
      </w:pPr>
    </w:p>
    <w:p w14:paraId="094B270C">
      <w:pPr>
        <w:tabs>
          <w:tab w:val="right" w:pos="8306"/>
        </w:tabs>
        <w:spacing w:line="600" w:lineRule="exact"/>
        <w:ind w:firstLine="640"/>
        <w:outlineLvl w:val="1"/>
        <w:rPr>
          <w:rStyle w:val="38"/>
          <w:rFonts w:ascii="Times New Roman" w:hAnsi="Times New Roman"/>
        </w:rPr>
      </w:pPr>
      <w:bookmarkStart w:id="45" w:name="_Toc15396608"/>
      <w:bookmarkStart w:id="46" w:name="_Toc15377214"/>
      <w:r>
        <w:rPr>
          <w:rFonts w:hint="eastAsia" w:eastAsia="黑体"/>
          <w:sz w:val="32"/>
          <w:szCs w:val="32"/>
        </w:rPr>
        <w:t>六</w:t>
      </w:r>
      <w:r>
        <w:rPr>
          <w:rFonts w:hint="eastAsia" w:eastAsia="黑体"/>
          <w:b/>
          <w:sz w:val="32"/>
          <w:szCs w:val="32"/>
        </w:rPr>
        <w:t>、一</w:t>
      </w:r>
      <w:r>
        <w:rPr>
          <w:rStyle w:val="38"/>
          <w:rFonts w:hint="eastAsia" w:ascii="Times New Roman" w:hAnsi="Times New Roman" w:eastAsia="黑体"/>
          <w:b w:val="0"/>
        </w:rPr>
        <w:t>般公共预算财政拨款基本支出决算情况说明</w:t>
      </w:r>
      <w:bookmarkEnd w:id="45"/>
      <w:bookmarkEnd w:id="46"/>
      <w:r>
        <w:rPr>
          <w:rStyle w:val="38"/>
          <w:rFonts w:ascii="Times New Roman" w:hAnsi="Times New Roman" w:eastAsia="黑体"/>
          <w:b w:val="0"/>
        </w:rPr>
        <w:tab/>
      </w:r>
    </w:p>
    <w:p w14:paraId="1AC8CF06">
      <w:pPr>
        <w:spacing w:line="600" w:lineRule="exact"/>
        <w:ind w:firstLine="645"/>
        <w:rPr>
          <w:rFonts w:ascii="仿宋" w:hAnsi="仿宋" w:eastAsia="仿宋"/>
          <w:color w:val="auto"/>
          <w:sz w:val="32"/>
          <w:szCs w:val="32"/>
        </w:rPr>
      </w:pPr>
      <w:r>
        <w:rPr>
          <w:rFonts w:hint="eastAsia" w:ascii="仿宋" w:hAnsi="仿宋" w:eastAsia="仿宋"/>
          <w:color w:val="auto"/>
          <w:sz w:val="32"/>
          <w:szCs w:val="32"/>
          <w:lang w:eastAsia="zh-CN"/>
        </w:rPr>
        <w:t>2025</w:t>
      </w:r>
      <w:r>
        <w:rPr>
          <w:rFonts w:hint="eastAsia" w:ascii="仿宋" w:hAnsi="仿宋" w:eastAsia="仿宋"/>
          <w:color w:val="auto"/>
          <w:sz w:val="32"/>
          <w:szCs w:val="32"/>
        </w:rPr>
        <w:t>年度一般公共预算财政拨款基本支出</w:t>
      </w:r>
      <w:r>
        <w:rPr>
          <w:rFonts w:hint="eastAsia" w:ascii="仿宋" w:hAnsi="仿宋" w:eastAsia="仿宋"/>
          <w:color w:val="auto"/>
          <w:sz w:val="32"/>
          <w:szCs w:val="32"/>
          <w:lang w:val="en-US" w:eastAsia="zh-CN"/>
        </w:rPr>
        <w:t>1054.31</w:t>
      </w:r>
      <w:r>
        <w:rPr>
          <w:rFonts w:hint="eastAsia" w:ascii="仿宋" w:hAnsi="仿宋" w:eastAsia="仿宋"/>
          <w:color w:val="auto"/>
          <w:sz w:val="32"/>
          <w:szCs w:val="32"/>
        </w:rPr>
        <w:t>万元，其中：</w:t>
      </w:r>
    </w:p>
    <w:p w14:paraId="03434F5F">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hint="eastAsia" w:ascii="仿宋" w:hAnsi="仿宋" w:eastAsia="仿宋"/>
          <w:b w:val="0"/>
          <w:bCs/>
          <w:sz w:val="32"/>
          <w:szCs w:val="32"/>
          <w:lang w:val="en-US" w:eastAsia="zh-CN"/>
        </w:rPr>
        <w:t>965.95</w:t>
      </w:r>
      <w:r>
        <w:rPr>
          <w:rFonts w:hint="eastAsia" w:ascii="仿宋" w:hAnsi="仿宋" w:eastAsia="仿宋"/>
          <w:sz w:val="32"/>
          <w:szCs w:val="32"/>
        </w:rPr>
        <w:t>万元，主要包括：基本工资</w:t>
      </w:r>
      <w:r>
        <w:rPr>
          <w:rFonts w:hint="eastAsia" w:ascii="仿宋" w:hAnsi="仿宋" w:eastAsia="仿宋"/>
          <w:sz w:val="32"/>
          <w:szCs w:val="32"/>
          <w:lang w:val="en-US" w:eastAsia="zh-CN"/>
        </w:rPr>
        <w:t>230.65万元</w:t>
      </w:r>
      <w:r>
        <w:rPr>
          <w:rFonts w:hint="eastAsia" w:ascii="仿宋" w:hAnsi="仿宋" w:eastAsia="仿宋"/>
          <w:sz w:val="32"/>
          <w:szCs w:val="32"/>
        </w:rPr>
        <w:t>、津贴补贴</w:t>
      </w:r>
      <w:r>
        <w:rPr>
          <w:rFonts w:hint="eastAsia" w:ascii="仿宋" w:hAnsi="仿宋" w:eastAsia="仿宋"/>
          <w:sz w:val="32"/>
          <w:szCs w:val="32"/>
          <w:lang w:val="en-US" w:eastAsia="zh-CN"/>
        </w:rPr>
        <w:t>71.71万元</w:t>
      </w:r>
      <w:r>
        <w:rPr>
          <w:rFonts w:hint="eastAsia" w:ascii="仿宋" w:hAnsi="仿宋" w:eastAsia="仿宋"/>
          <w:sz w:val="32"/>
          <w:szCs w:val="32"/>
        </w:rPr>
        <w:t>、奖金</w:t>
      </w:r>
      <w:r>
        <w:rPr>
          <w:rFonts w:hint="eastAsia" w:ascii="仿宋" w:hAnsi="仿宋" w:eastAsia="仿宋"/>
          <w:sz w:val="32"/>
          <w:szCs w:val="32"/>
          <w:lang w:val="en-US" w:eastAsia="zh-CN"/>
        </w:rPr>
        <w:t>164.7万元</w:t>
      </w:r>
      <w:r>
        <w:rPr>
          <w:rFonts w:hint="eastAsia" w:ascii="仿宋" w:hAnsi="仿宋" w:eastAsia="仿宋"/>
          <w:sz w:val="32"/>
          <w:szCs w:val="32"/>
        </w:rPr>
        <w:t>、绩效工资</w:t>
      </w:r>
      <w:r>
        <w:rPr>
          <w:rFonts w:hint="eastAsia" w:ascii="仿宋" w:hAnsi="仿宋" w:eastAsia="仿宋"/>
          <w:sz w:val="32"/>
          <w:szCs w:val="32"/>
          <w:lang w:val="en-US" w:eastAsia="zh-CN"/>
        </w:rPr>
        <w:t>145.98万元</w:t>
      </w:r>
      <w:r>
        <w:rPr>
          <w:rFonts w:hint="eastAsia" w:ascii="仿宋" w:hAnsi="仿宋" w:eastAsia="仿宋"/>
          <w:sz w:val="32"/>
          <w:szCs w:val="32"/>
        </w:rPr>
        <w:t>、机关事业单位基本养老保险缴费</w:t>
      </w:r>
      <w:r>
        <w:rPr>
          <w:rFonts w:hint="eastAsia" w:ascii="仿宋" w:hAnsi="仿宋" w:eastAsia="仿宋"/>
          <w:sz w:val="32"/>
          <w:szCs w:val="32"/>
          <w:lang w:val="en-US" w:eastAsia="zh-CN"/>
        </w:rPr>
        <w:t>84.91万元</w:t>
      </w:r>
      <w:r>
        <w:rPr>
          <w:rFonts w:hint="eastAsia" w:ascii="仿宋" w:hAnsi="仿宋" w:eastAsia="仿宋"/>
          <w:sz w:val="32"/>
          <w:szCs w:val="32"/>
        </w:rPr>
        <w:t>、职业年金缴费</w:t>
      </w:r>
      <w:r>
        <w:rPr>
          <w:rFonts w:hint="eastAsia" w:ascii="仿宋" w:hAnsi="仿宋" w:eastAsia="仿宋"/>
          <w:sz w:val="32"/>
          <w:szCs w:val="32"/>
          <w:lang w:val="en-US" w:eastAsia="zh-CN"/>
        </w:rPr>
        <w:t>42.45万元</w:t>
      </w:r>
      <w:r>
        <w:rPr>
          <w:rFonts w:hint="eastAsia" w:ascii="仿宋" w:hAnsi="仿宋" w:eastAsia="仿宋"/>
          <w:sz w:val="32"/>
          <w:szCs w:val="32"/>
        </w:rPr>
        <w:t>、职工基本医疗保险缴费</w:t>
      </w:r>
      <w:r>
        <w:rPr>
          <w:rFonts w:hint="eastAsia" w:ascii="仿宋" w:hAnsi="仿宋" w:eastAsia="仿宋"/>
          <w:sz w:val="32"/>
          <w:szCs w:val="32"/>
          <w:lang w:val="en-US" w:eastAsia="zh-CN"/>
        </w:rPr>
        <w:t>39.2万元、</w:t>
      </w:r>
      <w:r>
        <w:rPr>
          <w:rFonts w:hint="eastAsia" w:ascii="仿宋" w:hAnsi="仿宋" w:eastAsia="仿宋"/>
          <w:sz w:val="32"/>
          <w:szCs w:val="32"/>
        </w:rPr>
        <w:t>其他社会保障缴费</w:t>
      </w:r>
      <w:r>
        <w:rPr>
          <w:rFonts w:hint="eastAsia" w:ascii="仿宋" w:hAnsi="仿宋" w:eastAsia="仿宋"/>
          <w:sz w:val="32"/>
          <w:szCs w:val="32"/>
          <w:lang w:val="en-US" w:eastAsia="zh-CN"/>
        </w:rPr>
        <w:t>29.4万元</w:t>
      </w:r>
      <w:r>
        <w:rPr>
          <w:rFonts w:hint="eastAsia" w:ascii="仿宋" w:hAnsi="仿宋" w:eastAsia="仿宋"/>
          <w:sz w:val="32"/>
          <w:szCs w:val="32"/>
        </w:rPr>
        <w:t>、住房公积金</w:t>
      </w:r>
      <w:r>
        <w:rPr>
          <w:rFonts w:hint="eastAsia" w:ascii="仿宋" w:hAnsi="仿宋" w:eastAsia="仿宋"/>
          <w:sz w:val="32"/>
          <w:szCs w:val="32"/>
          <w:lang w:val="en-US" w:eastAsia="zh-CN"/>
        </w:rPr>
        <w:t>59.71万元、</w:t>
      </w:r>
      <w:r>
        <w:rPr>
          <w:rFonts w:hint="eastAsia" w:ascii="仿宋" w:hAnsi="仿宋" w:eastAsia="仿宋"/>
          <w:sz w:val="32"/>
          <w:szCs w:val="32"/>
        </w:rPr>
        <w:t>生活补助</w:t>
      </w:r>
      <w:r>
        <w:rPr>
          <w:rFonts w:hint="eastAsia" w:ascii="仿宋" w:hAnsi="仿宋" w:eastAsia="仿宋"/>
          <w:sz w:val="32"/>
          <w:szCs w:val="32"/>
          <w:lang w:val="en-US" w:eastAsia="zh-CN"/>
        </w:rPr>
        <w:t>79.27万元</w:t>
      </w:r>
      <w:r>
        <w:rPr>
          <w:rFonts w:hint="eastAsia" w:ascii="仿宋" w:hAnsi="仿宋" w:eastAsia="仿宋"/>
          <w:sz w:val="32"/>
          <w:szCs w:val="32"/>
        </w:rPr>
        <w:t>、奖励金</w:t>
      </w:r>
      <w:r>
        <w:rPr>
          <w:rFonts w:hint="eastAsia" w:ascii="仿宋" w:hAnsi="仿宋" w:eastAsia="仿宋"/>
          <w:sz w:val="32"/>
          <w:szCs w:val="32"/>
          <w:lang w:val="en-US" w:eastAsia="zh-CN"/>
        </w:rPr>
        <w:t>0.03万元</w:t>
      </w:r>
      <w:r>
        <w:rPr>
          <w:rFonts w:hint="eastAsia" w:ascii="仿宋" w:hAnsi="仿宋" w:eastAsia="仿宋"/>
          <w:sz w:val="32"/>
          <w:szCs w:val="32"/>
        </w:rPr>
        <w:t>等。</w:t>
      </w:r>
      <w:r>
        <w:rPr>
          <w:rFonts w:ascii="仿宋" w:hAnsi="仿宋" w:eastAsia="仿宋"/>
          <w:sz w:val="32"/>
          <w:szCs w:val="32"/>
        </w:rPr>
        <w:br w:type="textWrapping"/>
      </w:r>
      <w:r>
        <w:rPr>
          <w:rFonts w:hint="eastAsia" w:ascii="仿宋" w:hAnsi="仿宋" w:eastAsia="仿宋"/>
          <w:sz w:val="32"/>
          <w:szCs w:val="32"/>
        </w:rPr>
        <w:t>　　公用经费</w:t>
      </w:r>
      <w:r>
        <w:rPr>
          <w:rFonts w:hint="eastAsia" w:ascii="仿宋" w:hAnsi="仿宋" w:eastAsia="仿宋"/>
          <w:b w:val="0"/>
          <w:bCs w:val="0"/>
          <w:sz w:val="32"/>
          <w:szCs w:val="32"/>
          <w:lang w:val="en-US" w:eastAsia="zh-CN"/>
        </w:rPr>
        <w:t>88.36</w:t>
      </w:r>
      <w:r>
        <w:rPr>
          <w:rFonts w:hint="eastAsia" w:ascii="仿宋" w:hAnsi="仿宋" w:eastAsia="仿宋"/>
          <w:sz w:val="32"/>
          <w:szCs w:val="32"/>
        </w:rPr>
        <w:t>万元，主要包括：办公费</w:t>
      </w:r>
      <w:r>
        <w:rPr>
          <w:rFonts w:hint="eastAsia" w:ascii="仿宋" w:hAnsi="仿宋" w:eastAsia="仿宋"/>
          <w:sz w:val="32"/>
          <w:szCs w:val="32"/>
          <w:lang w:val="en-US" w:eastAsia="zh-CN"/>
        </w:rPr>
        <w:t>10.51万元</w:t>
      </w:r>
      <w:r>
        <w:rPr>
          <w:rFonts w:hint="eastAsia" w:ascii="仿宋" w:hAnsi="仿宋" w:eastAsia="仿宋"/>
          <w:sz w:val="32"/>
          <w:szCs w:val="32"/>
        </w:rPr>
        <w:t>、邮电费</w:t>
      </w:r>
      <w:r>
        <w:rPr>
          <w:rFonts w:hint="eastAsia" w:ascii="仿宋" w:hAnsi="仿宋" w:eastAsia="仿宋"/>
          <w:sz w:val="32"/>
          <w:szCs w:val="32"/>
          <w:lang w:val="en-US" w:eastAsia="zh-CN"/>
        </w:rPr>
        <w:t>10.01万元</w:t>
      </w:r>
      <w:r>
        <w:rPr>
          <w:rFonts w:hint="eastAsia" w:ascii="仿宋" w:hAnsi="仿宋" w:eastAsia="仿宋"/>
          <w:sz w:val="32"/>
          <w:szCs w:val="32"/>
        </w:rPr>
        <w:t>、差旅费</w:t>
      </w:r>
      <w:r>
        <w:rPr>
          <w:rFonts w:hint="eastAsia" w:ascii="仿宋" w:hAnsi="仿宋" w:eastAsia="仿宋"/>
          <w:sz w:val="32"/>
          <w:szCs w:val="32"/>
          <w:lang w:val="en-US" w:eastAsia="zh-CN"/>
        </w:rPr>
        <w:t>18.14万元</w:t>
      </w:r>
      <w:r>
        <w:rPr>
          <w:rFonts w:hint="eastAsia" w:ascii="仿宋" w:hAnsi="仿宋" w:eastAsia="仿宋"/>
          <w:sz w:val="32"/>
          <w:szCs w:val="32"/>
        </w:rPr>
        <w:t>、</w:t>
      </w:r>
      <w:r>
        <w:rPr>
          <w:rFonts w:hint="eastAsia" w:ascii="仿宋" w:hAnsi="仿宋" w:eastAsia="仿宋"/>
          <w:sz w:val="32"/>
          <w:szCs w:val="32"/>
          <w:lang w:eastAsia="zh-CN"/>
        </w:rPr>
        <w:t>维修费</w:t>
      </w:r>
      <w:r>
        <w:rPr>
          <w:rFonts w:hint="eastAsia" w:ascii="仿宋" w:hAnsi="仿宋" w:eastAsia="仿宋"/>
          <w:sz w:val="32"/>
          <w:szCs w:val="32"/>
          <w:lang w:val="en-US" w:eastAsia="zh-CN"/>
        </w:rPr>
        <w:t>3.18万元</w:t>
      </w:r>
      <w:r>
        <w:rPr>
          <w:rFonts w:hint="eastAsia" w:ascii="仿宋" w:hAnsi="仿宋" w:eastAsia="仿宋"/>
          <w:sz w:val="32"/>
          <w:szCs w:val="32"/>
        </w:rPr>
        <w:t>、培训费</w:t>
      </w:r>
      <w:r>
        <w:rPr>
          <w:rFonts w:hint="eastAsia" w:ascii="仿宋" w:hAnsi="仿宋" w:eastAsia="仿宋"/>
          <w:sz w:val="32"/>
          <w:szCs w:val="32"/>
          <w:lang w:val="en-US" w:eastAsia="zh-CN"/>
        </w:rPr>
        <w:t>7.56万元</w:t>
      </w:r>
      <w:r>
        <w:rPr>
          <w:rFonts w:hint="eastAsia" w:ascii="仿宋" w:hAnsi="仿宋" w:eastAsia="仿宋"/>
          <w:sz w:val="32"/>
          <w:szCs w:val="32"/>
        </w:rPr>
        <w:t>、劳务费</w:t>
      </w:r>
      <w:r>
        <w:rPr>
          <w:rFonts w:hint="eastAsia" w:ascii="仿宋" w:hAnsi="仿宋" w:eastAsia="仿宋"/>
          <w:sz w:val="32"/>
          <w:szCs w:val="32"/>
          <w:lang w:val="en-US" w:eastAsia="zh-CN"/>
        </w:rPr>
        <w:t>0.71万元</w:t>
      </w:r>
      <w:r>
        <w:rPr>
          <w:rFonts w:hint="eastAsia" w:ascii="仿宋" w:hAnsi="仿宋" w:eastAsia="仿宋"/>
          <w:sz w:val="32"/>
          <w:szCs w:val="32"/>
        </w:rPr>
        <w:t>、福利费</w:t>
      </w:r>
      <w:r>
        <w:rPr>
          <w:rFonts w:hint="eastAsia" w:ascii="仿宋" w:hAnsi="仿宋" w:eastAsia="仿宋"/>
          <w:sz w:val="32"/>
          <w:szCs w:val="32"/>
          <w:lang w:val="en-US" w:eastAsia="zh-CN"/>
        </w:rPr>
        <w:t>14.84万元</w:t>
      </w:r>
      <w:r>
        <w:rPr>
          <w:rFonts w:hint="eastAsia" w:ascii="仿宋" w:hAnsi="仿宋" w:eastAsia="仿宋"/>
          <w:sz w:val="32"/>
          <w:szCs w:val="32"/>
        </w:rPr>
        <w:t>等。</w:t>
      </w:r>
    </w:p>
    <w:p w14:paraId="1D7B4D2A">
      <w:pPr>
        <w:spacing w:line="600" w:lineRule="exact"/>
        <w:ind w:firstLine="640"/>
        <w:rPr>
          <w:rFonts w:eastAsia="仿宋_GB2312" w:cs="仿宋_GB2312"/>
          <w:sz w:val="32"/>
          <w:szCs w:val="32"/>
        </w:rPr>
      </w:pPr>
    </w:p>
    <w:p w14:paraId="04EFC89F">
      <w:pPr>
        <w:spacing w:line="600" w:lineRule="exact"/>
        <w:ind w:firstLine="640"/>
        <w:outlineLvl w:val="1"/>
        <w:rPr>
          <w:rStyle w:val="38"/>
          <w:rFonts w:ascii="Times New Roman" w:hAnsi="Times New Roman" w:eastAsia="黑体"/>
          <w:b w:val="0"/>
        </w:rPr>
      </w:pPr>
      <w:bookmarkStart w:id="47" w:name="_Toc15396609"/>
      <w:bookmarkStart w:id="48" w:name="_Toc15377215"/>
      <w:r>
        <w:rPr>
          <w:rFonts w:hint="eastAsia" w:eastAsia="黑体"/>
          <w:sz w:val="32"/>
          <w:szCs w:val="32"/>
        </w:rPr>
        <w:t>七、</w:t>
      </w:r>
      <w:r>
        <w:rPr>
          <w:rStyle w:val="38"/>
          <w:rFonts w:hint="eastAsia" w:ascii="Times New Roman" w:hAnsi="Times New Roman" w:eastAsia="黑体"/>
          <w:b w:val="0"/>
        </w:rPr>
        <w:t>财政拨款</w:t>
      </w:r>
      <w:r>
        <w:rPr>
          <w:rStyle w:val="38"/>
          <w:rFonts w:hint="eastAsia" w:ascii="Times New Roman" w:hAnsi="Times New Roman" w:eastAsia="黑体"/>
        </w:rPr>
        <w:t>“</w:t>
      </w:r>
      <w:r>
        <w:rPr>
          <w:rStyle w:val="38"/>
          <w:rFonts w:hint="eastAsia" w:ascii="Times New Roman" w:hAnsi="Times New Roman" w:eastAsia="黑体"/>
          <w:b w:val="0"/>
        </w:rPr>
        <w:t>三公”经费支出决算情况说明</w:t>
      </w:r>
      <w:bookmarkEnd w:id="47"/>
      <w:bookmarkEnd w:id="48"/>
    </w:p>
    <w:p w14:paraId="001106D0">
      <w:pPr>
        <w:spacing w:line="600" w:lineRule="exact"/>
        <w:ind w:firstLine="643" w:firstLineChars="200"/>
        <w:outlineLvl w:val="2"/>
        <w:rPr>
          <w:rFonts w:eastAsia="楷体_GB2312" w:cs="楷体_GB2312"/>
          <w:b/>
          <w:sz w:val="32"/>
          <w:szCs w:val="32"/>
        </w:rPr>
      </w:pPr>
      <w:bookmarkStart w:id="49" w:name="_Toc15377216"/>
      <w:r>
        <w:rPr>
          <w:rFonts w:hint="eastAsia" w:eastAsia="楷体_GB2312" w:cs="楷体_GB2312"/>
          <w:b/>
          <w:sz w:val="32"/>
          <w:szCs w:val="32"/>
        </w:rPr>
        <w:t>（一）“三公”经费财政拨款支出决算总体情况说明</w:t>
      </w:r>
      <w:bookmarkEnd w:id="49"/>
    </w:p>
    <w:p w14:paraId="23E2381F">
      <w:pPr>
        <w:spacing w:line="600" w:lineRule="exact"/>
        <w:ind w:firstLine="640"/>
        <w:rPr>
          <w:rFonts w:eastAsia="仿宋_GB2312" w:cs="仿宋_GB2312"/>
          <w:b w:val="0"/>
          <w:bCs w:val="0"/>
          <w:sz w:val="32"/>
          <w:szCs w:val="32"/>
        </w:rPr>
      </w:pPr>
      <w:r>
        <w:rPr>
          <w:rFonts w:hint="eastAsia" w:ascii="仿宋" w:hAnsi="仿宋" w:eastAsia="仿宋"/>
          <w:b w:val="0"/>
          <w:bCs w:val="0"/>
          <w:sz w:val="32"/>
          <w:szCs w:val="32"/>
          <w:lang w:eastAsia="zh-CN"/>
        </w:rPr>
        <w:t>2025</w:t>
      </w:r>
      <w:r>
        <w:rPr>
          <w:rFonts w:hint="eastAsia" w:ascii="仿宋" w:hAnsi="仿宋" w:eastAsia="仿宋"/>
          <w:b w:val="0"/>
          <w:bCs w:val="0"/>
          <w:sz w:val="32"/>
          <w:szCs w:val="32"/>
        </w:rPr>
        <w:t>年度“三公”经费财政拨款支出决算为</w:t>
      </w:r>
      <w:r>
        <w:rPr>
          <w:rFonts w:ascii="仿宋" w:hAnsi="仿宋" w:eastAsia="仿宋"/>
          <w:b w:val="0"/>
          <w:bCs w:val="0"/>
          <w:sz w:val="32"/>
          <w:szCs w:val="32"/>
        </w:rPr>
        <w:t>0</w:t>
      </w:r>
      <w:r>
        <w:rPr>
          <w:rFonts w:hint="eastAsia" w:ascii="仿宋" w:hAnsi="仿宋" w:eastAsia="仿宋"/>
          <w:b w:val="0"/>
          <w:bCs w:val="0"/>
          <w:sz w:val="32"/>
          <w:szCs w:val="32"/>
        </w:rPr>
        <w:t>万元，完成预算</w:t>
      </w:r>
      <w:r>
        <w:rPr>
          <w:rFonts w:ascii="仿宋" w:hAnsi="仿宋" w:eastAsia="仿宋"/>
          <w:b w:val="0"/>
          <w:bCs w:val="0"/>
          <w:sz w:val="32"/>
          <w:szCs w:val="32"/>
        </w:rPr>
        <w:t>0%</w:t>
      </w:r>
      <w:r>
        <w:rPr>
          <w:rFonts w:hint="eastAsia" w:ascii="仿宋" w:hAnsi="仿宋" w:eastAsia="仿宋"/>
          <w:b w:val="0"/>
          <w:bCs w:val="0"/>
          <w:sz w:val="32"/>
          <w:szCs w:val="32"/>
        </w:rPr>
        <w:t>，</w:t>
      </w:r>
      <w:r>
        <w:rPr>
          <w:rFonts w:hint="eastAsia" w:ascii="仿宋" w:hAnsi="仿宋" w:eastAsia="仿宋"/>
          <w:b w:val="0"/>
          <w:bCs w:val="0"/>
          <w:sz w:val="32"/>
          <w:szCs w:val="32"/>
          <w:lang w:eastAsia="zh-CN"/>
        </w:rPr>
        <w:t>与上年度持平</w:t>
      </w:r>
      <w:r>
        <w:rPr>
          <w:rFonts w:hint="eastAsia" w:ascii="仿宋" w:hAnsi="仿宋" w:eastAsia="仿宋"/>
          <w:b w:val="0"/>
          <w:bCs w:val="0"/>
          <w:sz w:val="32"/>
          <w:szCs w:val="32"/>
        </w:rPr>
        <w:t>。</w:t>
      </w:r>
    </w:p>
    <w:p w14:paraId="29CBB79F">
      <w:pPr>
        <w:spacing w:line="600" w:lineRule="exact"/>
        <w:ind w:firstLine="643" w:firstLineChars="200"/>
        <w:outlineLvl w:val="2"/>
        <w:rPr>
          <w:rFonts w:eastAsia="楷体_GB2312" w:cs="楷体_GB2312"/>
          <w:b/>
          <w:sz w:val="32"/>
          <w:szCs w:val="32"/>
        </w:rPr>
      </w:pPr>
      <w:bookmarkStart w:id="50" w:name="_Toc15377217"/>
      <w:r>
        <w:rPr>
          <w:rFonts w:hint="eastAsia" w:eastAsia="楷体_GB2312" w:cs="楷体_GB2312"/>
          <w:b/>
          <w:sz w:val="32"/>
          <w:szCs w:val="32"/>
        </w:rPr>
        <w:t>（二）“三公”经费财政拨款支出决算具体情况说明</w:t>
      </w:r>
      <w:bookmarkEnd w:id="50"/>
    </w:p>
    <w:p w14:paraId="4FABFBA8">
      <w:pPr>
        <w:spacing w:line="600" w:lineRule="exact"/>
        <w:ind w:firstLine="640"/>
        <w:rPr>
          <w:rFonts w:ascii="仿宋" w:hAnsi="仿宋" w:eastAsia="仿宋"/>
          <w:b w:val="0"/>
          <w:bCs w:val="0"/>
          <w:sz w:val="32"/>
          <w:szCs w:val="32"/>
        </w:rPr>
      </w:pPr>
      <w:r>
        <w:rPr>
          <w:rFonts w:hint="eastAsia" w:ascii="仿宋" w:hAnsi="仿宋" w:eastAsia="仿宋"/>
          <w:b w:val="0"/>
          <w:bCs w:val="0"/>
          <w:sz w:val="32"/>
          <w:szCs w:val="32"/>
          <w:lang w:eastAsia="zh-CN"/>
        </w:rPr>
        <w:t>2025</w:t>
      </w:r>
      <w:r>
        <w:rPr>
          <w:rFonts w:hint="eastAsia" w:ascii="仿宋" w:hAnsi="仿宋" w:eastAsia="仿宋"/>
          <w:b w:val="0"/>
          <w:bCs w:val="0"/>
          <w:sz w:val="32"/>
          <w:szCs w:val="32"/>
        </w:rPr>
        <w:t>年度“三公”经费财政拨款支出决算中，因公出国（境）费支出决算</w:t>
      </w:r>
      <w:r>
        <w:rPr>
          <w:rFonts w:ascii="仿宋" w:hAnsi="仿宋" w:eastAsia="仿宋"/>
          <w:b w:val="0"/>
          <w:bCs w:val="0"/>
          <w:sz w:val="32"/>
          <w:szCs w:val="32"/>
        </w:rPr>
        <w:t>0</w:t>
      </w:r>
      <w:r>
        <w:rPr>
          <w:rFonts w:hint="eastAsia" w:ascii="仿宋" w:hAnsi="仿宋" w:eastAsia="仿宋"/>
          <w:b w:val="0"/>
          <w:bCs w:val="0"/>
          <w:sz w:val="32"/>
          <w:szCs w:val="32"/>
        </w:rPr>
        <w:t>万元，占</w:t>
      </w:r>
      <w:r>
        <w:rPr>
          <w:rFonts w:ascii="仿宋" w:hAnsi="仿宋" w:eastAsia="仿宋"/>
          <w:b w:val="0"/>
          <w:bCs w:val="0"/>
          <w:sz w:val="32"/>
          <w:szCs w:val="32"/>
        </w:rPr>
        <w:t>0%</w:t>
      </w:r>
      <w:r>
        <w:rPr>
          <w:rFonts w:hint="eastAsia" w:ascii="仿宋" w:hAnsi="仿宋" w:eastAsia="仿宋"/>
          <w:b w:val="0"/>
          <w:bCs w:val="0"/>
          <w:sz w:val="32"/>
          <w:szCs w:val="32"/>
        </w:rPr>
        <w:t>；公务用车购置及运行维护费支出决算</w:t>
      </w:r>
      <w:r>
        <w:rPr>
          <w:rFonts w:ascii="仿宋" w:hAnsi="仿宋" w:eastAsia="仿宋"/>
          <w:b w:val="0"/>
          <w:bCs w:val="0"/>
          <w:sz w:val="32"/>
          <w:szCs w:val="32"/>
        </w:rPr>
        <w:t>0</w:t>
      </w:r>
      <w:r>
        <w:rPr>
          <w:rFonts w:hint="eastAsia" w:ascii="仿宋" w:hAnsi="仿宋" w:eastAsia="仿宋"/>
          <w:b w:val="0"/>
          <w:bCs w:val="0"/>
          <w:sz w:val="32"/>
          <w:szCs w:val="32"/>
        </w:rPr>
        <w:t>万元，占</w:t>
      </w:r>
      <w:r>
        <w:rPr>
          <w:rFonts w:ascii="仿宋" w:hAnsi="仿宋" w:eastAsia="仿宋"/>
          <w:b w:val="0"/>
          <w:bCs w:val="0"/>
          <w:sz w:val="32"/>
          <w:szCs w:val="32"/>
        </w:rPr>
        <w:t>0%</w:t>
      </w:r>
      <w:r>
        <w:rPr>
          <w:rFonts w:hint="eastAsia" w:ascii="仿宋" w:hAnsi="仿宋" w:eastAsia="仿宋"/>
          <w:b w:val="0"/>
          <w:bCs w:val="0"/>
          <w:sz w:val="32"/>
          <w:szCs w:val="32"/>
        </w:rPr>
        <w:t>；公务接待费支出决算</w:t>
      </w:r>
      <w:r>
        <w:rPr>
          <w:rFonts w:ascii="仿宋" w:hAnsi="仿宋" w:eastAsia="仿宋"/>
          <w:b w:val="0"/>
          <w:bCs w:val="0"/>
          <w:sz w:val="32"/>
          <w:szCs w:val="32"/>
        </w:rPr>
        <w:t>0</w:t>
      </w:r>
      <w:r>
        <w:rPr>
          <w:rFonts w:hint="eastAsia" w:ascii="仿宋" w:hAnsi="仿宋" w:eastAsia="仿宋"/>
          <w:b w:val="0"/>
          <w:bCs w:val="0"/>
          <w:sz w:val="32"/>
          <w:szCs w:val="32"/>
        </w:rPr>
        <w:t>万元，占</w:t>
      </w:r>
      <w:r>
        <w:rPr>
          <w:rFonts w:ascii="仿宋" w:hAnsi="仿宋" w:eastAsia="仿宋"/>
          <w:b w:val="0"/>
          <w:bCs w:val="0"/>
          <w:sz w:val="32"/>
          <w:szCs w:val="32"/>
        </w:rPr>
        <w:t>0%</w:t>
      </w:r>
      <w:r>
        <w:rPr>
          <w:rFonts w:hint="eastAsia" w:ascii="仿宋" w:hAnsi="仿宋" w:eastAsia="仿宋"/>
          <w:b w:val="0"/>
          <w:bCs w:val="0"/>
          <w:sz w:val="32"/>
          <w:szCs w:val="32"/>
        </w:rPr>
        <w:t>。</w:t>
      </w:r>
    </w:p>
    <w:p w14:paraId="4C95E674">
      <w:pPr>
        <w:spacing w:line="600" w:lineRule="exact"/>
        <w:ind w:firstLine="640"/>
        <w:rPr>
          <w:rFonts w:hint="eastAsia" w:ascii="仿宋_GB2312" w:eastAsia="仿宋_GB2312"/>
          <w:b w:val="0"/>
          <w:bCs/>
          <w:sz w:val="32"/>
          <w:szCs w:val="32"/>
          <w:lang w:eastAsia="zh-CN"/>
        </w:rPr>
      </w:pPr>
      <w:bookmarkStart w:id="51" w:name="_Toc15377218"/>
      <w:bookmarkStart w:id="52" w:name="_Toc15396610"/>
      <w:r>
        <w:rPr>
          <w:rFonts w:ascii="仿宋_GB2312" w:eastAsia="仿宋_GB2312"/>
          <w:b w:val="0"/>
          <w:bCs/>
          <w:sz w:val="32"/>
          <w:szCs w:val="32"/>
        </w:rPr>
        <w:t>1.</w:t>
      </w:r>
      <w:r>
        <w:rPr>
          <w:rFonts w:hint="eastAsia" w:ascii="仿宋_GB2312" w:eastAsia="仿宋_GB2312"/>
          <w:b w:val="0"/>
          <w:bCs/>
          <w:sz w:val="32"/>
          <w:szCs w:val="32"/>
        </w:rPr>
        <w:t>因公出国（境）经费支出</w:t>
      </w:r>
      <w:r>
        <w:rPr>
          <w:rFonts w:ascii="仿宋" w:hAnsi="仿宋" w:eastAsia="仿宋"/>
          <w:b w:val="0"/>
          <w:bCs/>
          <w:sz w:val="32"/>
          <w:szCs w:val="32"/>
        </w:rPr>
        <w:t>0</w:t>
      </w:r>
      <w:r>
        <w:rPr>
          <w:rFonts w:hint="eastAsia" w:ascii="仿宋_GB2312" w:eastAsia="仿宋_GB2312"/>
          <w:b w:val="0"/>
          <w:bCs/>
          <w:sz w:val="32"/>
          <w:szCs w:val="32"/>
        </w:rPr>
        <w:t>万元，</w:t>
      </w:r>
      <w:r>
        <w:rPr>
          <w:rStyle w:val="17"/>
          <w:rFonts w:hint="eastAsia" w:ascii="仿宋" w:hAnsi="仿宋" w:eastAsia="仿宋"/>
          <w:b w:val="0"/>
          <w:bCs/>
          <w:sz w:val="32"/>
          <w:szCs w:val="32"/>
        </w:rPr>
        <w:t>完成预算</w:t>
      </w:r>
      <w:r>
        <w:rPr>
          <w:rStyle w:val="17"/>
          <w:rFonts w:ascii="仿宋" w:hAnsi="仿宋" w:eastAsia="仿宋"/>
          <w:b w:val="0"/>
          <w:bCs/>
          <w:sz w:val="32"/>
          <w:szCs w:val="32"/>
        </w:rPr>
        <w:t>0%</w:t>
      </w:r>
      <w:r>
        <w:rPr>
          <w:rStyle w:val="17"/>
          <w:rFonts w:hint="eastAsia" w:ascii="仿宋" w:hAnsi="仿宋" w:eastAsia="仿宋"/>
          <w:b w:val="0"/>
          <w:bCs/>
          <w:sz w:val="32"/>
          <w:szCs w:val="32"/>
        </w:rPr>
        <w:t>。</w:t>
      </w:r>
      <w:r>
        <w:rPr>
          <w:rFonts w:hint="eastAsia" w:ascii="仿宋_GB2312" w:eastAsia="仿宋_GB2312"/>
          <w:b w:val="0"/>
          <w:bCs/>
          <w:sz w:val="32"/>
          <w:szCs w:val="32"/>
        </w:rPr>
        <w:t>全年安排因公出国（境）团组</w:t>
      </w:r>
      <w:r>
        <w:rPr>
          <w:rFonts w:ascii="仿宋_GB2312" w:eastAsia="仿宋_GB2312"/>
          <w:b w:val="0"/>
          <w:bCs/>
          <w:sz w:val="32"/>
          <w:szCs w:val="32"/>
        </w:rPr>
        <w:t>0</w:t>
      </w:r>
      <w:r>
        <w:rPr>
          <w:rFonts w:hint="eastAsia" w:ascii="仿宋_GB2312" w:eastAsia="仿宋_GB2312"/>
          <w:b w:val="0"/>
          <w:bCs/>
          <w:sz w:val="32"/>
          <w:szCs w:val="32"/>
        </w:rPr>
        <w:t>次，出国（境）</w:t>
      </w:r>
      <w:r>
        <w:rPr>
          <w:rFonts w:ascii="仿宋_GB2312" w:eastAsia="仿宋_GB2312"/>
          <w:b w:val="0"/>
          <w:bCs/>
          <w:sz w:val="32"/>
          <w:szCs w:val="32"/>
        </w:rPr>
        <w:t>0</w:t>
      </w:r>
      <w:r>
        <w:rPr>
          <w:rFonts w:hint="eastAsia" w:ascii="仿宋_GB2312" w:eastAsia="仿宋_GB2312"/>
          <w:b w:val="0"/>
          <w:bCs/>
          <w:sz w:val="32"/>
          <w:szCs w:val="32"/>
        </w:rPr>
        <w:t>人。</w:t>
      </w:r>
      <w:r>
        <w:rPr>
          <w:rFonts w:hint="eastAsia" w:ascii="仿宋_GB2312" w:eastAsia="仿宋_GB2312"/>
          <w:b w:val="0"/>
          <w:bCs/>
          <w:sz w:val="32"/>
          <w:szCs w:val="32"/>
          <w:lang w:eastAsia="zh-CN"/>
        </w:rPr>
        <w:t>与上年度持平。</w:t>
      </w:r>
    </w:p>
    <w:p w14:paraId="73E7D04C">
      <w:pPr>
        <w:spacing w:line="600" w:lineRule="exact"/>
        <w:ind w:firstLine="640"/>
        <w:rPr>
          <w:rFonts w:hint="eastAsia" w:ascii="仿宋_GB2312" w:eastAsia="仿宋_GB2312"/>
          <w:b w:val="0"/>
          <w:bCs/>
          <w:sz w:val="32"/>
          <w:szCs w:val="32"/>
          <w:lang w:eastAsia="zh-CN"/>
        </w:rPr>
      </w:pPr>
      <w:r>
        <w:rPr>
          <w:rFonts w:ascii="仿宋_GB2312" w:eastAsia="仿宋_GB2312"/>
          <w:b w:val="0"/>
          <w:bCs/>
          <w:sz w:val="32"/>
          <w:szCs w:val="32"/>
        </w:rPr>
        <w:t>2.</w:t>
      </w:r>
      <w:r>
        <w:rPr>
          <w:rFonts w:hint="eastAsia" w:ascii="仿宋_GB2312" w:eastAsia="仿宋_GB2312"/>
          <w:b w:val="0"/>
          <w:bCs/>
          <w:sz w:val="32"/>
          <w:szCs w:val="32"/>
        </w:rPr>
        <w:t>公务用车购置及运行维护费支出</w:t>
      </w:r>
      <w:r>
        <w:rPr>
          <w:rFonts w:ascii="仿宋" w:hAnsi="仿宋" w:eastAsia="仿宋"/>
          <w:b w:val="0"/>
          <w:bCs/>
          <w:sz w:val="32"/>
          <w:szCs w:val="32"/>
        </w:rPr>
        <w:t>0</w:t>
      </w:r>
      <w:r>
        <w:rPr>
          <w:rFonts w:hint="eastAsia" w:ascii="仿宋_GB2312" w:eastAsia="仿宋_GB2312"/>
          <w:b w:val="0"/>
          <w:bCs/>
          <w:sz w:val="32"/>
          <w:szCs w:val="32"/>
        </w:rPr>
        <w:t>万元,</w:t>
      </w:r>
      <w:r>
        <w:rPr>
          <w:rStyle w:val="17"/>
          <w:rFonts w:hint="eastAsia" w:ascii="仿宋" w:hAnsi="仿宋" w:eastAsia="仿宋"/>
          <w:b w:val="0"/>
          <w:bCs/>
          <w:sz w:val="32"/>
          <w:szCs w:val="32"/>
        </w:rPr>
        <w:t>完成预算</w:t>
      </w:r>
      <w:r>
        <w:rPr>
          <w:rStyle w:val="17"/>
          <w:rFonts w:ascii="仿宋" w:hAnsi="仿宋" w:eastAsia="仿宋"/>
          <w:b w:val="0"/>
          <w:bCs/>
          <w:sz w:val="32"/>
          <w:szCs w:val="32"/>
        </w:rPr>
        <w:t>0%</w:t>
      </w:r>
      <w:r>
        <w:rPr>
          <w:rStyle w:val="17"/>
          <w:rFonts w:hint="eastAsia" w:ascii="仿宋" w:hAnsi="仿宋" w:eastAsia="仿宋"/>
          <w:b w:val="0"/>
          <w:bCs/>
          <w:sz w:val="32"/>
          <w:szCs w:val="32"/>
        </w:rPr>
        <w:t>。</w:t>
      </w:r>
      <w:r>
        <w:rPr>
          <w:rFonts w:hint="eastAsia" w:ascii="仿宋_GB2312" w:eastAsia="仿宋_GB2312"/>
          <w:b w:val="0"/>
          <w:bCs/>
          <w:sz w:val="32"/>
          <w:szCs w:val="32"/>
        </w:rPr>
        <w:t>公务用车购置及运行维护费支出决算</w:t>
      </w:r>
      <w:r>
        <w:rPr>
          <w:rFonts w:hint="eastAsia" w:ascii="仿宋_GB2312" w:eastAsia="仿宋_GB2312"/>
          <w:b w:val="0"/>
          <w:bCs/>
          <w:sz w:val="32"/>
          <w:szCs w:val="32"/>
          <w:lang w:eastAsia="zh-CN"/>
        </w:rPr>
        <w:t>与上年度持平。</w:t>
      </w:r>
    </w:p>
    <w:p w14:paraId="0945FC9D">
      <w:pPr>
        <w:spacing w:line="600" w:lineRule="exact"/>
        <w:ind w:firstLine="640" w:firstLineChars="200"/>
        <w:rPr>
          <w:rFonts w:ascii="仿宋_GB2312" w:eastAsia="仿宋_GB2312"/>
          <w:b w:val="0"/>
          <w:bCs/>
          <w:sz w:val="32"/>
          <w:szCs w:val="32"/>
        </w:rPr>
      </w:pPr>
      <w:r>
        <w:rPr>
          <w:rFonts w:hint="eastAsia" w:ascii="仿宋_GB2312" w:eastAsia="仿宋_GB2312"/>
          <w:b w:val="0"/>
          <w:bCs/>
          <w:sz w:val="32"/>
          <w:szCs w:val="32"/>
        </w:rPr>
        <w:t>其中：公务用车购置支出</w:t>
      </w:r>
      <w:r>
        <w:rPr>
          <w:rFonts w:ascii="仿宋" w:hAnsi="仿宋" w:eastAsia="仿宋"/>
          <w:b w:val="0"/>
          <w:bCs/>
          <w:sz w:val="32"/>
          <w:szCs w:val="32"/>
        </w:rPr>
        <w:t>0</w:t>
      </w:r>
      <w:r>
        <w:rPr>
          <w:rFonts w:hint="eastAsia" w:ascii="仿宋_GB2312" w:eastAsia="仿宋_GB2312"/>
          <w:b w:val="0"/>
          <w:bCs/>
          <w:sz w:val="32"/>
          <w:szCs w:val="32"/>
        </w:rPr>
        <w:t>万元。全年按规定更新购置公务用车</w:t>
      </w:r>
      <w:r>
        <w:rPr>
          <w:rFonts w:hint="eastAsia" w:ascii="仿宋_GB2312" w:eastAsia="仿宋_GB2312"/>
          <w:b w:val="0"/>
          <w:bCs/>
          <w:sz w:val="32"/>
          <w:szCs w:val="32"/>
          <w:lang w:val="en-US" w:eastAsia="zh-CN"/>
        </w:rPr>
        <w:t>0</w:t>
      </w:r>
      <w:r>
        <w:rPr>
          <w:rFonts w:hint="eastAsia" w:ascii="仿宋_GB2312" w:eastAsia="仿宋_GB2312"/>
          <w:b w:val="0"/>
          <w:bCs/>
          <w:sz w:val="32"/>
          <w:szCs w:val="32"/>
        </w:rPr>
        <w:t>辆，其中：轿车</w:t>
      </w:r>
      <w:r>
        <w:rPr>
          <w:rFonts w:hint="eastAsia" w:ascii="仿宋_GB2312" w:eastAsia="仿宋_GB2312"/>
          <w:b w:val="0"/>
          <w:bCs/>
          <w:sz w:val="32"/>
          <w:szCs w:val="32"/>
          <w:lang w:val="en-US" w:eastAsia="zh-CN"/>
        </w:rPr>
        <w:t>0</w:t>
      </w:r>
      <w:r>
        <w:rPr>
          <w:rFonts w:hint="eastAsia" w:ascii="仿宋_GB2312" w:eastAsia="仿宋_GB2312"/>
          <w:b w:val="0"/>
          <w:bCs/>
          <w:sz w:val="32"/>
          <w:szCs w:val="32"/>
        </w:rPr>
        <w:t>辆、金额</w:t>
      </w:r>
      <w:r>
        <w:rPr>
          <w:rFonts w:hint="eastAsia" w:ascii="仿宋_GB2312" w:eastAsia="仿宋_GB2312"/>
          <w:b w:val="0"/>
          <w:bCs/>
          <w:sz w:val="32"/>
          <w:szCs w:val="32"/>
          <w:lang w:val="en-US" w:eastAsia="zh-CN"/>
        </w:rPr>
        <w:t>0</w:t>
      </w:r>
      <w:r>
        <w:rPr>
          <w:rFonts w:hint="eastAsia" w:ascii="仿宋_GB2312" w:eastAsia="仿宋_GB2312"/>
          <w:b w:val="0"/>
          <w:bCs/>
          <w:sz w:val="32"/>
          <w:szCs w:val="32"/>
        </w:rPr>
        <w:t>万元，越野车</w:t>
      </w:r>
      <w:r>
        <w:rPr>
          <w:rFonts w:hint="eastAsia" w:ascii="仿宋_GB2312" w:eastAsia="仿宋_GB2312"/>
          <w:b w:val="0"/>
          <w:bCs/>
          <w:sz w:val="32"/>
          <w:szCs w:val="32"/>
          <w:lang w:val="en-US" w:eastAsia="zh-CN"/>
        </w:rPr>
        <w:t>0</w:t>
      </w:r>
      <w:r>
        <w:rPr>
          <w:rFonts w:hint="eastAsia" w:ascii="仿宋_GB2312" w:eastAsia="仿宋_GB2312"/>
          <w:b w:val="0"/>
          <w:bCs/>
          <w:sz w:val="32"/>
          <w:szCs w:val="32"/>
        </w:rPr>
        <w:t>辆、金额</w:t>
      </w:r>
      <w:r>
        <w:rPr>
          <w:rFonts w:hint="eastAsia" w:ascii="仿宋_GB2312" w:eastAsia="仿宋_GB2312"/>
          <w:b w:val="0"/>
          <w:bCs/>
          <w:sz w:val="32"/>
          <w:szCs w:val="32"/>
          <w:lang w:val="en-US" w:eastAsia="zh-CN"/>
        </w:rPr>
        <w:t>0</w:t>
      </w:r>
      <w:r>
        <w:rPr>
          <w:rFonts w:hint="eastAsia" w:ascii="仿宋_GB2312" w:eastAsia="仿宋_GB2312"/>
          <w:b w:val="0"/>
          <w:bCs/>
          <w:sz w:val="32"/>
          <w:szCs w:val="32"/>
        </w:rPr>
        <w:t>万元，载客汽车</w:t>
      </w:r>
      <w:r>
        <w:rPr>
          <w:rFonts w:hint="eastAsia" w:ascii="仿宋_GB2312" w:eastAsia="仿宋_GB2312"/>
          <w:b w:val="0"/>
          <w:bCs/>
          <w:sz w:val="32"/>
          <w:szCs w:val="32"/>
          <w:lang w:val="en-US" w:eastAsia="zh-CN"/>
        </w:rPr>
        <w:t>0</w:t>
      </w:r>
      <w:r>
        <w:rPr>
          <w:rFonts w:hint="eastAsia" w:ascii="仿宋_GB2312" w:eastAsia="仿宋_GB2312"/>
          <w:b w:val="0"/>
          <w:bCs/>
          <w:sz w:val="32"/>
          <w:szCs w:val="32"/>
        </w:rPr>
        <w:t>辆、金额</w:t>
      </w:r>
      <w:r>
        <w:rPr>
          <w:rFonts w:hint="eastAsia" w:ascii="仿宋_GB2312" w:eastAsia="仿宋_GB2312"/>
          <w:b w:val="0"/>
          <w:bCs/>
          <w:sz w:val="32"/>
          <w:szCs w:val="32"/>
          <w:lang w:val="en-US" w:eastAsia="zh-CN"/>
        </w:rPr>
        <w:t>0</w:t>
      </w:r>
      <w:r>
        <w:rPr>
          <w:rFonts w:hint="eastAsia" w:ascii="仿宋_GB2312" w:eastAsia="仿宋_GB2312"/>
          <w:b w:val="0"/>
          <w:bCs/>
          <w:sz w:val="32"/>
          <w:szCs w:val="32"/>
        </w:rPr>
        <w:t>万元。截至</w:t>
      </w:r>
      <w:r>
        <w:rPr>
          <w:rFonts w:hint="eastAsia" w:ascii="仿宋_GB2312" w:eastAsia="仿宋_GB2312"/>
          <w:b w:val="0"/>
          <w:bCs/>
          <w:sz w:val="32"/>
          <w:szCs w:val="32"/>
          <w:lang w:eastAsia="zh-CN"/>
        </w:rPr>
        <w:t>2025</w:t>
      </w:r>
      <w:r>
        <w:rPr>
          <w:rFonts w:hint="eastAsia" w:ascii="仿宋_GB2312" w:eastAsia="仿宋_GB2312"/>
          <w:b w:val="0"/>
          <w:bCs/>
          <w:sz w:val="32"/>
          <w:szCs w:val="32"/>
        </w:rPr>
        <w:t>年</w:t>
      </w:r>
      <w:r>
        <w:rPr>
          <w:rFonts w:ascii="仿宋_GB2312" w:eastAsia="仿宋_GB2312"/>
          <w:b w:val="0"/>
          <w:bCs/>
          <w:sz w:val="32"/>
          <w:szCs w:val="32"/>
        </w:rPr>
        <w:t>12</w:t>
      </w:r>
      <w:r>
        <w:rPr>
          <w:rFonts w:hint="eastAsia" w:ascii="仿宋_GB2312" w:eastAsia="仿宋_GB2312"/>
          <w:b w:val="0"/>
          <w:bCs/>
          <w:sz w:val="32"/>
          <w:szCs w:val="32"/>
        </w:rPr>
        <w:t>月31日，单位共有公务用车</w:t>
      </w:r>
      <w:r>
        <w:rPr>
          <w:rFonts w:hint="eastAsia" w:ascii="仿宋_GB2312" w:eastAsia="仿宋_GB2312"/>
          <w:b w:val="0"/>
          <w:bCs/>
          <w:sz w:val="32"/>
          <w:szCs w:val="32"/>
          <w:lang w:val="en-US" w:eastAsia="zh-CN"/>
        </w:rPr>
        <w:t>0</w:t>
      </w:r>
      <w:r>
        <w:rPr>
          <w:rFonts w:hint="eastAsia" w:ascii="仿宋_GB2312" w:eastAsia="仿宋_GB2312"/>
          <w:b w:val="0"/>
          <w:bCs/>
          <w:sz w:val="32"/>
          <w:szCs w:val="32"/>
        </w:rPr>
        <w:t>辆，其中：轿车</w:t>
      </w:r>
      <w:r>
        <w:rPr>
          <w:rFonts w:hint="eastAsia" w:ascii="仿宋_GB2312" w:eastAsia="仿宋_GB2312"/>
          <w:b w:val="0"/>
          <w:bCs/>
          <w:sz w:val="32"/>
          <w:szCs w:val="32"/>
          <w:lang w:val="en-US" w:eastAsia="zh-CN"/>
        </w:rPr>
        <w:t>0</w:t>
      </w:r>
      <w:r>
        <w:rPr>
          <w:rFonts w:hint="eastAsia" w:ascii="仿宋_GB2312" w:eastAsia="仿宋_GB2312"/>
          <w:b w:val="0"/>
          <w:bCs/>
          <w:sz w:val="32"/>
          <w:szCs w:val="32"/>
        </w:rPr>
        <w:t>辆、越野车</w:t>
      </w:r>
      <w:r>
        <w:rPr>
          <w:rFonts w:hint="eastAsia" w:ascii="仿宋_GB2312" w:eastAsia="仿宋_GB2312"/>
          <w:b w:val="0"/>
          <w:bCs/>
          <w:sz w:val="32"/>
          <w:szCs w:val="32"/>
          <w:lang w:val="en-US" w:eastAsia="zh-CN"/>
        </w:rPr>
        <w:t>0</w:t>
      </w:r>
      <w:r>
        <w:rPr>
          <w:rFonts w:hint="eastAsia" w:ascii="仿宋_GB2312" w:eastAsia="仿宋_GB2312"/>
          <w:b w:val="0"/>
          <w:bCs/>
          <w:sz w:val="32"/>
          <w:szCs w:val="32"/>
        </w:rPr>
        <w:t>辆、载客汽车</w:t>
      </w:r>
      <w:r>
        <w:rPr>
          <w:rFonts w:hint="eastAsia" w:ascii="仿宋_GB2312" w:eastAsia="仿宋_GB2312"/>
          <w:b w:val="0"/>
          <w:bCs/>
          <w:sz w:val="32"/>
          <w:szCs w:val="32"/>
          <w:lang w:val="en-US" w:eastAsia="zh-CN"/>
        </w:rPr>
        <w:t>0</w:t>
      </w:r>
      <w:r>
        <w:rPr>
          <w:rFonts w:hint="eastAsia" w:ascii="仿宋_GB2312" w:eastAsia="仿宋_GB2312"/>
          <w:b w:val="0"/>
          <w:bCs/>
          <w:sz w:val="32"/>
          <w:szCs w:val="32"/>
        </w:rPr>
        <w:t>辆。</w:t>
      </w:r>
    </w:p>
    <w:p w14:paraId="11F78B67">
      <w:pPr>
        <w:spacing w:line="600" w:lineRule="exact"/>
        <w:ind w:firstLine="640"/>
        <w:rPr>
          <w:rFonts w:hint="eastAsia" w:ascii="仿宋_GB2312" w:eastAsia="仿宋_GB2312"/>
          <w:b w:val="0"/>
          <w:bCs/>
          <w:sz w:val="32"/>
          <w:szCs w:val="32"/>
        </w:rPr>
      </w:pPr>
      <w:r>
        <w:rPr>
          <w:rFonts w:hint="eastAsia" w:ascii="仿宋_GB2312" w:eastAsia="仿宋_GB2312"/>
          <w:b w:val="0"/>
          <w:bCs/>
          <w:sz w:val="32"/>
          <w:szCs w:val="32"/>
        </w:rPr>
        <w:t>公务用车运行维护费支出</w:t>
      </w:r>
      <w:r>
        <w:rPr>
          <w:rFonts w:ascii="仿宋" w:hAnsi="仿宋" w:eastAsia="仿宋"/>
          <w:b w:val="0"/>
          <w:bCs/>
          <w:sz w:val="32"/>
          <w:szCs w:val="32"/>
        </w:rPr>
        <w:t>0</w:t>
      </w:r>
      <w:r>
        <w:rPr>
          <w:rFonts w:hint="eastAsia" w:ascii="仿宋_GB2312" w:eastAsia="仿宋_GB2312"/>
          <w:b w:val="0"/>
          <w:bCs/>
          <w:sz w:val="32"/>
          <w:szCs w:val="32"/>
        </w:rPr>
        <w:t>万元。</w:t>
      </w:r>
    </w:p>
    <w:p w14:paraId="3B04352C">
      <w:pPr>
        <w:spacing w:line="600" w:lineRule="exact"/>
        <w:ind w:firstLine="640"/>
        <w:rPr>
          <w:rFonts w:hint="eastAsia" w:ascii="仿宋_GB2312" w:eastAsia="仿宋_GB2312"/>
          <w:b w:val="0"/>
          <w:bCs/>
          <w:sz w:val="32"/>
          <w:szCs w:val="32"/>
          <w:lang w:eastAsia="zh-CN"/>
        </w:rPr>
      </w:pPr>
      <w:r>
        <w:rPr>
          <w:rFonts w:ascii="仿宋_GB2312" w:eastAsia="仿宋_GB2312"/>
          <w:b w:val="0"/>
          <w:bCs/>
          <w:sz w:val="32"/>
          <w:szCs w:val="32"/>
        </w:rPr>
        <w:t>3.</w:t>
      </w:r>
      <w:r>
        <w:rPr>
          <w:rFonts w:hint="eastAsia" w:ascii="仿宋_GB2312" w:eastAsia="仿宋_GB2312"/>
          <w:b w:val="0"/>
          <w:bCs/>
          <w:sz w:val="32"/>
          <w:szCs w:val="32"/>
        </w:rPr>
        <w:t>公务接待费支出</w:t>
      </w:r>
      <w:r>
        <w:rPr>
          <w:rFonts w:ascii="仿宋" w:hAnsi="仿宋" w:eastAsia="仿宋"/>
          <w:b w:val="0"/>
          <w:bCs/>
          <w:sz w:val="32"/>
          <w:szCs w:val="32"/>
        </w:rPr>
        <w:t>0</w:t>
      </w:r>
      <w:r>
        <w:rPr>
          <w:rFonts w:hint="eastAsia" w:ascii="仿宋_GB2312" w:eastAsia="仿宋_GB2312"/>
          <w:b w:val="0"/>
          <w:bCs/>
          <w:sz w:val="32"/>
          <w:szCs w:val="32"/>
        </w:rPr>
        <w:t>万元，</w:t>
      </w:r>
      <w:r>
        <w:rPr>
          <w:rStyle w:val="17"/>
          <w:rFonts w:hint="eastAsia" w:ascii="仿宋" w:hAnsi="仿宋" w:eastAsia="仿宋"/>
          <w:b w:val="0"/>
          <w:bCs/>
          <w:sz w:val="32"/>
          <w:szCs w:val="32"/>
        </w:rPr>
        <w:t>完成预算</w:t>
      </w:r>
      <w:r>
        <w:rPr>
          <w:rStyle w:val="17"/>
          <w:rFonts w:ascii="仿宋" w:hAnsi="仿宋" w:eastAsia="仿宋"/>
          <w:b w:val="0"/>
          <w:bCs/>
          <w:sz w:val="32"/>
          <w:szCs w:val="32"/>
        </w:rPr>
        <w:t>0%</w:t>
      </w:r>
      <w:r>
        <w:rPr>
          <w:rStyle w:val="17"/>
          <w:rFonts w:hint="eastAsia" w:ascii="仿宋" w:hAnsi="仿宋" w:eastAsia="仿宋"/>
          <w:b w:val="0"/>
          <w:bCs/>
          <w:sz w:val="32"/>
          <w:szCs w:val="32"/>
        </w:rPr>
        <w:t>。</w:t>
      </w:r>
      <w:r>
        <w:rPr>
          <w:rFonts w:hint="eastAsia" w:ascii="仿宋_GB2312" w:eastAsia="仿宋_GB2312"/>
          <w:b w:val="0"/>
          <w:bCs/>
          <w:sz w:val="32"/>
          <w:szCs w:val="32"/>
          <w:lang w:eastAsia="zh-CN"/>
        </w:rPr>
        <w:t>与上年度持平。</w:t>
      </w:r>
    </w:p>
    <w:p w14:paraId="140EC8E1">
      <w:pPr>
        <w:spacing w:line="600" w:lineRule="exact"/>
        <w:ind w:firstLine="640"/>
        <w:rPr>
          <w:rFonts w:ascii="仿宋_GB2312" w:eastAsia="仿宋_GB2312"/>
          <w:b w:val="0"/>
          <w:bCs/>
          <w:sz w:val="32"/>
          <w:szCs w:val="32"/>
        </w:rPr>
      </w:pPr>
      <w:r>
        <w:rPr>
          <w:rFonts w:hint="eastAsia" w:ascii="仿宋_GB2312" w:eastAsia="仿宋_GB2312"/>
          <w:b w:val="0"/>
          <w:bCs/>
          <w:sz w:val="32"/>
          <w:szCs w:val="32"/>
        </w:rPr>
        <w:t>其中：</w:t>
      </w:r>
    </w:p>
    <w:p w14:paraId="35AC1BE5">
      <w:pPr>
        <w:spacing w:line="600" w:lineRule="exact"/>
        <w:ind w:firstLine="640"/>
        <w:rPr>
          <w:rFonts w:ascii="仿宋_GB2312" w:eastAsia="仿宋_GB2312"/>
          <w:b w:val="0"/>
          <w:bCs/>
          <w:sz w:val="32"/>
          <w:szCs w:val="32"/>
        </w:rPr>
      </w:pPr>
      <w:r>
        <w:rPr>
          <w:rFonts w:hint="eastAsia" w:ascii="仿宋" w:hAnsi="仿宋" w:eastAsia="仿宋"/>
          <w:b w:val="0"/>
          <w:bCs/>
          <w:sz w:val="32"/>
          <w:szCs w:val="32"/>
        </w:rPr>
        <w:t>国内公务接待支出</w:t>
      </w:r>
      <w:r>
        <w:rPr>
          <w:rFonts w:ascii="仿宋" w:hAnsi="仿宋" w:eastAsia="仿宋"/>
          <w:b w:val="0"/>
          <w:bCs/>
          <w:sz w:val="32"/>
          <w:szCs w:val="32"/>
        </w:rPr>
        <w:t>0</w:t>
      </w:r>
      <w:r>
        <w:rPr>
          <w:rFonts w:hint="eastAsia" w:ascii="仿宋_GB2312" w:eastAsia="仿宋_GB2312"/>
          <w:b w:val="0"/>
          <w:bCs/>
          <w:sz w:val="32"/>
          <w:szCs w:val="32"/>
        </w:rPr>
        <w:t>万元。国内公务接待</w:t>
      </w:r>
      <w:r>
        <w:rPr>
          <w:rFonts w:hint="eastAsia" w:ascii="仿宋_GB2312" w:eastAsia="仿宋_GB2312"/>
          <w:b w:val="0"/>
          <w:bCs/>
          <w:sz w:val="32"/>
          <w:szCs w:val="32"/>
          <w:lang w:val="en-US" w:eastAsia="zh-CN"/>
        </w:rPr>
        <w:t>0</w:t>
      </w:r>
      <w:r>
        <w:rPr>
          <w:rFonts w:hint="eastAsia" w:ascii="仿宋_GB2312" w:eastAsia="仿宋_GB2312"/>
          <w:b w:val="0"/>
          <w:bCs/>
          <w:sz w:val="32"/>
          <w:szCs w:val="32"/>
        </w:rPr>
        <w:t>批次</w:t>
      </w:r>
      <w:r>
        <w:rPr>
          <w:rFonts w:hint="eastAsia" w:ascii="仿宋_GB2312" w:eastAsia="仿宋_GB2312"/>
          <w:b w:val="0"/>
          <w:bCs/>
          <w:sz w:val="32"/>
          <w:szCs w:val="32"/>
          <w:lang w:val="en-US" w:eastAsia="zh-CN"/>
        </w:rPr>
        <w:t>0</w:t>
      </w:r>
      <w:r>
        <w:rPr>
          <w:rFonts w:hint="eastAsia" w:ascii="仿宋_GB2312" w:eastAsia="仿宋_GB2312"/>
          <w:b w:val="0"/>
          <w:bCs/>
          <w:sz w:val="32"/>
          <w:szCs w:val="32"/>
        </w:rPr>
        <w:t>人次（不包括陪同人员），共计支出</w:t>
      </w:r>
      <w:r>
        <w:rPr>
          <w:rFonts w:hint="eastAsia" w:ascii="仿宋_GB2312" w:eastAsia="仿宋_GB2312"/>
          <w:b w:val="0"/>
          <w:bCs/>
          <w:sz w:val="32"/>
          <w:szCs w:val="32"/>
          <w:lang w:val="en-US" w:eastAsia="zh-CN"/>
        </w:rPr>
        <w:t>0</w:t>
      </w:r>
      <w:r>
        <w:rPr>
          <w:rFonts w:hint="eastAsia" w:ascii="仿宋_GB2312" w:eastAsia="仿宋_GB2312"/>
          <w:b w:val="0"/>
          <w:bCs/>
          <w:sz w:val="32"/>
          <w:szCs w:val="32"/>
        </w:rPr>
        <w:t>万元。</w:t>
      </w:r>
    </w:p>
    <w:p w14:paraId="4880878E">
      <w:pPr>
        <w:spacing w:line="600" w:lineRule="exact"/>
        <w:ind w:firstLine="640" w:firstLineChars="200"/>
        <w:rPr>
          <w:rFonts w:ascii="仿宋_GB2312" w:eastAsia="仿宋_GB2312"/>
          <w:b w:val="0"/>
          <w:bCs/>
          <w:sz w:val="32"/>
          <w:szCs w:val="32"/>
        </w:rPr>
      </w:pPr>
      <w:r>
        <w:rPr>
          <w:rFonts w:hint="eastAsia" w:ascii="仿宋" w:hAnsi="仿宋" w:eastAsia="仿宋"/>
          <w:b w:val="0"/>
          <w:bCs/>
          <w:sz w:val="32"/>
          <w:szCs w:val="32"/>
        </w:rPr>
        <w:t>外事接待支出</w:t>
      </w:r>
      <w:r>
        <w:rPr>
          <w:rFonts w:ascii="仿宋" w:hAnsi="仿宋" w:eastAsia="仿宋"/>
          <w:b w:val="0"/>
          <w:bCs/>
          <w:sz w:val="32"/>
          <w:szCs w:val="32"/>
        </w:rPr>
        <w:t>0</w:t>
      </w:r>
      <w:r>
        <w:rPr>
          <w:rFonts w:hint="eastAsia" w:ascii="仿宋_GB2312" w:eastAsia="仿宋_GB2312"/>
          <w:b w:val="0"/>
          <w:bCs/>
          <w:sz w:val="32"/>
          <w:szCs w:val="32"/>
        </w:rPr>
        <w:t>万元。外事接待</w:t>
      </w:r>
      <w:r>
        <w:rPr>
          <w:rFonts w:hint="eastAsia" w:ascii="仿宋_GB2312" w:eastAsia="仿宋_GB2312"/>
          <w:b w:val="0"/>
          <w:bCs/>
          <w:sz w:val="32"/>
          <w:szCs w:val="32"/>
          <w:lang w:val="en-US" w:eastAsia="zh-CN"/>
        </w:rPr>
        <w:t>0</w:t>
      </w:r>
      <w:r>
        <w:rPr>
          <w:rFonts w:hint="eastAsia" w:ascii="仿宋_GB2312" w:eastAsia="仿宋_GB2312"/>
          <w:b w:val="0"/>
          <w:bCs/>
          <w:sz w:val="32"/>
          <w:szCs w:val="32"/>
        </w:rPr>
        <w:t>批次，</w:t>
      </w:r>
      <w:r>
        <w:rPr>
          <w:rFonts w:hint="eastAsia" w:ascii="仿宋_GB2312" w:eastAsia="仿宋_GB2312"/>
          <w:b w:val="0"/>
          <w:bCs/>
          <w:sz w:val="32"/>
          <w:szCs w:val="32"/>
          <w:lang w:val="en-US" w:eastAsia="zh-CN"/>
        </w:rPr>
        <w:t>0</w:t>
      </w:r>
      <w:r>
        <w:rPr>
          <w:rFonts w:hint="eastAsia" w:ascii="仿宋_GB2312" w:eastAsia="仿宋_GB2312"/>
          <w:b w:val="0"/>
          <w:bCs/>
          <w:sz w:val="32"/>
          <w:szCs w:val="32"/>
        </w:rPr>
        <w:t>人次（不包括陪同人员），共计支出</w:t>
      </w:r>
      <w:r>
        <w:rPr>
          <w:rFonts w:hint="eastAsia" w:ascii="仿宋_GB2312" w:eastAsia="仿宋_GB2312"/>
          <w:b w:val="0"/>
          <w:bCs/>
          <w:sz w:val="32"/>
          <w:szCs w:val="32"/>
          <w:lang w:val="en-US" w:eastAsia="zh-CN"/>
        </w:rPr>
        <w:t>0</w:t>
      </w:r>
      <w:r>
        <w:rPr>
          <w:rFonts w:hint="eastAsia" w:ascii="仿宋_GB2312" w:eastAsia="仿宋_GB2312"/>
          <w:b w:val="0"/>
          <w:bCs/>
          <w:sz w:val="32"/>
          <w:szCs w:val="32"/>
        </w:rPr>
        <w:t>万元。</w:t>
      </w:r>
    </w:p>
    <w:p w14:paraId="4CABFC7A">
      <w:pPr>
        <w:spacing w:line="600" w:lineRule="exact"/>
        <w:ind w:firstLine="640"/>
        <w:rPr>
          <w:rFonts w:eastAsia="仿宋_GB2312" w:cs="仿宋_GB2312"/>
          <w:sz w:val="32"/>
          <w:szCs w:val="32"/>
        </w:rPr>
      </w:pPr>
    </w:p>
    <w:p w14:paraId="7FE619AB">
      <w:pPr>
        <w:spacing w:line="600" w:lineRule="exact"/>
        <w:ind w:firstLine="640"/>
        <w:outlineLvl w:val="1"/>
        <w:rPr>
          <w:rStyle w:val="38"/>
          <w:rFonts w:ascii="Times New Roman" w:hAnsi="Times New Roman" w:eastAsia="黑体"/>
        </w:rPr>
      </w:pPr>
      <w:r>
        <w:rPr>
          <w:rFonts w:hint="eastAsia" w:eastAsia="黑体"/>
          <w:sz w:val="32"/>
          <w:szCs w:val="32"/>
        </w:rPr>
        <w:t>八、</w:t>
      </w:r>
      <w:r>
        <w:rPr>
          <w:rStyle w:val="38"/>
          <w:rFonts w:hint="eastAsia" w:ascii="Times New Roman" w:hAnsi="Times New Roman" w:eastAsia="黑体"/>
          <w:b w:val="0"/>
        </w:rPr>
        <w:t>政府性基金预算支出决算情况说明</w:t>
      </w:r>
      <w:bookmarkEnd w:id="51"/>
      <w:bookmarkEnd w:id="52"/>
    </w:p>
    <w:p w14:paraId="5878E5B3">
      <w:pPr>
        <w:spacing w:line="600" w:lineRule="exact"/>
        <w:ind w:firstLine="640"/>
        <w:rPr>
          <w:rFonts w:ascii="仿宋_GB2312" w:eastAsia="仿宋_GB2312"/>
          <w:sz w:val="32"/>
          <w:szCs w:val="32"/>
        </w:rPr>
      </w:pPr>
      <w:bookmarkStart w:id="53" w:name="_Toc15377219"/>
      <w:bookmarkStart w:id="54" w:name="_Toc15396611"/>
      <w:r>
        <w:rPr>
          <w:rFonts w:hint="eastAsia" w:ascii="仿宋_GB2312" w:eastAsia="仿宋_GB2312"/>
          <w:sz w:val="32"/>
          <w:szCs w:val="32"/>
          <w:lang w:eastAsia="zh-CN"/>
        </w:rPr>
        <w:t>2025</w:t>
      </w:r>
      <w:r>
        <w:rPr>
          <w:rFonts w:hint="eastAsia" w:ascii="仿宋_GB2312" w:eastAsia="仿宋_GB2312"/>
          <w:sz w:val="32"/>
          <w:szCs w:val="32"/>
        </w:rPr>
        <w:t>年</w:t>
      </w:r>
      <w:r>
        <w:rPr>
          <w:rFonts w:hint="eastAsia" w:ascii="仿宋_GB2312" w:eastAsia="仿宋_GB2312"/>
          <w:b w:val="0"/>
          <w:bCs w:val="0"/>
          <w:sz w:val="32"/>
          <w:szCs w:val="32"/>
        </w:rPr>
        <w:t>度政府性基金预算财政拨款支出</w:t>
      </w:r>
      <w:r>
        <w:rPr>
          <w:rFonts w:ascii="仿宋" w:hAnsi="仿宋" w:eastAsia="仿宋"/>
          <w:b w:val="0"/>
          <w:bCs w:val="0"/>
          <w:sz w:val="32"/>
          <w:szCs w:val="32"/>
        </w:rPr>
        <w:t>0</w:t>
      </w:r>
      <w:r>
        <w:rPr>
          <w:rFonts w:hint="eastAsia" w:ascii="仿宋_GB2312" w:eastAsia="仿宋_GB2312"/>
          <w:b w:val="0"/>
          <w:bCs w:val="0"/>
          <w:sz w:val="32"/>
          <w:szCs w:val="32"/>
        </w:rPr>
        <w:t>万元。</w:t>
      </w:r>
    </w:p>
    <w:p w14:paraId="7DDAF347">
      <w:pPr>
        <w:spacing w:line="600" w:lineRule="exact"/>
        <w:ind w:left="630"/>
        <w:outlineLvl w:val="1"/>
        <w:rPr>
          <w:rStyle w:val="38"/>
          <w:rFonts w:hint="eastAsia" w:ascii="Times New Roman" w:hAnsi="Times New Roman" w:eastAsia="黑体"/>
          <w:b w:val="0"/>
        </w:rPr>
      </w:pPr>
    </w:p>
    <w:p w14:paraId="018B13CB">
      <w:pPr>
        <w:spacing w:line="600" w:lineRule="exact"/>
        <w:ind w:left="630"/>
        <w:outlineLvl w:val="1"/>
        <w:rPr>
          <w:rStyle w:val="38"/>
          <w:rFonts w:ascii="Times New Roman" w:hAnsi="Times New Roman" w:eastAsia="黑体"/>
          <w:b w:val="0"/>
        </w:rPr>
      </w:pPr>
      <w:r>
        <w:rPr>
          <w:rStyle w:val="38"/>
          <w:rFonts w:hint="eastAsia" w:ascii="Times New Roman" w:hAnsi="Times New Roman" w:eastAsia="黑体"/>
          <w:b w:val="0"/>
        </w:rPr>
        <w:t>九、国有资本经营预算支出决算情况说明</w:t>
      </w:r>
      <w:bookmarkEnd w:id="53"/>
      <w:bookmarkEnd w:id="54"/>
    </w:p>
    <w:p w14:paraId="6CBC35C8">
      <w:pPr>
        <w:spacing w:line="600" w:lineRule="exact"/>
        <w:ind w:firstLine="640"/>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年度国有资本</w:t>
      </w:r>
      <w:r>
        <w:rPr>
          <w:rFonts w:hint="eastAsia" w:ascii="仿宋_GB2312" w:eastAsia="仿宋_GB2312"/>
          <w:b w:val="0"/>
          <w:bCs w:val="0"/>
          <w:sz w:val="32"/>
          <w:szCs w:val="32"/>
        </w:rPr>
        <w:t>经营预算财政拨款支出</w:t>
      </w:r>
      <w:r>
        <w:rPr>
          <w:rFonts w:ascii="仿宋" w:hAnsi="仿宋" w:eastAsia="仿宋"/>
          <w:b w:val="0"/>
          <w:bCs w:val="0"/>
          <w:sz w:val="32"/>
          <w:szCs w:val="32"/>
        </w:rPr>
        <w:t>0</w:t>
      </w:r>
      <w:r>
        <w:rPr>
          <w:rFonts w:hint="eastAsia" w:ascii="仿宋_GB2312" w:eastAsia="仿宋_GB2312"/>
          <w:b w:val="0"/>
          <w:bCs w:val="0"/>
          <w:sz w:val="32"/>
          <w:szCs w:val="32"/>
        </w:rPr>
        <w:t>万元。</w:t>
      </w:r>
    </w:p>
    <w:p w14:paraId="1CF3BF31">
      <w:pPr>
        <w:spacing w:line="600" w:lineRule="exact"/>
        <w:ind w:firstLine="640"/>
        <w:rPr>
          <w:rFonts w:eastAsia="仿宋_GB2312" w:cs="仿宋_GB2312"/>
          <w:sz w:val="32"/>
          <w:szCs w:val="32"/>
        </w:rPr>
      </w:pPr>
    </w:p>
    <w:p w14:paraId="2252F015">
      <w:pPr>
        <w:spacing w:line="600" w:lineRule="exact"/>
        <w:ind w:left="630"/>
        <w:outlineLvl w:val="1"/>
        <w:rPr>
          <w:rStyle w:val="38"/>
          <w:rFonts w:ascii="Times New Roman" w:hAnsi="Times New Roman" w:eastAsia="黑体"/>
          <w:b w:val="0"/>
        </w:rPr>
      </w:pPr>
      <w:bookmarkStart w:id="55" w:name="_Toc15396612"/>
      <w:bookmarkStart w:id="56" w:name="_Toc15377221"/>
      <w:r>
        <w:rPr>
          <w:rStyle w:val="38"/>
          <w:rFonts w:hint="eastAsia" w:ascii="Times New Roman" w:hAnsi="Times New Roman" w:eastAsia="黑体"/>
          <w:b w:val="0"/>
        </w:rPr>
        <w:t>十、其他重要事项的情况说明</w:t>
      </w:r>
      <w:bookmarkEnd w:id="55"/>
      <w:bookmarkEnd w:id="56"/>
    </w:p>
    <w:p w14:paraId="5699FF06">
      <w:pPr>
        <w:spacing w:line="600" w:lineRule="exact"/>
        <w:ind w:firstLine="643" w:firstLineChars="200"/>
        <w:outlineLvl w:val="2"/>
        <w:rPr>
          <w:rFonts w:ascii="仿宋" w:hAnsi="仿宋" w:eastAsia="仿宋"/>
          <w:sz w:val="32"/>
          <w:szCs w:val="32"/>
        </w:rPr>
      </w:pPr>
      <w:bookmarkStart w:id="57" w:name="_Toc15377222"/>
      <w:r>
        <w:rPr>
          <w:rFonts w:hint="eastAsia" w:ascii="仿宋" w:hAnsi="仿宋" w:eastAsia="仿宋"/>
          <w:b/>
          <w:sz w:val="32"/>
          <w:szCs w:val="32"/>
        </w:rPr>
        <w:t>（一）机关运行经费支出情况</w:t>
      </w:r>
      <w:bookmarkEnd w:id="57"/>
    </w:p>
    <w:p w14:paraId="0E457B2E">
      <w:pPr>
        <w:spacing w:line="600"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lang w:eastAsia="zh-CN"/>
        </w:rPr>
        <w:t>2025</w:t>
      </w:r>
      <w:r>
        <w:rPr>
          <w:rFonts w:hint="eastAsia" w:ascii="仿宋_GB2312" w:eastAsia="仿宋_GB2312"/>
          <w:b w:val="0"/>
          <w:bCs w:val="0"/>
          <w:sz w:val="32"/>
          <w:szCs w:val="32"/>
        </w:rPr>
        <w:t>年度，</w:t>
      </w:r>
      <w:r>
        <w:rPr>
          <w:rFonts w:ascii="仿宋_GB2312" w:eastAsia="仿宋_GB2312"/>
          <w:b w:val="0"/>
          <w:bCs w:val="0"/>
          <w:sz w:val="32"/>
          <w:szCs w:val="32"/>
        </w:rPr>
        <w:t>州退耕还林工程办公室</w:t>
      </w:r>
      <w:r>
        <w:rPr>
          <w:rFonts w:hint="eastAsia" w:ascii="仿宋_GB2312" w:eastAsia="仿宋_GB2312"/>
          <w:b w:val="0"/>
          <w:bCs w:val="0"/>
          <w:sz w:val="32"/>
          <w:szCs w:val="32"/>
        </w:rPr>
        <w:t>机关运行经费支出</w:t>
      </w:r>
      <w:r>
        <w:rPr>
          <w:rFonts w:ascii="仿宋" w:hAnsi="仿宋" w:eastAsia="仿宋"/>
          <w:b w:val="0"/>
          <w:bCs w:val="0"/>
          <w:sz w:val="32"/>
          <w:szCs w:val="32"/>
        </w:rPr>
        <w:t>0</w:t>
      </w:r>
      <w:r>
        <w:rPr>
          <w:rFonts w:hint="eastAsia" w:ascii="仿宋_GB2312" w:eastAsia="仿宋_GB2312"/>
          <w:b w:val="0"/>
          <w:bCs w:val="0"/>
          <w:sz w:val="32"/>
          <w:szCs w:val="32"/>
        </w:rPr>
        <w:t>万元，与</w:t>
      </w:r>
      <w:r>
        <w:rPr>
          <w:rFonts w:hint="eastAsia" w:ascii="仿宋_GB2312" w:eastAsia="仿宋_GB2312"/>
          <w:b w:val="0"/>
          <w:bCs w:val="0"/>
          <w:sz w:val="32"/>
          <w:szCs w:val="32"/>
          <w:lang w:eastAsia="zh-CN"/>
        </w:rPr>
        <w:t>202</w:t>
      </w:r>
      <w:r>
        <w:rPr>
          <w:rFonts w:hint="eastAsia" w:ascii="仿宋_GB2312" w:eastAsia="仿宋_GB2312"/>
          <w:b w:val="0"/>
          <w:bCs w:val="0"/>
          <w:sz w:val="32"/>
          <w:szCs w:val="32"/>
          <w:lang w:val="en-US" w:eastAsia="zh-CN"/>
        </w:rPr>
        <w:t>4</w:t>
      </w:r>
      <w:r>
        <w:rPr>
          <w:rFonts w:hint="eastAsia" w:ascii="仿宋_GB2312" w:eastAsia="仿宋_GB2312"/>
          <w:b w:val="0"/>
          <w:bCs w:val="0"/>
          <w:sz w:val="32"/>
          <w:szCs w:val="32"/>
        </w:rPr>
        <w:t>年度决算数持平。主要原因是退耕办公室属于事业单位无机关运行经费。</w:t>
      </w:r>
    </w:p>
    <w:p w14:paraId="798CCB52">
      <w:pPr>
        <w:autoSpaceDE w:val="0"/>
        <w:autoSpaceDN w:val="0"/>
        <w:adjustRightInd w:val="0"/>
        <w:spacing w:line="600" w:lineRule="exact"/>
        <w:ind w:firstLine="643" w:firstLineChars="200"/>
        <w:jc w:val="left"/>
        <w:outlineLvl w:val="2"/>
        <w:rPr>
          <w:rFonts w:ascii="仿宋" w:hAnsi="仿宋" w:eastAsia="仿宋"/>
          <w:b/>
          <w:sz w:val="32"/>
          <w:szCs w:val="32"/>
        </w:rPr>
      </w:pPr>
      <w:bookmarkStart w:id="58" w:name="_Toc15377223"/>
      <w:r>
        <w:rPr>
          <w:rFonts w:hint="eastAsia" w:ascii="仿宋" w:hAnsi="仿宋" w:eastAsia="仿宋"/>
          <w:b/>
          <w:sz w:val="32"/>
          <w:szCs w:val="32"/>
        </w:rPr>
        <w:t>（二）政府采购支出情况</w:t>
      </w:r>
      <w:bookmarkEnd w:id="58"/>
    </w:p>
    <w:p w14:paraId="62314745">
      <w:pPr>
        <w:spacing w:line="600" w:lineRule="exact"/>
        <w:ind w:firstLine="640" w:firstLineChars="200"/>
        <w:rPr>
          <w:rFonts w:ascii="仿宋_GB2312" w:eastAsia="仿宋_GB2312"/>
          <w:b w:val="0"/>
          <w:bCs w:val="0"/>
          <w:sz w:val="32"/>
          <w:szCs w:val="32"/>
        </w:rPr>
      </w:pPr>
      <w:r>
        <w:rPr>
          <w:rFonts w:hint="eastAsia" w:ascii="仿宋_GB2312" w:eastAsia="仿宋_GB2312"/>
          <w:b w:val="0"/>
          <w:bCs w:val="0"/>
          <w:sz w:val="32"/>
          <w:szCs w:val="32"/>
          <w:lang w:eastAsia="zh-CN"/>
        </w:rPr>
        <w:t>2025</w:t>
      </w:r>
      <w:r>
        <w:rPr>
          <w:rFonts w:hint="eastAsia" w:ascii="仿宋_GB2312" w:eastAsia="仿宋_GB2312"/>
          <w:b w:val="0"/>
          <w:bCs w:val="0"/>
          <w:sz w:val="32"/>
          <w:szCs w:val="32"/>
        </w:rPr>
        <w:t>年度，</w:t>
      </w:r>
      <w:r>
        <w:rPr>
          <w:rFonts w:ascii="仿宋_GB2312" w:eastAsia="仿宋_GB2312"/>
          <w:b w:val="0"/>
          <w:bCs w:val="0"/>
          <w:sz w:val="32"/>
          <w:szCs w:val="32"/>
        </w:rPr>
        <w:t>州退耕还林工程办公室</w:t>
      </w:r>
      <w:r>
        <w:rPr>
          <w:rFonts w:hint="eastAsia" w:ascii="仿宋_GB2312" w:eastAsia="仿宋_GB2312"/>
          <w:b w:val="0"/>
          <w:bCs w:val="0"/>
          <w:sz w:val="32"/>
          <w:szCs w:val="32"/>
        </w:rPr>
        <w:t>政府采购支出总额</w:t>
      </w:r>
      <w:r>
        <w:rPr>
          <w:rFonts w:ascii="仿宋" w:hAnsi="仿宋" w:eastAsia="仿宋"/>
          <w:b w:val="0"/>
          <w:bCs w:val="0"/>
          <w:sz w:val="32"/>
          <w:szCs w:val="32"/>
        </w:rPr>
        <w:t>0</w:t>
      </w:r>
      <w:r>
        <w:rPr>
          <w:rFonts w:hint="eastAsia" w:ascii="仿宋_GB2312" w:eastAsia="仿宋_GB2312"/>
          <w:b w:val="0"/>
          <w:bCs w:val="0"/>
          <w:sz w:val="32"/>
          <w:szCs w:val="32"/>
        </w:rPr>
        <w:t>万元，其中：政府采购货物支出</w:t>
      </w:r>
      <w:r>
        <w:rPr>
          <w:rFonts w:ascii="仿宋" w:hAnsi="仿宋" w:eastAsia="仿宋"/>
          <w:b w:val="0"/>
          <w:bCs w:val="0"/>
          <w:sz w:val="32"/>
          <w:szCs w:val="32"/>
        </w:rPr>
        <w:t>0</w:t>
      </w:r>
      <w:r>
        <w:rPr>
          <w:rFonts w:hint="eastAsia" w:ascii="仿宋_GB2312" w:eastAsia="仿宋_GB2312"/>
          <w:b w:val="0"/>
          <w:bCs w:val="0"/>
          <w:sz w:val="32"/>
          <w:szCs w:val="32"/>
        </w:rPr>
        <w:t>万元、政府采购工程支出</w:t>
      </w:r>
      <w:r>
        <w:rPr>
          <w:rFonts w:ascii="仿宋" w:hAnsi="仿宋" w:eastAsia="仿宋"/>
          <w:b w:val="0"/>
          <w:bCs w:val="0"/>
          <w:sz w:val="32"/>
          <w:szCs w:val="32"/>
        </w:rPr>
        <w:t>0</w:t>
      </w:r>
      <w:r>
        <w:rPr>
          <w:rFonts w:hint="eastAsia" w:ascii="仿宋_GB2312" w:eastAsia="仿宋_GB2312"/>
          <w:b w:val="0"/>
          <w:bCs w:val="0"/>
          <w:sz w:val="32"/>
          <w:szCs w:val="32"/>
        </w:rPr>
        <w:t>万元、政府采购服务支出</w:t>
      </w:r>
      <w:r>
        <w:rPr>
          <w:rFonts w:ascii="仿宋" w:hAnsi="仿宋" w:eastAsia="仿宋"/>
          <w:b w:val="0"/>
          <w:bCs w:val="0"/>
          <w:sz w:val="32"/>
          <w:szCs w:val="32"/>
        </w:rPr>
        <w:t>0</w:t>
      </w:r>
      <w:r>
        <w:rPr>
          <w:rFonts w:hint="eastAsia" w:ascii="仿宋_GB2312" w:eastAsia="仿宋_GB2312"/>
          <w:b w:val="0"/>
          <w:bCs w:val="0"/>
          <w:sz w:val="32"/>
          <w:szCs w:val="32"/>
        </w:rPr>
        <w:t>万元。授予中小企业合同金额</w:t>
      </w:r>
      <w:r>
        <w:rPr>
          <w:rFonts w:ascii="仿宋" w:hAnsi="仿宋" w:eastAsia="仿宋"/>
          <w:b w:val="0"/>
          <w:bCs w:val="0"/>
          <w:sz w:val="32"/>
          <w:szCs w:val="32"/>
        </w:rPr>
        <w:t>0</w:t>
      </w:r>
      <w:r>
        <w:rPr>
          <w:rFonts w:hint="eastAsia" w:ascii="仿宋_GB2312" w:eastAsia="仿宋_GB2312"/>
          <w:b w:val="0"/>
          <w:bCs w:val="0"/>
          <w:sz w:val="32"/>
          <w:szCs w:val="32"/>
        </w:rPr>
        <w:t>万元，占政府采购支出总额的</w:t>
      </w:r>
      <w:r>
        <w:rPr>
          <w:rFonts w:ascii="仿宋_GB2312" w:eastAsia="仿宋_GB2312"/>
          <w:b w:val="0"/>
          <w:bCs w:val="0"/>
          <w:sz w:val="32"/>
          <w:szCs w:val="32"/>
        </w:rPr>
        <w:t>0%</w:t>
      </w:r>
      <w:r>
        <w:rPr>
          <w:rFonts w:hint="eastAsia" w:ascii="仿宋_GB2312" w:eastAsia="仿宋_GB2312"/>
          <w:b w:val="0"/>
          <w:bCs w:val="0"/>
          <w:sz w:val="32"/>
          <w:szCs w:val="32"/>
        </w:rPr>
        <w:t>，其中：授予小微企业合同金额</w:t>
      </w:r>
      <w:r>
        <w:rPr>
          <w:rFonts w:ascii="仿宋" w:hAnsi="仿宋" w:eastAsia="仿宋"/>
          <w:b w:val="0"/>
          <w:bCs w:val="0"/>
          <w:sz w:val="32"/>
          <w:szCs w:val="32"/>
        </w:rPr>
        <w:t>0</w:t>
      </w:r>
      <w:r>
        <w:rPr>
          <w:rFonts w:hint="eastAsia" w:ascii="仿宋_GB2312" w:eastAsia="仿宋_GB2312"/>
          <w:b w:val="0"/>
          <w:bCs w:val="0"/>
          <w:sz w:val="32"/>
          <w:szCs w:val="32"/>
        </w:rPr>
        <w:t>万元，占政府采购支出总额的</w:t>
      </w:r>
      <w:r>
        <w:rPr>
          <w:rFonts w:ascii="仿宋_GB2312" w:eastAsia="仿宋_GB2312"/>
          <w:b w:val="0"/>
          <w:bCs w:val="0"/>
          <w:sz w:val="32"/>
          <w:szCs w:val="32"/>
        </w:rPr>
        <w:t>0%</w:t>
      </w:r>
      <w:r>
        <w:rPr>
          <w:rFonts w:hint="eastAsia" w:ascii="仿宋_GB2312" w:eastAsia="仿宋_GB2312"/>
          <w:b w:val="0"/>
          <w:bCs w:val="0"/>
          <w:sz w:val="32"/>
          <w:szCs w:val="32"/>
        </w:rPr>
        <w:t>。</w:t>
      </w:r>
    </w:p>
    <w:p w14:paraId="42916778">
      <w:pPr>
        <w:autoSpaceDE w:val="0"/>
        <w:autoSpaceDN w:val="0"/>
        <w:adjustRightInd w:val="0"/>
        <w:spacing w:line="600" w:lineRule="exact"/>
        <w:ind w:firstLine="643" w:firstLineChars="200"/>
        <w:jc w:val="left"/>
        <w:outlineLvl w:val="2"/>
        <w:rPr>
          <w:rFonts w:ascii="仿宋" w:hAnsi="仿宋" w:eastAsia="仿宋"/>
          <w:b/>
          <w:sz w:val="32"/>
          <w:szCs w:val="32"/>
        </w:rPr>
      </w:pPr>
      <w:bookmarkStart w:id="59" w:name="_Toc15377224"/>
      <w:r>
        <w:rPr>
          <w:rFonts w:hint="eastAsia" w:ascii="仿宋" w:hAnsi="仿宋" w:eastAsia="仿宋"/>
          <w:b/>
          <w:sz w:val="32"/>
          <w:szCs w:val="32"/>
        </w:rPr>
        <w:t>（三）国有资产占有使用情况</w:t>
      </w:r>
      <w:bookmarkEnd w:id="59"/>
    </w:p>
    <w:p w14:paraId="040D0595">
      <w:pPr>
        <w:autoSpaceDE w:val="0"/>
        <w:autoSpaceDN w:val="0"/>
        <w:adjustRightInd w:val="0"/>
        <w:spacing w:line="600" w:lineRule="exact"/>
        <w:ind w:firstLine="640" w:firstLineChars="200"/>
        <w:jc w:val="left"/>
        <w:rPr>
          <w:rFonts w:ascii="仿宋_GB2312" w:eastAsia="仿宋_GB2312"/>
          <w:b w:val="0"/>
          <w:bCs w:val="0"/>
          <w:sz w:val="32"/>
          <w:szCs w:val="32"/>
        </w:rPr>
      </w:pPr>
      <w:r>
        <w:rPr>
          <w:rFonts w:hint="eastAsia" w:ascii="仿宋_GB2312" w:eastAsia="仿宋_GB2312"/>
          <w:b w:val="0"/>
          <w:bCs w:val="0"/>
          <w:sz w:val="32"/>
          <w:szCs w:val="32"/>
        </w:rPr>
        <w:t>截至</w:t>
      </w:r>
      <w:r>
        <w:rPr>
          <w:rFonts w:hint="eastAsia" w:ascii="仿宋_GB2312" w:eastAsia="仿宋_GB2312"/>
          <w:b w:val="0"/>
          <w:bCs w:val="0"/>
          <w:sz w:val="32"/>
          <w:szCs w:val="32"/>
          <w:lang w:eastAsia="zh-CN"/>
        </w:rPr>
        <w:t>2025</w:t>
      </w:r>
      <w:r>
        <w:rPr>
          <w:rFonts w:hint="eastAsia" w:ascii="仿宋_GB2312" w:eastAsia="仿宋_GB2312"/>
          <w:b w:val="0"/>
          <w:bCs w:val="0"/>
          <w:sz w:val="32"/>
          <w:szCs w:val="32"/>
        </w:rPr>
        <w:t>年</w:t>
      </w:r>
      <w:r>
        <w:rPr>
          <w:rFonts w:ascii="仿宋_GB2312" w:eastAsia="仿宋_GB2312"/>
          <w:b w:val="0"/>
          <w:bCs w:val="0"/>
          <w:sz w:val="32"/>
          <w:szCs w:val="32"/>
        </w:rPr>
        <w:t>12</w:t>
      </w:r>
      <w:r>
        <w:rPr>
          <w:rFonts w:hint="eastAsia" w:ascii="仿宋_GB2312" w:eastAsia="仿宋_GB2312"/>
          <w:b w:val="0"/>
          <w:bCs w:val="0"/>
          <w:sz w:val="32"/>
          <w:szCs w:val="32"/>
        </w:rPr>
        <w:t>月</w:t>
      </w:r>
      <w:r>
        <w:rPr>
          <w:rFonts w:ascii="仿宋_GB2312" w:eastAsia="仿宋_GB2312"/>
          <w:b w:val="0"/>
          <w:bCs w:val="0"/>
          <w:sz w:val="32"/>
          <w:szCs w:val="32"/>
        </w:rPr>
        <w:t>31</w:t>
      </w:r>
      <w:r>
        <w:rPr>
          <w:rFonts w:hint="eastAsia" w:ascii="仿宋_GB2312" w:eastAsia="仿宋_GB2312"/>
          <w:b w:val="0"/>
          <w:bCs w:val="0"/>
          <w:sz w:val="32"/>
          <w:szCs w:val="32"/>
        </w:rPr>
        <w:t>日，</w:t>
      </w:r>
      <w:r>
        <w:rPr>
          <w:rFonts w:ascii="仿宋_GB2312" w:eastAsia="仿宋_GB2312"/>
          <w:b w:val="0"/>
          <w:bCs w:val="0"/>
          <w:sz w:val="32"/>
          <w:szCs w:val="32"/>
        </w:rPr>
        <w:t>州退耕还林工程办公室</w:t>
      </w:r>
      <w:r>
        <w:rPr>
          <w:rFonts w:hint="eastAsia" w:ascii="仿宋_GB2312" w:eastAsia="仿宋_GB2312"/>
          <w:b w:val="0"/>
          <w:bCs w:val="0"/>
          <w:sz w:val="32"/>
          <w:szCs w:val="32"/>
        </w:rPr>
        <w:t>共有车辆0辆，其中：主要领导干部用车</w:t>
      </w:r>
      <w:r>
        <w:rPr>
          <w:rFonts w:hint="eastAsia" w:ascii="仿宋_GB2312" w:eastAsia="仿宋_GB2312"/>
          <w:b w:val="0"/>
          <w:bCs w:val="0"/>
          <w:sz w:val="32"/>
          <w:szCs w:val="32"/>
          <w:lang w:val="en-US" w:eastAsia="zh-CN"/>
        </w:rPr>
        <w:t>0</w:t>
      </w:r>
      <w:r>
        <w:rPr>
          <w:rFonts w:hint="eastAsia" w:ascii="仿宋_GB2312" w:eastAsia="仿宋_GB2312"/>
          <w:b w:val="0"/>
          <w:bCs w:val="0"/>
          <w:sz w:val="32"/>
          <w:szCs w:val="32"/>
        </w:rPr>
        <w:t>辆、机要通信用车</w:t>
      </w:r>
      <w:r>
        <w:rPr>
          <w:rFonts w:hint="eastAsia" w:ascii="仿宋_GB2312" w:eastAsia="仿宋_GB2312"/>
          <w:b w:val="0"/>
          <w:bCs w:val="0"/>
          <w:sz w:val="32"/>
          <w:szCs w:val="32"/>
          <w:lang w:val="en-US" w:eastAsia="zh-CN"/>
        </w:rPr>
        <w:t>0</w:t>
      </w:r>
      <w:r>
        <w:rPr>
          <w:rFonts w:hint="eastAsia" w:ascii="仿宋_GB2312" w:eastAsia="仿宋_GB2312"/>
          <w:b w:val="0"/>
          <w:bCs w:val="0"/>
          <w:sz w:val="32"/>
          <w:szCs w:val="32"/>
        </w:rPr>
        <w:t>辆、应急保障用车</w:t>
      </w:r>
      <w:r>
        <w:rPr>
          <w:rFonts w:hint="eastAsia" w:ascii="仿宋_GB2312" w:eastAsia="仿宋_GB2312"/>
          <w:b w:val="0"/>
          <w:bCs w:val="0"/>
          <w:sz w:val="32"/>
          <w:szCs w:val="32"/>
          <w:lang w:val="en-US" w:eastAsia="zh-CN"/>
        </w:rPr>
        <w:t>0</w:t>
      </w:r>
      <w:r>
        <w:rPr>
          <w:rFonts w:hint="eastAsia" w:ascii="仿宋_GB2312" w:eastAsia="仿宋_GB2312"/>
          <w:b w:val="0"/>
          <w:bCs w:val="0"/>
          <w:sz w:val="32"/>
          <w:szCs w:val="32"/>
        </w:rPr>
        <w:t>辆、其他用车</w:t>
      </w:r>
      <w:r>
        <w:rPr>
          <w:rFonts w:hint="eastAsia" w:ascii="仿宋_GB2312" w:eastAsia="仿宋_GB2312"/>
          <w:b w:val="0"/>
          <w:bCs w:val="0"/>
          <w:sz w:val="32"/>
          <w:szCs w:val="32"/>
          <w:lang w:val="en-US" w:eastAsia="zh-CN"/>
        </w:rPr>
        <w:t>0</w:t>
      </w:r>
      <w:r>
        <w:rPr>
          <w:rFonts w:hint="eastAsia" w:ascii="仿宋_GB2312" w:eastAsia="仿宋_GB2312"/>
          <w:b w:val="0"/>
          <w:bCs w:val="0"/>
          <w:sz w:val="32"/>
          <w:szCs w:val="32"/>
        </w:rPr>
        <w:t>辆。单价</w:t>
      </w:r>
      <w:r>
        <w:rPr>
          <w:rFonts w:ascii="仿宋_GB2312" w:eastAsia="仿宋_GB2312"/>
          <w:b w:val="0"/>
          <w:bCs w:val="0"/>
          <w:sz w:val="32"/>
          <w:szCs w:val="32"/>
        </w:rPr>
        <w:t>100</w:t>
      </w:r>
      <w:r>
        <w:rPr>
          <w:rFonts w:hint="eastAsia" w:ascii="仿宋_GB2312" w:eastAsia="仿宋_GB2312"/>
          <w:b w:val="0"/>
          <w:bCs w:val="0"/>
          <w:sz w:val="32"/>
          <w:szCs w:val="32"/>
        </w:rPr>
        <w:t>万元以上设备（不含车辆）</w:t>
      </w:r>
      <w:r>
        <w:rPr>
          <w:rFonts w:ascii="仿宋_GB2312" w:eastAsia="仿宋_GB2312"/>
          <w:b w:val="0"/>
          <w:bCs w:val="0"/>
          <w:sz w:val="32"/>
          <w:szCs w:val="32"/>
        </w:rPr>
        <w:t>0</w:t>
      </w:r>
      <w:r>
        <w:rPr>
          <w:rFonts w:hint="eastAsia" w:ascii="仿宋_GB2312" w:eastAsia="仿宋_GB2312"/>
          <w:b w:val="0"/>
          <w:bCs w:val="0"/>
          <w:sz w:val="32"/>
          <w:szCs w:val="32"/>
        </w:rPr>
        <w:t>台（套）。</w:t>
      </w:r>
    </w:p>
    <w:p w14:paraId="77A8EC30">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02075A88">
      <w:pPr>
        <w:spacing w:line="600" w:lineRule="exact"/>
        <w:ind w:firstLine="640"/>
        <w:rPr>
          <w:rFonts w:eastAsia="仿宋_GB2312" w:cs="仿宋_GB2312"/>
          <w:sz w:val="32"/>
          <w:szCs w:val="32"/>
        </w:rPr>
      </w:pPr>
      <w:r>
        <w:rPr>
          <w:rFonts w:hint="eastAsia" w:ascii="仿宋_GB2312" w:eastAsia="仿宋_GB2312"/>
          <w:sz w:val="32"/>
          <w:szCs w:val="32"/>
        </w:rPr>
        <w:t>根据预算绩效管理要求，由于本单位无项目，所以按要求对</w:t>
      </w:r>
      <w:r>
        <w:rPr>
          <w:rFonts w:hint="eastAsia" w:ascii="仿宋_GB2312" w:eastAsia="仿宋_GB2312"/>
          <w:sz w:val="32"/>
          <w:szCs w:val="32"/>
          <w:lang w:eastAsia="zh-CN"/>
        </w:rPr>
        <w:t>2025</w:t>
      </w:r>
      <w:r>
        <w:rPr>
          <w:rFonts w:hint="eastAsia" w:ascii="仿宋_GB2312" w:eastAsia="仿宋_GB2312"/>
          <w:sz w:val="32"/>
          <w:szCs w:val="32"/>
        </w:rPr>
        <w:t>年部门整体支出绩效评价情况和阿坝州林草局（本级）合并开展自评，形成《</w:t>
      </w:r>
      <w:r>
        <w:rPr>
          <w:rFonts w:hint="eastAsia" w:ascii="仿宋_GB2312" w:eastAsia="仿宋_GB2312"/>
          <w:sz w:val="32"/>
          <w:szCs w:val="32"/>
          <w:lang w:eastAsia="zh-CN"/>
        </w:rPr>
        <w:t>2025</w:t>
      </w:r>
      <w:r>
        <w:rPr>
          <w:rFonts w:hint="eastAsia" w:ascii="仿宋_GB2312" w:eastAsia="仿宋_GB2312"/>
          <w:sz w:val="32"/>
          <w:szCs w:val="32"/>
        </w:rPr>
        <w:t>年阿坝州林业和草原局整体绩效评价报告》。</w:t>
      </w:r>
      <w:r>
        <w:rPr>
          <w:rFonts w:hint="eastAsia" w:ascii="仿宋_GB2312" w:eastAsia="仿宋_GB2312"/>
          <w:sz w:val="32"/>
          <w:szCs w:val="32"/>
        </w:rPr>
        <w:br w:type="page"/>
      </w:r>
    </w:p>
    <w:p w14:paraId="6E5C6CB5">
      <w:pPr>
        <w:spacing w:line="600" w:lineRule="exact"/>
        <w:ind w:firstLine="640"/>
        <w:rPr>
          <w:rFonts w:eastAsia="仿宋_GB2312" w:cs="仿宋_GB2312"/>
          <w:sz w:val="32"/>
          <w:szCs w:val="32"/>
        </w:rPr>
      </w:pPr>
    </w:p>
    <w:p w14:paraId="3C8BDAEB">
      <w:pPr>
        <w:spacing w:line="600" w:lineRule="exact"/>
        <w:jc w:val="center"/>
        <w:outlineLvl w:val="0"/>
        <w:rPr>
          <w:rFonts w:eastAsia="黑体"/>
          <w:sz w:val="44"/>
          <w:szCs w:val="44"/>
        </w:rPr>
      </w:pPr>
      <w:bookmarkStart w:id="60" w:name="_Toc15396613"/>
      <w:bookmarkStart w:id="61" w:name="_Toc15377225"/>
      <w:r>
        <w:rPr>
          <w:rFonts w:hint="eastAsia" w:eastAsia="黑体"/>
          <w:sz w:val="44"/>
          <w:szCs w:val="44"/>
        </w:rPr>
        <w:t>第三部分  名词解释</w:t>
      </w:r>
      <w:bookmarkEnd w:id="60"/>
      <w:bookmarkEnd w:id="61"/>
    </w:p>
    <w:p w14:paraId="6A4B0F55">
      <w:pPr>
        <w:spacing w:line="600" w:lineRule="exact"/>
        <w:jc w:val="left"/>
        <w:rPr>
          <w:b/>
          <w:sz w:val="44"/>
          <w:szCs w:val="44"/>
        </w:rPr>
      </w:pPr>
    </w:p>
    <w:p w14:paraId="072334D0">
      <w:pPr>
        <w:spacing w:line="600" w:lineRule="exact"/>
        <w:ind w:firstLine="640" w:firstLineChars="200"/>
        <w:jc w:val="left"/>
        <w:outlineLvl w:val="0"/>
        <w:rPr>
          <w:rFonts w:hint="eastAsia" w:ascii="仿宋_GB2312" w:eastAsia="仿宋_GB2312"/>
          <w:color w:val="auto"/>
          <w:sz w:val="32"/>
          <w:szCs w:val="32"/>
        </w:rPr>
      </w:pPr>
      <w:bookmarkStart w:id="62" w:name="_Toc20592"/>
      <w:bookmarkStart w:id="63" w:name="_Toc15377226"/>
      <w:r>
        <w:rPr>
          <w:rFonts w:hint="eastAsia" w:ascii="仿宋_GB2312" w:eastAsia="仿宋_GB2312"/>
          <w:color w:val="auto"/>
          <w:sz w:val="32"/>
          <w:szCs w:val="32"/>
        </w:rPr>
        <w:t>1.财政拨款收入：指单位从同级财政部门取得的财政预算资金。</w:t>
      </w:r>
      <w:bookmarkEnd w:id="62"/>
    </w:p>
    <w:p w14:paraId="6E651311">
      <w:pPr>
        <w:spacing w:line="600" w:lineRule="exact"/>
        <w:ind w:firstLine="640" w:firstLineChars="200"/>
        <w:jc w:val="left"/>
        <w:outlineLvl w:val="0"/>
        <w:rPr>
          <w:rFonts w:hint="eastAsia" w:ascii="仿宋_GB2312" w:eastAsia="仿宋_GB2312"/>
          <w:color w:val="auto"/>
          <w:sz w:val="32"/>
          <w:szCs w:val="32"/>
        </w:rPr>
      </w:pPr>
      <w:bookmarkStart w:id="64" w:name="_Toc5646"/>
      <w:r>
        <w:rPr>
          <w:rFonts w:hint="eastAsia" w:ascii="仿宋_GB2312" w:eastAsia="仿宋_GB2312"/>
          <w:color w:val="auto"/>
          <w:sz w:val="32"/>
          <w:szCs w:val="32"/>
        </w:rPr>
        <w:t>2.事业收入：指事业单位开展专业业务活动及辅助活动取得的收入。</w:t>
      </w:r>
      <w:bookmarkEnd w:id="64"/>
    </w:p>
    <w:p w14:paraId="0789CD6E">
      <w:pPr>
        <w:spacing w:line="600" w:lineRule="exact"/>
        <w:ind w:firstLine="640" w:firstLineChars="200"/>
        <w:jc w:val="left"/>
        <w:outlineLvl w:val="0"/>
        <w:rPr>
          <w:rFonts w:hint="eastAsia" w:ascii="仿宋_GB2312" w:eastAsia="仿宋_GB2312"/>
          <w:color w:val="auto"/>
          <w:sz w:val="32"/>
          <w:szCs w:val="32"/>
        </w:rPr>
      </w:pPr>
      <w:bookmarkStart w:id="65" w:name="_Toc14629"/>
      <w:r>
        <w:rPr>
          <w:rFonts w:hint="eastAsia" w:ascii="仿宋_GB2312" w:eastAsia="仿宋_GB2312"/>
          <w:color w:val="auto"/>
          <w:sz w:val="32"/>
          <w:szCs w:val="32"/>
        </w:rPr>
        <w:t>3.经营收入：指事业单位在专业业务活动及其辅助活动之外开展非独立核算经营活动取得的收入。</w:t>
      </w:r>
      <w:bookmarkEnd w:id="65"/>
    </w:p>
    <w:p w14:paraId="76A7145F">
      <w:pPr>
        <w:spacing w:line="600" w:lineRule="exact"/>
        <w:ind w:firstLine="640" w:firstLineChars="200"/>
        <w:jc w:val="left"/>
        <w:outlineLvl w:val="0"/>
        <w:rPr>
          <w:rFonts w:hint="eastAsia" w:ascii="仿宋_GB2312" w:eastAsia="仿宋_GB2312"/>
          <w:color w:val="auto"/>
          <w:sz w:val="32"/>
          <w:szCs w:val="32"/>
        </w:rPr>
      </w:pPr>
      <w:bookmarkStart w:id="66" w:name="_Toc5309"/>
      <w:r>
        <w:rPr>
          <w:rFonts w:hint="eastAsia" w:ascii="仿宋_GB2312" w:eastAsia="仿宋_GB2312"/>
          <w:color w:val="auto"/>
          <w:sz w:val="32"/>
          <w:szCs w:val="32"/>
        </w:rPr>
        <w:t>4.其他收入：指单位取得的除上述收入以外的各项收入。</w:t>
      </w:r>
      <w:bookmarkEnd w:id="66"/>
    </w:p>
    <w:p w14:paraId="65814A9B">
      <w:pPr>
        <w:spacing w:line="600" w:lineRule="exact"/>
        <w:ind w:firstLine="640" w:firstLineChars="200"/>
        <w:jc w:val="left"/>
        <w:outlineLvl w:val="0"/>
        <w:rPr>
          <w:rFonts w:hint="eastAsia" w:ascii="仿宋_GB2312" w:eastAsia="仿宋_GB2312"/>
          <w:color w:val="auto"/>
          <w:sz w:val="32"/>
          <w:szCs w:val="32"/>
        </w:rPr>
      </w:pPr>
      <w:bookmarkStart w:id="67" w:name="_Toc4427"/>
      <w:r>
        <w:rPr>
          <w:rFonts w:hint="eastAsia" w:ascii="仿宋_GB2312" w:eastAsia="仿宋_GB2312"/>
          <w:color w:val="auto"/>
          <w:sz w:val="32"/>
          <w:szCs w:val="32"/>
        </w:rPr>
        <w:t>5.使用非财政拨款结余：指事业单位使用以前年度积累的非财政拨款结余弥补当年收支差额的金额。</w:t>
      </w:r>
      <w:bookmarkEnd w:id="67"/>
      <w:r>
        <w:rPr>
          <w:rFonts w:hint="eastAsia" w:ascii="仿宋_GB2312" w:eastAsia="仿宋_GB2312"/>
          <w:color w:val="auto"/>
          <w:sz w:val="32"/>
          <w:szCs w:val="32"/>
        </w:rPr>
        <w:t xml:space="preserve"> </w:t>
      </w:r>
    </w:p>
    <w:p w14:paraId="48754B42">
      <w:pPr>
        <w:spacing w:line="600" w:lineRule="exact"/>
        <w:ind w:firstLine="640" w:firstLineChars="200"/>
        <w:jc w:val="left"/>
        <w:outlineLvl w:val="0"/>
        <w:rPr>
          <w:rFonts w:hint="eastAsia" w:ascii="仿宋_GB2312" w:eastAsia="仿宋_GB2312"/>
          <w:color w:val="auto"/>
          <w:sz w:val="32"/>
          <w:szCs w:val="32"/>
        </w:rPr>
      </w:pPr>
      <w:bookmarkStart w:id="68" w:name="_Toc5077"/>
      <w:r>
        <w:rPr>
          <w:rFonts w:hint="eastAsia" w:ascii="仿宋_GB2312" w:eastAsia="仿宋_GB2312"/>
          <w:color w:val="auto"/>
          <w:sz w:val="32"/>
          <w:szCs w:val="32"/>
        </w:rPr>
        <w:t>6.年初结转和结余：指以前年度尚未完成、结转到本年按有关规定继续使用的资金。</w:t>
      </w:r>
      <w:bookmarkEnd w:id="68"/>
      <w:r>
        <w:rPr>
          <w:rFonts w:hint="eastAsia" w:ascii="仿宋_GB2312" w:eastAsia="仿宋_GB2312"/>
          <w:color w:val="auto"/>
          <w:sz w:val="32"/>
          <w:szCs w:val="32"/>
        </w:rPr>
        <w:t xml:space="preserve"> </w:t>
      </w:r>
    </w:p>
    <w:p w14:paraId="27D4D811">
      <w:pPr>
        <w:spacing w:line="600" w:lineRule="exact"/>
        <w:ind w:firstLine="640" w:firstLineChars="200"/>
        <w:jc w:val="left"/>
        <w:outlineLvl w:val="0"/>
        <w:rPr>
          <w:rFonts w:hint="eastAsia" w:ascii="仿宋_GB2312" w:eastAsia="仿宋_GB2312"/>
          <w:color w:val="auto"/>
          <w:sz w:val="32"/>
          <w:szCs w:val="32"/>
        </w:rPr>
      </w:pPr>
      <w:bookmarkStart w:id="69" w:name="_Toc28935"/>
      <w:r>
        <w:rPr>
          <w:rFonts w:hint="eastAsia" w:ascii="仿宋_GB2312" w:eastAsia="仿宋_GB2312"/>
          <w:color w:val="auto"/>
          <w:sz w:val="32"/>
          <w:szCs w:val="32"/>
        </w:rPr>
        <w:t>7.结余分配：指事业单位按照会计制度规定缴纳的所得税、提取的专用结余以及转入非财政拨款结余的金额等。</w:t>
      </w:r>
      <w:bookmarkEnd w:id="69"/>
    </w:p>
    <w:p w14:paraId="2D6A7BDA">
      <w:pPr>
        <w:spacing w:line="600" w:lineRule="exact"/>
        <w:ind w:firstLine="640" w:firstLineChars="200"/>
        <w:jc w:val="left"/>
        <w:outlineLvl w:val="0"/>
        <w:rPr>
          <w:rFonts w:hint="eastAsia" w:ascii="仿宋_GB2312" w:eastAsia="仿宋_GB2312"/>
          <w:color w:val="auto"/>
          <w:sz w:val="32"/>
          <w:szCs w:val="32"/>
        </w:rPr>
      </w:pPr>
      <w:bookmarkStart w:id="70" w:name="_Toc684"/>
      <w:r>
        <w:rPr>
          <w:rFonts w:hint="eastAsia" w:ascii="仿宋_GB2312" w:eastAsia="仿宋_GB2312"/>
          <w:color w:val="auto"/>
          <w:sz w:val="32"/>
          <w:szCs w:val="32"/>
        </w:rPr>
        <w:t>8、年末结转和结余：指单位按有关规定结转到下年或以后年度继续使用的资金。</w:t>
      </w:r>
      <w:bookmarkEnd w:id="70"/>
    </w:p>
    <w:p w14:paraId="214BBB22">
      <w:pPr>
        <w:spacing w:line="600" w:lineRule="exact"/>
        <w:ind w:firstLine="640" w:firstLineChars="200"/>
        <w:jc w:val="left"/>
        <w:outlineLvl w:val="0"/>
        <w:rPr>
          <w:rFonts w:hint="eastAsia" w:ascii="仿宋_GB2312" w:eastAsia="仿宋_GB2312"/>
          <w:color w:val="auto"/>
          <w:sz w:val="32"/>
          <w:szCs w:val="32"/>
        </w:rPr>
      </w:pPr>
      <w:bookmarkStart w:id="71" w:name="_Toc2818"/>
      <w:r>
        <w:rPr>
          <w:rFonts w:hint="eastAsia" w:ascii="仿宋_GB2312" w:eastAsia="仿宋_GB2312"/>
          <w:color w:val="auto"/>
          <w:sz w:val="32"/>
          <w:szCs w:val="32"/>
        </w:rPr>
        <w:t>9.社会保障和就业（208类）行政事业单位养老支出（05款）机关事业单位基本养老保险缴费支出（05项）:指反映机关事业单位实施养老保险制度有单位缴纳的基本养老保险费支出。</w:t>
      </w:r>
      <w:bookmarkEnd w:id="71"/>
    </w:p>
    <w:p w14:paraId="5552BA21">
      <w:pPr>
        <w:spacing w:line="600" w:lineRule="exact"/>
        <w:ind w:firstLine="640" w:firstLineChars="200"/>
        <w:jc w:val="left"/>
        <w:outlineLvl w:val="0"/>
        <w:rPr>
          <w:rFonts w:hint="eastAsia" w:ascii="仿宋_GB2312" w:eastAsia="仿宋_GB2312"/>
          <w:color w:val="auto"/>
          <w:sz w:val="32"/>
          <w:szCs w:val="32"/>
        </w:rPr>
      </w:pPr>
      <w:bookmarkStart w:id="72" w:name="_Toc20325"/>
      <w:r>
        <w:rPr>
          <w:rFonts w:hint="eastAsia" w:ascii="仿宋_GB2312" w:eastAsia="仿宋_GB2312"/>
          <w:color w:val="auto"/>
          <w:sz w:val="32"/>
          <w:szCs w:val="32"/>
        </w:rPr>
        <w:t>10.社会保障和就业（208类）行政事业单位养老支出（05款）机关事业单位职业年金缴费支出（06项）:  指反映机关事业单位实施养老保险制度由单位实际缴纳的职业年金支出。</w:t>
      </w:r>
      <w:bookmarkEnd w:id="72"/>
    </w:p>
    <w:p w14:paraId="1F6C6324">
      <w:pPr>
        <w:spacing w:line="600" w:lineRule="exact"/>
        <w:ind w:firstLine="640" w:firstLineChars="200"/>
        <w:jc w:val="left"/>
        <w:outlineLvl w:val="0"/>
        <w:rPr>
          <w:rFonts w:hint="eastAsia" w:ascii="仿宋_GB2312" w:eastAsia="仿宋_GB2312"/>
          <w:color w:val="auto"/>
          <w:sz w:val="32"/>
          <w:szCs w:val="32"/>
        </w:rPr>
      </w:pPr>
      <w:bookmarkStart w:id="73" w:name="_Toc27259"/>
      <w:r>
        <w:rPr>
          <w:rFonts w:hint="eastAsia" w:ascii="仿宋_GB2312" w:eastAsia="仿宋_GB2312"/>
          <w:color w:val="auto"/>
          <w:sz w:val="32"/>
          <w:szCs w:val="32"/>
        </w:rPr>
        <w:t>11.卫生健康（210类）行政事业单位医疗（11款）事业单位医疗（02项）:指反映财政部门安排的事业单位基本医疗保险缴费经费，未参加医疗保险的事业单位的公费医疗经费，按国家规定享受离休人员待遇的医疗经费。</w:t>
      </w:r>
      <w:bookmarkEnd w:id="73"/>
    </w:p>
    <w:p w14:paraId="6EB2D12F">
      <w:pPr>
        <w:spacing w:line="600" w:lineRule="exact"/>
        <w:ind w:firstLine="640" w:firstLineChars="200"/>
        <w:jc w:val="left"/>
        <w:outlineLvl w:val="0"/>
        <w:rPr>
          <w:rFonts w:hint="eastAsia" w:ascii="仿宋_GB2312" w:eastAsia="仿宋_GB2312"/>
          <w:color w:val="auto"/>
          <w:sz w:val="32"/>
          <w:szCs w:val="32"/>
        </w:rPr>
      </w:pPr>
      <w:bookmarkStart w:id="74" w:name="_Toc7977"/>
      <w:r>
        <w:rPr>
          <w:rFonts w:hint="eastAsia" w:ascii="仿宋_GB2312" w:eastAsia="仿宋_GB2312"/>
          <w:color w:val="auto"/>
          <w:sz w:val="32"/>
          <w:szCs w:val="32"/>
        </w:rPr>
        <w:t>12.卫生健康（210类）行政事业单位医疗（11款）其他行政事业单位医疗支出（99项）:指反映除行政单位医疗、事业单位医疗、公务员医疗补助项目以外的其他用于行政事业单位医疗方面的支出。</w:t>
      </w:r>
      <w:bookmarkEnd w:id="74"/>
    </w:p>
    <w:p w14:paraId="270BBD4D">
      <w:pPr>
        <w:spacing w:line="600" w:lineRule="exact"/>
        <w:ind w:firstLine="640" w:firstLineChars="200"/>
        <w:jc w:val="left"/>
        <w:outlineLvl w:val="0"/>
        <w:rPr>
          <w:rFonts w:hint="eastAsia" w:ascii="仿宋_GB2312" w:eastAsia="仿宋_GB2312"/>
          <w:color w:val="auto"/>
          <w:sz w:val="32"/>
          <w:szCs w:val="32"/>
        </w:rPr>
      </w:pPr>
      <w:bookmarkStart w:id="75" w:name="_Toc29501"/>
      <w:r>
        <w:rPr>
          <w:rFonts w:hint="eastAsia" w:ascii="仿宋_GB2312" w:eastAsia="仿宋_GB2312"/>
          <w:color w:val="auto"/>
          <w:sz w:val="32"/>
          <w:szCs w:val="32"/>
        </w:rPr>
        <w:t>13.农林水（213类）林业和草原（02款）事业机构（04项）:指放映事业单位林业和草原方面的基本支出，不包括行政单位（含实行公务员管理的事业单位）后勤服务中心等附属事业单位的支出。</w:t>
      </w:r>
      <w:bookmarkEnd w:id="75"/>
    </w:p>
    <w:p w14:paraId="2C209AF3">
      <w:pPr>
        <w:spacing w:line="600" w:lineRule="exact"/>
        <w:ind w:firstLine="640" w:firstLineChars="200"/>
        <w:jc w:val="left"/>
        <w:outlineLvl w:val="0"/>
        <w:rPr>
          <w:rFonts w:hint="eastAsia" w:ascii="仿宋_GB2312" w:eastAsia="仿宋_GB2312"/>
          <w:color w:val="auto"/>
          <w:sz w:val="32"/>
          <w:szCs w:val="32"/>
        </w:rPr>
      </w:pPr>
      <w:bookmarkStart w:id="76" w:name="_Toc21716"/>
      <w:r>
        <w:rPr>
          <w:rFonts w:hint="eastAsia" w:ascii="仿宋_GB2312" w:eastAsia="仿宋_GB2312"/>
          <w:color w:val="auto"/>
          <w:sz w:val="32"/>
          <w:szCs w:val="32"/>
        </w:rPr>
        <w:t>14.住房保障（221类）住房改革支出（02款）住房公积金（01项）:指反映行政事业单位按人力资源和社会保障部、财政部规定的基本工资和津贴补贴以及规定比例为职工缴纳的住房公积金。</w:t>
      </w:r>
      <w:bookmarkEnd w:id="76"/>
    </w:p>
    <w:p w14:paraId="52BD0F6A">
      <w:pPr>
        <w:spacing w:line="600" w:lineRule="exact"/>
        <w:ind w:firstLine="640" w:firstLineChars="200"/>
        <w:jc w:val="left"/>
        <w:outlineLvl w:val="0"/>
        <w:rPr>
          <w:rFonts w:hint="eastAsia" w:ascii="仿宋_GB2312" w:eastAsia="仿宋_GB2312"/>
          <w:color w:val="auto"/>
          <w:sz w:val="32"/>
          <w:szCs w:val="32"/>
        </w:rPr>
      </w:pPr>
      <w:bookmarkStart w:id="77" w:name="_Toc14857"/>
      <w:r>
        <w:rPr>
          <w:rFonts w:hint="eastAsia" w:ascii="仿宋_GB2312" w:eastAsia="仿宋_GB2312"/>
          <w:color w:val="auto"/>
          <w:sz w:val="32"/>
          <w:szCs w:val="32"/>
        </w:rPr>
        <w:t>15.基本支出：指为保障机构正常运转、完成日常工作任务而发生的人员支出和公用支出。</w:t>
      </w:r>
      <w:bookmarkEnd w:id="77"/>
    </w:p>
    <w:p w14:paraId="58F99158">
      <w:pPr>
        <w:spacing w:line="600" w:lineRule="exact"/>
        <w:ind w:firstLine="640" w:firstLineChars="200"/>
        <w:jc w:val="left"/>
        <w:outlineLvl w:val="0"/>
        <w:rPr>
          <w:rFonts w:hint="eastAsia" w:ascii="仿宋_GB2312" w:eastAsia="仿宋_GB2312"/>
          <w:color w:val="auto"/>
          <w:sz w:val="32"/>
          <w:szCs w:val="32"/>
        </w:rPr>
      </w:pPr>
      <w:bookmarkStart w:id="78" w:name="_Toc16942"/>
      <w:r>
        <w:rPr>
          <w:rFonts w:hint="eastAsia" w:ascii="仿宋_GB2312" w:eastAsia="仿宋_GB2312"/>
          <w:color w:val="auto"/>
          <w:sz w:val="32"/>
          <w:szCs w:val="32"/>
        </w:rPr>
        <w:t>16.项目支出：指在基本支出之外为完成特定行政任务和事业发展目标所发生的支出。</w:t>
      </w:r>
      <w:bookmarkEnd w:id="78"/>
      <w:r>
        <w:rPr>
          <w:rFonts w:hint="eastAsia" w:ascii="仿宋_GB2312" w:eastAsia="仿宋_GB2312"/>
          <w:color w:val="auto"/>
          <w:sz w:val="32"/>
          <w:szCs w:val="32"/>
        </w:rPr>
        <w:t xml:space="preserve"> </w:t>
      </w:r>
    </w:p>
    <w:p w14:paraId="2FBDCBA2">
      <w:pPr>
        <w:spacing w:line="600" w:lineRule="exact"/>
        <w:ind w:firstLine="640" w:firstLineChars="200"/>
        <w:jc w:val="left"/>
        <w:outlineLvl w:val="0"/>
        <w:rPr>
          <w:rFonts w:hint="eastAsia" w:ascii="仿宋_GB2312" w:eastAsia="仿宋_GB2312"/>
          <w:color w:val="auto"/>
          <w:sz w:val="32"/>
          <w:szCs w:val="32"/>
        </w:rPr>
      </w:pPr>
      <w:bookmarkStart w:id="79" w:name="_Toc16742"/>
      <w:r>
        <w:rPr>
          <w:rFonts w:hint="eastAsia" w:ascii="仿宋_GB2312" w:eastAsia="仿宋_GB2312"/>
          <w:color w:val="auto"/>
          <w:sz w:val="32"/>
          <w:szCs w:val="32"/>
        </w:rPr>
        <w:t>17.经营支出：指事业单位在专业业务活动及其辅助活动之外开展非独立核算经营活动发生的支出。</w:t>
      </w:r>
      <w:bookmarkEnd w:id="79"/>
    </w:p>
    <w:p w14:paraId="6DCB75D0">
      <w:pPr>
        <w:spacing w:line="600" w:lineRule="exact"/>
        <w:ind w:firstLine="640" w:firstLineChars="200"/>
        <w:jc w:val="left"/>
        <w:outlineLvl w:val="0"/>
        <w:rPr>
          <w:rFonts w:hint="eastAsia" w:ascii="仿宋_GB2312" w:eastAsia="仿宋_GB2312"/>
          <w:color w:val="auto"/>
          <w:sz w:val="32"/>
          <w:szCs w:val="32"/>
        </w:rPr>
      </w:pPr>
      <w:bookmarkStart w:id="80" w:name="_Toc32759"/>
      <w:r>
        <w:rPr>
          <w:rFonts w:hint="eastAsia" w:ascii="仿宋_GB2312" w:eastAsia="仿宋_GB2312"/>
          <w:color w:val="auto"/>
          <w:sz w:val="32"/>
          <w:szCs w:val="32"/>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bookmarkEnd w:id="80"/>
    </w:p>
    <w:p w14:paraId="760F3317">
      <w:pPr>
        <w:spacing w:before="0" w:after="0" w:line="560" w:lineRule="exact"/>
        <w:ind w:left="0" w:right="0" w:firstLine="640"/>
        <w:jc w:val="left"/>
        <w:rPr>
          <w:rFonts w:hint="eastAsia" w:ascii="仿宋" w:eastAsia="仿宋" w:cs="仿宋_GB2312"/>
          <w:color w:val="auto"/>
          <w:spacing w:val="0"/>
          <w:position w:val="0"/>
          <w:sz w:val="32"/>
          <w:shd w:val="clear" w:color="auto" w:fill="auto"/>
        </w:rPr>
      </w:pPr>
      <w:r>
        <w:rPr>
          <w:rFonts w:hint="eastAsia" w:ascii="仿宋_GB2312" w:eastAsia="仿宋_GB2312"/>
          <w:color w:val="auto"/>
          <w:sz w:val="32"/>
          <w:szCs w:val="32"/>
        </w:rPr>
        <w:t>19.</w:t>
      </w:r>
      <w:r>
        <w:rPr>
          <w:rFonts w:hint="eastAsia" w:ascii="仿宋" w:eastAsia="仿宋" w:cs="宋体"/>
          <w:color w:val="auto"/>
          <w:spacing w:val="0"/>
          <w:position w:val="0"/>
          <w:sz w:val="32"/>
          <w:shd w:val="clear" w:color="auto" w:fill="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597114">
      <w:pPr>
        <w:spacing w:line="600" w:lineRule="exact"/>
        <w:jc w:val="center"/>
        <w:rPr>
          <w:rStyle w:val="37"/>
          <w:rFonts w:eastAsia="黑体"/>
          <w:b w:val="0"/>
        </w:rPr>
      </w:pPr>
      <w:r>
        <w:rPr>
          <w:rFonts w:hint="eastAsia" w:eastAsia="仿宋_GB2312" w:cs="仿宋_GB2312"/>
          <w:sz w:val="32"/>
          <w:szCs w:val="32"/>
        </w:rPr>
        <w:br w:type="page"/>
      </w:r>
      <w:bookmarkStart w:id="81" w:name="_Toc15396614"/>
      <w:r>
        <w:rPr>
          <w:rFonts w:hint="eastAsia" w:eastAsia="黑体"/>
          <w:sz w:val="44"/>
          <w:szCs w:val="44"/>
        </w:rPr>
        <w:t>第四部分  附件</w:t>
      </w:r>
      <w:bookmarkEnd w:id="81"/>
    </w:p>
    <w:p w14:paraId="39363828">
      <w:pPr>
        <w:spacing w:line="572" w:lineRule="exact"/>
        <w:jc w:val="left"/>
        <w:outlineLvl w:val="0"/>
        <w:rPr>
          <w:rFonts w:eastAsia="黑体" w:cs="黑体"/>
          <w:color w:val="FF0000"/>
          <w:sz w:val="32"/>
          <w:szCs w:val="32"/>
        </w:rPr>
      </w:pPr>
    </w:p>
    <w:p w14:paraId="51B488F3">
      <w:pPr>
        <w:pStyle w:val="8"/>
        <w:spacing w:before="93"/>
        <w:ind w:firstLine="640" w:firstLineChars="200"/>
        <w:rPr>
          <w:rFonts w:hAnsi="Calibri" w:cs="仿宋"/>
          <w:sz w:val="32"/>
          <w:szCs w:val="32"/>
        </w:rPr>
      </w:pPr>
      <w:r>
        <w:rPr>
          <w:rFonts w:hint="eastAsia"/>
          <w:sz w:val="32"/>
          <w:szCs w:val="32"/>
        </w:rPr>
        <w:t>由于本单位无项目，所以按要求对</w:t>
      </w:r>
      <w:r>
        <w:rPr>
          <w:rFonts w:hint="eastAsia"/>
          <w:sz w:val="32"/>
          <w:szCs w:val="32"/>
          <w:lang w:eastAsia="zh-CN"/>
        </w:rPr>
        <w:t>2025</w:t>
      </w:r>
      <w:r>
        <w:rPr>
          <w:rFonts w:hint="eastAsia"/>
          <w:sz w:val="32"/>
          <w:szCs w:val="32"/>
        </w:rPr>
        <w:t>年部门整体支出绩效评价情况和阿坝州林草局（本级）合并开展自评，形成《</w:t>
      </w:r>
      <w:r>
        <w:rPr>
          <w:rFonts w:hint="eastAsia"/>
          <w:sz w:val="32"/>
          <w:szCs w:val="32"/>
          <w:lang w:eastAsia="zh-CN"/>
        </w:rPr>
        <w:t>2025</w:t>
      </w:r>
      <w:r>
        <w:rPr>
          <w:rFonts w:hint="eastAsia"/>
          <w:sz w:val="32"/>
          <w:szCs w:val="32"/>
        </w:rPr>
        <w:t>年阿坝州林业和草原局整体绩效评价报告》。</w:t>
      </w:r>
    </w:p>
    <w:p w14:paraId="1C3341F8">
      <w:pPr>
        <w:spacing w:line="578" w:lineRule="exact"/>
        <w:ind w:firstLine="640"/>
        <w:rPr>
          <w:rFonts w:eastAsia="仿宋_GB2312" w:cs="仿宋_GB2312"/>
          <w:kern w:val="0"/>
          <w:sz w:val="32"/>
          <w:szCs w:val="32"/>
        </w:rPr>
      </w:pPr>
    </w:p>
    <w:p w14:paraId="06773803">
      <w:pPr>
        <w:spacing w:line="578" w:lineRule="exact"/>
        <w:ind w:firstLine="640"/>
        <w:rPr>
          <w:rFonts w:eastAsia="仿宋_GB2312" w:cs="仿宋_GB2312"/>
          <w:kern w:val="0"/>
          <w:sz w:val="32"/>
          <w:szCs w:val="32"/>
        </w:rPr>
      </w:pPr>
    </w:p>
    <w:p w14:paraId="266FD083">
      <w:pPr>
        <w:spacing w:line="578" w:lineRule="exact"/>
        <w:ind w:firstLine="640"/>
        <w:rPr>
          <w:rFonts w:eastAsia="仿宋_GB2312" w:cs="仿宋_GB2312"/>
          <w:kern w:val="0"/>
          <w:sz w:val="32"/>
          <w:szCs w:val="32"/>
        </w:rPr>
      </w:pPr>
      <w:bookmarkStart w:id="82" w:name="_Toc15396618"/>
      <w:r>
        <w:rPr>
          <w:rFonts w:hint="eastAsia" w:eastAsia="仿宋_GB2312" w:cs="仿宋_GB2312"/>
          <w:kern w:val="0"/>
          <w:sz w:val="32"/>
          <w:szCs w:val="32"/>
        </w:rPr>
        <w:br w:type="page"/>
      </w:r>
    </w:p>
    <w:p w14:paraId="5CA5B47E">
      <w:pPr>
        <w:widowControl/>
        <w:jc w:val="center"/>
        <w:rPr>
          <w:rFonts w:eastAsia="仿宋"/>
        </w:rPr>
      </w:pPr>
      <w:r>
        <w:rPr>
          <w:rFonts w:hint="eastAsia" w:eastAsia="黑体"/>
          <w:sz w:val="44"/>
          <w:szCs w:val="44"/>
        </w:rPr>
        <w:t>第</w:t>
      </w:r>
      <w:r>
        <w:rPr>
          <w:rStyle w:val="37"/>
          <w:rFonts w:hint="eastAsia" w:eastAsia="黑体"/>
          <w:b w:val="0"/>
        </w:rPr>
        <w:t>五部分 附表</w:t>
      </w:r>
      <w:bookmarkEnd w:id="63"/>
      <w:bookmarkEnd w:id="82"/>
      <w:bookmarkStart w:id="83" w:name="_Toc15396619"/>
    </w:p>
    <w:p w14:paraId="5D63B549">
      <w:pPr>
        <w:pStyle w:val="14"/>
        <w:adjustRightInd w:val="0"/>
        <w:snapToGrid w:val="0"/>
        <w:spacing w:line="560" w:lineRule="exact"/>
        <w:jc w:val="left"/>
        <w:rPr>
          <w:rFonts w:eastAsia="仿宋_GB2312" w:cs="仿宋_GB2312"/>
          <w:sz w:val="32"/>
          <w:szCs w:val="32"/>
        </w:rPr>
      </w:pPr>
    </w:p>
    <w:bookmarkEnd w:id="83"/>
    <w:p w14:paraId="6B5FD6BD">
      <w:pPr>
        <w:pStyle w:val="6"/>
        <w:rPr>
          <w:rFonts w:ascii="仿宋" w:hAnsi="仿宋" w:eastAsia="仿宋"/>
        </w:rPr>
      </w:pPr>
      <w:bookmarkStart w:id="84" w:name="_Toc24332"/>
      <w:r>
        <w:rPr>
          <w:rFonts w:hint="eastAsia" w:ascii="仿宋" w:hAnsi="仿宋" w:eastAsia="仿宋"/>
          <w:b w:val="0"/>
        </w:rPr>
        <w:t>一、收</w:t>
      </w:r>
      <w:r>
        <w:rPr>
          <w:rStyle w:val="38"/>
          <w:rFonts w:hint="eastAsia" w:ascii="仿宋" w:hAnsi="仿宋" w:eastAsia="仿宋"/>
          <w:b w:val="0"/>
          <w:bCs w:val="0"/>
        </w:rPr>
        <w:t>入支出决算总表</w:t>
      </w:r>
      <w:bookmarkEnd w:id="84"/>
    </w:p>
    <w:p w14:paraId="7D4D4619">
      <w:pPr>
        <w:pStyle w:val="6"/>
        <w:rPr>
          <w:rFonts w:ascii="仿宋" w:hAnsi="仿宋" w:eastAsia="仿宋"/>
        </w:rPr>
      </w:pPr>
      <w:bookmarkStart w:id="85" w:name="_Toc15396620"/>
      <w:bookmarkStart w:id="86" w:name="_Toc31538"/>
      <w:r>
        <w:rPr>
          <w:rFonts w:hint="eastAsia" w:ascii="仿宋" w:hAnsi="仿宋" w:eastAsia="仿宋"/>
          <w:b w:val="0"/>
        </w:rPr>
        <w:t>二、收</w:t>
      </w:r>
      <w:r>
        <w:rPr>
          <w:rStyle w:val="38"/>
          <w:rFonts w:hint="eastAsia" w:ascii="仿宋" w:hAnsi="仿宋" w:eastAsia="仿宋"/>
          <w:b w:val="0"/>
          <w:bCs w:val="0"/>
        </w:rPr>
        <w:t>入决算表</w:t>
      </w:r>
      <w:bookmarkEnd w:id="85"/>
      <w:bookmarkEnd w:id="86"/>
    </w:p>
    <w:p w14:paraId="4874A16C">
      <w:pPr>
        <w:pStyle w:val="6"/>
        <w:rPr>
          <w:rFonts w:ascii="仿宋" w:hAnsi="仿宋" w:eastAsia="仿宋"/>
        </w:rPr>
      </w:pPr>
      <w:bookmarkStart w:id="87" w:name="_Toc6672"/>
      <w:bookmarkStart w:id="88" w:name="_Toc15396621"/>
      <w:r>
        <w:rPr>
          <w:rStyle w:val="38"/>
          <w:rFonts w:hint="eastAsia" w:ascii="仿宋" w:hAnsi="仿宋" w:eastAsia="仿宋"/>
          <w:b w:val="0"/>
          <w:bCs w:val="0"/>
        </w:rPr>
        <w:t>三、</w:t>
      </w:r>
      <w:r>
        <w:rPr>
          <w:rFonts w:hint="eastAsia" w:ascii="仿宋" w:hAnsi="仿宋" w:eastAsia="仿宋"/>
          <w:b w:val="0"/>
        </w:rPr>
        <w:t>支</w:t>
      </w:r>
      <w:r>
        <w:rPr>
          <w:rStyle w:val="38"/>
          <w:rFonts w:hint="eastAsia" w:ascii="仿宋" w:hAnsi="仿宋" w:eastAsia="仿宋"/>
          <w:b w:val="0"/>
          <w:bCs w:val="0"/>
        </w:rPr>
        <w:t>出决算表</w:t>
      </w:r>
      <w:bookmarkEnd w:id="87"/>
      <w:bookmarkEnd w:id="88"/>
    </w:p>
    <w:p w14:paraId="31DE6B57">
      <w:pPr>
        <w:pStyle w:val="6"/>
        <w:rPr>
          <w:rFonts w:ascii="仿宋" w:hAnsi="仿宋" w:eastAsia="仿宋"/>
          <w:b w:val="0"/>
        </w:rPr>
      </w:pPr>
      <w:bookmarkStart w:id="89" w:name="_Toc30515"/>
      <w:bookmarkStart w:id="90" w:name="_Toc15396622"/>
      <w:r>
        <w:rPr>
          <w:rStyle w:val="38"/>
          <w:rFonts w:hint="eastAsia" w:ascii="仿宋" w:hAnsi="仿宋" w:eastAsia="仿宋"/>
          <w:b w:val="0"/>
          <w:bCs w:val="0"/>
        </w:rPr>
        <w:t>四、</w:t>
      </w:r>
      <w:r>
        <w:rPr>
          <w:rFonts w:hint="eastAsia" w:ascii="仿宋" w:hAnsi="仿宋" w:eastAsia="仿宋"/>
          <w:b w:val="0"/>
        </w:rPr>
        <w:t>财</w:t>
      </w:r>
      <w:r>
        <w:rPr>
          <w:rStyle w:val="38"/>
          <w:rFonts w:hint="eastAsia" w:ascii="仿宋" w:hAnsi="仿宋" w:eastAsia="仿宋"/>
          <w:b w:val="0"/>
          <w:bCs w:val="0"/>
        </w:rPr>
        <w:t>政拨款收入支出决算总表</w:t>
      </w:r>
      <w:bookmarkEnd w:id="89"/>
      <w:bookmarkEnd w:id="90"/>
    </w:p>
    <w:p w14:paraId="5F6C23F6">
      <w:pPr>
        <w:pStyle w:val="6"/>
        <w:rPr>
          <w:rStyle w:val="38"/>
          <w:rFonts w:ascii="仿宋" w:hAnsi="仿宋" w:eastAsia="仿宋"/>
          <w:b w:val="0"/>
          <w:bCs w:val="0"/>
        </w:rPr>
      </w:pPr>
      <w:bookmarkStart w:id="91" w:name="_Toc14213"/>
      <w:bookmarkStart w:id="92" w:name="_Toc15396623"/>
      <w:r>
        <w:rPr>
          <w:rStyle w:val="38"/>
          <w:rFonts w:hint="eastAsia" w:ascii="仿宋" w:hAnsi="仿宋" w:eastAsia="仿宋"/>
          <w:b w:val="0"/>
          <w:bCs w:val="0"/>
        </w:rPr>
        <w:t>五、</w:t>
      </w:r>
      <w:r>
        <w:rPr>
          <w:rFonts w:hint="eastAsia" w:ascii="仿宋" w:hAnsi="仿宋" w:eastAsia="仿宋"/>
          <w:b w:val="0"/>
        </w:rPr>
        <w:t>财</w:t>
      </w:r>
      <w:r>
        <w:rPr>
          <w:rStyle w:val="38"/>
          <w:rFonts w:hint="eastAsia" w:ascii="仿宋" w:hAnsi="仿宋" w:eastAsia="仿宋"/>
          <w:b w:val="0"/>
          <w:bCs w:val="0"/>
        </w:rPr>
        <w:t>政拨款支出决算明细表</w:t>
      </w:r>
      <w:bookmarkEnd w:id="91"/>
      <w:bookmarkEnd w:id="92"/>
      <w:bookmarkStart w:id="93" w:name="_Toc15396624"/>
    </w:p>
    <w:p w14:paraId="668AF183">
      <w:pPr>
        <w:pStyle w:val="6"/>
        <w:rPr>
          <w:rFonts w:ascii="仿宋" w:hAnsi="仿宋" w:eastAsia="仿宋"/>
        </w:rPr>
      </w:pPr>
      <w:bookmarkStart w:id="94" w:name="_Toc8334"/>
      <w:r>
        <w:rPr>
          <w:rStyle w:val="38"/>
          <w:rFonts w:hint="eastAsia" w:ascii="仿宋" w:hAnsi="仿宋" w:eastAsia="仿宋"/>
          <w:b w:val="0"/>
          <w:bCs w:val="0"/>
        </w:rPr>
        <w:t>六、</w:t>
      </w:r>
      <w:r>
        <w:rPr>
          <w:rFonts w:hint="eastAsia" w:ascii="仿宋" w:hAnsi="仿宋" w:eastAsia="仿宋"/>
          <w:b w:val="0"/>
        </w:rPr>
        <w:t>一</w:t>
      </w:r>
      <w:r>
        <w:rPr>
          <w:rStyle w:val="38"/>
          <w:rFonts w:hint="eastAsia" w:ascii="仿宋" w:hAnsi="仿宋" w:eastAsia="仿宋"/>
          <w:b w:val="0"/>
          <w:bCs w:val="0"/>
        </w:rPr>
        <w:t>般公共预算财政拨款支出决算表</w:t>
      </w:r>
      <w:bookmarkEnd w:id="93"/>
      <w:bookmarkEnd w:id="94"/>
    </w:p>
    <w:p w14:paraId="376FAF49">
      <w:pPr>
        <w:pStyle w:val="6"/>
        <w:rPr>
          <w:rFonts w:ascii="仿宋" w:hAnsi="仿宋" w:eastAsia="仿宋"/>
        </w:rPr>
      </w:pPr>
      <w:bookmarkStart w:id="95" w:name="_Toc15396625"/>
      <w:bookmarkStart w:id="96" w:name="_Toc5090"/>
      <w:r>
        <w:rPr>
          <w:rStyle w:val="38"/>
          <w:rFonts w:hint="eastAsia" w:ascii="仿宋" w:hAnsi="仿宋" w:eastAsia="仿宋"/>
          <w:b w:val="0"/>
          <w:bCs w:val="0"/>
        </w:rPr>
        <w:t>七、</w:t>
      </w:r>
      <w:r>
        <w:rPr>
          <w:rFonts w:hint="eastAsia" w:ascii="仿宋" w:hAnsi="仿宋" w:eastAsia="仿宋"/>
          <w:b w:val="0"/>
        </w:rPr>
        <w:t>一</w:t>
      </w:r>
      <w:r>
        <w:rPr>
          <w:rStyle w:val="38"/>
          <w:rFonts w:hint="eastAsia" w:ascii="仿宋" w:hAnsi="仿宋" w:eastAsia="仿宋"/>
          <w:b w:val="0"/>
          <w:bCs w:val="0"/>
        </w:rPr>
        <w:t>般公共预算财政拨款支出决算明细表</w:t>
      </w:r>
      <w:bookmarkEnd w:id="95"/>
      <w:bookmarkEnd w:id="96"/>
    </w:p>
    <w:p w14:paraId="62FFD8E0">
      <w:pPr>
        <w:pStyle w:val="6"/>
        <w:rPr>
          <w:rFonts w:ascii="仿宋" w:hAnsi="仿宋" w:eastAsia="仿宋"/>
        </w:rPr>
      </w:pPr>
      <w:bookmarkStart w:id="97" w:name="_Toc15396626"/>
      <w:bookmarkStart w:id="98" w:name="_Toc26954"/>
      <w:r>
        <w:rPr>
          <w:rStyle w:val="38"/>
          <w:rFonts w:hint="eastAsia" w:ascii="仿宋" w:hAnsi="仿宋" w:eastAsia="仿宋"/>
          <w:b w:val="0"/>
          <w:bCs w:val="0"/>
        </w:rPr>
        <w:t>八、</w:t>
      </w:r>
      <w:r>
        <w:rPr>
          <w:rFonts w:hint="eastAsia" w:ascii="仿宋" w:hAnsi="仿宋" w:eastAsia="仿宋"/>
          <w:b w:val="0"/>
        </w:rPr>
        <w:t>一</w:t>
      </w:r>
      <w:r>
        <w:rPr>
          <w:rStyle w:val="38"/>
          <w:rFonts w:hint="eastAsia" w:ascii="仿宋" w:hAnsi="仿宋" w:eastAsia="仿宋"/>
          <w:b w:val="0"/>
          <w:bCs w:val="0"/>
        </w:rPr>
        <w:t>般公共预算财政拨款基本支出决算表</w:t>
      </w:r>
      <w:bookmarkEnd w:id="97"/>
      <w:bookmarkEnd w:id="98"/>
    </w:p>
    <w:p w14:paraId="4F34E713">
      <w:pPr>
        <w:pStyle w:val="6"/>
        <w:rPr>
          <w:rFonts w:ascii="仿宋" w:hAnsi="仿宋" w:eastAsia="仿宋"/>
        </w:rPr>
      </w:pPr>
      <w:bookmarkStart w:id="99" w:name="_Toc27352"/>
      <w:bookmarkStart w:id="100" w:name="_Toc15396627"/>
      <w:r>
        <w:rPr>
          <w:rStyle w:val="38"/>
          <w:rFonts w:hint="eastAsia" w:ascii="仿宋" w:hAnsi="仿宋" w:eastAsia="仿宋"/>
          <w:b w:val="0"/>
          <w:bCs w:val="0"/>
        </w:rPr>
        <w:t>九、</w:t>
      </w:r>
      <w:r>
        <w:rPr>
          <w:rFonts w:hint="eastAsia" w:ascii="仿宋" w:hAnsi="仿宋" w:eastAsia="仿宋"/>
          <w:b w:val="0"/>
        </w:rPr>
        <w:t>一</w:t>
      </w:r>
      <w:r>
        <w:rPr>
          <w:rStyle w:val="38"/>
          <w:rFonts w:hint="eastAsia" w:ascii="仿宋" w:hAnsi="仿宋" w:eastAsia="仿宋"/>
          <w:b w:val="0"/>
          <w:bCs w:val="0"/>
        </w:rPr>
        <w:t>般公共预算财政拨款项目支出决算表</w:t>
      </w:r>
      <w:bookmarkEnd w:id="99"/>
      <w:bookmarkEnd w:id="100"/>
    </w:p>
    <w:p w14:paraId="0AF0FD5C">
      <w:pPr>
        <w:pStyle w:val="6"/>
        <w:rPr>
          <w:rFonts w:ascii="仿宋" w:hAnsi="仿宋" w:eastAsia="仿宋"/>
        </w:rPr>
      </w:pPr>
      <w:bookmarkStart w:id="101" w:name="_Toc15396628"/>
      <w:bookmarkStart w:id="102" w:name="_Toc28940"/>
      <w:r>
        <w:rPr>
          <w:rStyle w:val="38"/>
          <w:rFonts w:hint="eastAsia" w:ascii="仿宋" w:hAnsi="仿宋" w:eastAsia="仿宋"/>
          <w:b w:val="0"/>
          <w:bCs w:val="0"/>
        </w:rPr>
        <w:t>十、</w:t>
      </w:r>
      <w:bookmarkEnd w:id="101"/>
      <w:r>
        <w:rPr>
          <w:rFonts w:hint="eastAsia" w:ascii="仿宋" w:hAnsi="仿宋" w:eastAsia="仿宋"/>
          <w:b w:val="0"/>
        </w:rPr>
        <w:t>政</w:t>
      </w:r>
      <w:r>
        <w:rPr>
          <w:rStyle w:val="38"/>
          <w:rFonts w:hint="eastAsia" w:ascii="仿宋" w:hAnsi="仿宋" w:eastAsia="仿宋"/>
          <w:b w:val="0"/>
          <w:bCs w:val="0"/>
        </w:rPr>
        <w:t>府性基金预算财政拨款收入支出决算表</w:t>
      </w:r>
      <w:bookmarkEnd w:id="102"/>
    </w:p>
    <w:p w14:paraId="085335E3">
      <w:pPr>
        <w:pStyle w:val="6"/>
        <w:rPr>
          <w:rFonts w:ascii="仿宋" w:hAnsi="仿宋" w:eastAsia="仿宋"/>
        </w:rPr>
      </w:pPr>
      <w:bookmarkStart w:id="103" w:name="_Toc15396629"/>
      <w:bookmarkStart w:id="104" w:name="_Toc19783"/>
      <w:r>
        <w:rPr>
          <w:rStyle w:val="38"/>
          <w:rFonts w:hint="eastAsia" w:ascii="仿宋" w:hAnsi="仿宋" w:eastAsia="仿宋"/>
          <w:b w:val="0"/>
          <w:bCs w:val="0"/>
        </w:rPr>
        <w:t>十一、</w:t>
      </w:r>
      <w:bookmarkEnd w:id="103"/>
      <w:r>
        <w:rPr>
          <w:rFonts w:hint="eastAsia" w:ascii="仿宋" w:hAnsi="仿宋" w:eastAsia="仿宋"/>
          <w:b w:val="0"/>
        </w:rPr>
        <w:t>国</w:t>
      </w:r>
      <w:r>
        <w:rPr>
          <w:rStyle w:val="38"/>
          <w:rFonts w:hint="eastAsia" w:ascii="仿宋" w:hAnsi="仿宋" w:eastAsia="仿宋"/>
          <w:b w:val="0"/>
          <w:bCs w:val="0"/>
        </w:rPr>
        <w:t>有资本经营预算财政拨款收入支出决算表</w:t>
      </w:r>
      <w:bookmarkEnd w:id="104"/>
    </w:p>
    <w:p w14:paraId="3FA78D8B">
      <w:pPr>
        <w:pStyle w:val="6"/>
        <w:rPr>
          <w:rFonts w:ascii="仿宋" w:hAnsi="仿宋" w:eastAsia="仿宋"/>
        </w:rPr>
      </w:pPr>
      <w:bookmarkStart w:id="105" w:name="_Toc15396630"/>
      <w:bookmarkStart w:id="106" w:name="_Toc32189"/>
      <w:r>
        <w:rPr>
          <w:rStyle w:val="38"/>
          <w:rFonts w:hint="eastAsia" w:ascii="仿宋" w:hAnsi="仿宋" w:eastAsia="仿宋"/>
          <w:b w:val="0"/>
          <w:bCs w:val="0"/>
        </w:rPr>
        <w:t>十二、</w:t>
      </w:r>
      <w:bookmarkEnd w:id="105"/>
      <w:r>
        <w:rPr>
          <w:rStyle w:val="38"/>
          <w:rFonts w:hint="eastAsia" w:ascii="仿宋" w:hAnsi="仿宋" w:eastAsia="仿宋"/>
          <w:b w:val="0"/>
          <w:bCs w:val="0"/>
        </w:rPr>
        <w:t>国有资本经营预算财政拨款支出决算表</w:t>
      </w:r>
      <w:bookmarkEnd w:id="106"/>
    </w:p>
    <w:p w14:paraId="203C4DC3">
      <w:pPr>
        <w:pStyle w:val="6"/>
        <w:rPr>
          <w:rStyle w:val="38"/>
          <w:rFonts w:hint="eastAsia" w:ascii="仿宋" w:hAnsi="仿宋" w:eastAsia="仿宋"/>
          <w:b w:val="0"/>
          <w:bCs w:val="0"/>
        </w:rPr>
      </w:pPr>
      <w:bookmarkStart w:id="107" w:name="_Toc15396631"/>
      <w:bookmarkStart w:id="108" w:name="_Toc10202"/>
      <w:r>
        <w:rPr>
          <w:rStyle w:val="38"/>
          <w:rFonts w:hint="eastAsia" w:ascii="仿宋" w:hAnsi="仿宋" w:eastAsia="仿宋"/>
          <w:b w:val="0"/>
          <w:bCs w:val="0"/>
        </w:rPr>
        <w:t>十三、</w:t>
      </w:r>
      <w:bookmarkEnd w:id="107"/>
      <w:r>
        <w:rPr>
          <w:rStyle w:val="38"/>
          <w:rFonts w:hint="eastAsia" w:ascii="仿宋" w:hAnsi="仿宋" w:eastAsia="仿宋"/>
          <w:b w:val="0"/>
          <w:bCs w:val="0"/>
        </w:rPr>
        <w:t>财政拨款“三公”经费支出决算表</w:t>
      </w:r>
      <w:bookmarkEnd w:id="108"/>
    </w:p>
    <w:p w14:paraId="25C94432">
      <w:pPr>
        <w:rPr>
          <w:rStyle w:val="38"/>
          <w:rFonts w:hint="default" w:ascii="仿宋" w:hAnsi="仿宋" w:eastAsia="仿宋"/>
          <w:b w:val="0"/>
          <w:bCs w:val="0"/>
          <w:lang w:val="en-US" w:eastAsia="zh-CN" w:bidi="ar-SA"/>
        </w:rPr>
      </w:pPr>
      <w:bookmarkStart w:id="109" w:name="_Toc5690"/>
      <w:r>
        <w:rPr>
          <w:rStyle w:val="38"/>
          <w:rFonts w:hint="eastAsia" w:ascii="仿宋" w:hAnsi="仿宋" w:eastAsia="仿宋"/>
          <w:b w:val="0"/>
          <w:bCs w:val="0"/>
          <w:lang w:val="en-US" w:eastAsia="zh-CN" w:bidi="ar-SA"/>
        </w:rPr>
        <w:t>见附件1</w:t>
      </w:r>
    </w:p>
    <w:bookmarkEnd w:id="109"/>
    <w:p w14:paraId="199C629B">
      <w:pPr>
        <w:rPr>
          <w:rFonts w:hint="eastAsia"/>
          <w:lang w:eastAsia="zh-CN"/>
        </w:rPr>
      </w:pPr>
    </w:p>
    <w:sectPr>
      <w:footerReference r:id="rId7" w:type="first"/>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5055B">
    <w:pPr>
      <w:pStyle w:val="11"/>
      <w:jc w:val="center"/>
    </w:pPr>
  </w:p>
  <w:p w14:paraId="5612458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58CE5">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0158CE5">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6082FB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55458">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0D946DD"/>
    <w:rsid w:val="11772AA4"/>
    <w:rsid w:val="118107EC"/>
    <w:rsid w:val="13D50BC4"/>
    <w:rsid w:val="14022904"/>
    <w:rsid w:val="152F2A07"/>
    <w:rsid w:val="165E0673"/>
    <w:rsid w:val="16BB723D"/>
    <w:rsid w:val="186504BB"/>
    <w:rsid w:val="1938089F"/>
    <w:rsid w:val="19A445FC"/>
    <w:rsid w:val="1B7D550C"/>
    <w:rsid w:val="1BE8440E"/>
    <w:rsid w:val="1D155CEE"/>
    <w:rsid w:val="1D65436F"/>
    <w:rsid w:val="1E740ACF"/>
    <w:rsid w:val="1F62156A"/>
    <w:rsid w:val="1FF35744"/>
    <w:rsid w:val="1FF6BC77"/>
    <w:rsid w:val="21962A9E"/>
    <w:rsid w:val="21AE7C77"/>
    <w:rsid w:val="22BC3C41"/>
    <w:rsid w:val="23860B96"/>
    <w:rsid w:val="240371BF"/>
    <w:rsid w:val="260F557C"/>
    <w:rsid w:val="281408E2"/>
    <w:rsid w:val="28F434A6"/>
    <w:rsid w:val="29FD04D3"/>
    <w:rsid w:val="2B1D43BA"/>
    <w:rsid w:val="2B384398"/>
    <w:rsid w:val="2BB7355A"/>
    <w:rsid w:val="2BFF7BC6"/>
    <w:rsid w:val="2C8A61B5"/>
    <w:rsid w:val="2D2E01CF"/>
    <w:rsid w:val="2DF04E50"/>
    <w:rsid w:val="2E9545B0"/>
    <w:rsid w:val="2F040D46"/>
    <w:rsid w:val="2FAE5751"/>
    <w:rsid w:val="2FB1A395"/>
    <w:rsid w:val="2FD9A7D8"/>
    <w:rsid w:val="319F7F4E"/>
    <w:rsid w:val="321B2544"/>
    <w:rsid w:val="3304709D"/>
    <w:rsid w:val="34017942"/>
    <w:rsid w:val="34281836"/>
    <w:rsid w:val="349D6851"/>
    <w:rsid w:val="35BA6CAF"/>
    <w:rsid w:val="364D14C1"/>
    <w:rsid w:val="36AA5135"/>
    <w:rsid w:val="36BE0DA7"/>
    <w:rsid w:val="376B6AA6"/>
    <w:rsid w:val="376D39B2"/>
    <w:rsid w:val="37E16F03"/>
    <w:rsid w:val="37F53A3B"/>
    <w:rsid w:val="389B6C89"/>
    <w:rsid w:val="38D469F0"/>
    <w:rsid w:val="39627CCD"/>
    <w:rsid w:val="397BAF1F"/>
    <w:rsid w:val="3A8E748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1F221B"/>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CC5A2E"/>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heme="minorHAnsi" w:hAnsiTheme="minorHAnsi" w:eastAsiaTheme="minorEastAsia" w:cstheme="minorBidi"/>
      <w:sz w:val="20"/>
      <w:szCs w:val="20"/>
    </w:rPr>
  </w:style>
  <w:style w:type="paragraph" w:customStyle="1" w:styleId="36">
    <w:name w:val="WPSOffice手动目录 2"/>
    <w:qFormat/>
    <w:uiPriority w:val="0"/>
    <w:pPr>
      <w:ind w:leftChars="200"/>
    </w:pPr>
    <w:rPr>
      <w:rFonts w:asciiTheme="minorHAnsi" w:hAnsiTheme="minorHAnsi" w:eastAsiaTheme="minorEastAsia" w:cstheme="minorBidi"/>
      <w:sz w:val="20"/>
      <w:szCs w:val="20"/>
    </w:rPr>
  </w:style>
  <w:style w:type="character" w:customStyle="1" w:styleId="37">
    <w:name w:val="标题 1 字符"/>
    <w:basedOn w:val="16"/>
    <w:link w:val="5"/>
    <w:qFormat/>
    <w:uiPriority w:val="9"/>
    <w:rPr>
      <w:rFonts w:ascii="Times New Roman" w:hAnsi="Times New Roman"/>
      <w:b/>
      <w:bCs/>
      <w:kern w:val="44"/>
      <w:sz w:val="44"/>
      <w:szCs w:val="44"/>
    </w:rPr>
  </w:style>
  <w:style w:type="character" w:customStyle="1" w:styleId="38">
    <w:name w:val="标题 2 字符"/>
    <w:basedOn w:val="16"/>
    <w:link w:val="6"/>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954.07</c:v>
                </c:pt>
                <c:pt idx="1">
                  <c:v>954.07</c:v>
                </c:pt>
              </c:numCache>
            </c:numRef>
          </c:val>
        </c:ser>
        <c:ser>
          <c:idx val="1"/>
          <c:order val="1"/>
          <c:tx>
            <c:strRef>
              <c:f>Sheet1!$C$1</c:f>
              <c:strCache>
                <c:ptCount val="1"/>
                <c:pt idx="0">
                  <c:v>2025年</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1054.31</c:v>
                </c:pt>
                <c:pt idx="1">
                  <c:v>1054.31</c:v>
                </c:pt>
              </c:numCache>
            </c:numRef>
          </c:val>
        </c:ser>
        <c:dLbls>
          <c:showLegendKey val="0"/>
          <c:showVal val="1"/>
          <c:showCatName val="0"/>
          <c:showSerName val="0"/>
          <c:showPercent val="0"/>
          <c:showBubbleSize val="0"/>
        </c:dLbls>
        <c:gapWidth val="65"/>
        <c:overlap val="0"/>
        <c:axId val="884896971"/>
        <c:axId val="772269939"/>
      </c:barChart>
      <c:catAx>
        <c:axId val="88489697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772269939"/>
        <c:crosses val="autoZero"/>
        <c:auto val="1"/>
        <c:lblAlgn val="ctr"/>
        <c:lblOffset val="100"/>
        <c:noMultiLvlLbl val="0"/>
      </c:catAx>
      <c:valAx>
        <c:axId val="77226993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884896971"/>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a8f79628-a98c-46fd-8d40-be02fd20e963}"/>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收入决算结构图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100%</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c:f>
              <c:strCache>
                <c:ptCount val="1"/>
                <c:pt idx="0">
                  <c:v>一般公共预算财政拨款收入</c:v>
                </c:pt>
              </c:strCache>
            </c:strRef>
          </c:cat>
          <c:val>
            <c:numRef>
              <c:f>Sheet1!$B$2</c:f>
              <c:numCache>
                <c:formatCode>General</c:formatCode>
                <c:ptCount val="1"/>
                <c:pt idx="0">
                  <c:v>954.07</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6c347307-271e-4a9b-9420-c7c26b4e2b22}"/>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100%</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c:f>
              <c:strCache>
                <c:ptCount val="1"/>
                <c:pt idx="0">
                  <c:v>基本支出</c:v>
                </c:pt>
              </c:strCache>
            </c:strRef>
          </c:cat>
          <c:val>
            <c:numRef>
              <c:f>Sheet1!$B$2</c:f>
              <c:numCache>
                <c:formatCode>General</c:formatCode>
                <c:ptCount val="1"/>
                <c:pt idx="0">
                  <c:v>954.07</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bf168f75-3f3b-46bb-bdee-2a4b6d5fa511}"/>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954.07</c:v>
                </c:pt>
                <c:pt idx="1">
                  <c:v>954.07</c:v>
                </c:pt>
              </c:numCache>
            </c:numRef>
          </c:val>
        </c:ser>
        <c:ser>
          <c:idx val="1"/>
          <c:order val="1"/>
          <c:tx>
            <c:strRef>
              <c:f>Sheet1!$C$1</c:f>
              <c:strCache>
                <c:ptCount val="1"/>
                <c:pt idx="0">
                  <c:v>2025年</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1054.31</c:v>
                </c:pt>
                <c:pt idx="1">
                  <c:v>1054.31</c:v>
                </c:pt>
              </c:numCache>
            </c:numRef>
          </c:val>
        </c:ser>
        <c:dLbls>
          <c:showLegendKey val="0"/>
          <c:showVal val="1"/>
          <c:showCatName val="0"/>
          <c:showSerName val="0"/>
          <c:showPercent val="0"/>
          <c:showBubbleSize val="0"/>
        </c:dLbls>
        <c:gapWidth val="65"/>
        <c:overlap val="0"/>
        <c:axId val="884896971"/>
        <c:axId val="772269939"/>
      </c:barChart>
      <c:catAx>
        <c:axId val="88489697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p>
        </c:txPr>
        <c:crossAx val="772269939"/>
        <c:crosses val="autoZero"/>
        <c:auto val="1"/>
        <c:lblAlgn val="ctr"/>
        <c:lblOffset val="100"/>
        <c:noMultiLvlLbl val="0"/>
      </c:catAx>
      <c:valAx>
        <c:axId val="77226993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crossAx val="884896971"/>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709c451a-765c-4bae-90aa-67d098bb9144}"/>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baseline="0">
                <a:solidFill>
                  <a:schemeClr val="dk1">
                    <a:lumMod val="75000"/>
                    <a:lumOff val="25000"/>
                  </a:schemeClr>
                </a:solidFill>
                <a:latin typeface="+mn-lt"/>
                <a:ea typeface="+mn-ea"/>
                <a:cs typeface="+mn-cs"/>
              </a:defRPr>
            </a:pPr>
            <a:r>
              <a:rPr sz="1200"/>
              <a:t>一般公共预算财政拨款支出决算变动情况</a:t>
            </a:r>
            <a:endParaRPr sz="12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c:f>
              <c:strCache>
                <c:ptCount val="1"/>
                <c:pt idx="0">
                  <c:v>支出</c:v>
                </c:pt>
              </c:strCache>
            </c:strRef>
          </c:cat>
          <c:val>
            <c:numRef>
              <c:f>Sheet1!$B$2</c:f>
              <c:numCache>
                <c:formatCode>General</c:formatCode>
                <c:ptCount val="1"/>
                <c:pt idx="0">
                  <c:v>954.07</c:v>
                </c:pt>
              </c:numCache>
            </c:numRef>
          </c:val>
        </c:ser>
        <c:ser>
          <c:idx val="1"/>
          <c:order val="1"/>
          <c:tx>
            <c:strRef>
              <c:f>Sheet1!$C$1</c:f>
              <c:strCache>
                <c:ptCount val="1"/>
                <c:pt idx="0">
                  <c:v>2025年</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c:f>
              <c:strCache>
                <c:ptCount val="1"/>
                <c:pt idx="0">
                  <c:v>支出</c:v>
                </c:pt>
              </c:strCache>
            </c:strRef>
          </c:cat>
          <c:val>
            <c:numRef>
              <c:f>Sheet1!$C$2</c:f>
              <c:numCache>
                <c:formatCode>General</c:formatCode>
                <c:ptCount val="1"/>
                <c:pt idx="0">
                  <c:v>1054.31</c:v>
                </c:pt>
              </c:numCache>
            </c:numRef>
          </c:val>
        </c:ser>
        <c:dLbls>
          <c:showLegendKey val="0"/>
          <c:showVal val="1"/>
          <c:showCatName val="0"/>
          <c:showSerName val="0"/>
          <c:showPercent val="0"/>
          <c:showBubbleSize val="0"/>
        </c:dLbls>
        <c:gapWidth val="65"/>
        <c:overlap val="0"/>
        <c:axId val="884896971"/>
        <c:axId val="772269939"/>
      </c:barChart>
      <c:catAx>
        <c:axId val="88489697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1000" b="0" i="0" u="none" strike="noStrike" kern="1200" cap="all" baseline="0">
                <a:solidFill>
                  <a:schemeClr val="dk1">
                    <a:lumMod val="75000"/>
                    <a:lumOff val="25000"/>
                  </a:schemeClr>
                </a:solidFill>
                <a:latin typeface="+mn-lt"/>
                <a:ea typeface="+mn-ea"/>
                <a:cs typeface="+mn-cs"/>
              </a:defRPr>
            </a:pPr>
          </a:p>
        </c:txPr>
        <c:crossAx val="772269939"/>
        <c:crosses val="autoZero"/>
        <c:auto val="1"/>
        <c:lblAlgn val="ctr"/>
        <c:lblOffset val="100"/>
        <c:noMultiLvlLbl val="0"/>
      </c:catAx>
      <c:valAx>
        <c:axId val="77226993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dk1">
                    <a:lumMod val="75000"/>
                    <a:lumOff val="25000"/>
                  </a:schemeClr>
                </a:solidFill>
                <a:latin typeface="+mn-lt"/>
                <a:ea typeface="+mn-ea"/>
                <a:cs typeface="+mn-cs"/>
              </a:defRPr>
            </a:pPr>
          </a:p>
        </c:txPr>
        <c:crossAx val="884896971"/>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dk1">
                    <a:lumMod val="75000"/>
                    <a:lumOff val="25000"/>
                  </a:schemeClr>
                </a:solidFill>
                <a:latin typeface="+mn-lt"/>
                <a:ea typeface="+mn-ea"/>
                <a:cs typeface="+mn-cs"/>
              </a:defRPr>
            </a:pPr>
          </a:p>
        </c:txPr>
      </c:legendEntry>
      <c:legendEntry>
        <c:idx val="1"/>
        <c:txPr>
          <a:bodyPr rot="0" spcFirstLastPara="0" vertOverflow="ellipsis" vert="horz" wrap="square" anchor="ctr" anchorCtr="1"/>
          <a:lstStyle/>
          <a:p>
            <a:pPr>
              <a:defRPr lang="zh-CN" sz="1000" b="0" i="0" u="none" strike="noStrike" kern="1200" baseline="0">
                <a:solidFill>
                  <a:schemeClr val="dk1">
                    <a:lumMod val="75000"/>
                    <a:lumOff val="25000"/>
                  </a:schemeClr>
                </a:solidFill>
                <a:latin typeface="+mn-lt"/>
                <a:ea typeface="+mn-ea"/>
                <a:cs typeface="+mn-cs"/>
              </a:defRPr>
            </a:pPr>
          </a:p>
        </c:txPr>
      </c:legendEntry>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10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bc9d1443-3d87-42dc-8bd0-f1f1aa0cce80}"/>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sz="100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销售额</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1"/>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2"/>
            <c:bubble3D val="0"/>
            <c:spPr>
              <a:solidFill>
                <a:schemeClr val="accent3"/>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3"/>
            <c:bubble3D val="0"/>
            <c:spPr>
              <a:solidFill>
                <a:schemeClr val="accent4"/>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12</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6.2</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7</a:t>
                    </a:r>
                    <a:r>
                      <a:rPr lang="en-US" altLang="zh-CN"/>
                      <a:t>6</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5.8</a:t>
                    </a:r>
                    <a:r>
                      <a:t>%</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127.36</c:v>
                </c:pt>
                <c:pt idx="1">
                  <c:v>65.52</c:v>
                </c:pt>
                <c:pt idx="2">
                  <c:v>801.72</c:v>
                </c:pt>
                <c:pt idx="3">
                  <c:v>59.71</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52896548-eca2-4e13-8237-f60d2f35edb7}"/>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4882</Words>
  <Characters>5355</Characters>
  <Lines>61</Lines>
  <Paragraphs>17</Paragraphs>
  <TotalTime>19</TotalTime>
  <ScaleCrop>false</ScaleCrop>
  <LinksUpToDate>false</LinksUpToDate>
  <CharactersWithSpaces>5429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王欣媛</cp:lastModifiedBy>
  <cp:lastPrinted>2026-09-10T01:33:00Z</cp:lastPrinted>
  <dcterms:modified xsi:type="dcterms:W3CDTF">2026-09-11T01:28:24Z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BCDDCD951ABE4C3BA7A29FDEAB8D3819_13</vt:lpwstr>
  </property>
  <property fmtid="{D5CDD505-2E9C-101B-9397-08002B2CF9AE}" pid="4" name="KSOTemplateDocerSaveRecord">
    <vt:lpwstr>eyJoZGlkIjoiODY1YjE0ODMyZjljZGVhMGMyZTg1YTExM2RlZDQ2YTQiLCJ1c2VySWQiOiI0MTQwMzQyNDAifQ==</vt:lpwstr>
  </property>
</Properties>
</file>