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2CF4F">
      <w:pPr>
        <w:pStyle w:val="8"/>
        <w:spacing w:before="93"/>
        <w:rPr>
          <w:rFonts w:ascii="Times New Roman" w:eastAsia="方正小标宋简体"/>
          <w:kern w:val="2"/>
          <w:sz w:val="72"/>
          <w:szCs w:val="72"/>
        </w:rPr>
      </w:pPr>
      <w:bookmarkStart w:id="0" w:name="_Toc15378441"/>
      <w:bookmarkStart w:id="1" w:name="_Toc15396475"/>
      <w:bookmarkStart w:id="2" w:name="_Toc15306267"/>
      <w:bookmarkStart w:id="3" w:name="_Toc15377193"/>
      <w:bookmarkStart w:id="4" w:name="_Toc15396597"/>
      <w:bookmarkStart w:id="5" w:name="_Toc15377425"/>
    </w:p>
    <w:p w14:paraId="6C7F2313">
      <w:pPr>
        <w:pStyle w:val="8"/>
        <w:spacing w:before="93"/>
        <w:rPr>
          <w:rFonts w:ascii="Times New Roman" w:eastAsia="方正小标宋简体"/>
          <w:kern w:val="2"/>
          <w:sz w:val="72"/>
          <w:szCs w:val="72"/>
        </w:rPr>
      </w:pPr>
    </w:p>
    <w:p w14:paraId="42194924">
      <w:pPr>
        <w:pStyle w:val="8"/>
        <w:spacing w:before="93"/>
        <w:rPr>
          <w:rFonts w:ascii="Times New Roman" w:eastAsia="方正小标宋简体"/>
          <w:kern w:val="2"/>
          <w:sz w:val="72"/>
          <w:szCs w:val="72"/>
        </w:rPr>
      </w:pPr>
    </w:p>
    <w:p w14:paraId="3B04896F">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eastAsia="zh-CN"/>
        </w:rPr>
        <w:t>四川省阿坝</w:t>
      </w:r>
      <w:r>
        <w:rPr>
          <w:rFonts w:hint="eastAsia" w:ascii="Times New Roman" w:eastAsia="方正小标宋简体"/>
          <w:kern w:val="2"/>
          <w:sz w:val="44"/>
          <w:szCs w:val="44"/>
        </w:rPr>
        <w:t>州</w:t>
      </w:r>
      <w:r>
        <w:rPr>
          <w:rFonts w:hint="eastAsia" w:ascii="Times New Roman" w:eastAsia="方正小标宋简体"/>
          <w:kern w:val="2"/>
          <w:sz w:val="44"/>
          <w:szCs w:val="44"/>
          <w:lang w:eastAsia="zh-CN"/>
        </w:rPr>
        <w:t>林草种苗站</w:t>
      </w:r>
    </w:p>
    <w:p w14:paraId="15E79CFE">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决算公开</w:t>
      </w:r>
    </w:p>
    <w:p w14:paraId="3FCD0165">
      <w:pPr>
        <w:spacing w:line="600" w:lineRule="exact"/>
        <w:jc w:val="center"/>
        <w:outlineLvl w:val="0"/>
        <w:rPr>
          <w:rFonts w:eastAsia="方正小标宋简体"/>
          <w:sz w:val="72"/>
          <w:szCs w:val="72"/>
        </w:rPr>
      </w:pPr>
    </w:p>
    <w:p w14:paraId="1839AC8C">
      <w:pPr>
        <w:pStyle w:val="2"/>
        <w:rPr>
          <w:rFonts w:eastAsia="方正小标宋简体"/>
          <w:sz w:val="72"/>
          <w:szCs w:val="72"/>
        </w:rPr>
      </w:pPr>
    </w:p>
    <w:p w14:paraId="57E94BF6">
      <w:pPr>
        <w:jc w:val="center"/>
        <w:rPr>
          <w:rFonts w:hint="eastAsia" w:ascii="Times New Roman" w:hAnsi="Times New Roman" w:eastAsia="仿宋_GB2312" w:cs="仿宋_GB2312"/>
          <w:kern w:val="2"/>
          <w:sz w:val="32"/>
          <w:szCs w:val="32"/>
          <w:lang w:val="en-US" w:eastAsia="zh-CN" w:bidi="ar-SA"/>
        </w:rPr>
      </w:pPr>
    </w:p>
    <w:p w14:paraId="11FA2B71">
      <w:pPr>
        <w:jc w:val="center"/>
        <w:rPr>
          <w:rFonts w:hint="eastAsia" w:ascii="Times New Roman" w:hAnsi="Times New Roman" w:eastAsia="仿宋_GB2312" w:cs="仿宋_GB2312"/>
          <w:kern w:val="2"/>
          <w:sz w:val="32"/>
          <w:szCs w:val="32"/>
          <w:lang w:val="en-US" w:eastAsia="zh-CN" w:bidi="ar-SA"/>
        </w:rPr>
      </w:pPr>
    </w:p>
    <w:p w14:paraId="032E16B6">
      <w:pPr>
        <w:jc w:val="center"/>
        <w:rPr>
          <w:rFonts w:hint="eastAsia" w:ascii="Times New Roman" w:hAnsi="Times New Roman" w:eastAsia="仿宋_GB2312" w:cs="仿宋_GB2312"/>
          <w:kern w:val="2"/>
          <w:sz w:val="32"/>
          <w:szCs w:val="32"/>
          <w:lang w:val="en-US" w:eastAsia="zh-CN" w:bidi="ar-SA"/>
        </w:rPr>
      </w:pPr>
    </w:p>
    <w:p w14:paraId="21592001">
      <w:pPr>
        <w:jc w:val="center"/>
        <w:rPr>
          <w:rFonts w:hint="eastAsia" w:ascii="Times New Roman" w:hAnsi="Times New Roman" w:eastAsia="仿宋_GB2312" w:cs="仿宋_GB2312"/>
          <w:kern w:val="2"/>
          <w:sz w:val="32"/>
          <w:szCs w:val="32"/>
          <w:lang w:val="en-US" w:eastAsia="zh-CN" w:bidi="ar-SA"/>
        </w:rPr>
      </w:pPr>
    </w:p>
    <w:p w14:paraId="084686A5">
      <w:pPr>
        <w:jc w:val="center"/>
        <w:rPr>
          <w:rFonts w:hint="eastAsia" w:ascii="Times New Roman" w:hAnsi="Times New Roman" w:eastAsia="仿宋_GB2312" w:cs="仿宋_GB2312"/>
          <w:kern w:val="2"/>
          <w:sz w:val="32"/>
          <w:szCs w:val="32"/>
          <w:lang w:val="en-US" w:eastAsia="zh-CN" w:bidi="ar-SA"/>
        </w:rPr>
      </w:pPr>
    </w:p>
    <w:p w14:paraId="3EEA88E4">
      <w:pPr>
        <w:jc w:val="center"/>
        <w:rPr>
          <w:rFonts w:hint="eastAsia" w:ascii="Times New Roman" w:hAnsi="Times New Roman" w:eastAsia="仿宋_GB2312" w:cs="仿宋_GB2312"/>
          <w:kern w:val="2"/>
          <w:sz w:val="32"/>
          <w:szCs w:val="32"/>
          <w:lang w:val="en-US" w:eastAsia="zh-CN" w:bidi="ar-SA"/>
        </w:rPr>
      </w:pPr>
    </w:p>
    <w:p w14:paraId="3462FC0A">
      <w:pPr>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仿宋_GB2312" w:cs="仿宋_GB2312"/>
          <w:kern w:val="2"/>
          <w:sz w:val="32"/>
          <w:szCs w:val="32"/>
          <w:lang w:val="en-US" w:eastAsia="zh-CN" w:bidi="ar-SA"/>
        </w:rPr>
        <w:t>审批意见：</w:t>
      </w:r>
      <w:r>
        <w:rPr>
          <w:rFonts w:hint="eastAsia" w:eastAsia="仿宋_GB2312" w:cs="仿宋_GB2312"/>
          <w:kern w:val="2"/>
          <w:sz w:val="32"/>
          <w:szCs w:val="32"/>
          <w:lang w:val="en-US" w:eastAsia="zh-CN" w:bidi="ar-SA"/>
        </w:rPr>
        <w:t>已经保密审查、内容审定，同意对外公开。</w:t>
      </w:r>
    </w:p>
    <w:bookmarkEnd w:id="0"/>
    <w:bookmarkEnd w:id="1"/>
    <w:bookmarkEnd w:id="2"/>
    <w:bookmarkEnd w:id="3"/>
    <w:bookmarkEnd w:id="4"/>
    <w:bookmarkEnd w:id="5"/>
    <w:p w14:paraId="2495B846">
      <w:pPr>
        <w:widowControl/>
        <w:jc w:val="center"/>
        <w:rPr>
          <w:rFonts w:eastAsia="黑体"/>
          <w:sz w:val="48"/>
          <w:szCs w:val="48"/>
        </w:rPr>
      </w:pPr>
      <w:r>
        <w:rPr>
          <w:rFonts w:hint="eastAsia" w:eastAsia="黑体"/>
          <w:sz w:val="48"/>
          <w:szCs w:val="48"/>
        </w:rPr>
        <w:t>目录</w:t>
      </w:r>
    </w:p>
    <w:p w14:paraId="177DE3FC">
      <w:pPr>
        <w:widowControl/>
        <w:jc w:val="center"/>
        <w:rPr>
          <w:rFonts w:eastAsia="黑体" w:cstheme="minorBidi"/>
          <w:sz w:val="28"/>
          <w:szCs w:val="28"/>
        </w:rPr>
      </w:pPr>
    </w:p>
    <w:p w14:paraId="6D88EE3A">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日</w:t>
      </w:r>
    </w:p>
    <w:p w14:paraId="7A2FDE13"/>
    <w:p w14:paraId="3655979D">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p>
    <w:p w14:paraId="5C5207F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p>
    <w:p w14:paraId="0782995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452E844A">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p>
    <w:p w14:paraId="2824BF2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4E53507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50891FB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53F30DA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776DF3C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30C89AF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202868E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5E1F828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A2EF13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6F8853D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6E2E6AEE">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3772E2E1">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23694925">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60389AE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67047AD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1C8897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AAFF8E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79FAC9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5309125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F9ACCD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7AC5574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2C7DADB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1A8B19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09D63F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2A566A0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40B6CFA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7B104542">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409FE17F">
      <w:pPr>
        <w:widowControl/>
        <w:spacing w:line="560" w:lineRule="exact"/>
        <w:jc w:val="left"/>
        <w:rPr>
          <w:rFonts w:eastAsia="仿宋_GB2312" w:cs="仿宋_GB2312"/>
          <w:bCs/>
          <w:kern w:val="44"/>
          <w:sz w:val="32"/>
          <w:szCs w:val="32"/>
        </w:rPr>
      </w:pPr>
      <w:bookmarkStart w:id="6" w:name="_Toc15396599"/>
      <w:bookmarkStart w:id="7" w:name="_Toc15377196"/>
      <w:r>
        <w:rPr>
          <w:rFonts w:hint="eastAsia" w:eastAsia="仿宋_GB2312" w:cs="仿宋_GB2312"/>
          <w:b/>
          <w:sz w:val="32"/>
          <w:szCs w:val="32"/>
        </w:rPr>
        <w:br w:type="page"/>
      </w:r>
    </w:p>
    <w:p w14:paraId="1133E746">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lang w:eastAsia="zh-CN"/>
        </w:rPr>
        <w:t>单位</w:t>
      </w:r>
      <w:r>
        <w:rPr>
          <w:rStyle w:val="28"/>
          <w:rFonts w:hint="eastAsia" w:eastAsia="方正小标宋简体" w:cs="方正小标宋简体"/>
          <w:b w:val="0"/>
          <w:bCs w:val="0"/>
        </w:rPr>
        <w:t>概况</w:t>
      </w:r>
      <w:bookmarkEnd w:id="6"/>
      <w:bookmarkEnd w:id="7"/>
    </w:p>
    <w:p w14:paraId="52475883">
      <w:pPr>
        <w:widowControl/>
        <w:jc w:val="left"/>
        <w:rPr>
          <w:rFonts w:eastAsia="黑体"/>
          <w:sz w:val="32"/>
          <w:szCs w:val="32"/>
        </w:rPr>
      </w:pPr>
    </w:p>
    <w:p w14:paraId="06E3A8A1">
      <w:pPr>
        <w:pStyle w:val="6"/>
        <w:numPr>
          <w:ilvl w:val="0"/>
          <w:numId w:val="1"/>
        </w:numPr>
        <w:rPr>
          <w:rFonts w:hint="eastAsia" w:ascii="Times New Roman" w:hAnsi="Times New Roman" w:eastAsia="黑体"/>
          <w:b w:val="0"/>
        </w:rPr>
      </w:pPr>
      <w:r>
        <w:rPr>
          <w:rFonts w:hint="eastAsia" w:ascii="Times New Roman" w:hAnsi="Times New Roman" w:eastAsia="黑体"/>
          <w:b w:val="0"/>
          <w:lang w:eastAsia="zh-CN"/>
        </w:rPr>
        <w:t>单位</w:t>
      </w:r>
      <w:r>
        <w:rPr>
          <w:rFonts w:hint="eastAsia" w:ascii="Times New Roman" w:hAnsi="Times New Roman" w:eastAsia="黑体"/>
          <w:b w:val="0"/>
        </w:rPr>
        <w:t>职责</w:t>
      </w:r>
    </w:p>
    <w:p w14:paraId="21489CEA">
      <w:pPr>
        <w:spacing w:line="560" w:lineRule="exact"/>
        <w:ind w:firstLine="640" w:firstLineChars="200"/>
        <w:rPr>
          <w:rFonts w:ascii="Times New Roman" w:hAnsi="Times New Roman" w:eastAsia="仿宋_GB2312"/>
          <w:color w:val="000000"/>
          <w:kern w:val="0"/>
          <w:sz w:val="32"/>
          <w:szCs w:val="32"/>
        </w:rPr>
      </w:pPr>
      <w:bookmarkStart w:id="8" w:name="_Toc15396601"/>
      <w:bookmarkStart w:id="9" w:name="_Toc15377200"/>
      <w:r>
        <w:rPr>
          <w:rFonts w:ascii="Times New Roman" w:hAnsi="Times New Roman" w:eastAsia="仿宋_GB2312"/>
          <w:color w:val="000000"/>
          <w:kern w:val="0"/>
          <w:sz w:val="32"/>
          <w:szCs w:val="32"/>
        </w:rPr>
        <w:t>组织全州林草种质资源普查，林草良种选育推广，林草种苗质量监督检测，林草种子储备。</w:t>
      </w:r>
    </w:p>
    <w:p w14:paraId="09CA1F20">
      <w:pPr>
        <w:pStyle w:val="6"/>
        <w:rPr>
          <w:rStyle w:val="29"/>
          <w:rFonts w:ascii="Times New Roman" w:hAnsi="Times New Roman"/>
          <w:b w:val="0"/>
          <w:bCs w:val="0"/>
        </w:rPr>
      </w:pPr>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14:paraId="47631514">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2019年，依据《中共阿坝州委机构编制委员会关于调整州林业和草原局所属事业单位有关机构编制事项的批复》（阿编发〔2019〕66号）精神，“阿坝州林木种苗站”更名为“阿坝州林草种苗站”（州林草种苗质量监督检测中心），属于阿坝州林草局下属独立核算的二级预算单位。</w:t>
      </w:r>
    </w:p>
    <w:p w14:paraId="0507CE43">
      <w:pPr>
        <w:pStyle w:val="2"/>
        <w:keepNext w:val="0"/>
        <w:keepLines w:val="0"/>
        <w:pageBreakBefore w:val="0"/>
        <w:widowControl w:val="0"/>
        <w:kinsoku/>
        <w:wordWrap/>
        <w:overflowPunct/>
        <w:topLinePunct w:val="0"/>
        <w:autoSpaceDE/>
        <w:autoSpaceDN/>
        <w:bidi w:val="0"/>
        <w:adjustRightInd/>
        <w:spacing w:line="360" w:lineRule="auto"/>
        <w:textAlignment w:val="auto"/>
      </w:pPr>
    </w:p>
    <w:p w14:paraId="101AFEC2">
      <w:pPr>
        <w:pStyle w:val="2"/>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ascii="Times New Roman" w:hAnsi="Times New Roman" w:eastAsia="仿宋_GB2312" w:cs="Times New Roman"/>
          <w:color w:val="000000"/>
          <w:kern w:val="0"/>
          <w:sz w:val="32"/>
          <w:szCs w:val="32"/>
          <w:lang w:val="zh-CN" w:eastAsia="zh-CN" w:bidi="ar-SA"/>
        </w:rPr>
      </w:pPr>
      <w:r>
        <w:rPr>
          <w:rFonts w:ascii="Times New Roman" w:hAnsi="Times New Roman" w:eastAsia="仿宋_GB2312" w:cs="Times New Roman"/>
          <w:color w:val="000000"/>
          <w:kern w:val="0"/>
          <w:sz w:val="32"/>
          <w:szCs w:val="32"/>
          <w:lang w:val="zh-CN" w:eastAsia="zh-CN" w:bidi="ar-SA"/>
        </w:rPr>
        <w:t>依据阿编发〔2019〕66号文精神，阿坝州林草种苗站为财政全额拨款事业单位，核定编制数为7人。截止202</w:t>
      </w:r>
      <w:r>
        <w:rPr>
          <w:rFonts w:hint="eastAsia"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zh-CN" w:eastAsia="zh-CN" w:bidi="ar-SA"/>
        </w:rPr>
        <w:t>年12月31日在编人数为</w:t>
      </w:r>
      <w:r>
        <w:rPr>
          <w:rFonts w:hint="eastAsia" w:eastAsia="仿宋_GB2312" w:cs="Times New Roman"/>
          <w:color w:val="000000"/>
          <w:kern w:val="0"/>
          <w:sz w:val="32"/>
          <w:szCs w:val="32"/>
          <w:lang w:val="en-US" w:eastAsia="zh-CN" w:bidi="ar-SA"/>
        </w:rPr>
        <w:t>7</w:t>
      </w:r>
      <w:r>
        <w:rPr>
          <w:rFonts w:ascii="Times New Roman" w:hAnsi="Times New Roman" w:eastAsia="仿宋_GB2312" w:cs="Times New Roman"/>
          <w:color w:val="000000"/>
          <w:kern w:val="0"/>
          <w:sz w:val="32"/>
          <w:szCs w:val="32"/>
          <w:lang w:val="zh-CN" w:eastAsia="zh-CN" w:bidi="ar-SA"/>
        </w:rPr>
        <w:t>人。</w:t>
      </w:r>
    </w:p>
    <w:p w14:paraId="4585F14F">
      <w:pPr>
        <w:widowControl/>
        <w:ind w:firstLine="640" w:firstLineChars="200"/>
        <w:jc w:val="left"/>
        <w:rPr>
          <w:rFonts w:eastAsia="仿宋"/>
          <w:kern w:val="0"/>
          <w:sz w:val="32"/>
          <w:szCs w:val="32"/>
        </w:rPr>
      </w:pPr>
      <w:r>
        <w:rPr>
          <w:rFonts w:eastAsia="仿宋"/>
          <w:kern w:val="0"/>
          <w:sz w:val="32"/>
          <w:szCs w:val="32"/>
        </w:rPr>
        <w:br w:type="textWrapping"/>
      </w:r>
    </w:p>
    <w:p w14:paraId="1231C2AD">
      <w:pPr>
        <w:pStyle w:val="2"/>
        <w:rPr>
          <w:rFonts w:eastAsia="仿宋"/>
          <w:kern w:val="0"/>
          <w:sz w:val="32"/>
          <w:szCs w:val="32"/>
        </w:rPr>
      </w:pPr>
    </w:p>
    <w:p w14:paraId="595CB74A">
      <w:pPr>
        <w:pStyle w:val="3"/>
        <w:rPr>
          <w:rFonts w:eastAsia="仿宋"/>
          <w:kern w:val="0"/>
          <w:sz w:val="32"/>
          <w:szCs w:val="32"/>
        </w:rPr>
      </w:pPr>
    </w:p>
    <w:p w14:paraId="2ACD5E58">
      <w:pPr>
        <w:pStyle w:val="3"/>
        <w:rPr>
          <w:rFonts w:eastAsia="仿宋"/>
          <w:kern w:val="0"/>
          <w:sz w:val="32"/>
          <w:szCs w:val="32"/>
        </w:rPr>
      </w:pPr>
    </w:p>
    <w:p w14:paraId="409F0B99">
      <w:pPr>
        <w:pStyle w:val="5"/>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年度部门决算情况说明</w:t>
      </w:r>
      <w:bookmarkEnd w:id="10"/>
      <w:bookmarkEnd w:id="11"/>
    </w:p>
    <w:p w14:paraId="0C6D15EE"/>
    <w:p w14:paraId="30650AF4">
      <w:pPr>
        <w:pStyle w:val="27"/>
        <w:spacing w:line="600" w:lineRule="exact"/>
        <w:ind w:left="0" w:leftChars="0" w:firstLine="0" w:firstLineChars="0"/>
        <w:outlineLvl w:val="1"/>
        <w:rPr>
          <w:rStyle w:val="29"/>
          <w:rFonts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08567EA5">
      <w:pPr>
        <w:pStyle w:val="27"/>
        <w:spacing w:line="600" w:lineRule="exact"/>
        <w:ind w:firstLine="640"/>
        <w:outlineLvl w:val="1"/>
        <w:rPr>
          <w:rFonts w:hint="eastAsia" w:ascii="仿宋" w:hAnsi="仿宋" w:eastAsia="仿宋"/>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hint="eastAsia" w:eastAsia="仿宋_GB2312" w:cs="仿宋_GB2312"/>
          <w:sz w:val="32"/>
          <w:szCs w:val="32"/>
          <w:lang w:val="en-US" w:eastAsia="zh-CN"/>
        </w:rPr>
        <w:t>165.56</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10.25</w:t>
      </w:r>
      <w:r>
        <w:rPr>
          <w:rFonts w:hint="eastAsia" w:eastAsia="仿宋_GB2312" w:cs="仿宋_GB2312"/>
          <w:sz w:val="32"/>
          <w:szCs w:val="32"/>
        </w:rPr>
        <w:t>万元，</w:t>
      </w:r>
      <w:r>
        <w:rPr>
          <w:rFonts w:hint="eastAsia" w:eastAsia="仿宋_GB2312" w:cs="仿宋_GB2312"/>
          <w:sz w:val="32"/>
          <w:szCs w:val="32"/>
          <w:lang w:eastAsia="zh-CN"/>
        </w:rPr>
        <w:t>增加</w:t>
      </w:r>
      <w:r>
        <w:rPr>
          <w:rFonts w:hint="eastAsia" w:eastAsia="仿宋_GB2312" w:cs="仿宋_GB2312"/>
          <w:sz w:val="32"/>
          <w:szCs w:val="32"/>
          <w:lang w:val="en-US" w:eastAsia="zh-CN"/>
        </w:rPr>
        <w:t>6.6</w:t>
      </w:r>
      <w:r>
        <w:rPr>
          <w:rFonts w:hint="eastAsia" w:eastAsia="仿宋_GB2312" w:cs="仿宋_GB2312"/>
          <w:sz w:val="32"/>
          <w:szCs w:val="32"/>
        </w:rPr>
        <w:t>%。主要变动原因是</w:t>
      </w:r>
      <w:r>
        <w:rPr>
          <w:rFonts w:hint="eastAsia" w:eastAsia="仿宋_GB2312" w:cs="仿宋_GB2312"/>
          <w:sz w:val="32"/>
          <w:szCs w:val="32"/>
          <w:lang w:eastAsia="zh-CN"/>
        </w:rPr>
        <w:t>在职人员增加</w:t>
      </w:r>
      <w:r>
        <w:rPr>
          <w:rFonts w:hint="eastAsia" w:eastAsia="仿宋_GB2312" w:cs="仿宋_GB2312"/>
          <w:sz w:val="32"/>
          <w:szCs w:val="32"/>
          <w:lang w:val="en-US" w:eastAsia="zh-CN"/>
        </w:rPr>
        <w:t>2人</w:t>
      </w:r>
      <w:r>
        <w:rPr>
          <w:rFonts w:hint="eastAsia" w:eastAsia="仿宋_GB2312" w:cs="仿宋_GB2312"/>
          <w:sz w:val="32"/>
          <w:szCs w:val="32"/>
          <w:lang w:eastAsia="zh-CN"/>
        </w:rPr>
        <w:t>，日常开支增加</w:t>
      </w:r>
      <w:r>
        <w:rPr>
          <w:rFonts w:hint="eastAsia" w:eastAsia="仿宋_GB2312" w:cs="仿宋_GB2312"/>
          <w:sz w:val="32"/>
          <w:szCs w:val="32"/>
        </w:rPr>
        <w:t>。</w:t>
      </w:r>
    </w:p>
    <w:p w14:paraId="01C56101">
      <w:pPr>
        <w:ind w:firstLine="640" w:firstLineChars="200"/>
        <w:rPr>
          <w:rFonts w:hint="eastAsia" w:eastAsia="仿宋_GB2312" w:cs="仿宋_GB2312"/>
          <w:sz w:val="32"/>
          <w:szCs w:val="32"/>
        </w:rPr>
      </w:pPr>
      <w:r>
        <w:rPr>
          <w:rFonts w:hint="eastAsia" w:ascii="仿宋_GB2312" w:eastAsia="仿宋_GB2312"/>
          <w:sz w:val="32"/>
          <w:szCs w:val="32"/>
          <w:lang w:val="en-US" w:eastAsia="zh-CN"/>
        </w:rPr>
        <w:drawing>
          <wp:anchor distT="0" distB="0" distL="114300" distR="114300" simplePos="0" relativeHeight="251659264" behindDoc="1" locked="0" layoutInCell="1" allowOverlap="1">
            <wp:simplePos x="0" y="0"/>
            <wp:positionH relativeFrom="column">
              <wp:posOffset>822960</wp:posOffset>
            </wp:positionH>
            <wp:positionV relativeFrom="paragraph">
              <wp:posOffset>179705</wp:posOffset>
            </wp:positionV>
            <wp:extent cx="3830955" cy="2073275"/>
            <wp:effectExtent l="5080" t="4445" r="12065" b="17780"/>
            <wp:wrapNone/>
            <wp:docPr id="3" name="图表 3"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77F2AC7">
      <w:pPr>
        <w:ind w:firstLine="640" w:firstLineChars="200"/>
        <w:rPr>
          <w:rFonts w:hint="eastAsia" w:eastAsia="仿宋_GB2312" w:cs="仿宋_GB2312"/>
          <w:sz w:val="32"/>
          <w:szCs w:val="32"/>
        </w:rPr>
      </w:pPr>
    </w:p>
    <w:p w14:paraId="1FB81535">
      <w:pPr>
        <w:ind w:firstLine="640" w:firstLineChars="200"/>
        <w:rPr>
          <w:rFonts w:hint="eastAsia" w:eastAsia="仿宋_GB2312" w:cs="仿宋_GB2312"/>
          <w:sz w:val="32"/>
          <w:szCs w:val="32"/>
        </w:rPr>
      </w:pPr>
    </w:p>
    <w:p w14:paraId="665FC37E">
      <w:pPr>
        <w:ind w:firstLine="640" w:firstLineChars="200"/>
        <w:rPr>
          <w:rFonts w:hint="eastAsia" w:eastAsia="仿宋_GB2312" w:cs="仿宋_GB2312"/>
          <w:sz w:val="32"/>
          <w:szCs w:val="32"/>
        </w:rPr>
      </w:pPr>
    </w:p>
    <w:p w14:paraId="0A52A769">
      <w:pPr>
        <w:spacing w:line="600" w:lineRule="exact"/>
        <w:ind w:firstLine="640" w:firstLineChars="200"/>
        <w:jc w:val="left"/>
        <w:rPr>
          <w:rFonts w:hint="eastAsia" w:ascii="仿宋_GB2312" w:hAnsi="Times New Roman" w:eastAsia="仿宋_GB2312" w:cs="Times New Roman"/>
          <w:sz w:val="32"/>
          <w:szCs w:val="32"/>
          <w:lang w:val="en-US" w:eastAsia="zh-CN"/>
        </w:rPr>
      </w:pPr>
    </w:p>
    <w:p w14:paraId="0F6EB096">
      <w:pPr>
        <w:spacing w:line="600" w:lineRule="exact"/>
        <w:ind w:firstLine="640" w:firstLineChars="200"/>
        <w:jc w:val="left"/>
        <w:rPr>
          <w:rFonts w:hint="eastAsia" w:ascii="仿宋_GB2312" w:hAnsi="Times New Roman" w:eastAsia="仿宋_GB2312" w:cs="Times New Roman"/>
          <w:sz w:val="32"/>
          <w:szCs w:val="32"/>
          <w:lang w:val="en-US" w:eastAsia="zh-CN"/>
        </w:rPr>
      </w:pPr>
    </w:p>
    <w:p w14:paraId="561E9F99">
      <w:pPr>
        <w:spacing w:line="600" w:lineRule="exact"/>
        <w:ind w:firstLine="640" w:firstLineChars="200"/>
        <w:jc w:val="left"/>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（图1：收入、支出决算总计变动情况图）（柱状图）</w:t>
      </w:r>
    </w:p>
    <w:p w14:paraId="04D5C42A">
      <w:pPr>
        <w:pStyle w:val="27"/>
        <w:spacing w:line="600" w:lineRule="exact"/>
        <w:ind w:left="0" w:leftChars="0" w:firstLine="0" w:firstLineChars="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6AAE4665">
      <w:pPr>
        <w:pStyle w:val="27"/>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（注：仅罗列本部门涉及的收入）</w:t>
      </w:r>
    </w:p>
    <w:p w14:paraId="4F3C8925">
      <w:pPr>
        <w:pStyle w:val="27"/>
        <w:spacing w:line="600" w:lineRule="exact"/>
        <w:ind w:firstLine="640"/>
        <w:jc w:val="left"/>
        <w:outlineLvl w:val="1"/>
        <w:rPr>
          <w:rFonts w:hint="eastAsia" w:eastAsia="仿宋_GB2312" w:cs="仿宋_GB2312"/>
          <w:b/>
          <w:bCs/>
          <w:sz w:val="32"/>
          <w:szCs w:val="32"/>
        </w:rPr>
      </w:pPr>
    </w:p>
    <w:p w14:paraId="00B17F8E">
      <w:pPr>
        <w:ind w:firstLine="800" w:firstLineChars="250"/>
        <w:rPr>
          <w:rFonts w:hint="eastAsia" w:eastAsia="仿宋_GB2312" w:cs="仿宋_GB2312"/>
          <w:sz w:val="32"/>
          <w:szCs w:val="32"/>
        </w:rPr>
      </w:pPr>
    </w:p>
    <w:p w14:paraId="39F992AB">
      <w:pPr>
        <w:pStyle w:val="2"/>
        <w:rPr>
          <w:rFonts w:hint="eastAsia"/>
        </w:rPr>
      </w:pPr>
    </w:p>
    <w:p w14:paraId="1676F533">
      <w:pPr>
        <w:ind w:firstLine="800" w:firstLineChars="250"/>
        <w:rPr>
          <w:rFonts w:hint="eastAsia" w:eastAsia="仿宋_GB2312" w:cs="仿宋_GB2312"/>
          <w:sz w:val="32"/>
          <w:szCs w:val="32"/>
        </w:rPr>
      </w:pPr>
    </w:p>
    <w:p w14:paraId="19F229D5">
      <w:pPr>
        <w:ind w:firstLine="800" w:firstLineChars="250"/>
        <w:rPr>
          <w:rFonts w:hint="eastAsia" w:eastAsia="仿宋_GB2312" w:cs="仿宋_GB2312"/>
          <w:sz w:val="32"/>
          <w:szCs w:val="32"/>
        </w:rPr>
      </w:pPr>
    </w:p>
    <w:p w14:paraId="47128C1D">
      <w:pPr>
        <w:ind w:firstLine="800" w:firstLineChars="250"/>
        <w:rPr>
          <w:rFonts w:hint="eastAsia" w:eastAsia="仿宋_GB2312" w:cs="仿宋_GB2312"/>
          <w:sz w:val="32"/>
          <w:szCs w:val="32"/>
        </w:rPr>
      </w:pPr>
    </w:p>
    <w:p w14:paraId="222D43FE">
      <w:pPr>
        <w:rPr>
          <w:rFonts w:hint="eastAsia" w:eastAsia="仿宋_GB2312" w:cs="仿宋_GB2312"/>
          <w:sz w:val="32"/>
          <w:szCs w:val="32"/>
        </w:rPr>
      </w:pPr>
      <w:r>
        <w:rPr>
          <w:rFonts w:hint="eastAsia" w:ascii="仿宋_GB2312" w:eastAsia="仿宋_GB2312"/>
          <w:sz w:val="32"/>
          <w:szCs w:val="32"/>
          <w:lang w:eastAsia="zh-CN"/>
        </w:rPr>
        <w:drawing>
          <wp:anchor distT="0" distB="0" distL="114300" distR="114300" simplePos="0" relativeHeight="251660288" behindDoc="1" locked="0" layoutInCell="1" allowOverlap="1">
            <wp:simplePos x="0" y="0"/>
            <wp:positionH relativeFrom="column">
              <wp:posOffset>642620</wp:posOffset>
            </wp:positionH>
            <wp:positionV relativeFrom="paragraph">
              <wp:posOffset>-379730</wp:posOffset>
            </wp:positionV>
            <wp:extent cx="4288155" cy="2265680"/>
            <wp:effectExtent l="4445" t="4445" r="12700" b="15875"/>
            <wp:wrapNone/>
            <wp:docPr id="4" name="图表 4"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CD682A8">
      <w:pPr>
        <w:rPr>
          <w:rFonts w:hint="eastAsia" w:eastAsia="仿宋_GB2312" w:cs="仿宋_GB2312"/>
          <w:sz w:val="32"/>
          <w:szCs w:val="32"/>
        </w:rPr>
      </w:pPr>
    </w:p>
    <w:p w14:paraId="4DC72BE6">
      <w:pPr>
        <w:rPr>
          <w:rFonts w:hint="eastAsia" w:eastAsia="仿宋_GB2312" w:cs="仿宋_GB2312"/>
          <w:sz w:val="32"/>
          <w:szCs w:val="32"/>
        </w:rPr>
      </w:pPr>
    </w:p>
    <w:p w14:paraId="18CCCE80">
      <w:pPr>
        <w:rPr>
          <w:rFonts w:hint="eastAsia" w:eastAsia="仿宋_GB2312" w:cs="仿宋_GB2312"/>
          <w:sz w:val="32"/>
          <w:szCs w:val="32"/>
        </w:rPr>
      </w:pPr>
    </w:p>
    <w:p w14:paraId="5575CAA2">
      <w:pPr>
        <w:rPr>
          <w:rFonts w:hint="eastAsia" w:eastAsia="仿宋_GB2312" w:cs="仿宋_GB2312"/>
          <w:sz w:val="32"/>
          <w:szCs w:val="32"/>
        </w:rPr>
      </w:pPr>
    </w:p>
    <w:p w14:paraId="55B4F889">
      <w:pPr>
        <w:jc w:val="center"/>
        <w:rPr>
          <w:rFonts w:eastAsia="仿宋_GB2312" w:cs="仿宋_GB2312"/>
          <w:sz w:val="32"/>
          <w:szCs w:val="32"/>
        </w:rPr>
      </w:pPr>
      <w:r>
        <w:rPr>
          <w:rFonts w:hint="eastAsia" w:eastAsia="仿宋_GB2312" w:cs="仿宋_GB2312"/>
          <w:sz w:val="32"/>
          <w:szCs w:val="32"/>
        </w:rPr>
        <w:t>（图2：收入决算结构图）（饼状图）</w:t>
      </w:r>
    </w:p>
    <w:p w14:paraId="3BE905E8">
      <w:pPr>
        <w:pStyle w:val="27"/>
        <w:spacing w:line="600" w:lineRule="exact"/>
        <w:ind w:left="0" w:leftChars="0" w:firstLine="0" w:firstLineChars="0"/>
        <w:outlineLvl w:val="1"/>
        <w:rPr>
          <w:rStyle w:val="29"/>
          <w:rFonts w:ascii="Times New Roman" w:hAnsi="Times New Roman" w:eastAsia="黑体"/>
          <w:b w:val="0"/>
        </w:rPr>
      </w:pPr>
      <w:bookmarkStart w:id="16" w:name="_Toc15396605"/>
      <w:bookmarkStart w:id="17" w:name="_Toc15377207"/>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74BD3C58">
      <w:pPr>
        <w:pStyle w:val="27"/>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注：仅罗列本部门涉及的支出）</w:t>
      </w:r>
    </w:p>
    <w:p w14:paraId="63DEF3DC">
      <w:pPr>
        <w:pStyle w:val="27"/>
        <w:spacing w:line="600" w:lineRule="exact"/>
        <w:ind w:firstLine="640"/>
        <w:jc w:val="left"/>
        <w:outlineLvl w:val="1"/>
        <w:rPr>
          <w:rFonts w:hint="eastAsia" w:eastAsia="仿宋_GB2312" w:cs="仿宋_GB2312"/>
          <w:b/>
          <w:bCs/>
          <w:sz w:val="32"/>
          <w:szCs w:val="32"/>
          <w:lang w:eastAsia="zh-CN"/>
        </w:rPr>
      </w:pPr>
      <w:r>
        <w:rPr>
          <w:rFonts w:hint="eastAsia" w:ascii="仿宋" w:hAnsi="仿宋" w:eastAsia="仿宋"/>
          <w:sz w:val="32"/>
          <w:szCs w:val="32"/>
          <w:shd w:val="pct10" w:color="auto" w:fill="FFFFFF"/>
          <w:lang w:eastAsia="zh-CN"/>
        </w:rPr>
        <w:drawing>
          <wp:anchor distT="0" distB="0" distL="114300" distR="114300" simplePos="0" relativeHeight="251661312" behindDoc="1" locked="0" layoutInCell="1" allowOverlap="1">
            <wp:simplePos x="0" y="0"/>
            <wp:positionH relativeFrom="column">
              <wp:posOffset>666750</wp:posOffset>
            </wp:positionH>
            <wp:positionV relativeFrom="paragraph">
              <wp:posOffset>145415</wp:posOffset>
            </wp:positionV>
            <wp:extent cx="4171315" cy="2548255"/>
            <wp:effectExtent l="4445" t="5080" r="15240" b="18415"/>
            <wp:wrapNone/>
            <wp:docPr id="5"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BA56316">
      <w:pPr>
        <w:ind w:firstLine="800" w:firstLineChars="250"/>
        <w:rPr>
          <w:rFonts w:hint="eastAsia" w:eastAsia="仿宋_GB2312" w:cs="仿宋_GB2312"/>
          <w:sz w:val="32"/>
          <w:szCs w:val="32"/>
        </w:rPr>
      </w:pPr>
    </w:p>
    <w:p w14:paraId="5583EBE0">
      <w:pPr>
        <w:ind w:firstLine="800" w:firstLineChars="250"/>
        <w:rPr>
          <w:rFonts w:hint="eastAsia" w:eastAsia="仿宋_GB2312" w:cs="仿宋_GB2312"/>
          <w:sz w:val="32"/>
          <w:szCs w:val="32"/>
        </w:rPr>
      </w:pPr>
    </w:p>
    <w:p w14:paraId="2DF2D424">
      <w:pPr>
        <w:ind w:firstLine="800" w:firstLineChars="250"/>
        <w:rPr>
          <w:rFonts w:hint="eastAsia" w:eastAsia="仿宋_GB2312" w:cs="仿宋_GB2312"/>
          <w:sz w:val="32"/>
          <w:szCs w:val="32"/>
        </w:rPr>
      </w:pPr>
    </w:p>
    <w:p w14:paraId="7BCA7B8C">
      <w:pPr>
        <w:ind w:firstLine="800" w:firstLineChars="250"/>
        <w:rPr>
          <w:rFonts w:hint="eastAsia" w:eastAsia="仿宋_GB2312" w:cs="仿宋_GB2312"/>
          <w:sz w:val="32"/>
          <w:szCs w:val="32"/>
        </w:rPr>
      </w:pPr>
    </w:p>
    <w:p w14:paraId="1C88D9EC">
      <w:pPr>
        <w:ind w:firstLine="800" w:firstLineChars="250"/>
        <w:jc w:val="center"/>
        <w:rPr>
          <w:rFonts w:hint="eastAsia" w:eastAsia="仿宋_GB2312" w:cs="仿宋_GB2312"/>
          <w:sz w:val="32"/>
          <w:szCs w:val="32"/>
        </w:rPr>
      </w:pPr>
    </w:p>
    <w:p w14:paraId="15FB1388">
      <w:pPr>
        <w:ind w:firstLine="1280" w:firstLineChars="400"/>
        <w:jc w:val="both"/>
        <w:rPr>
          <w:rFonts w:hint="eastAsia" w:eastAsia="仿宋_GB2312" w:cs="仿宋_GB2312"/>
          <w:sz w:val="32"/>
          <w:szCs w:val="32"/>
        </w:rPr>
      </w:pPr>
    </w:p>
    <w:p w14:paraId="5F402524">
      <w:pPr>
        <w:ind w:firstLine="1600" w:firstLineChars="500"/>
        <w:jc w:val="both"/>
        <w:rPr>
          <w:rFonts w:eastAsia="仿宋_GB2312" w:cs="仿宋_GB2312"/>
          <w:sz w:val="32"/>
          <w:szCs w:val="32"/>
        </w:rPr>
      </w:pPr>
      <w:r>
        <w:rPr>
          <w:rFonts w:hint="eastAsia" w:eastAsia="仿宋_GB2312" w:cs="仿宋_GB2312"/>
          <w:sz w:val="32"/>
          <w:szCs w:val="32"/>
        </w:rPr>
        <w:t>（图3：支出决算结构图）（饼状图）</w:t>
      </w:r>
    </w:p>
    <w:p w14:paraId="3E554D15">
      <w:pPr>
        <w:spacing w:line="600" w:lineRule="exact"/>
        <w:outlineLvl w:val="1"/>
        <w:rPr>
          <w:rStyle w:val="29"/>
          <w:rFonts w:ascii="Times New Roman" w:hAnsi="Times New Roman" w:eastAsia="黑体"/>
          <w:b w:val="0"/>
        </w:rPr>
      </w:pPr>
      <w:bookmarkStart w:id="18" w:name="_Toc15377208"/>
      <w:bookmarkStart w:id="19"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33F2E632">
      <w:pPr>
        <w:pStyle w:val="27"/>
        <w:spacing w:line="600" w:lineRule="exact"/>
        <w:ind w:firstLine="640"/>
        <w:outlineLvl w:val="1"/>
        <w:rPr>
          <w:rFonts w:hint="eastAsia" w:ascii="仿宋" w:hAnsi="仿宋" w:eastAsia="仿宋"/>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165.56</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10.25</w:t>
      </w:r>
      <w:r>
        <w:rPr>
          <w:rFonts w:hint="eastAsia" w:eastAsia="仿宋_GB2312" w:cs="仿宋_GB2312"/>
          <w:sz w:val="32"/>
          <w:szCs w:val="32"/>
        </w:rPr>
        <w:t>万元，</w:t>
      </w:r>
      <w:r>
        <w:rPr>
          <w:rFonts w:hint="eastAsia" w:eastAsia="仿宋_GB2312" w:cs="仿宋_GB2312"/>
          <w:sz w:val="32"/>
          <w:szCs w:val="32"/>
          <w:lang w:eastAsia="zh-CN"/>
        </w:rPr>
        <w:t>增加</w:t>
      </w:r>
      <w:r>
        <w:rPr>
          <w:rFonts w:hint="eastAsia" w:eastAsia="仿宋_GB2312" w:cs="仿宋_GB2312"/>
          <w:sz w:val="32"/>
          <w:szCs w:val="32"/>
          <w:lang w:val="en-US" w:eastAsia="zh-CN"/>
        </w:rPr>
        <w:t>6.6</w:t>
      </w:r>
      <w:r>
        <w:rPr>
          <w:rFonts w:hint="eastAsia" w:eastAsia="仿宋_GB2312" w:cs="仿宋_GB2312"/>
          <w:sz w:val="32"/>
          <w:szCs w:val="32"/>
        </w:rPr>
        <w:t>%。主要变动原因是</w:t>
      </w:r>
      <w:r>
        <w:rPr>
          <w:rFonts w:hint="eastAsia" w:ascii="仿宋" w:hAnsi="仿宋" w:eastAsia="仿宋"/>
          <w:sz w:val="32"/>
          <w:szCs w:val="32"/>
          <w:lang w:eastAsia="zh-CN"/>
        </w:rPr>
        <w:t>在职人员增加</w:t>
      </w:r>
      <w:r>
        <w:rPr>
          <w:rFonts w:hint="eastAsia" w:ascii="仿宋" w:hAnsi="仿宋" w:eastAsia="仿宋"/>
          <w:sz w:val="32"/>
          <w:szCs w:val="32"/>
          <w:lang w:val="en-US" w:eastAsia="zh-CN"/>
        </w:rPr>
        <w:t>2人</w:t>
      </w:r>
      <w:r>
        <w:rPr>
          <w:rFonts w:hint="eastAsia" w:ascii="仿宋" w:hAnsi="仿宋" w:eastAsia="仿宋"/>
          <w:sz w:val="32"/>
          <w:szCs w:val="32"/>
          <w:lang w:eastAsia="zh-CN"/>
        </w:rPr>
        <w:t>，日常开支增加</w:t>
      </w:r>
      <w:r>
        <w:rPr>
          <w:rFonts w:hint="eastAsia" w:ascii="仿宋" w:hAnsi="仿宋" w:eastAsia="仿宋"/>
          <w:sz w:val="32"/>
          <w:szCs w:val="32"/>
        </w:rPr>
        <w:t>。</w:t>
      </w:r>
    </w:p>
    <w:p w14:paraId="0A3493CF">
      <w:pPr>
        <w:pStyle w:val="27"/>
        <w:spacing w:line="600" w:lineRule="exact"/>
        <w:ind w:firstLine="640"/>
        <w:outlineLvl w:val="1"/>
        <w:rPr>
          <w:rFonts w:hint="eastAsia" w:ascii="仿宋" w:hAnsi="仿宋" w:eastAsia="仿宋"/>
          <w:sz w:val="32"/>
          <w:szCs w:val="32"/>
        </w:rPr>
      </w:pPr>
      <w:r>
        <w:rPr>
          <w:rFonts w:hint="eastAsia" w:ascii="仿宋" w:hAnsi="仿宋" w:eastAsia="仿宋"/>
          <w:b/>
          <w:sz w:val="32"/>
          <w:szCs w:val="32"/>
          <w:lang w:eastAsia="zh-CN"/>
        </w:rPr>
        <w:drawing>
          <wp:anchor distT="0" distB="0" distL="114300" distR="114300" simplePos="0" relativeHeight="251662336" behindDoc="1" locked="0" layoutInCell="1" allowOverlap="1">
            <wp:simplePos x="0" y="0"/>
            <wp:positionH relativeFrom="column">
              <wp:posOffset>737870</wp:posOffset>
            </wp:positionH>
            <wp:positionV relativeFrom="paragraph">
              <wp:posOffset>196850</wp:posOffset>
            </wp:positionV>
            <wp:extent cx="4266565" cy="2323465"/>
            <wp:effectExtent l="5080" t="4445" r="14605" b="53340"/>
            <wp:wrapNone/>
            <wp:docPr id="6" name="图表 6"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260E9EA">
      <w:pPr>
        <w:spacing w:line="600" w:lineRule="exact"/>
        <w:ind w:firstLine="640"/>
        <w:rPr>
          <w:rFonts w:eastAsia="仿宋_GB2312" w:cs="仿宋_GB2312"/>
          <w:sz w:val="32"/>
          <w:szCs w:val="32"/>
        </w:rPr>
      </w:pPr>
    </w:p>
    <w:p w14:paraId="218FC662">
      <w:pPr>
        <w:pStyle w:val="2"/>
        <w:rPr>
          <w:rFonts w:hint="eastAsia" w:eastAsia="仿宋_GB2312" w:cs="仿宋_GB2312"/>
          <w:sz w:val="32"/>
          <w:szCs w:val="32"/>
          <w:lang w:eastAsia="zh-CN"/>
        </w:rPr>
      </w:pPr>
    </w:p>
    <w:p w14:paraId="00420256">
      <w:pPr>
        <w:spacing w:line="600" w:lineRule="exact"/>
        <w:rPr>
          <w:rFonts w:hint="eastAsia" w:eastAsia="仿宋_GB2312" w:cs="仿宋_GB2312"/>
          <w:sz w:val="32"/>
          <w:szCs w:val="32"/>
        </w:rPr>
      </w:pPr>
    </w:p>
    <w:p w14:paraId="1502E6D5">
      <w:pPr>
        <w:spacing w:line="600" w:lineRule="exact"/>
        <w:rPr>
          <w:rFonts w:hint="eastAsia" w:eastAsia="仿宋_GB2312" w:cs="仿宋_GB2312"/>
          <w:sz w:val="32"/>
          <w:szCs w:val="32"/>
        </w:rPr>
      </w:pPr>
    </w:p>
    <w:p w14:paraId="199567CD">
      <w:pPr>
        <w:spacing w:line="600" w:lineRule="exact"/>
        <w:rPr>
          <w:rFonts w:hint="eastAsia" w:eastAsia="仿宋_GB2312" w:cs="仿宋_GB2312"/>
          <w:sz w:val="32"/>
          <w:szCs w:val="32"/>
        </w:rPr>
      </w:pPr>
    </w:p>
    <w:p w14:paraId="03533773">
      <w:pPr>
        <w:spacing w:line="600" w:lineRule="exact"/>
        <w:rPr>
          <w:rFonts w:hint="eastAsia" w:eastAsia="仿宋_GB2312" w:cs="仿宋_GB2312"/>
          <w:sz w:val="32"/>
          <w:szCs w:val="32"/>
        </w:rPr>
      </w:pPr>
    </w:p>
    <w:p w14:paraId="253D645C">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1463D84F">
      <w:pPr>
        <w:spacing w:line="600" w:lineRule="exact"/>
        <w:outlineLvl w:val="1"/>
        <w:rPr>
          <w:rStyle w:val="29"/>
          <w:rFonts w:ascii="Times New Roman" w:hAnsi="Times New Roman" w:eastAsia="黑体"/>
          <w:b w:val="0"/>
        </w:rPr>
      </w:pPr>
      <w:bookmarkStart w:id="20" w:name="_Toc15396607"/>
      <w:bookmarkStart w:id="21"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261222D8">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01A4858D">
      <w:pPr>
        <w:pStyle w:val="27"/>
        <w:spacing w:line="600" w:lineRule="exact"/>
        <w:ind w:firstLine="640"/>
        <w:outlineLvl w:val="1"/>
        <w:rPr>
          <w:rFonts w:hint="eastAsia" w:ascii="仿宋" w:hAnsi="仿宋" w:eastAsia="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10.25</w:t>
      </w:r>
      <w:r>
        <w:rPr>
          <w:rFonts w:hint="eastAsia" w:ascii="仿宋_GB2312" w:hAnsi="仿宋_GB2312" w:eastAsia="仿宋_GB2312" w:cs="仿宋_GB2312"/>
          <w:sz w:val="32"/>
          <w:szCs w:val="32"/>
        </w:rPr>
        <w:t>万元，</w:t>
      </w:r>
      <w:r>
        <w:rPr>
          <w:rFonts w:hint="eastAsia" w:eastAsia="仿宋_GB2312" w:cs="仿宋_GB2312"/>
          <w:sz w:val="32"/>
          <w:szCs w:val="32"/>
          <w:lang w:eastAsia="zh-CN"/>
        </w:rPr>
        <w:t>增加</w:t>
      </w:r>
      <w:r>
        <w:rPr>
          <w:rFonts w:hint="eastAsia" w:eastAsia="仿宋_GB2312" w:cs="仿宋_GB2312"/>
          <w:sz w:val="32"/>
          <w:szCs w:val="32"/>
          <w:lang w:val="en-US" w:eastAsia="zh-CN"/>
        </w:rPr>
        <w:t>6.6</w:t>
      </w:r>
      <w:r>
        <w:rPr>
          <w:rFonts w:hint="eastAsia" w:eastAsia="仿宋_GB2312" w:cs="仿宋_GB2312"/>
          <w:sz w:val="32"/>
          <w:szCs w:val="32"/>
        </w:rPr>
        <w:t>%。</w:t>
      </w:r>
      <w:r>
        <w:rPr>
          <w:rFonts w:hint="eastAsia" w:eastAsia="仿宋_GB2312" w:cs="仿宋_GB2312"/>
          <w:color w:val="auto"/>
          <w:sz w:val="32"/>
          <w:szCs w:val="32"/>
        </w:rPr>
        <w:t>主要变动原因是</w:t>
      </w:r>
      <w:r>
        <w:rPr>
          <w:rFonts w:hint="eastAsia" w:ascii="仿宋" w:hAnsi="仿宋" w:eastAsia="仿宋"/>
          <w:color w:val="auto"/>
          <w:sz w:val="32"/>
          <w:szCs w:val="32"/>
          <w:lang w:eastAsia="zh-CN"/>
        </w:rPr>
        <w:t>在职人员增加</w:t>
      </w:r>
      <w:r>
        <w:rPr>
          <w:rFonts w:hint="eastAsia" w:ascii="仿宋" w:hAnsi="仿宋" w:eastAsia="仿宋"/>
          <w:color w:val="auto"/>
          <w:sz w:val="32"/>
          <w:szCs w:val="32"/>
          <w:lang w:val="en-US" w:eastAsia="zh-CN"/>
        </w:rPr>
        <w:t>2人</w:t>
      </w:r>
      <w:r>
        <w:rPr>
          <w:rFonts w:hint="eastAsia" w:ascii="仿宋" w:hAnsi="仿宋" w:eastAsia="仿宋"/>
          <w:color w:val="auto"/>
          <w:sz w:val="32"/>
          <w:szCs w:val="32"/>
          <w:lang w:eastAsia="zh-CN"/>
        </w:rPr>
        <w:t>，日常开支增加</w:t>
      </w:r>
      <w:r>
        <w:rPr>
          <w:rFonts w:hint="eastAsia" w:ascii="仿宋" w:hAnsi="仿宋" w:eastAsia="仿宋"/>
          <w:color w:val="auto"/>
          <w:sz w:val="32"/>
          <w:szCs w:val="32"/>
        </w:rPr>
        <w:t>。</w:t>
      </w:r>
    </w:p>
    <w:p w14:paraId="3A5C3BA4">
      <w:pPr>
        <w:spacing w:line="600" w:lineRule="exact"/>
        <w:ind w:firstLine="640"/>
        <w:rPr>
          <w:rFonts w:hint="eastAsia" w:eastAsia="仿宋_GB2312" w:cs="仿宋_GB2312"/>
          <w:sz w:val="32"/>
          <w:szCs w:val="32"/>
        </w:rPr>
      </w:pPr>
      <w:r>
        <w:rPr>
          <w:rFonts w:hint="eastAsia" w:ascii="仿宋" w:hAnsi="仿宋" w:eastAsia="仿宋"/>
          <w:b/>
          <w:sz w:val="32"/>
          <w:szCs w:val="32"/>
          <w:lang w:eastAsia="zh-CN"/>
        </w:rPr>
        <w:drawing>
          <wp:anchor distT="0" distB="0" distL="114300" distR="114300" simplePos="0" relativeHeight="251663360" behindDoc="1" locked="0" layoutInCell="1" allowOverlap="1">
            <wp:simplePos x="0" y="0"/>
            <wp:positionH relativeFrom="column">
              <wp:posOffset>675640</wp:posOffset>
            </wp:positionH>
            <wp:positionV relativeFrom="paragraph">
              <wp:posOffset>210185</wp:posOffset>
            </wp:positionV>
            <wp:extent cx="4218940" cy="2249170"/>
            <wp:effectExtent l="4445" t="5080" r="5715" b="50800"/>
            <wp:wrapNone/>
            <wp:docPr id="7" name="图表 7"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CE68845">
      <w:pPr>
        <w:spacing w:line="600" w:lineRule="exact"/>
        <w:ind w:firstLine="640"/>
        <w:rPr>
          <w:rFonts w:hint="eastAsia" w:eastAsia="仿宋_GB2312" w:cs="仿宋_GB2312"/>
          <w:sz w:val="32"/>
          <w:szCs w:val="32"/>
        </w:rPr>
      </w:pPr>
    </w:p>
    <w:p w14:paraId="10B9FB95">
      <w:pPr>
        <w:spacing w:line="600" w:lineRule="exact"/>
        <w:ind w:firstLine="640"/>
        <w:rPr>
          <w:rFonts w:hint="eastAsia" w:eastAsia="仿宋_GB2312" w:cs="仿宋_GB2312"/>
          <w:sz w:val="32"/>
          <w:szCs w:val="32"/>
        </w:rPr>
      </w:pPr>
    </w:p>
    <w:p w14:paraId="695038CF">
      <w:pPr>
        <w:spacing w:line="600" w:lineRule="exact"/>
        <w:ind w:firstLine="640"/>
        <w:rPr>
          <w:rFonts w:hint="eastAsia" w:eastAsia="仿宋_GB2312" w:cs="仿宋_GB2312"/>
          <w:sz w:val="32"/>
          <w:szCs w:val="32"/>
        </w:rPr>
      </w:pPr>
    </w:p>
    <w:p w14:paraId="08BACB89">
      <w:pPr>
        <w:spacing w:line="600" w:lineRule="exact"/>
        <w:ind w:firstLine="640"/>
        <w:rPr>
          <w:rFonts w:hint="eastAsia" w:eastAsia="仿宋_GB2312" w:cs="仿宋_GB2312"/>
          <w:sz w:val="32"/>
          <w:szCs w:val="32"/>
        </w:rPr>
      </w:pPr>
    </w:p>
    <w:p w14:paraId="39C345A7">
      <w:pPr>
        <w:spacing w:line="600" w:lineRule="exact"/>
        <w:ind w:firstLine="640"/>
        <w:rPr>
          <w:rFonts w:hint="eastAsia" w:eastAsia="仿宋_GB2312" w:cs="仿宋_GB2312"/>
          <w:sz w:val="32"/>
          <w:szCs w:val="32"/>
        </w:rPr>
      </w:pPr>
    </w:p>
    <w:p w14:paraId="54DEBBF4">
      <w:pPr>
        <w:spacing w:line="600" w:lineRule="exact"/>
        <w:rPr>
          <w:rFonts w:hint="eastAsia" w:eastAsia="仿宋_GB2312" w:cs="仿宋_GB2312"/>
          <w:sz w:val="32"/>
          <w:szCs w:val="32"/>
        </w:rPr>
      </w:pPr>
    </w:p>
    <w:p w14:paraId="499C3C63">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0AE2D1E2">
      <w:pPr>
        <w:spacing w:line="600" w:lineRule="exact"/>
        <w:ind w:firstLine="640"/>
        <w:rPr>
          <w:rFonts w:eastAsia="仿宋_GB2312" w:cs="仿宋_GB2312"/>
          <w:sz w:val="32"/>
          <w:szCs w:val="32"/>
        </w:rPr>
      </w:pPr>
    </w:p>
    <w:p w14:paraId="56635B36">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55B027AF">
      <w:pPr>
        <w:spacing w:line="600" w:lineRule="exact"/>
        <w:ind w:firstLine="640"/>
        <w:rPr>
          <w:rFonts w:hint="eastAsia" w:ascii="Times New Roman" w:hAnsi="Times New Roman"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165.56</w:t>
      </w:r>
      <w:r>
        <w:rPr>
          <w:rFonts w:hint="eastAsia" w:ascii="仿宋_GB2312" w:hAnsi="仿宋_GB2312" w:eastAsia="仿宋_GB2312" w:cs="仿宋_GB2312"/>
          <w:sz w:val="32"/>
          <w:szCs w:val="32"/>
        </w:rPr>
        <w:t>万元</w:t>
      </w:r>
      <w:r>
        <w:rPr>
          <w:rFonts w:hint="eastAsia" w:eastAsia="仿宋_GB2312" w:cs="仿宋_GB2312"/>
          <w:sz w:val="32"/>
          <w:szCs w:val="32"/>
        </w:rPr>
        <w:t>，</w:t>
      </w:r>
      <w:r>
        <w:rPr>
          <w:rFonts w:hint="eastAsia" w:ascii="Times New Roman" w:hAnsi="Times New Roman" w:eastAsia="仿宋_GB2312" w:cs="仿宋_GB2312"/>
          <w:sz w:val="32"/>
          <w:szCs w:val="32"/>
        </w:rPr>
        <w:t>社会保障和就业支出</w:t>
      </w:r>
      <w:r>
        <w:rPr>
          <w:rFonts w:hint="eastAsia" w:eastAsia="仿宋_GB2312" w:cs="仿宋_GB2312"/>
          <w:sz w:val="32"/>
          <w:szCs w:val="32"/>
          <w:lang w:val="en-US" w:eastAsia="zh-CN"/>
        </w:rPr>
        <w:t>20.33</w:t>
      </w:r>
      <w:r>
        <w:rPr>
          <w:rFonts w:hint="eastAsia" w:eastAsia="仿宋_GB2312" w:cs="仿宋_GB2312"/>
          <w:sz w:val="32"/>
          <w:szCs w:val="32"/>
        </w:rPr>
        <w:t>万元，占</w:t>
      </w:r>
      <w:r>
        <w:rPr>
          <w:rFonts w:hint="eastAsia" w:eastAsia="仿宋_GB2312" w:cs="仿宋_GB2312"/>
          <w:sz w:val="32"/>
          <w:szCs w:val="32"/>
          <w:lang w:val="en-US" w:eastAsia="zh-CN"/>
        </w:rPr>
        <w:t>12</w:t>
      </w:r>
      <w:r>
        <w:rPr>
          <w:rFonts w:hint="eastAsia" w:eastAsia="仿宋_GB2312" w:cs="仿宋_GB2312"/>
          <w:sz w:val="32"/>
          <w:szCs w:val="32"/>
        </w:rPr>
        <w:t>%；卫生健康支出</w:t>
      </w:r>
      <w:r>
        <w:rPr>
          <w:rFonts w:hint="eastAsia" w:eastAsia="仿宋_GB2312" w:cs="仿宋_GB2312"/>
          <w:sz w:val="32"/>
          <w:szCs w:val="32"/>
          <w:lang w:val="en-US" w:eastAsia="zh-CN"/>
        </w:rPr>
        <w:t>8.00</w:t>
      </w:r>
      <w:r>
        <w:rPr>
          <w:rFonts w:hint="eastAsia" w:eastAsia="仿宋_GB2312" w:cs="仿宋_GB2312"/>
          <w:sz w:val="32"/>
          <w:szCs w:val="32"/>
        </w:rPr>
        <w:t>万元，占</w:t>
      </w:r>
      <w:r>
        <w:rPr>
          <w:rFonts w:hint="eastAsia" w:eastAsia="仿宋_GB2312" w:cs="仿宋_GB2312"/>
          <w:sz w:val="32"/>
          <w:szCs w:val="32"/>
          <w:lang w:val="en-US" w:eastAsia="zh-CN"/>
        </w:rPr>
        <w:t xml:space="preserve">5 </w:t>
      </w:r>
      <w:r>
        <w:rPr>
          <w:rFonts w:hint="eastAsia" w:eastAsia="仿宋_GB2312" w:cs="仿宋_GB2312"/>
          <w:sz w:val="32"/>
          <w:szCs w:val="32"/>
        </w:rPr>
        <w:t>%；住房保障支出</w:t>
      </w:r>
      <w:r>
        <w:rPr>
          <w:rFonts w:hint="eastAsia" w:eastAsia="仿宋_GB2312" w:cs="仿宋_GB2312"/>
          <w:sz w:val="32"/>
          <w:szCs w:val="32"/>
          <w:lang w:val="en-US" w:eastAsia="zh-CN"/>
        </w:rPr>
        <w:t>11.15</w:t>
      </w:r>
      <w:r>
        <w:rPr>
          <w:rFonts w:hint="eastAsia" w:eastAsia="仿宋_GB2312" w:cs="仿宋_GB2312"/>
          <w:sz w:val="32"/>
          <w:szCs w:val="32"/>
        </w:rPr>
        <w:t>万元，占</w:t>
      </w:r>
      <w:r>
        <w:rPr>
          <w:rFonts w:hint="eastAsia" w:eastAsia="仿宋_GB2312" w:cs="仿宋_GB2312"/>
          <w:sz w:val="32"/>
          <w:szCs w:val="32"/>
          <w:lang w:val="en-US" w:eastAsia="zh-CN"/>
        </w:rPr>
        <w:t xml:space="preserve">7 </w:t>
      </w:r>
      <w:r>
        <w:rPr>
          <w:rFonts w:hint="eastAsia" w:eastAsia="仿宋_GB2312" w:cs="仿宋_GB2312"/>
          <w:sz w:val="32"/>
          <w:szCs w:val="32"/>
        </w:rPr>
        <w:t>%；</w:t>
      </w:r>
      <w:r>
        <w:rPr>
          <w:rFonts w:hint="eastAsia" w:ascii="Times New Roman" w:hAnsi="Times New Roman" w:eastAsia="仿宋_GB2312" w:cs="仿宋_GB2312"/>
          <w:sz w:val="32"/>
          <w:szCs w:val="32"/>
          <w:lang w:eastAsia="zh-CN"/>
        </w:rPr>
        <w:t>农林水支出</w:t>
      </w:r>
      <w:r>
        <w:rPr>
          <w:rFonts w:hint="eastAsia" w:eastAsia="仿宋_GB2312" w:cs="仿宋_GB2312"/>
          <w:sz w:val="32"/>
          <w:szCs w:val="32"/>
          <w:lang w:val="en-US" w:eastAsia="zh-CN"/>
        </w:rPr>
        <w:t>126.08</w:t>
      </w:r>
      <w:r>
        <w:rPr>
          <w:rFonts w:hint="eastAsia" w:ascii="Times New Roman" w:hAnsi="Times New Roman" w:eastAsia="仿宋_GB2312" w:cs="仿宋_GB2312"/>
          <w:sz w:val="32"/>
          <w:szCs w:val="32"/>
          <w:lang w:val="en-US" w:eastAsia="zh-CN"/>
        </w:rPr>
        <w:t>万元，占</w:t>
      </w:r>
      <w:r>
        <w:rPr>
          <w:rFonts w:hint="eastAsia" w:eastAsia="仿宋_GB2312" w:cs="仿宋_GB2312"/>
          <w:sz w:val="32"/>
          <w:szCs w:val="32"/>
          <w:lang w:val="en-US" w:eastAsia="zh-CN"/>
        </w:rPr>
        <w:t xml:space="preserve"> 76 </w:t>
      </w:r>
      <w:r>
        <w:rPr>
          <w:rFonts w:hint="eastAsia" w:ascii="Times New Roman" w:hAnsi="Times New Roman" w:eastAsia="仿宋_GB2312" w:cs="仿宋_GB2312"/>
          <w:sz w:val="32"/>
          <w:szCs w:val="32"/>
          <w:lang w:val="en-US" w:eastAsia="zh-CN"/>
        </w:rPr>
        <w:t>%</w:t>
      </w:r>
      <w:r>
        <w:rPr>
          <w:rFonts w:hint="eastAsia" w:eastAsia="仿宋_GB2312" w:cs="仿宋_GB2312"/>
          <w:sz w:val="32"/>
          <w:szCs w:val="32"/>
          <w:lang w:val="en-US" w:eastAsia="zh-CN"/>
        </w:rPr>
        <w:t>。</w:t>
      </w:r>
    </w:p>
    <w:p w14:paraId="0945E452">
      <w:pPr>
        <w:spacing w:line="600" w:lineRule="exact"/>
        <w:ind w:firstLine="321" w:firstLineChars="100"/>
        <w:rPr>
          <w:rFonts w:eastAsia="仿宋_GB2312" w:cs="仿宋_GB2312"/>
          <w:b/>
          <w:bCs/>
          <w:sz w:val="32"/>
          <w:szCs w:val="32"/>
        </w:rPr>
      </w:pPr>
      <w:r>
        <w:rPr>
          <w:rFonts w:hint="eastAsia" w:eastAsia="仿宋_GB2312" w:cs="仿宋_GB2312"/>
          <w:b/>
          <w:bCs/>
          <w:sz w:val="32"/>
          <w:szCs w:val="32"/>
        </w:rPr>
        <w:t>（注：仅罗列本部门涉及的全部功能分类科目，至类级）</w:t>
      </w:r>
    </w:p>
    <w:p w14:paraId="1AB6ECD3">
      <w:pPr>
        <w:spacing w:line="600" w:lineRule="exact"/>
        <w:ind w:firstLine="640"/>
        <w:rPr>
          <w:rFonts w:hint="eastAsia" w:eastAsia="仿宋_GB2312" w:cs="仿宋_GB2312"/>
          <w:sz w:val="32"/>
          <w:szCs w:val="32"/>
        </w:rPr>
      </w:pPr>
      <w:r>
        <w:rPr>
          <w:rFonts w:hint="eastAsia" w:ascii="仿宋" w:hAnsi="仿宋" w:eastAsia="仿宋"/>
          <w:sz w:val="32"/>
          <w:szCs w:val="32"/>
          <w:lang w:eastAsia="zh-CN"/>
        </w:rPr>
        <w:drawing>
          <wp:anchor distT="0" distB="0" distL="114300" distR="114300" simplePos="0" relativeHeight="251664384" behindDoc="1" locked="0" layoutInCell="1" allowOverlap="1">
            <wp:simplePos x="0" y="0"/>
            <wp:positionH relativeFrom="column">
              <wp:posOffset>556260</wp:posOffset>
            </wp:positionH>
            <wp:positionV relativeFrom="paragraph">
              <wp:posOffset>153670</wp:posOffset>
            </wp:positionV>
            <wp:extent cx="4582160" cy="2562225"/>
            <wp:effectExtent l="4445" t="4445" r="23495" b="508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504CA68">
      <w:pPr>
        <w:spacing w:line="600" w:lineRule="exact"/>
        <w:ind w:firstLine="640"/>
        <w:rPr>
          <w:rFonts w:hint="eastAsia" w:eastAsia="仿宋_GB2312" w:cs="仿宋_GB2312"/>
          <w:sz w:val="32"/>
          <w:szCs w:val="32"/>
        </w:rPr>
      </w:pPr>
    </w:p>
    <w:p w14:paraId="7356287C">
      <w:pPr>
        <w:spacing w:line="600" w:lineRule="exact"/>
        <w:ind w:firstLine="640"/>
        <w:rPr>
          <w:rFonts w:hint="eastAsia" w:eastAsia="仿宋_GB2312" w:cs="仿宋_GB2312"/>
          <w:sz w:val="32"/>
          <w:szCs w:val="32"/>
        </w:rPr>
      </w:pPr>
    </w:p>
    <w:p w14:paraId="4813038B">
      <w:pPr>
        <w:spacing w:line="600" w:lineRule="exact"/>
        <w:ind w:firstLine="640"/>
        <w:rPr>
          <w:rFonts w:hint="eastAsia" w:eastAsia="仿宋_GB2312" w:cs="仿宋_GB2312"/>
          <w:sz w:val="32"/>
          <w:szCs w:val="32"/>
        </w:rPr>
      </w:pPr>
    </w:p>
    <w:p w14:paraId="4596CC0A">
      <w:pPr>
        <w:spacing w:line="600" w:lineRule="exact"/>
        <w:ind w:firstLine="640"/>
        <w:rPr>
          <w:rFonts w:hint="eastAsia" w:eastAsia="仿宋_GB2312" w:cs="仿宋_GB2312"/>
          <w:sz w:val="32"/>
          <w:szCs w:val="32"/>
        </w:rPr>
      </w:pPr>
    </w:p>
    <w:p w14:paraId="3514BF31">
      <w:pPr>
        <w:spacing w:line="600" w:lineRule="exact"/>
        <w:ind w:firstLine="640"/>
        <w:rPr>
          <w:rFonts w:hint="eastAsia" w:eastAsia="仿宋_GB2312" w:cs="仿宋_GB2312"/>
          <w:sz w:val="32"/>
          <w:szCs w:val="32"/>
        </w:rPr>
      </w:pPr>
    </w:p>
    <w:p w14:paraId="2967D73F">
      <w:pPr>
        <w:spacing w:line="600" w:lineRule="exact"/>
        <w:ind w:firstLine="640"/>
        <w:rPr>
          <w:rFonts w:hint="eastAsia" w:eastAsia="仿宋_GB2312" w:cs="仿宋_GB2312"/>
          <w:sz w:val="32"/>
          <w:szCs w:val="32"/>
        </w:rPr>
      </w:pPr>
    </w:p>
    <w:p w14:paraId="1C4F33AD">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2F22E65B">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07DD2A2F">
      <w:pPr>
        <w:spacing w:line="600" w:lineRule="exact"/>
        <w:ind w:firstLine="640"/>
        <w:rPr>
          <w:rFonts w:eastAsia="仿宋_GB2312" w:cs="仿宋_GB2312"/>
          <w:sz w:val="32"/>
          <w:szCs w:val="32"/>
        </w:rPr>
      </w:pPr>
      <w:bookmarkStart w:id="25" w:name="_Toc15377213"/>
      <w:bookmarkStart w:id="26" w:name="_Toc15378460"/>
      <w:bookmarkStart w:id="27"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165.56</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60054717">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1.</w:t>
      </w:r>
      <w:r>
        <w:rPr>
          <w:rFonts w:hint="eastAsia" w:eastAsia="仿宋_GB2312" w:cs="仿宋_GB2312"/>
          <w:b/>
          <w:bCs/>
          <w:sz w:val="32"/>
          <w:szCs w:val="32"/>
        </w:rPr>
        <w:t>社会保障和就业（208类）行政事业单位养老支出（05款）机关事业单位基本养老保险缴费支出（05项）</w:t>
      </w:r>
      <w:r>
        <w:rPr>
          <w:rFonts w:hint="eastAsia" w:eastAsia="仿宋_GB2312" w:cs="仿宋_GB2312"/>
          <w:b/>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13.55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AC46122">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2.</w:t>
      </w:r>
      <w:r>
        <w:rPr>
          <w:rFonts w:hint="eastAsia" w:eastAsia="仿宋_GB2312" w:cs="仿宋_GB2312"/>
          <w:b/>
          <w:bCs/>
          <w:sz w:val="32"/>
          <w:szCs w:val="32"/>
        </w:rPr>
        <w:t xml:space="preserve">社会保障和就业（208类）行政事业单位养老支出（05款）机关事业单位职业年金缴费支出（06项）: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6.78</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14F4C9F7">
      <w:pPr>
        <w:pStyle w:val="2"/>
        <w:numPr>
          <w:ilvl w:val="0"/>
          <w:numId w:val="0"/>
        </w:numPr>
      </w:pPr>
    </w:p>
    <w:p w14:paraId="2990E8CF">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3.</w:t>
      </w:r>
      <w:r>
        <w:rPr>
          <w:rFonts w:hint="eastAsia" w:eastAsia="仿宋_GB2312" w:cs="仿宋_GB2312"/>
          <w:b/>
          <w:bCs/>
          <w:sz w:val="32"/>
          <w:szCs w:val="32"/>
        </w:rPr>
        <w:t>卫生健康（210类）行政事业单位医疗（11款）事业单位医疗（02项）:</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8.00</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342FD0F0">
      <w:pPr>
        <w:numPr>
          <w:ilvl w:val="0"/>
          <w:numId w:val="0"/>
        </w:numPr>
        <w:spacing w:line="600" w:lineRule="exact"/>
        <w:ind w:leftChars="0"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4.</w:t>
      </w:r>
      <w:r>
        <w:rPr>
          <w:rFonts w:hint="eastAsia" w:eastAsia="仿宋_GB2312" w:cs="仿宋_GB2312"/>
          <w:b/>
          <w:bCs/>
          <w:sz w:val="32"/>
          <w:szCs w:val="32"/>
        </w:rPr>
        <w:t>住房保障（221类）住房改革支出（02款）住房公积金（01项）:</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11.15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D8C52E0">
      <w:pPr>
        <w:pStyle w:val="2"/>
        <w:rPr>
          <w:rStyle w:val="17"/>
          <w:rFonts w:hint="default" w:ascii="仿宋" w:hAnsi="仿宋" w:eastAsia="仿宋" w:cstheme="minorBidi"/>
          <w:b w:val="0"/>
          <w:bCs/>
          <w:kern w:val="2"/>
          <w:sz w:val="32"/>
          <w:szCs w:val="32"/>
          <w:lang w:val="en-US" w:eastAsia="zh-CN" w:bidi="ar-SA"/>
        </w:rPr>
      </w:pPr>
      <w:r>
        <w:rPr>
          <w:rStyle w:val="17"/>
          <w:rFonts w:hint="eastAsia" w:ascii="仿宋" w:hAnsi="仿宋" w:eastAsia="仿宋" w:cstheme="minorBidi"/>
          <w:bCs/>
          <w:kern w:val="2"/>
          <w:sz w:val="32"/>
          <w:szCs w:val="32"/>
          <w:lang w:val="en-US" w:eastAsia="zh-CN" w:bidi="ar-SA"/>
        </w:rPr>
        <w:t xml:space="preserve">    </w:t>
      </w:r>
      <w:r>
        <w:rPr>
          <w:rFonts w:hint="eastAsia" w:ascii="仿宋" w:hAnsi="仿宋" w:eastAsia="仿宋" w:cs="Times New Roman"/>
          <w:b/>
          <w:bCs/>
          <w:kern w:val="2"/>
          <w:sz w:val="32"/>
          <w:szCs w:val="32"/>
          <w:lang w:val="en-US" w:eastAsia="zh-CN" w:bidi="ar-SA"/>
        </w:rPr>
        <w:t>5.农林水（213类）林业和草原（02款）事业机构（04项）:</w:t>
      </w:r>
      <w:r>
        <w:rPr>
          <w:rStyle w:val="17"/>
          <w:rFonts w:hint="eastAsia" w:ascii="仿宋" w:hAnsi="仿宋" w:eastAsia="仿宋" w:cstheme="minorBidi"/>
          <w:b w:val="0"/>
          <w:bCs/>
          <w:kern w:val="2"/>
          <w:sz w:val="32"/>
          <w:szCs w:val="32"/>
          <w:lang w:val="en-US" w:eastAsia="zh-CN" w:bidi="ar-SA"/>
        </w:rPr>
        <w:t>支出决算为126.08万元，完成预算100%。</w:t>
      </w:r>
    </w:p>
    <w:p w14:paraId="67395223">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03879C47">
      <w:pPr>
        <w:tabs>
          <w:tab w:val="right" w:pos="8306"/>
        </w:tabs>
        <w:spacing w:line="600" w:lineRule="exact"/>
        <w:outlineLvl w:val="1"/>
        <w:rPr>
          <w:rStyle w:val="29"/>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60708B6C">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eastAsia="仿宋_GB2312" w:cs="仿宋_GB2312"/>
          <w:sz w:val="32"/>
          <w:szCs w:val="32"/>
          <w:lang w:val="en-US" w:eastAsia="zh-CN"/>
        </w:rPr>
        <w:t>165.56</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46A7E9E">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148.59</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元，主要包括：基本工资38.31</w:t>
      </w:r>
      <w:r>
        <w:rPr>
          <w:rFonts w:hint="eastAsia" w:eastAsia="仿宋_GB2312" w:cs="仿宋_GB2312"/>
          <w:sz w:val="32"/>
          <w:szCs w:val="32"/>
          <w:lang w:eastAsia="zh-CN"/>
        </w:rPr>
        <w:t>万元</w:t>
      </w:r>
      <w:r>
        <w:rPr>
          <w:rFonts w:hint="eastAsia" w:eastAsia="仿宋_GB2312" w:cs="仿宋_GB2312"/>
          <w:sz w:val="32"/>
          <w:szCs w:val="32"/>
        </w:rPr>
        <w:t>、津贴补贴9.1</w:t>
      </w:r>
      <w:r>
        <w:rPr>
          <w:rFonts w:hint="eastAsia" w:eastAsia="仿宋_GB2312" w:cs="仿宋_GB2312"/>
          <w:sz w:val="32"/>
          <w:szCs w:val="32"/>
          <w:lang w:eastAsia="zh-CN"/>
        </w:rPr>
        <w:t>万元</w:t>
      </w:r>
      <w:r>
        <w:rPr>
          <w:rFonts w:hint="eastAsia" w:eastAsia="仿宋_GB2312" w:cs="仿宋_GB2312"/>
          <w:sz w:val="32"/>
          <w:szCs w:val="32"/>
        </w:rPr>
        <w:t>、奖金31.96</w:t>
      </w:r>
      <w:r>
        <w:rPr>
          <w:rFonts w:hint="eastAsia" w:eastAsia="仿宋_GB2312" w:cs="仿宋_GB2312"/>
          <w:sz w:val="32"/>
          <w:szCs w:val="32"/>
          <w:lang w:eastAsia="zh-CN"/>
        </w:rPr>
        <w:t>万元</w:t>
      </w:r>
      <w:r>
        <w:rPr>
          <w:rFonts w:hint="eastAsia" w:eastAsia="仿宋_GB2312" w:cs="仿宋_GB2312"/>
          <w:sz w:val="32"/>
          <w:szCs w:val="32"/>
        </w:rPr>
        <w:t>、绩效工资28.5</w:t>
      </w:r>
      <w:r>
        <w:rPr>
          <w:rFonts w:hint="eastAsia" w:eastAsia="仿宋_GB2312" w:cs="仿宋_GB2312"/>
          <w:sz w:val="32"/>
          <w:szCs w:val="32"/>
          <w:lang w:val="en-US" w:eastAsia="zh-CN"/>
        </w:rPr>
        <w:t>0万元</w:t>
      </w:r>
      <w:r>
        <w:rPr>
          <w:rFonts w:hint="eastAsia" w:eastAsia="仿宋_GB2312" w:cs="仿宋_GB2312"/>
          <w:sz w:val="32"/>
          <w:szCs w:val="32"/>
        </w:rPr>
        <w:t>、机关事业单位基本养老保险缴费13.55</w:t>
      </w:r>
      <w:r>
        <w:rPr>
          <w:rFonts w:hint="eastAsia" w:eastAsia="仿宋_GB2312" w:cs="仿宋_GB2312"/>
          <w:sz w:val="32"/>
          <w:szCs w:val="32"/>
          <w:lang w:eastAsia="zh-CN"/>
        </w:rPr>
        <w:t>万元</w:t>
      </w:r>
      <w:r>
        <w:rPr>
          <w:rFonts w:hint="eastAsia" w:eastAsia="仿宋_GB2312" w:cs="仿宋_GB2312"/>
          <w:sz w:val="32"/>
          <w:szCs w:val="32"/>
        </w:rPr>
        <w:t>、职业年金缴费6.78</w:t>
      </w:r>
      <w:r>
        <w:rPr>
          <w:rFonts w:hint="eastAsia" w:eastAsia="仿宋_GB2312" w:cs="仿宋_GB2312"/>
          <w:sz w:val="32"/>
          <w:szCs w:val="32"/>
          <w:lang w:eastAsia="zh-CN"/>
        </w:rPr>
        <w:t>万元</w:t>
      </w:r>
      <w:r>
        <w:rPr>
          <w:rFonts w:hint="eastAsia" w:eastAsia="仿宋_GB2312" w:cs="仿宋_GB2312"/>
          <w:sz w:val="32"/>
          <w:szCs w:val="32"/>
        </w:rPr>
        <w:t>、</w:t>
      </w:r>
      <w:r>
        <w:rPr>
          <w:rFonts w:hint="eastAsia" w:eastAsia="仿宋_GB2312" w:cs="仿宋_GB2312"/>
          <w:sz w:val="32"/>
          <w:szCs w:val="32"/>
          <w:lang w:eastAsia="zh-CN"/>
        </w:rPr>
        <w:t>职工基本医疗保险</w:t>
      </w:r>
      <w:r>
        <w:rPr>
          <w:rFonts w:hint="eastAsia" w:eastAsia="仿宋_GB2312" w:cs="仿宋_GB2312"/>
          <w:sz w:val="32"/>
          <w:szCs w:val="32"/>
        </w:rPr>
        <w:t>缴费6.16</w:t>
      </w:r>
      <w:r>
        <w:rPr>
          <w:rFonts w:hint="eastAsia" w:eastAsia="仿宋_GB2312" w:cs="仿宋_GB2312"/>
          <w:sz w:val="32"/>
          <w:szCs w:val="32"/>
          <w:lang w:eastAsia="zh-CN"/>
        </w:rPr>
        <w:t>万元</w:t>
      </w:r>
      <w:r>
        <w:rPr>
          <w:rFonts w:hint="eastAsia" w:eastAsia="仿宋_GB2312" w:cs="仿宋_GB2312"/>
          <w:sz w:val="32"/>
          <w:szCs w:val="32"/>
        </w:rPr>
        <w:t>、</w:t>
      </w:r>
      <w:r>
        <w:rPr>
          <w:rFonts w:hint="eastAsia" w:eastAsia="仿宋_GB2312" w:cs="仿宋_GB2312"/>
          <w:sz w:val="32"/>
          <w:szCs w:val="32"/>
          <w:lang w:eastAsia="zh-CN"/>
        </w:rPr>
        <w:t>其他社会保障缴费2.23万元、</w:t>
      </w:r>
      <w:r>
        <w:rPr>
          <w:rFonts w:hint="eastAsia" w:eastAsia="仿宋_GB2312" w:cs="仿宋_GB2312"/>
          <w:sz w:val="32"/>
          <w:szCs w:val="32"/>
        </w:rPr>
        <w:t>住房公积金11.15</w:t>
      </w:r>
      <w:r>
        <w:rPr>
          <w:rFonts w:hint="eastAsia" w:eastAsia="仿宋_GB2312" w:cs="仿宋_GB2312"/>
          <w:sz w:val="32"/>
          <w:szCs w:val="32"/>
          <w:lang w:eastAsia="zh-CN"/>
        </w:rPr>
        <w:t>万元、生活补助0.84万元、奖励金0.01万元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16.97</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元，主要包括：办公费1.65</w:t>
      </w:r>
      <w:r>
        <w:rPr>
          <w:rFonts w:hint="eastAsia" w:eastAsia="仿宋_GB2312" w:cs="仿宋_GB2312"/>
          <w:sz w:val="32"/>
          <w:szCs w:val="32"/>
          <w:lang w:eastAsia="zh-CN"/>
        </w:rPr>
        <w:t>万元</w:t>
      </w:r>
      <w:r>
        <w:rPr>
          <w:rFonts w:hint="eastAsia" w:eastAsia="仿宋_GB2312" w:cs="仿宋_GB2312"/>
          <w:sz w:val="32"/>
          <w:szCs w:val="32"/>
        </w:rPr>
        <w:t>、</w:t>
      </w:r>
      <w:r>
        <w:rPr>
          <w:rFonts w:hint="eastAsia" w:eastAsia="仿宋_GB2312" w:cs="仿宋_GB2312"/>
          <w:sz w:val="32"/>
          <w:szCs w:val="32"/>
          <w:lang w:eastAsia="zh-CN"/>
        </w:rPr>
        <w:t>水费0.01万元、</w:t>
      </w:r>
      <w:r>
        <w:rPr>
          <w:rFonts w:hint="eastAsia" w:eastAsia="仿宋_GB2312" w:cs="仿宋_GB2312"/>
          <w:sz w:val="32"/>
          <w:szCs w:val="32"/>
        </w:rPr>
        <w:t>邮电费2.61</w:t>
      </w:r>
      <w:r>
        <w:rPr>
          <w:rFonts w:hint="eastAsia" w:eastAsia="仿宋_GB2312" w:cs="仿宋_GB2312"/>
          <w:sz w:val="32"/>
          <w:szCs w:val="32"/>
          <w:lang w:eastAsia="zh-CN"/>
        </w:rPr>
        <w:t>万元</w:t>
      </w:r>
      <w:r>
        <w:rPr>
          <w:rFonts w:hint="eastAsia" w:eastAsia="仿宋_GB2312" w:cs="仿宋_GB2312"/>
          <w:sz w:val="32"/>
          <w:szCs w:val="32"/>
        </w:rPr>
        <w:t>、差旅费4.36</w:t>
      </w:r>
      <w:r>
        <w:rPr>
          <w:rFonts w:hint="eastAsia" w:eastAsia="仿宋_GB2312" w:cs="仿宋_GB2312"/>
          <w:sz w:val="32"/>
          <w:szCs w:val="32"/>
          <w:lang w:eastAsia="zh-CN"/>
        </w:rPr>
        <w:t>万元</w:t>
      </w:r>
      <w:r>
        <w:rPr>
          <w:rFonts w:hint="eastAsia" w:eastAsia="仿宋_GB2312" w:cs="仿宋_GB2312"/>
          <w:sz w:val="32"/>
          <w:szCs w:val="32"/>
        </w:rPr>
        <w:t>、</w:t>
      </w:r>
      <w:r>
        <w:rPr>
          <w:rFonts w:hint="eastAsia" w:eastAsia="仿宋_GB2312" w:cs="仿宋_GB2312"/>
          <w:sz w:val="32"/>
          <w:szCs w:val="32"/>
          <w:lang w:eastAsia="zh-CN"/>
        </w:rPr>
        <w:t>维修（护）费0.17万元、劳务</w:t>
      </w:r>
      <w:r>
        <w:rPr>
          <w:rFonts w:hint="eastAsia" w:eastAsia="仿宋_GB2312" w:cs="仿宋_GB2312"/>
          <w:sz w:val="32"/>
          <w:szCs w:val="32"/>
        </w:rPr>
        <w:t>费0.6</w:t>
      </w:r>
      <w:r>
        <w:rPr>
          <w:rFonts w:hint="eastAsia" w:eastAsia="仿宋_GB2312" w:cs="仿宋_GB2312"/>
          <w:sz w:val="32"/>
          <w:szCs w:val="32"/>
          <w:lang w:eastAsia="zh-CN"/>
        </w:rPr>
        <w:t>万元</w:t>
      </w:r>
      <w:r>
        <w:rPr>
          <w:rFonts w:hint="eastAsia" w:eastAsia="仿宋_GB2312" w:cs="仿宋_GB2312"/>
          <w:sz w:val="32"/>
          <w:szCs w:val="32"/>
        </w:rPr>
        <w:t>、委托业务费4.7</w:t>
      </w:r>
      <w:r>
        <w:rPr>
          <w:rFonts w:hint="eastAsia" w:eastAsia="仿宋_GB2312" w:cs="仿宋_GB2312"/>
          <w:sz w:val="32"/>
          <w:szCs w:val="32"/>
          <w:lang w:eastAsia="zh-CN"/>
        </w:rPr>
        <w:t>万元</w:t>
      </w:r>
      <w:r>
        <w:rPr>
          <w:rFonts w:hint="eastAsia" w:eastAsia="仿宋_GB2312" w:cs="仿宋_GB2312"/>
          <w:sz w:val="32"/>
          <w:szCs w:val="32"/>
        </w:rPr>
        <w:t>、福利费1.69</w:t>
      </w:r>
      <w:r>
        <w:rPr>
          <w:rFonts w:hint="eastAsia" w:eastAsia="仿宋_GB2312" w:cs="仿宋_GB2312"/>
          <w:sz w:val="32"/>
          <w:szCs w:val="32"/>
          <w:lang w:eastAsia="zh-CN"/>
        </w:rPr>
        <w:t>万元</w:t>
      </w:r>
      <w:r>
        <w:rPr>
          <w:rFonts w:hint="eastAsia" w:eastAsia="仿宋_GB2312" w:cs="仿宋_GB2312"/>
          <w:sz w:val="32"/>
          <w:szCs w:val="32"/>
        </w:rPr>
        <w:t>、公务用车运行维护费1.18</w:t>
      </w:r>
      <w:r>
        <w:rPr>
          <w:rFonts w:hint="eastAsia" w:eastAsia="仿宋_GB2312" w:cs="仿宋_GB2312"/>
          <w:sz w:val="32"/>
          <w:szCs w:val="32"/>
          <w:lang w:eastAsia="zh-CN"/>
        </w:rPr>
        <w:t>万元</w:t>
      </w:r>
      <w:r>
        <w:rPr>
          <w:rFonts w:hint="eastAsia" w:eastAsia="仿宋_GB2312" w:cs="仿宋_GB2312"/>
          <w:sz w:val="32"/>
          <w:szCs w:val="32"/>
        </w:rPr>
        <w:t>。</w:t>
      </w:r>
    </w:p>
    <w:p w14:paraId="7DE21DF5">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094A42E6">
      <w:pPr>
        <w:spacing w:line="600" w:lineRule="exact"/>
        <w:outlineLvl w:val="1"/>
        <w:rPr>
          <w:rStyle w:val="29"/>
          <w:rFonts w:ascii="Times New Roman" w:hAnsi="Times New Roman" w:eastAsia="黑体"/>
          <w:b w:val="0"/>
        </w:rPr>
      </w:pPr>
      <w:bookmarkStart w:id="30" w:name="_Toc15396609"/>
      <w:bookmarkStart w:id="31"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74344BB5">
      <w:pPr>
        <w:spacing w:line="600" w:lineRule="exact"/>
        <w:ind w:firstLine="640"/>
        <w:rPr>
          <w:rFonts w:hint="eastAsia" w:eastAsia="仿宋_GB2312" w:cs="仿宋_GB2312"/>
          <w:sz w:val="32"/>
          <w:szCs w:val="32"/>
        </w:rPr>
      </w:pPr>
      <w:bookmarkStart w:id="32" w:name="_Toc15377216"/>
      <w:r>
        <w:rPr>
          <w:rFonts w:hint="eastAsia" w:eastAsia="仿宋_GB2312" w:cs="仿宋_GB2312"/>
          <w:sz w:val="32"/>
          <w:szCs w:val="32"/>
        </w:rPr>
        <w:t>（一）“三公”经费财政拨款支出决算总体情况说明</w:t>
      </w:r>
      <w:bookmarkEnd w:id="32"/>
    </w:p>
    <w:p w14:paraId="5153E0B9">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w:t>
      </w:r>
      <w:r>
        <w:rPr>
          <w:rFonts w:hint="eastAsia" w:ascii="Times New Roman" w:hAnsi="Times New Roman" w:eastAsia="仿宋_GB2312" w:cs="仿宋_GB2312"/>
          <w:sz w:val="32"/>
          <w:szCs w:val="32"/>
        </w:rPr>
        <w:t>经费财政拨款支出决算为</w:t>
      </w:r>
      <w:r>
        <w:rPr>
          <w:rFonts w:hint="eastAsia" w:eastAsia="仿宋_GB2312" w:cs="仿宋_GB2312"/>
          <w:sz w:val="32"/>
          <w:szCs w:val="32"/>
          <w:lang w:val="en-US" w:eastAsia="zh-CN"/>
        </w:rPr>
        <w:t>1.18</w:t>
      </w:r>
      <w:r>
        <w:rPr>
          <w:rFonts w:hint="eastAsia" w:ascii="Times New Roman" w:hAnsi="Times New Roman" w:eastAsia="仿宋_GB2312" w:cs="仿宋_GB2312"/>
          <w:sz w:val="32"/>
          <w:szCs w:val="32"/>
        </w:rPr>
        <w:t>万元</w:t>
      </w:r>
      <w:r>
        <w:rPr>
          <w:rFonts w:hint="eastAsia" w:eastAsia="仿宋_GB2312" w:cs="仿宋_GB2312"/>
          <w:sz w:val="32"/>
          <w:szCs w:val="32"/>
          <w:lang w:eastAsia="zh-CN"/>
        </w:rPr>
        <w:t>，</w:t>
      </w:r>
      <w:r>
        <w:rPr>
          <w:rFonts w:hint="eastAsia" w:ascii="仿宋_GB2312" w:hAnsi="仿宋_GB2312" w:eastAsia="仿宋_GB2312" w:cs="仿宋_GB2312"/>
          <w:sz w:val="32"/>
          <w:szCs w:val="32"/>
        </w:rPr>
        <w:t>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较上年度减少</w:t>
      </w:r>
      <w:r>
        <w:rPr>
          <w:rFonts w:hint="eastAsia" w:eastAsia="仿宋_GB2312" w:cs="仿宋_GB2312"/>
          <w:sz w:val="32"/>
          <w:szCs w:val="32"/>
          <w:lang w:val="en-US" w:eastAsia="zh-CN"/>
        </w:rPr>
        <w:t>1.12</w:t>
      </w:r>
      <w:r>
        <w:rPr>
          <w:rFonts w:hint="eastAsia" w:eastAsia="仿宋_GB2312" w:cs="仿宋_GB2312"/>
          <w:sz w:val="32"/>
          <w:szCs w:val="32"/>
        </w:rPr>
        <w:t>万元，下降</w:t>
      </w:r>
      <w:r>
        <w:rPr>
          <w:rFonts w:hint="eastAsia" w:eastAsia="仿宋_GB2312" w:cs="仿宋_GB2312"/>
          <w:sz w:val="32"/>
          <w:szCs w:val="32"/>
          <w:lang w:val="en-US" w:eastAsia="zh-CN"/>
        </w:rPr>
        <w:t>48.7</w:t>
      </w:r>
      <w:r>
        <w:rPr>
          <w:rFonts w:hint="eastAsia" w:eastAsia="仿宋_GB2312" w:cs="仿宋_GB2312"/>
          <w:sz w:val="32"/>
          <w:szCs w:val="32"/>
        </w:rPr>
        <w:t>%。主要原因是</w:t>
      </w:r>
      <w:r>
        <w:rPr>
          <w:rFonts w:hint="eastAsia" w:ascii="仿宋" w:hAnsi="仿宋" w:eastAsia="仿宋"/>
          <w:sz w:val="32"/>
          <w:szCs w:val="32"/>
          <w:lang w:eastAsia="zh-CN"/>
        </w:rPr>
        <w:t>强化公务用车日常管理，统筹调度公务出行，减少非必要用车，压减车辆运维成本。</w:t>
      </w:r>
    </w:p>
    <w:p w14:paraId="7133E1F7">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w:t>
      </w:r>
    </w:p>
    <w:p w14:paraId="176C4A3C">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7A1B06BF">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1.18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6D99F8C9">
      <w:pPr>
        <w:pStyle w:val="2"/>
        <w:rPr>
          <w:rFonts w:hint="eastAsia" w:ascii="仿宋_GB2312" w:hAnsi="仿宋_GB2312" w:eastAsia="仿宋_GB2312" w:cs="仿宋_GB2312"/>
          <w:sz w:val="32"/>
          <w:szCs w:val="32"/>
        </w:rPr>
      </w:pPr>
      <w:r>
        <w:rPr>
          <w:rFonts w:hint="eastAsia" w:ascii="仿宋" w:hAnsi="仿宋" w:eastAsia="仿宋"/>
          <w:sz w:val="32"/>
          <w:szCs w:val="32"/>
          <w:lang w:eastAsia="zh-CN"/>
        </w:rPr>
        <w:drawing>
          <wp:anchor distT="0" distB="0" distL="114300" distR="114300" simplePos="0" relativeHeight="251665408" behindDoc="1" locked="0" layoutInCell="1" allowOverlap="1">
            <wp:simplePos x="0" y="0"/>
            <wp:positionH relativeFrom="column">
              <wp:posOffset>444500</wp:posOffset>
            </wp:positionH>
            <wp:positionV relativeFrom="paragraph">
              <wp:posOffset>149225</wp:posOffset>
            </wp:positionV>
            <wp:extent cx="4594860" cy="2127885"/>
            <wp:effectExtent l="4445" t="4445" r="10795" b="20320"/>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4CC9B0D">
      <w:pPr>
        <w:pStyle w:val="3"/>
        <w:rPr>
          <w:rFonts w:hint="eastAsia" w:ascii="仿宋_GB2312" w:hAnsi="仿宋_GB2312" w:eastAsia="仿宋_GB2312" w:cs="仿宋_GB2312"/>
          <w:sz w:val="32"/>
          <w:szCs w:val="32"/>
        </w:rPr>
      </w:pPr>
    </w:p>
    <w:p w14:paraId="7101FB57">
      <w:pPr>
        <w:pStyle w:val="3"/>
        <w:rPr>
          <w:rFonts w:hint="eastAsia" w:ascii="仿宋_GB2312" w:hAnsi="仿宋_GB2312" w:eastAsia="仿宋_GB2312" w:cs="仿宋_GB2312"/>
          <w:sz w:val="32"/>
          <w:szCs w:val="32"/>
        </w:rPr>
      </w:pPr>
    </w:p>
    <w:p w14:paraId="4D11D1DA">
      <w:pPr>
        <w:spacing w:line="600" w:lineRule="exact"/>
        <w:ind w:firstLine="640"/>
        <w:rPr>
          <w:rFonts w:hint="eastAsia" w:eastAsia="仿宋_GB2312" w:cs="仿宋_GB2312"/>
          <w:sz w:val="32"/>
          <w:szCs w:val="32"/>
        </w:rPr>
      </w:pPr>
    </w:p>
    <w:p w14:paraId="13BA592E">
      <w:pPr>
        <w:spacing w:line="600" w:lineRule="exact"/>
        <w:ind w:firstLine="640"/>
        <w:rPr>
          <w:rFonts w:hint="eastAsia" w:eastAsia="仿宋_GB2312" w:cs="仿宋_GB2312"/>
          <w:sz w:val="32"/>
          <w:szCs w:val="32"/>
        </w:rPr>
      </w:pPr>
    </w:p>
    <w:p w14:paraId="7F35DF24">
      <w:pPr>
        <w:spacing w:line="600" w:lineRule="exact"/>
        <w:ind w:firstLine="640"/>
        <w:rPr>
          <w:rFonts w:hint="eastAsia" w:eastAsia="仿宋_GB2312" w:cs="仿宋_GB2312"/>
          <w:sz w:val="32"/>
          <w:szCs w:val="32"/>
        </w:rPr>
      </w:pPr>
    </w:p>
    <w:p w14:paraId="15B5DAAF">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5BA6C629">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。因公出国（境）支出决算比</w:t>
      </w:r>
      <w:r>
        <w:rPr>
          <w:rFonts w:hint="eastAsia" w:eastAsia="仿宋_GB2312" w:cs="仿宋_GB2312"/>
          <w:sz w:val="32"/>
          <w:szCs w:val="32"/>
          <w:lang w:val="en-US" w:eastAsia="zh-CN"/>
        </w:rPr>
        <w:t>2024</w:t>
      </w:r>
      <w:r>
        <w:rPr>
          <w:rFonts w:hint="eastAsia" w:eastAsia="仿宋_GB2312" w:cs="仿宋_GB2312"/>
          <w:sz w:val="32"/>
          <w:szCs w:val="32"/>
        </w:rPr>
        <w:t>年增加/减少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0912F05">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1.18</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w:t>
      </w:r>
      <w:r>
        <w:rPr>
          <w:rFonts w:hint="eastAsia" w:eastAsia="仿宋_GB2312" w:cs="仿宋_GB2312"/>
          <w:sz w:val="32"/>
          <w:szCs w:val="32"/>
          <w:lang w:val="en-US" w:eastAsia="zh-CN"/>
        </w:rPr>
        <w:t>2024</w:t>
      </w:r>
      <w:r>
        <w:rPr>
          <w:rFonts w:hint="eastAsia" w:eastAsia="仿宋_GB2312" w:cs="仿宋_GB2312"/>
          <w:sz w:val="32"/>
          <w:szCs w:val="32"/>
        </w:rPr>
        <w:t>年度减少</w:t>
      </w:r>
      <w:r>
        <w:rPr>
          <w:rFonts w:hint="eastAsia" w:eastAsia="仿宋_GB2312" w:cs="仿宋_GB2312"/>
          <w:sz w:val="32"/>
          <w:szCs w:val="32"/>
          <w:lang w:val="en-US" w:eastAsia="zh-CN"/>
        </w:rPr>
        <w:t>1.12</w:t>
      </w:r>
      <w:r>
        <w:rPr>
          <w:rFonts w:hint="eastAsia" w:eastAsia="仿宋_GB2312" w:cs="仿宋_GB2312"/>
          <w:sz w:val="32"/>
          <w:szCs w:val="32"/>
        </w:rPr>
        <w:t>万元，下降</w:t>
      </w:r>
      <w:r>
        <w:rPr>
          <w:rFonts w:hint="eastAsia" w:eastAsia="仿宋_GB2312" w:cs="仿宋_GB2312"/>
          <w:sz w:val="32"/>
          <w:szCs w:val="32"/>
          <w:lang w:val="en-US" w:eastAsia="zh-CN"/>
        </w:rPr>
        <w:t>48.7</w:t>
      </w:r>
      <w:r>
        <w:rPr>
          <w:rFonts w:hint="eastAsia" w:eastAsia="仿宋_GB2312" w:cs="仿宋_GB2312"/>
          <w:sz w:val="32"/>
          <w:szCs w:val="32"/>
        </w:rPr>
        <w:t>%。主要原因是</w:t>
      </w:r>
      <w:r>
        <w:rPr>
          <w:rFonts w:hint="eastAsia" w:ascii="仿宋" w:hAnsi="仿宋" w:eastAsia="仿宋"/>
          <w:sz w:val="32"/>
          <w:szCs w:val="32"/>
          <w:lang w:eastAsia="zh-CN"/>
        </w:rPr>
        <w:t>强化公务用车日常管理，统筹调度公务出行，减少非必要用车，压减车辆运维成本。</w:t>
      </w:r>
    </w:p>
    <w:p w14:paraId="669A61BE">
      <w:pPr>
        <w:spacing w:line="600" w:lineRule="exact"/>
        <w:ind w:firstLine="640" w:firstLineChars="200"/>
        <w:rPr>
          <w:rFonts w:hint="eastAsia" w:eastAsia="仿宋_GB2312" w:cs="仿宋_GB2312"/>
          <w:sz w:val="32"/>
          <w:szCs w:val="32"/>
          <w:lang w:val="en-US" w:eastAsia="zh-CN"/>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w:t>
      </w:r>
      <w:r>
        <w:rPr>
          <w:rFonts w:hint="eastAsia" w:eastAsia="仿宋_GB2312" w:cs="仿宋_GB2312"/>
          <w:sz w:val="32"/>
          <w:szCs w:val="32"/>
          <w:lang w:val="en-US" w:eastAsia="zh-CN"/>
        </w:rPr>
        <w:t>2025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辆，其中：越野车</w:t>
      </w:r>
      <w:r>
        <w:rPr>
          <w:rFonts w:hint="eastAsia" w:eastAsia="仿宋_GB2312" w:cs="仿宋_GB2312"/>
          <w:sz w:val="32"/>
          <w:szCs w:val="32"/>
          <w:lang w:val="en-US" w:eastAsia="zh-CN"/>
        </w:rPr>
        <w:t>1</w:t>
      </w:r>
      <w:r>
        <w:rPr>
          <w:rFonts w:hint="eastAsia" w:eastAsia="仿宋_GB2312" w:cs="仿宋_GB2312"/>
          <w:sz w:val="32"/>
          <w:szCs w:val="32"/>
        </w:rPr>
        <w:t>辆。</w:t>
      </w:r>
    </w:p>
    <w:p w14:paraId="7986C757">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1.18</w:t>
      </w:r>
      <w:r>
        <w:rPr>
          <w:rFonts w:hint="eastAsia" w:eastAsia="仿宋_GB2312" w:cs="仿宋_GB2312"/>
          <w:sz w:val="32"/>
          <w:szCs w:val="32"/>
        </w:rPr>
        <w:t>万元。主要用于</w:t>
      </w:r>
      <w:r>
        <w:rPr>
          <w:rFonts w:hint="eastAsia" w:eastAsia="仿宋_GB2312" w:cs="仿宋_GB2312"/>
          <w:sz w:val="32"/>
          <w:szCs w:val="32"/>
          <w:lang w:eastAsia="zh-CN"/>
        </w:rPr>
        <w:t>出差办事</w:t>
      </w:r>
      <w:r>
        <w:rPr>
          <w:rFonts w:hint="eastAsia" w:eastAsia="仿宋_GB2312" w:cs="仿宋_GB2312"/>
          <w:sz w:val="32"/>
          <w:szCs w:val="32"/>
        </w:rPr>
        <w:t>所需的公务用车燃料费、维修费、过路过桥费、保险费等支出。</w:t>
      </w:r>
    </w:p>
    <w:p w14:paraId="794DF390">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公务接待费支出决算比20</w:t>
      </w:r>
      <w:r>
        <w:rPr>
          <w:rFonts w:hint="eastAsia" w:eastAsia="仿宋_GB2312" w:cs="仿宋_GB2312"/>
          <w:sz w:val="32"/>
          <w:szCs w:val="32"/>
          <w:lang w:val="en-US" w:eastAsia="zh-CN"/>
        </w:rPr>
        <w:t>24</w:t>
      </w:r>
      <w:r>
        <w:rPr>
          <w:rFonts w:hint="eastAsia" w:eastAsia="仿宋_GB2312" w:cs="仿宋_GB2312"/>
          <w:sz w:val="32"/>
          <w:szCs w:val="32"/>
        </w:rPr>
        <w:t>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78F616E0">
      <w:pPr>
        <w:spacing w:line="600" w:lineRule="exact"/>
        <w:outlineLvl w:val="1"/>
        <w:rPr>
          <w:rStyle w:val="29"/>
          <w:rFonts w:ascii="Times New Roman" w:hAnsi="Times New Roman" w:eastAsia="黑体"/>
        </w:rPr>
      </w:pPr>
      <w:bookmarkStart w:id="34" w:name="_Toc15396610"/>
      <w:bookmarkStart w:id="35" w:name="_Toc15377218"/>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2C682540">
      <w:pPr>
        <w:spacing w:line="600" w:lineRule="exact"/>
        <w:ind w:firstLine="640"/>
        <w:rPr>
          <w:rFonts w:hint="eastAsia" w:eastAsia="仿宋_GB2312" w:cs="仿宋_GB2312"/>
          <w:b/>
          <w:bCs/>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23CF8B31">
      <w:pPr>
        <w:spacing w:line="600" w:lineRule="exact"/>
        <w:outlineLvl w:val="1"/>
        <w:rPr>
          <w:rStyle w:val="29"/>
          <w:rFonts w:ascii="Times New Roman" w:hAnsi="Times New Roman" w:eastAsia="黑体"/>
          <w:b w:val="0"/>
        </w:rPr>
      </w:pPr>
      <w:bookmarkStart w:id="36" w:name="_Toc15377219"/>
      <w:bookmarkStart w:id="37" w:name="_Toc15396611"/>
      <w:r>
        <w:rPr>
          <w:rStyle w:val="29"/>
          <w:rFonts w:hint="eastAsia" w:ascii="Times New Roman" w:hAnsi="Times New Roman" w:eastAsia="黑体"/>
          <w:b w:val="0"/>
        </w:rPr>
        <w:t>九、国有资本经营预算支出决算情况说明</w:t>
      </w:r>
      <w:bookmarkEnd w:id="36"/>
      <w:bookmarkEnd w:id="37"/>
    </w:p>
    <w:p w14:paraId="46A2F255">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1D2FE7A9">
      <w:pPr>
        <w:spacing w:line="600" w:lineRule="exact"/>
        <w:outlineLvl w:val="1"/>
        <w:rPr>
          <w:rStyle w:val="29"/>
          <w:rFonts w:ascii="Times New Roman" w:hAnsi="Times New Roman" w:eastAsia="黑体"/>
          <w:b w:val="0"/>
        </w:rPr>
      </w:pPr>
      <w:bookmarkStart w:id="38" w:name="_Toc15396612"/>
      <w:bookmarkStart w:id="39" w:name="_Toc15377221"/>
      <w:r>
        <w:rPr>
          <w:rStyle w:val="29"/>
          <w:rFonts w:hint="eastAsia" w:ascii="Times New Roman" w:hAnsi="Times New Roman" w:eastAsia="黑体"/>
          <w:b w:val="0"/>
        </w:rPr>
        <w:t>十、其他重要事项的情况说明</w:t>
      </w:r>
      <w:bookmarkEnd w:id="38"/>
      <w:bookmarkEnd w:id="39"/>
    </w:p>
    <w:p w14:paraId="411035DC">
      <w:pPr>
        <w:spacing w:line="600" w:lineRule="exact"/>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3BBC1879">
      <w:pPr>
        <w:spacing w:line="600" w:lineRule="exact"/>
        <w:ind w:firstLine="640" w:firstLineChars="200"/>
        <w:rPr>
          <w:rFonts w:hint="default" w:ascii="仿宋_GB2312" w:eastAsia="仿宋_GB2312"/>
          <w:sz w:val="32"/>
          <w:szCs w:val="32"/>
          <w:lang w:val="en-US" w:eastAsia="zh-CN"/>
        </w:rPr>
      </w:pPr>
      <w:r>
        <w:rPr>
          <w:rFonts w:ascii="仿宋_GB2312" w:eastAsia="仿宋_GB2312"/>
          <w:sz w:val="32"/>
          <w:szCs w:val="32"/>
        </w:rPr>
        <w:t>本单位为事业单位，未使用机关运行经费相关科目，机关运行经费安排为</w:t>
      </w:r>
      <w:r>
        <w:rPr>
          <w:rFonts w:hint="eastAsia" w:ascii="仿宋_GB2312" w:eastAsia="仿宋_GB2312"/>
          <w:sz w:val="32"/>
          <w:szCs w:val="32"/>
          <w:lang w:val="en-US" w:eastAsia="zh-CN"/>
        </w:rPr>
        <w:t>0</w:t>
      </w:r>
      <w:r>
        <w:rPr>
          <w:rFonts w:hint="eastAsia" w:ascii="仿宋_GB2312" w:hAnsi="仿宋_GB2312" w:eastAsia="仿宋_GB2312" w:cs="仿宋_GB2312"/>
          <w:sz w:val="32"/>
          <w:szCs w:val="32"/>
          <w:lang w:eastAsia="zh-CN"/>
        </w:rPr>
        <w:t>。</w:t>
      </w:r>
    </w:p>
    <w:p w14:paraId="4D294E30">
      <w:pPr>
        <w:spacing w:line="600" w:lineRule="exact"/>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2266FFFF">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年度政府采购支出总额</w:t>
      </w:r>
      <w:r>
        <w:rPr>
          <w:rFonts w:hint="eastAsia" w:ascii="仿宋_GB2312" w:eastAsia="仿宋_GB2312"/>
          <w:sz w:val="32"/>
          <w:szCs w:val="32"/>
          <w:lang w:val="en-US" w:eastAsia="zh-CN"/>
        </w:rPr>
        <w:t xml:space="preserve">0 </w:t>
      </w:r>
      <w:r>
        <w:rPr>
          <w:rFonts w:hint="eastAsia" w:ascii="仿宋_GB2312" w:eastAsia="仿宋_GB2312"/>
          <w:sz w:val="32"/>
          <w:szCs w:val="32"/>
        </w:rPr>
        <w:t>万元，其中政府采购服务支出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49D00F01">
      <w:pPr>
        <w:spacing w:line="600" w:lineRule="exact"/>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69B530CA">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w:t>
      </w:r>
      <w:r>
        <w:rPr>
          <w:rFonts w:hint="eastAsia" w:ascii="仿宋_GB2312" w:hAnsi="仿宋_GB2312" w:eastAsia="仿宋_GB2312" w:cs="仿宋_GB2312"/>
          <w:sz w:val="32"/>
          <w:szCs w:val="32"/>
          <w:lang w:eastAsia="zh-CN"/>
        </w:rPr>
        <w:t>阿坝州林草种苗站</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辆，其中：其他用车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辆，其他用车主要是用于</w:t>
      </w:r>
      <w:r>
        <w:rPr>
          <w:rFonts w:hint="eastAsia" w:ascii="仿宋_GB2312" w:eastAsia="仿宋_GB2312"/>
          <w:sz w:val="32"/>
          <w:szCs w:val="32"/>
          <w:lang w:eastAsia="zh-CN"/>
        </w:rPr>
        <w:t>日常出差工作等业务</w:t>
      </w:r>
      <w:r>
        <w:rPr>
          <w:rFonts w:hint="eastAsia" w:ascii="仿宋_GB2312" w:eastAsia="仿宋_GB2312"/>
          <w:sz w:val="32"/>
          <w:szCs w:val="32"/>
        </w:rPr>
        <w:t>。</w:t>
      </w:r>
    </w:p>
    <w:p w14:paraId="009B1C81">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1E51867C">
      <w:pPr>
        <w:spacing w:line="600" w:lineRule="exact"/>
        <w:ind w:firstLine="640"/>
        <w:rPr>
          <w:rFonts w:eastAsia="仿宋_GB2312" w:cs="仿宋_GB2312"/>
          <w:b/>
          <w:bCs/>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阿坝州林草种苗站</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w:t>
      </w:r>
      <w:r>
        <w:rPr>
          <w:rFonts w:hint="eastAsia" w:eastAsia="仿宋_GB2312" w:cs="仿宋_GB2312"/>
          <w:sz w:val="32"/>
          <w:szCs w:val="32"/>
          <w:lang w:val="en-US" w:eastAsia="zh-CN"/>
        </w:rPr>
        <w:t>2025年林草种苗相关项目工作经费 0</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0</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0</w:t>
      </w:r>
      <w:r>
        <w:rPr>
          <w:rFonts w:hint="eastAsia" w:eastAsia="仿宋_GB2312" w:cs="仿宋_GB2312"/>
          <w:sz w:val="32"/>
          <w:szCs w:val="32"/>
        </w:rPr>
        <w:t>个项目开展绩效监控。</w:t>
      </w:r>
      <w:r>
        <w:rPr>
          <w:rFonts w:hint="eastAsia" w:eastAsia="仿宋_GB2312" w:cs="仿宋_GB2312"/>
          <w:b/>
          <w:bCs/>
          <w:sz w:val="32"/>
          <w:szCs w:val="32"/>
        </w:rPr>
        <w:t>（注：如不涉及，可根据实际修改表述。</w:t>
      </w:r>
    </w:p>
    <w:p w14:paraId="0A8BEA62">
      <w:pPr>
        <w:spacing w:line="600" w:lineRule="exact"/>
        <w:ind w:firstLine="640"/>
        <w:rPr>
          <w:rFonts w:eastAsia="仿宋_GB2312" w:cs="仿宋_GB2312"/>
          <w:sz w:val="32"/>
          <w:szCs w:val="32"/>
        </w:rPr>
      </w:pPr>
    </w:p>
    <w:p w14:paraId="07BB51BB">
      <w:pPr>
        <w:spacing w:line="600" w:lineRule="exact"/>
        <w:ind w:firstLine="640"/>
        <w:rPr>
          <w:rFonts w:eastAsia="仿宋_GB2312" w:cs="仿宋_GB2312"/>
          <w:sz w:val="32"/>
          <w:szCs w:val="32"/>
        </w:rPr>
      </w:pPr>
    </w:p>
    <w:p w14:paraId="02339DFE">
      <w:pPr>
        <w:spacing w:line="600" w:lineRule="exact"/>
        <w:jc w:val="center"/>
        <w:outlineLvl w:val="0"/>
        <w:rPr>
          <w:rFonts w:hint="eastAsia" w:eastAsia="黑体"/>
          <w:sz w:val="44"/>
          <w:szCs w:val="44"/>
        </w:rPr>
      </w:pPr>
      <w:bookmarkStart w:id="43" w:name="_Toc15396613"/>
      <w:bookmarkStart w:id="44" w:name="_Toc15377225"/>
    </w:p>
    <w:p w14:paraId="22A6C4EF">
      <w:pPr>
        <w:spacing w:line="600" w:lineRule="exact"/>
        <w:jc w:val="center"/>
        <w:outlineLvl w:val="0"/>
        <w:rPr>
          <w:rFonts w:hint="eastAsia" w:eastAsia="黑体"/>
          <w:sz w:val="44"/>
          <w:szCs w:val="44"/>
        </w:rPr>
      </w:pPr>
    </w:p>
    <w:p w14:paraId="45642B15">
      <w:pPr>
        <w:spacing w:line="600" w:lineRule="exact"/>
        <w:jc w:val="center"/>
        <w:outlineLvl w:val="0"/>
        <w:rPr>
          <w:rFonts w:hint="eastAsia" w:eastAsia="黑体"/>
          <w:sz w:val="44"/>
          <w:szCs w:val="44"/>
        </w:rPr>
      </w:pPr>
    </w:p>
    <w:p w14:paraId="1D2F2F95">
      <w:pPr>
        <w:spacing w:line="600" w:lineRule="exact"/>
        <w:jc w:val="center"/>
        <w:outlineLvl w:val="0"/>
        <w:rPr>
          <w:rFonts w:hint="eastAsia" w:eastAsia="黑体"/>
          <w:sz w:val="44"/>
          <w:szCs w:val="44"/>
        </w:rPr>
      </w:pPr>
    </w:p>
    <w:p w14:paraId="14BDC583">
      <w:pPr>
        <w:spacing w:line="600" w:lineRule="exact"/>
        <w:jc w:val="center"/>
        <w:outlineLvl w:val="0"/>
        <w:rPr>
          <w:rFonts w:hint="eastAsia" w:eastAsia="黑体"/>
          <w:sz w:val="44"/>
          <w:szCs w:val="44"/>
        </w:rPr>
      </w:pPr>
    </w:p>
    <w:p w14:paraId="070E598D">
      <w:pPr>
        <w:spacing w:line="600" w:lineRule="exact"/>
        <w:jc w:val="center"/>
        <w:outlineLvl w:val="0"/>
        <w:rPr>
          <w:rFonts w:hint="eastAsia" w:eastAsia="黑体"/>
          <w:sz w:val="44"/>
          <w:szCs w:val="44"/>
        </w:rPr>
      </w:pPr>
    </w:p>
    <w:p w14:paraId="0C219531">
      <w:pPr>
        <w:spacing w:line="600" w:lineRule="exact"/>
        <w:jc w:val="center"/>
        <w:outlineLvl w:val="0"/>
        <w:rPr>
          <w:rFonts w:hint="eastAsia" w:eastAsia="黑体"/>
          <w:sz w:val="44"/>
          <w:szCs w:val="44"/>
        </w:rPr>
      </w:pPr>
    </w:p>
    <w:p w14:paraId="12344746">
      <w:pPr>
        <w:spacing w:line="600" w:lineRule="exact"/>
        <w:jc w:val="center"/>
        <w:outlineLvl w:val="0"/>
        <w:rPr>
          <w:rFonts w:hint="eastAsia" w:eastAsia="黑体"/>
          <w:sz w:val="44"/>
          <w:szCs w:val="44"/>
        </w:rPr>
      </w:pPr>
    </w:p>
    <w:p w14:paraId="4AED9FCA">
      <w:pPr>
        <w:spacing w:line="600" w:lineRule="exact"/>
        <w:jc w:val="center"/>
        <w:outlineLvl w:val="0"/>
        <w:rPr>
          <w:rFonts w:eastAsia="黑体"/>
          <w:sz w:val="44"/>
          <w:szCs w:val="44"/>
        </w:rPr>
      </w:pPr>
      <w:r>
        <w:rPr>
          <w:rFonts w:hint="eastAsia" w:eastAsia="黑体"/>
          <w:sz w:val="44"/>
          <w:szCs w:val="44"/>
        </w:rPr>
        <w:t>第三部分  名词解释</w:t>
      </w:r>
      <w:bookmarkEnd w:id="43"/>
      <w:bookmarkEnd w:id="44"/>
    </w:p>
    <w:p w14:paraId="2519FABA">
      <w:pPr>
        <w:spacing w:line="600" w:lineRule="exact"/>
        <w:jc w:val="left"/>
        <w:rPr>
          <w:b/>
          <w:sz w:val="44"/>
          <w:szCs w:val="44"/>
        </w:rPr>
      </w:pPr>
    </w:p>
    <w:p w14:paraId="10EB6BB3">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w:t>
      </w:r>
      <w:bookmarkStart w:id="60" w:name="_GoBack"/>
      <w:bookmarkEnd w:id="60"/>
      <w:r>
        <w:rPr>
          <w:rFonts w:hint="eastAsia" w:eastAsia="仿宋_GB2312" w:cs="仿宋_GB2312"/>
          <w:sz w:val="32"/>
          <w:szCs w:val="32"/>
        </w:rPr>
        <w:t>算资金。</w:t>
      </w:r>
    </w:p>
    <w:p w14:paraId="50DC9866">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61EFAD6F">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4541EC55">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2CF8A71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059767E3">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67A0CC2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A636A2F">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E2D07E4">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9</w:t>
      </w:r>
      <w:r>
        <w:rPr>
          <w:rFonts w:hint="eastAsia" w:ascii="仿宋_GB2312" w:hAnsi="宋体" w:eastAsia="仿宋_GB2312" w:cs="仿宋_GB2312"/>
          <w:kern w:val="0"/>
          <w:sz w:val="32"/>
          <w:szCs w:val="32"/>
        </w:rPr>
        <w:t>.社会保障和就业（208）行政事业单位离退休（05）机关事业单位基本养老保险缴费支出（05）：指反映各级财政部门对机关事业单位基本养老保险基金收老保险基金的补助支缺口的补助。</w:t>
      </w:r>
    </w:p>
    <w:p w14:paraId="3DB77A97">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10.</w:t>
      </w:r>
      <w:r>
        <w:rPr>
          <w:rFonts w:hint="eastAsia" w:ascii="仿宋_GB2312" w:hAnsi="宋体" w:eastAsia="仿宋_GB2312" w:cs="仿宋_GB2312"/>
          <w:kern w:val="0"/>
          <w:sz w:val="32"/>
          <w:szCs w:val="32"/>
        </w:rPr>
        <w:t>社会保障和就业（208）行政事业单位离退休（05）机关事业单位职业年金缴费支出（06）：指反映机关事业单位实施养老保险制度由单位实际缴纳的缴费支出职业年金支出。</w:t>
      </w:r>
    </w:p>
    <w:p w14:paraId="3B5B9840">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11.</w:t>
      </w:r>
      <w:r>
        <w:rPr>
          <w:rFonts w:hint="eastAsia" w:ascii="仿宋_GB2312" w:hAnsi="宋体" w:eastAsia="仿宋_GB2312" w:cs="仿宋_GB2312"/>
          <w:kern w:val="0"/>
          <w:sz w:val="32"/>
          <w:szCs w:val="32"/>
        </w:rPr>
        <w:t>卫生健康支出（210）行政事业单位医疗（11）事业单位医疗（02）：指反映财政部门集中安排的事业单位基本医疗保险缴费经费，未参加医疗保险的事业单位的公费医疗经费，按国家规定享受离休人员待遇的医疗经费。</w:t>
      </w:r>
    </w:p>
    <w:p w14:paraId="76548E6F">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12.</w:t>
      </w:r>
      <w:r>
        <w:rPr>
          <w:rFonts w:hint="eastAsia" w:ascii="仿宋_GB2312" w:hAnsi="宋体" w:eastAsia="仿宋_GB2312" w:cs="仿宋_GB2312"/>
          <w:kern w:val="0"/>
          <w:sz w:val="32"/>
          <w:szCs w:val="32"/>
        </w:rPr>
        <w:t>卫生健康支出（210）行政事业单位医疗（11）其他行政事业单位医疗（99）：指反映除上述项目以外的其他用于行政事业单位医疗方面的支出。</w:t>
      </w:r>
    </w:p>
    <w:p w14:paraId="34ABB1C9">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13</w:t>
      </w:r>
      <w:r>
        <w:rPr>
          <w:rFonts w:hint="eastAsia" w:ascii="仿宋_GB2312" w:hAnsi="宋体" w:eastAsia="仿宋_GB2312" w:cs="仿宋_GB2312"/>
          <w:kern w:val="0"/>
          <w:sz w:val="32"/>
          <w:szCs w:val="32"/>
        </w:rPr>
        <w:t>住房保障（221）住房改革支出（02）住房公积金（01）：指反映行政事业单位按人力资源和社会保障部、财政部规定的基本工资和津贴补贴以及规定比例为职工缴纳的住房公积金。</w:t>
      </w:r>
    </w:p>
    <w:p w14:paraId="6EAC08C0">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宋体" w:cs="仿宋_GB2312"/>
          <w:kern w:val="0"/>
          <w:sz w:val="32"/>
          <w:szCs w:val="32"/>
          <w:lang w:eastAsia="zh-CN"/>
        </w:rPr>
      </w:pPr>
      <w:r>
        <w:rPr>
          <w:rFonts w:hint="eastAsia" w:ascii="仿宋_GB2312" w:eastAsia="仿宋_GB2312" w:cs="仿宋_GB2312"/>
          <w:kern w:val="0"/>
          <w:sz w:val="32"/>
          <w:szCs w:val="32"/>
          <w:lang w:val="en-US" w:eastAsia="zh-CN"/>
        </w:rPr>
        <w:t>14.</w:t>
      </w:r>
      <w:r>
        <w:rPr>
          <w:rFonts w:hint="eastAsia" w:ascii="仿宋_GB2312" w:hAnsi="宋体" w:eastAsia="仿宋_GB2312" w:cs="仿宋_GB2312"/>
          <w:kern w:val="0"/>
          <w:sz w:val="32"/>
          <w:szCs w:val="32"/>
        </w:rPr>
        <w:t>住房保障（221）住房改革支出（02）</w:t>
      </w:r>
      <w:r>
        <w:rPr>
          <w:rFonts w:hint="eastAsia" w:ascii="仿宋_GB2312" w:eastAsia="仿宋_GB2312" w:cs="仿宋_GB2312"/>
          <w:kern w:val="0"/>
          <w:sz w:val="32"/>
          <w:szCs w:val="32"/>
          <w:lang w:eastAsia="zh-CN"/>
        </w:rPr>
        <w:t>购房补贴</w:t>
      </w:r>
      <w:r>
        <w:rPr>
          <w:rFonts w:hint="eastAsia" w:ascii="仿宋_GB2312" w:hAnsi="宋体" w:eastAsia="仿宋_GB2312" w:cs="仿宋_GB2312"/>
          <w:kern w:val="0"/>
          <w:sz w:val="32"/>
          <w:szCs w:val="32"/>
        </w:rPr>
        <w:t>（0</w:t>
      </w:r>
      <w:r>
        <w:rPr>
          <w:rFonts w:hint="eastAsia" w:ascii="仿宋_GB2312" w:eastAsia="仿宋_GB2312" w:cs="仿宋_GB2312"/>
          <w:kern w:val="0"/>
          <w:sz w:val="32"/>
          <w:szCs w:val="32"/>
          <w:lang w:val="en-US" w:eastAsia="zh-CN"/>
        </w:rPr>
        <w:t>3</w:t>
      </w:r>
      <w:r>
        <w:rPr>
          <w:rFonts w:hint="eastAsia" w:ascii="仿宋_GB2312" w:hAnsi="宋体" w:eastAsia="仿宋_GB2312" w:cs="仿宋_GB2312"/>
          <w:kern w:val="0"/>
          <w:sz w:val="32"/>
          <w:szCs w:val="32"/>
        </w:rPr>
        <w:t>）：指反映行政事业单位按人力资源和社会保障部、财政部规定按房改政策</w:t>
      </w:r>
      <w:r>
        <w:rPr>
          <w:rFonts w:hint="default" w:ascii="仿宋_GB2312" w:hAnsi="宋体" w:eastAsia="仿宋_GB2312" w:cs="仿宋_GB2312"/>
          <w:kern w:val="0"/>
          <w:sz w:val="32"/>
          <w:szCs w:val="32"/>
        </w:rPr>
        <w:t>向符合条件的职工发放的购房补贴。</w:t>
      </w:r>
      <w:r>
        <w:rPr>
          <w:rFonts w:hint="default" w:ascii="Arial" w:hAnsi="Arial" w:eastAsia="Arial" w:cs="Arial"/>
          <w:i w:val="0"/>
          <w:iCs w:val="0"/>
          <w:caps w:val="0"/>
          <w:color w:val="333333"/>
          <w:spacing w:val="0"/>
          <w:sz w:val="24"/>
          <w:szCs w:val="24"/>
          <w:shd w:val="clear" w:fill="FFFFFF"/>
        </w:rPr>
        <w:t xml:space="preserve"> ‌</w:t>
      </w:r>
    </w:p>
    <w:p w14:paraId="2FE984B3">
      <w:p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.农林水（</w:t>
      </w:r>
      <w:r>
        <w:rPr>
          <w:rFonts w:hint="eastAsia" w:eastAsia="仿宋_GB2312" w:cs="仿宋_GB2312"/>
          <w:sz w:val="32"/>
          <w:szCs w:val="32"/>
          <w:lang w:val="en-US" w:eastAsia="zh-CN"/>
        </w:rPr>
        <w:t>213</w:t>
      </w:r>
      <w:r>
        <w:rPr>
          <w:rFonts w:hint="eastAsia" w:eastAsia="仿宋_GB2312" w:cs="仿宋_GB2312"/>
          <w:sz w:val="32"/>
          <w:szCs w:val="32"/>
        </w:rPr>
        <w:t>）</w:t>
      </w:r>
      <w:r>
        <w:rPr>
          <w:rFonts w:hint="eastAsia" w:eastAsia="仿宋_GB2312" w:cs="仿宋_GB2312"/>
          <w:sz w:val="32"/>
          <w:szCs w:val="32"/>
          <w:lang w:eastAsia="zh-CN"/>
        </w:rPr>
        <w:t>林业和草原</w:t>
      </w:r>
      <w:r>
        <w:rPr>
          <w:rFonts w:hint="eastAsia" w:eastAsia="仿宋_GB2312" w:cs="仿宋_GB2312"/>
          <w:sz w:val="32"/>
          <w:szCs w:val="32"/>
        </w:rPr>
        <w:t>（</w:t>
      </w:r>
      <w:r>
        <w:rPr>
          <w:rFonts w:hint="eastAsia" w:eastAsia="仿宋_GB2312" w:cs="仿宋_GB2312"/>
          <w:sz w:val="32"/>
          <w:szCs w:val="32"/>
          <w:lang w:val="en-US" w:eastAsia="zh-CN"/>
        </w:rPr>
        <w:t>02</w:t>
      </w:r>
      <w:r>
        <w:rPr>
          <w:rFonts w:hint="eastAsia" w:eastAsia="仿宋_GB2312" w:cs="仿宋_GB2312"/>
          <w:sz w:val="32"/>
          <w:szCs w:val="32"/>
        </w:rPr>
        <w:t>）</w:t>
      </w:r>
      <w:r>
        <w:rPr>
          <w:rFonts w:hint="eastAsia" w:eastAsia="仿宋_GB2312" w:cs="仿宋_GB2312"/>
          <w:sz w:val="32"/>
          <w:szCs w:val="32"/>
          <w:lang w:eastAsia="zh-CN"/>
        </w:rPr>
        <w:t>事业机构</w:t>
      </w:r>
      <w:r>
        <w:rPr>
          <w:rFonts w:hint="eastAsia" w:eastAsia="仿宋_GB2312" w:cs="仿宋_GB2312"/>
          <w:sz w:val="32"/>
          <w:szCs w:val="32"/>
        </w:rPr>
        <w:t>（</w:t>
      </w:r>
      <w:r>
        <w:rPr>
          <w:rFonts w:hint="eastAsia" w:eastAsia="仿宋_GB2312" w:cs="仿宋_GB2312"/>
          <w:sz w:val="32"/>
          <w:szCs w:val="32"/>
          <w:lang w:val="en-US" w:eastAsia="zh-CN"/>
        </w:rPr>
        <w:t>04</w:t>
      </w:r>
      <w:r>
        <w:rPr>
          <w:rFonts w:hint="eastAsia" w:eastAsia="仿宋_GB2312" w:cs="仿宋_GB2312"/>
          <w:sz w:val="32"/>
          <w:szCs w:val="32"/>
        </w:rPr>
        <w:t>）：指</w:t>
      </w:r>
      <w:r>
        <w:rPr>
          <w:rFonts w:hint="eastAsia" w:eastAsia="仿宋_GB2312" w:cs="仿宋_GB2312"/>
          <w:sz w:val="32"/>
          <w:szCs w:val="32"/>
          <w:lang w:eastAsia="zh-CN"/>
        </w:rPr>
        <w:t>日常工作中的支出</w:t>
      </w:r>
    </w:p>
    <w:p w14:paraId="2A0B66CB">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（注：解释本部门决算报表中涉及的全部功能分类科目至项级，不涉及的科目请自行删除。请参照《2024年政府收支分类科目》增减内容）</w:t>
      </w:r>
    </w:p>
    <w:p w14:paraId="17E01F9D">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.基本支出：指为保障机构正常运转、完成日常工作任务而发生的人员支出和公用支出。</w:t>
      </w:r>
    </w:p>
    <w:p w14:paraId="3411C61B">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 xml:space="preserve">.项目支出：指在基本支出之外为完成特定行政任务和事业发展目标所发生的支出。 </w:t>
      </w:r>
    </w:p>
    <w:p w14:paraId="1E3348DB">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.经营支出：指事业单位在专业业务活动及其辅助活动之外开展非独立核算经营活动发生的支出。</w:t>
      </w:r>
    </w:p>
    <w:p w14:paraId="431CD98C">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7B3E27">
      <w:pPr>
        <w:spacing w:line="600" w:lineRule="exact"/>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22E2F96E">
      <w:pPr>
        <w:spacing w:line="578" w:lineRule="exact"/>
        <w:ind w:firstLine="640"/>
        <w:rPr>
          <w:rFonts w:eastAsia="仿宋_GB2312" w:cs="仿宋_GB2312"/>
          <w:kern w:val="0"/>
          <w:sz w:val="32"/>
          <w:szCs w:val="32"/>
        </w:rPr>
      </w:pPr>
      <w:bookmarkStart w:id="45" w:name="_Toc15377226"/>
      <w:r>
        <w:rPr>
          <w:rFonts w:hint="eastAsia" w:eastAsia="仿宋_GB2312" w:cs="仿宋_GB2312"/>
          <w:sz w:val="32"/>
          <w:szCs w:val="32"/>
        </w:rPr>
        <w:br w:type="page"/>
      </w:r>
      <w:bookmarkStart w:id="46" w:name="_Toc15396618"/>
    </w:p>
    <w:p w14:paraId="5B4B93F9">
      <w:pPr>
        <w:widowControl/>
        <w:jc w:val="center"/>
        <w:rPr>
          <w:rFonts w:eastAsia="仿宋"/>
        </w:rPr>
      </w:pPr>
      <w:r>
        <w:rPr>
          <w:rFonts w:hint="eastAsia" w:eastAsia="黑体"/>
          <w:sz w:val="44"/>
          <w:szCs w:val="44"/>
        </w:rPr>
        <w:t>第</w:t>
      </w:r>
      <w:r>
        <w:rPr>
          <w:rStyle w:val="28"/>
          <w:rFonts w:hint="eastAsia" w:eastAsia="黑体"/>
          <w:b w:val="0"/>
        </w:rPr>
        <w:t>五部分 附表</w:t>
      </w:r>
      <w:bookmarkEnd w:id="45"/>
      <w:bookmarkEnd w:id="46"/>
      <w:bookmarkStart w:id="47" w:name="_Toc15396619"/>
    </w:p>
    <w:p w14:paraId="48C236F6">
      <w:pPr>
        <w:pStyle w:val="14"/>
        <w:adjustRightInd w:val="0"/>
        <w:snapToGrid w:val="0"/>
        <w:spacing w:line="560" w:lineRule="exact"/>
        <w:jc w:val="left"/>
        <w:rPr>
          <w:rFonts w:eastAsia="仿宋_GB2312" w:cs="仿宋_GB2312"/>
          <w:sz w:val="32"/>
          <w:szCs w:val="32"/>
        </w:rPr>
      </w:pPr>
    </w:p>
    <w:p w14:paraId="792C36C3">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7"/>
    </w:p>
    <w:p w14:paraId="31217932">
      <w:pPr>
        <w:pStyle w:val="14"/>
        <w:adjustRightInd w:val="0"/>
        <w:snapToGrid w:val="0"/>
        <w:spacing w:line="560" w:lineRule="exact"/>
        <w:jc w:val="left"/>
        <w:rPr>
          <w:rFonts w:eastAsia="仿宋_GB2312" w:cs="仿宋_GB2312"/>
          <w:sz w:val="32"/>
          <w:szCs w:val="32"/>
        </w:rPr>
      </w:pPr>
      <w:bookmarkStart w:id="48" w:name="_Toc15396620"/>
      <w:r>
        <w:rPr>
          <w:rFonts w:hint="eastAsia" w:eastAsia="仿宋_GB2312" w:cs="仿宋_GB2312"/>
          <w:sz w:val="32"/>
          <w:szCs w:val="32"/>
        </w:rPr>
        <w:t>二、收入决算表</w:t>
      </w:r>
      <w:bookmarkEnd w:id="48"/>
    </w:p>
    <w:p w14:paraId="4EBBEEE6">
      <w:pPr>
        <w:pStyle w:val="14"/>
        <w:adjustRightInd w:val="0"/>
        <w:snapToGrid w:val="0"/>
        <w:spacing w:line="560" w:lineRule="exact"/>
        <w:jc w:val="left"/>
        <w:rPr>
          <w:rFonts w:eastAsia="仿宋_GB2312" w:cs="仿宋_GB2312"/>
          <w:sz w:val="32"/>
          <w:szCs w:val="32"/>
        </w:rPr>
      </w:pPr>
      <w:bookmarkStart w:id="49" w:name="_Toc15396621"/>
      <w:r>
        <w:rPr>
          <w:rFonts w:hint="eastAsia" w:eastAsia="仿宋_GB2312" w:cs="仿宋_GB2312"/>
          <w:sz w:val="32"/>
          <w:szCs w:val="32"/>
        </w:rPr>
        <w:t>三、支出决算表</w:t>
      </w:r>
      <w:bookmarkEnd w:id="49"/>
    </w:p>
    <w:p w14:paraId="4C1D33F2">
      <w:pPr>
        <w:pStyle w:val="14"/>
        <w:adjustRightInd w:val="0"/>
        <w:snapToGrid w:val="0"/>
        <w:spacing w:line="560" w:lineRule="exact"/>
        <w:jc w:val="left"/>
        <w:rPr>
          <w:rFonts w:eastAsia="仿宋_GB2312" w:cs="仿宋_GB2312"/>
          <w:sz w:val="32"/>
          <w:szCs w:val="32"/>
        </w:rPr>
      </w:pPr>
      <w:bookmarkStart w:id="50" w:name="_Toc15396622"/>
      <w:r>
        <w:rPr>
          <w:rFonts w:hint="eastAsia" w:eastAsia="仿宋_GB2312" w:cs="仿宋_GB2312"/>
          <w:sz w:val="32"/>
          <w:szCs w:val="32"/>
        </w:rPr>
        <w:t>四、财政拨款收入支出决算总表</w:t>
      </w:r>
      <w:bookmarkEnd w:id="50"/>
    </w:p>
    <w:p w14:paraId="556D34A2">
      <w:pPr>
        <w:pStyle w:val="14"/>
        <w:adjustRightInd w:val="0"/>
        <w:snapToGrid w:val="0"/>
        <w:spacing w:line="560" w:lineRule="exact"/>
        <w:jc w:val="left"/>
        <w:rPr>
          <w:rFonts w:eastAsia="仿宋_GB2312" w:cs="仿宋_GB2312"/>
          <w:sz w:val="32"/>
          <w:szCs w:val="32"/>
        </w:rPr>
      </w:pPr>
      <w:bookmarkStart w:id="51" w:name="_Toc15396623"/>
      <w:r>
        <w:rPr>
          <w:rFonts w:hint="eastAsia" w:eastAsia="仿宋_GB2312" w:cs="仿宋_GB2312"/>
          <w:sz w:val="32"/>
          <w:szCs w:val="32"/>
        </w:rPr>
        <w:t>五、财政拨款支出决算明细表</w:t>
      </w:r>
      <w:bookmarkEnd w:id="51"/>
      <w:bookmarkStart w:id="52" w:name="_Toc15396624"/>
    </w:p>
    <w:p w14:paraId="30E916C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2"/>
    </w:p>
    <w:p w14:paraId="5488F29F">
      <w:pPr>
        <w:pStyle w:val="14"/>
        <w:adjustRightInd w:val="0"/>
        <w:snapToGrid w:val="0"/>
        <w:spacing w:line="560" w:lineRule="exact"/>
        <w:jc w:val="left"/>
        <w:rPr>
          <w:rFonts w:eastAsia="仿宋_GB2312" w:cs="仿宋_GB2312"/>
          <w:sz w:val="32"/>
          <w:szCs w:val="32"/>
        </w:rPr>
      </w:pPr>
      <w:bookmarkStart w:id="53" w:name="_Toc15396625"/>
      <w:r>
        <w:rPr>
          <w:rFonts w:hint="eastAsia" w:eastAsia="仿宋_GB2312" w:cs="仿宋_GB2312"/>
          <w:sz w:val="32"/>
          <w:szCs w:val="32"/>
        </w:rPr>
        <w:t>七、一般公共预算财政拨款支出决算明细表</w:t>
      </w:r>
      <w:bookmarkEnd w:id="53"/>
    </w:p>
    <w:p w14:paraId="4111EDC7">
      <w:pPr>
        <w:pStyle w:val="14"/>
        <w:adjustRightInd w:val="0"/>
        <w:snapToGrid w:val="0"/>
        <w:spacing w:line="560" w:lineRule="exact"/>
        <w:jc w:val="left"/>
        <w:rPr>
          <w:rFonts w:eastAsia="仿宋_GB2312" w:cs="仿宋_GB2312"/>
          <w:sz w:val="32"/>
          <w:szCs w:val="32"/>
        </w:rPr>
      </w:pPr>
      <w:bookmarkStart w:id="54" w:name="_Toc15396626"/>
      <w:r>
        <w:rPr>
          <w:rFonts w:hint="eastAsia" w:eastAsia="仿宋_GB2312" w:cs="仿宋_GB2312"/>
          <w:sz w:val="32"/>
          <w:szCs w:val="32"/>
        </w:rPr>
        <w:t>八、一般公共预算财政拨款基本支出决算表</w:t>
      </w:r>
      <w:bookmarkEnd w:id="54"/>
    </w:p>
    <w:p w14:paraId="755FCE0B">
      <w:pPr>
        <w:pStyle w:val="14"/>
        <w:adjustRightInd w:val="0"/>
        <w:snapToGrid w:val="0"/>
        <w:spacing w:line="560" w:lineRule="exact"/>
        <w:jc w:val="left"/>
        <w:rPr>
          <w:rFonts w:eastAsia="仿宋_GB2312" w:cs="仿宋_GB2312"/>
          <w:sz w:val="32"/>
          <w:szCs w:val="32"/>
        </w:rPr>
      </w:pPr>
      <w:bookmarkStart w:id="55" w:name="_Toc15396627"/>
      <w:r>
        <w:rPr>
          <w:rFonts w:hint="eastAsia" w:eastAsia="仿宋_GB2312" w:cs="仿宋_GB2312"/>
          <w:sz w:val="32"/>
          <w:szCs w:val="32"/>
        </w:rPr>
        <w:t>九、一般公共预算财政拨款项目支出决算表</w:t>
      </w:r>
      <w:bookmarkEnd w:id="55"/>
    </w:p>
    <w:p w14:paraId="1F349079">
      <w:pPr>
        <w:pStyle w:val="14"/>
        <w:adjustRightInd w:val="0"/>
        <w:snapToGrid w:val="0"/>
        <w:spacing w:line="560" w:lineRule="exact"/>
        <w:jc w:val="left"/>
        <w:rPr>
          <w:rFonts w:eastAsia="仿宋_GB2312" w:cs="仿宋_GB2312"/>
          <w:sz w:val="32"/>
          <w:szCs w:val="32"/>
        </w:rPr>
      </w:pPr>
      <w:bookmarkStart w:id="56" w:name="_Toc15396628"/>
      <w:r>
        <w:rPr>
          <w:rFonts w:hint="eastAsia" w:eastAsia="仿宋_GB2312" w:cs="仿宋_GB2312"/>
          <w:sz w:val="32"/>
          <w:szCs w:val="32"/>
        </w:rPr>
        <w:t>十、</w:t>
      </w:r>
      <w:bookmarkEnd w:id="56"/>
      <w:r>
        <w:rPr>
          <w:rFonts w:hint="eastAsia" w:eastAsia="仿宋_GB2312" w:cs="仿宋_GB2312"/>
          <w:sz w:val="32"/>
          <w:szCs w:val="32"/>
        </w:rPr>
        <w:t>政府性基金预算财政拨款收入支出决算表</w:t>
      </w:r>
    </w:p>
    <w:p w14:paraId="416C5EE1">
      <w:pPr>
        <w:pStyle w:val="14"/>
        <w:adjustRightInd w:val="0"/>
        <w:snapToGrid w:val="0"/>
        <w:spacing w:line="560" w:lineRule="exact"/>
        <w:jc w:val="left"/>
        <w:rPr>
          <w:rFonts w:eastAsia="仿宋_GB2312" w:cs="仿宋_GB2312"/>
          <w:sz w:val="32"/>
          <w:szCs w:val="32"/>
        </w:rPr>
      </w:pPr>
      <w:bookmarkStart w:id="57" w:name="_Toc15396629"/>
      <w:r>
        <w:rPr>
          <w:rFonts w:hint="eastAsia" w:eastAsia="仿宋_GB2312" w:cs="仿宋_GB2312"/>
          <w:sz w:val="32"/>
          <w:szCs w:val="32"/>
        </w:rPr>
        <w:t>十一、</w:t>
      </w:r>
      <w:bookmarkEnd w:id="57"/>
      <w:r>
        <w:rPr>
          <w:rFonts w:hint="eastAsia" w:eastAsia="仿宋_GB2312" w:cs="仿宋_GB2312"/>
          <w:sz w:val="32"/>
          <w:szCs w:val="32"/>
        </w:rPr>
        <w:t>国有资本经营预算财政拨款收入支出决算表</w:t>
      </w:r>
    </w:p>
    <w:p w14:paraId="691001A7">
      <w:pPr>
        <w:pStyle w:val="14"/>
        <w:adjustRightInd w:val="0"/>
        <w:snapToGrid w:val="0"/>
        <w:spacing w:line="560" w:lineRule="exact"/>
        <w:jc w:val="left"/>
        <w:rPr>
          <w:rFonts w:eastAsia="仿宋_GB2312" w:cs="仿宋_GB2312"/>
          <w:sz w:val="32"/>
          <w:szCs w:val="32"/>
        </w:rPr>
      </w:pPr>
      <w:bookmarkStart w:id="58" w:name="_Toc15396630"/>
      <w:r>
        <w:rPr>
          <w:rFonts w:hint="eastAsia" w:eastAsia="仿宋_GB2312" w:cs="仿宋_GB2312"/>
          <w:sz w:val="32"/>
          <w:szCs w:val="32"/>
        </w:rPr>
        <w:t>十二、</w:t>
      </w:r>
      <w:bookmarkEnd w:id="58"/>
      <w:r>
        <w:rPr>
          <w:rFonts w:hint="eastAsia" w:eastAsia="仿宋_GB2312" w:cs="仿宋_GB2312"/>
          <w:sz w:val="32"/>
          <w:szCs w:val="32"/>
        </w:rPr>
        <w:t>国有资本经营预算财政拨款支出决算表</w:t>
      </w:r>
    </w:p>
    <w:p w14:paraId="4CE7855B">
      <w:pPr>
        <w:pStyle w:val="14"/>
        <w:adjustRightInd w:val="0"/>
        <w:snapToGrid w:val="0"/>
        <w:spacing w:line="560" w:lineRule="exact"/>
        <w:jc w:val="left"/>
        <w:rPr>
          <w:rFonts w:eastAsia="仿宋_GB2312" w:cs="仿宋_GB2312"/>
          <w:sz w:val="32"/>
          <w:szCs w:val="32"/>
        </w:rPr>
      </w:pPr>
      <w:bookmarkStart w:id="59" w:name="_Toc15396631"/>
      <w:r>
        <w:rPr>
          <w:rFonts w:hint="eastAsia" w:eastAsia="仿宋_GB2312" w:cs="仿宋_GB2312"/>
          <w:sz w:val="32"/>
          <w:szCs w:val="32"/>
        </w:rPr>
        <w:t>十三、</w:t>
      </w:r>
      <w:bookmarkEnd w:id="59"/>
      <w:r>
        <w:rPr>
          <w:rFonts w:hint="eastAsia" w:eastAsia="仿宋_GB2312" w:cs="仿宋_GB2312"/>
          <w:sz w:val="32"/>
          <w:szCs w:val="32"/>
        </w:rPr>
        <w:t>财政拨款“三公”经费支出决算表</w:t>
      </w:r>
    </w:p>
    <w:p w14:paraId="77A16715"/>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6F315">
    <w:pPr>
      <w:pStyle w:val="11"/>
      <w:jc w:val="center"/>
    </w:pPr>
  </w:p>
  <w:p w14:paraId="14670BB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A664">
    <w:pPr>
      <w:pStyle w:val="11"/>
      <w:jc w:val="center"/>
    </w:pPr>
  </w:p>
  <w:p w14:paraId="54A1328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C89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9C8E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AFAC8"/>
    <w:multiLevelType w:val="singleLevel"/>
    <w:tmpl w:val="96DAFA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1588"/>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A1658"/>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C206D"/>
    <w:rsid w:val="00FD3CC1"/>
    <w:rsid w:val="00FF1E02"/>
    <w:rsid w:val="00FF30B4"/>
    <w:rsid w:val="012A5EC2"/>
    <w:rsid w:val="013637D1"/>
    <w:rsid w:val="015975B8"/>
    <w:rsid w:val="01B446F6"/>
    <w:rsid w:val="02FEBE30"/>
    <w:rsid w:val="032F672A"/>
    <w:rsid w:val="04133956"/>
    <w:rsid w:val="04916F1E"/>
    <w:rsid w:val="049375D4"/>
    <w:rsid w:val="04E00DDB"/>
    <w:rsid w:val="06007F0A"/>
    <w:rsid w:val="061E35DE"/>
    <w:rsid w:val="06587D46"/>
    <w:rsid w:val="066E0107"/>
    <w:rsid w:val="06F86E33"/>
    <w:rsid w:val="077B59E4"/>
    <w:rsid w:val="07996F6E"/>
    <w:rsid w:val="07DFD8BA"/>
    <w:rsid w:val="07F4133C"/>
    <w:rsid w:val="09133711"/>
    <w:rsid w:val="09867E8F"/>
    <w:rsid w:val="09CF4D4B"/>
    <w:rsid w:val="0A2032A3"/>
    <w:rsid w:val="0A8B04DC"/>
    <w:rsid w:val="0A935528"/>
    <w:rsid w:val="0BD0182C"/>
    <w:rsid w:val="0CA8290A"/>
    <w:rsid w:val="0CE84960"/>
    <w:rsid w:val="0D203146"/>
    <w:rsid w:val="0D35B1ED"/>
    <w:rsid w:val="0D5374B9"/>
    <w:rsid w:val="0DCB34F3"/>
    <w:rsid w:val="0DE90B04"/>
    <w:rsid w:val="0E064022"/>
    <w:rsid w:val="0E254B6B"/>
    <w:rsid w:val="0F98263C"/>
    <w:rsid w:val="1003503E"/>
    <w:rsid w:val="101860EC"/>
    <w:rsid w:val="101F47CC"/>
    <w:rsid w:val="10C055FF"/>
    <w:rsid w:val="10F93ED3"/>
    <w:rsid w:val="11694EBD"/>
    <w:rsid w:val="11772AA4"/>
    <w:rsid w:val="118107EC"/>
    <w:rsid w:val="12E24EE2"/>
    <w:rsid w:val="13203999"/>
    <w:rsid w:val="13D50BC4"/>
    <w:rsid w:val="14074B59"/>
    <w:rsid w:val="14B17F78"/>
    <w:rsid w:val="155C4A63"/>
    <w:rsid w:val="156B673E"/>
    <w:rsid w:val="165E0673"/>
    <w:rsid w:val="16B831D5"/>
    <w:rsid w:val="16BB723D"/>
    <w:rsid w:val="17171557"/>
    <w:rsid w:val="171F21BA"/>
    <w:rsid w:val="17D47448"/>
    <w:rsid w:val="17E50567"/>
    <w:rsid w:val="186504BB"/>
    <w:rsid w:val="1991739F"/>
    <w:rsid w:val="19A445FC"/>
    <w:rsid w:val="19BE5CBA"/>
    <w:rsid w:val="19E020D4"/>
    <w:rsid w:val="1A861E02"/>
    <w:rsid w:val="1AB84DFF"/>
    <w:rsid w:val="1BE8440E"/>
    <w:rsid w:val="1BF43C15"/>
    <w:rsid w:val="1C1B37CB"/>
    <w:rsid w:val="1C4B5298"/>
    <w:rsid w:val="1CC6347C"/>
    <w:rsid w:val="1D091942"/>
    <w:rsid w:val="1D155CEE"/>
    <w:rsid w:val="1D1638FE"/>
    <w:rsid w:val="1D320E99"/>
    <w:rsid w:val="1DD106B2"/>
    <w:rsid w:val="1E312DEB"/>
    <w:rsid w:val="1E740ACF"/>
    <w:rsid w:val="1E9C3CF8"/>
    <w:rsid w:val="1EB20626"/>
    <w:rsid w:val="1F973891"/>
    <w:rsid w:val="1FF35744"/>
    <w:rsid w:val="1FF6BC77"/>
    <w:rsid w:val="2186353C"/>
    <w:rsid w:val="21A47E8B"/>
    <w:rsid w:val="21AA2451"/>
    <w:rsid w:val="21EB077A"/>
    <w:rsid w:val="21F726B1"/>
    <w:rsid w:val="226B3805"/>
    <w:rsid w:val="23166B67"/>
    <w:rsid w:val="23860B96"/>
    <w:rsid w:val="240371BF"/>
    <w:rsid w:val="244F3473"/>
    <w:rsid w:val="249D7124"/>
    <w:rsid w:val="24C97D99"/>
    <w:rsid w:val="24D42836"/>
    <w:rsid w:val="24FB36B6"/>
    <w:rsid w:val="25A718F0"/>
    <w:rsid w:val="25BB59F6"/>
    <w:rsid w:val="260B13D6"/>
    <w:rsid w:val="260F557C"/>
    <w:rsid w:val="264F6618"/>
    <w:rsid w:val="26970054"/>
    <w:rsid w:val="26CF59AB"/>
    <w:rsid w:val="26DC4B2B"/>
    <w:rsid w:val="276500BD"/>
    <w:rsid w:val="278C73F8"/>
    <w:rsid w:val="2807441D"/>
    <w:rsid w:val="281408E2"/>
    <w:rsid w:val="28A013AD"/>
    <w:rsid w:val="29FD04D3"/>
    <w:rsid w:val="2A070FB7"/>
    <w:rsid w:val="2AD6555A"/>
    <w:rsid w:val="2B681F2A"/>
    <w:rsid w:val="2BFF7BC6"/>
    <w:rsid w:val="2C2F3784"/>
    <w:rsid w:val="2C4C35F9"/>
    <w:rsid w:val="2C8A61B5"/>
    <w:rsid w:val="2CA810F5"/>
    <w:rsid w:val="2CCD64E8"/>
    <w:rsid w:val="2CD843BB"/>
    <w:rsid w:val="2CE51A84"/>
    <w:rsid w:val="2DC55411"/>
    <w:rsid w:val="2DF04E50"/>
    <w:rsid w:val="2E114AFB"/>
    <w:rsid w:val="2E1E4B22"/>
    <w:rsid w:val="2E586DFA"/>
    <w:rsid w:val="2F040D46"/>
    <w:rsid w:val="2F1C004F"/>
    <w:rsid w:val="2F6B035B"/>
    <w:rsid w:val="2FAA48BF"/>
    <w:rsid w:val="2FAE5751"/>
    <w:rsid w:val="2FB1A395"/>
    <w:rsid w:val="2FD9A7D8"/>
    <w:rsid w:val="2FDBF714"/>
    <w:rsid w:val="30AB6865"/>
    <w:rsid w:val="312B5ED3"/>
    <w:rsid w:val="319F7F4E"/>
    <w:rsid w:val="31AC6F2B"/>
    <w:rsid w:val="31C51E84"/>
    <w:rsid w:val="32250B75"/>
    <w:rsid w:val="32447FA1"/>
    <w:rsid w:val="32BD1EF1"/>
    <w:rsid w:val="3304709D"/>
    <w:rsid w:val="33A773CB"/>
    <w:rsid w:val="34473024"/>
    <w:rsid w:val="349D6851"/>
    <w:rsid w:val="34E56399"/>
    <w:rsid w:val="351A37EE"/>
    <w:rsid w:val="35727C2D"/>
    <w:rsid w:val="35833E68"/>
    <w:rsid w:val="3590276F"/>
    <w:rsid w:val="35E6413B"/>
    <w:rsid w:val="361433DA"/>
    <w:rsid w:val="36144F2C"/>
    <w:rsid w:val="367F579D"/>
    <w:rsid w:val="36AA5135"/>
    <w:rsid w:val="36BE0DA7"/>
    <w:rsid w:val="36CA11F2"/>
    <w:rsid w:val="372C76CC"/>
    <w:rsid w:val="376B6AA6"/>
    <w:rsid w:val="376D39B2"/>
    <w:rsid w:val="37CF580A"/>
    <w:rsid w:val="37E16F03"/>
    <w:rsid w:val="37F53A3B"/>
    <w:rsid w:val="38397128"/>
    <w:rsid w:val="389B6C89"/>
    <w:rsid w:val="38A02D03"/>
    <w:rsid w:val="38D469F0"/>
    <w:rsid w:val="38D66725"/>
    <w:rsid w:val="38F848ED"/>
    <w:rsid w:val="39150845"/>
    <w:rsid w:val="39627CCD"/>
    <w:rsid w:val="397BAF1F"/>
    <w:rsid w:val="397F0B6A"/>
    <w:rsid w:val="3AB79AF3"/>
    <w:rsid w:val="3AE834C0"/>
    <w:rsid w:val="3B7EF35A"/>
    <w:rsid w:val="3B9308FD"/>
    <w:rsid w:val="3B9FDB6C"/>
    <w:rsid w:val="3BF5BC2F"/>
    <w:rsid w:val="3CEBA265"/>
    <w:rsid w:val="3D163594"/>
    <w:rsid w:val="3D98207C"/>
    <w:rsid w:val="3DEE7CF3"/>
    <w:rsid w:val="3E0E6961"/>
    <w:rsid w:val="3E740A63"/>
    <w:rsid w:val="3E78745D"/>
    <w:rsid w:val="3EE17838"/>
    <w:rsid w:val="3F1D32FF"/>
    <w:rsid w:val="3F1E7077"/>
    <w:rsid w:val="3F55381A"/>
    <w:rsid w:val="3F7F7599"/>
    <w:rsid w:val="3FD43947"/>
    <w:rsid w:val="3FF4CAE0"/>
    <w:rsid w:val="3FF7B227"/>
    <w:rsid w:val="41110C42"/>
    <w:rsid w:val="4157061F"/>
    <w:rsid w:val="415976E5"/>
    <w:rsid w:val="41C51A2C"/>
    <w:rsid w:val="43566DE0"/>
    <w:rsid w:val="43802B87"/>
    <w:rsid w:val="43A15F09"/>
    <w:rsid w:val="43FC13FA"/>
    <w:rsid w:val="44095C00"/>
    <w:rsid w:val="44E268DA"/>
    <w:rsid w:val="450D13D7"/>
    <w:rsid w:val="452D76AA"/>
    <w:rsid w:val="45303661"/>
    <w:rsid w:val="45506656"/>
    <w:rsid w:val="46362EF9"/>
    <w:rsid w:val="46DC75FC"/>
    <w:rsid w:val="47775577"/>
    <w:rsid w:val="486A6C7A"/>
    <w:rsid w:val="495972B9"/>
    <w:rsid w:val="4A003601"/>
    <w:rsid w:val="4A0155CC"/>
    <w:rsid w:val="4A4E6A63"/>
    <w:rsid w:val="4A604C6F"/>
    <w:rsid w:val="4A627F82"/>
    <w:rsid w:val="4B0E749A"/>
    <w:rsid w:val="4B11183E"/>
    <w:rsid w:val="4B2477C4"/>
    <w:rsid w:val="4B4F25DA"/>
    <w:rsid w:val="4BB247FE"/>
    <w:rsid w:val="4BB502F8"/>
    <w:rsid w:val="4BE068DB"/>
    <w:rsid w:val="4C2539F8"/>
    <w:rsid w:val="4C7B0312"/>
    <w:rsid w:val="4CF431C6"/>
    <w:rsid w:val="4D0F7FFF"/>
    <w:rsid w:val="4D4C4DB0"/>
    <w:rsid w:val="4D577224"/>
    <w:rsid w:val="4DBF1CEB"/>
    <w:rsid w:val="4DF0007C"/>
    <w:rsid w:val="4EAB630A"/>
    <w:rsid w:val="4EB8094F"/>
    <w:rsid w:val="4ECC264C"/>
    <w:rsid w:val="4ECE2238"/>
    <w:rsid w:val="4EF34DCB"/>
    <w:rsid w:val="4F833267"/>
    <w:rsid w:val="4FE9BD67"/>
    <w:rsid w:val="4FFB052F"/>
    <w:rsid w:val="502A762A"/>
    <w:rsid w:val="50BC190C"/>
    <w:rsid w:val="524468EE"/>
    <w:rsid w:val="52AF02BB"/>
    <w:rsid w:val="52B14033"/>
    <w:rsid w:val="52B60C24"/>
    <w:rsid w:val="53035F10"/>
    <w:rsid w:val="537E6D0A"/>
    <w:rsid w:val="53E20129"/>
    <w:rsid w:val="53F74C96"/>
    <w:rsid w:val="54E276DD"/>
    <w:rsid w:val="54FE72D7"/>
    <w:rsid w:val="55170BA8"/>
    <w:rsid w:val="553218C9"/>
    <w:rsid w:val="55656F16"/>
    <w:rsid w:val="561D5ED7"/>
    <w:rsid w:val="567E1AA5"/>
    <w:rsid w:val="56D55E16"/>
    <w:rsid w:val="56E47B74"/>
    <w:rsid w:val="57174680"/>
    <w:rsid w:val="57175D52"/>
    <w:rsid w:val="57183488"/>
    <w:rsid w:val="579D4B86"/>
    <w:rsid w:val="57BD3DD4"/>
    <w:rsid w:val="58FC334C"/>
    <w:rsid w:val="59072C51"/>
    <w:rsid w:val="595474C6"/>
    <w:rsid w:val="59883613"/>
    <w:rsid w:val="5AE12FDB"/>
    <w:rsid w:val="5AF92295"/>
    <w:rsid w:val="5B250254"/>
    <w:rsid w:val="5B483897"/>
    <w:rsid w:val="5BDD79E6"/>
    <w:rsid w:val="5BF561CA"/>
    <w:rsid w:val="5BFF5DFC"/>
    <w:rsid w:val="5C451348"/>
    <w:rsid w:val="5CAE513F"/>
    <w:rsid w:val="5CD71FC4"/>
    <w:rsid w:val="5D1F11B5"/>
    <w:rsid w:val="5D535CE6"/>
    <w:rsid w:val="5D601287"/>
    <w:rsid w:val="5D695134"/>
    <w:rsid w:val="5DAE1B18"/>
    <w:rsid w:val="5DD72473"/>
    <w:rsid w:val="5DE7D9E5"/>
    <w:rsid w:val="5E622685"/>
    <w:rsid w:val="5ECEC941"/>
    <w:rsid w:val="5F4F0E5B"/>
    <w:rsid w:val="5FBF9FF3"/>
    <w:rsid w:val="5FC1162D"/>
    <w:rsid w:val="5FCD4E2C"/>
    <w:rsid w:val="5FCE40A0"/>
    <w:rsid w:val="5FEF394A"/>
    <w:rsid w:val="5FF67715"/>
    <w:rsid w:val="60651FB9"/>
    <w:rsid w:val="606908B2"/>
    <w:rsid w:val="618A54EE"/>
    <w:rsid w:val="61EB3037"/>
    <w:rsid w:val="624C78D4"/>
    <w:rsid w:val="62BF3928"/>
    <w:rsid w:val="62C073FA"/>
    <w:rsid w:val="63161C90"/>
    <w:rsid w:val="63B3701E"/>
    <w:rsid w:val="63D60230"/>
    <w:rsid w:val="63F83144"/>
    <w:rsid w:val="647F5392"/>
    <w:rsid w:val="64B36C14"/>
    <w:rsid w:val="65197815"/>
    <w:rsid w:val="654F253D"/>
    <w:rsid w:val="65AF63B3"/>
    <w:rsid w:val="65E66580"/>
    <w:rsid w:val="664B1D71"/>
    <w:rsid w:val="664B4E8E"/>
    <w:rsid w:val="67112E9A"/>
    <w:rsid w:val="67277B67"/>
    <w:rsid w:val="67AA3209"/>
    <w:rsid w:val="68376930"/>
    <w:rsid w:val="68996CA3"/>
    <w:rsid w:val="698D0931"/>
    <w:rsid w:val="6A470AE2"/>
    <w:rsid w:val="6A7FE5F3"/>
    <w:rsid w:val="6A862ED2"/>
    <w:rsid w:val="6ABA73A5"/>
    <w:rsid w:val="6B053271"/>
    <w:rsid w:val="6BAA11C7"/>
    <w:rsid w:val="6BDD78B3"/>
    <w:rsid w:val="6C4A05C8"/>
    <w:rsid w:val="6C8742B8"/>
    <w:rsid w:val="6CA64085"/>
    <w:rsid w:val="6D4A0C86"/>
    <w:rsid w:val="6D631F76"/>
    <w:rsid w:val="6D9B526C"/>
    <w:rsid w:val="6DBF5E93"/>
    <w:rsid w:val="6DFF077E"/>
    <w:rsid w:val="6E22598D"/>
    <w:rsid w:val="6E714EF0"/>
    <w:rsid w:val="6E7E3605"/>
    <w:rsid w:val="6E7FDCC7"/>
    <w:rsid w:val="6ED6A62E"/>
    <w:rsid w:val="6EE00B15"/>
    <w:rsid w:val="6F4013EF"/>
    <w:rsid w:val="6F6F4C02"/>
    <w:rsid w:val="6F6FB3EB"/>
    <w:rsid w:val="6F7A7103"/>
    <w:rsid w:val="6F8731EA"/>
    <w:rsid w:val="6FCE6052"/>
    <w:rsid w:val="6FD57C00"/>
    <w:rsid w:val="6FD76303"/>
    <w:rsid w:val="6FEFFFD8"/>
    <w:rsid w:val="6FF5CC65"/>
    <w:rsid w:val="6FFB47EC"/>
    <w:rsid w:val="6FFF034A"/>
    <w:rsid w:val="70484440"/>
    <w:rsid w:val="70EA72FC"/>
    <w:rsid w:val="712A28F1"/>
    <w:rsid w:val="715C0E4B"/>
    <w:rsid w:val="71992E7C"/>
    <w:rsid w:val="71B27028"/>
    <w:rsid w:val="72233669"/>
    <w:rsid w:val="723932A5"/>
    <w:rsid w:val="72734D90"/>
    <w:rsid w:val="72FF663B"/>
    <w:rsid w:val="73160E6D"/>
    <w:rsid w:val="7332FE48"/>
    <w:rsid w:val="73AB61DA"/>
    <w:rsid w:val="73AC26D2"/>
    <w:rsid w:val="73AD73D5"/>
    <w:rsid w:val="73B6EB34"/>
    <w:rsid w:val="73FA497D"/>
    <w:rsid w:val="744731E5"/>
    <w:rsid w:val="748044F1"/>
    <w:rsid w:val="748F53FE"/>
    <w:rsid w:val="74BBD01D"/>
    <w:rsid w:val="74ED5379"/>
    <w:rsid w:val="75540EC4"/>
    <w:rsid w:val="757F4DA8"/>
    <w:rsid w:val="75DEEEC2"/>
    <w:rsid w:val="75E32345"/>
    <w:rsid w:val="76E3355F"/>
    <w:rsid w:val="76FF5125"/>
    <w:rsid w:val="7767635E"/>
    <w:rsid w:val="776F6FFA"/>
    <w:rsid w:val="778769C8"/>
    <w:rsid w:val="77A75DCA"/>
    <w:rsid w:val="77DC22F5"/>
    <w:rsid w:val="783E271A"/>
    <w:rsid w:val="785978ED"/>
    <w:rsid w:val="785E6300"/>
    <w:rsid w:val="78616DE9"/>
    <w:rsid w:val="78E875D7"/>
    <w:rsid w:val="79086DAD"/>
    <w:rsid w:val="79D7FD79"/>
    <w:rsid w:val="79EE5BA4"/>
    <w:rsid w:val="7A2D1941"/>
    <w:rsid w:val="7A894339"/>
    <w:rsid w:val="7AD284E8"/>
    <w:rsid w:val="7AFF7572"/>
    <w:rsid w:val="7B346CFF"/>
    <w:rsid w:val="7B354634"/>
    <w:rsid w:val="7B6C7DFB"/>
    <w:rsid w:val="7B871525"/>
    <w:rsid w:val="7BBFBED0"/>
    <w:rsid w:val="7BC3E394"/>
    <w:rsid w:val="7C1F3737"/>
    <w:rsid w:val="7C8F68E3"/>
    <w:rsid w:val="7CAC1243"/>
    <w:rsid w:val="7CBFC87B"/>
    <w:rsid w:val="7CFE0F48"/>
    <w:rsid w:val="7D00792A"/>
    <w:rsid w:val="7D272ABC"/>
    <w:rsid w:val="7D7EC23E"/>
    <w:rsid w:val="7E533FC6"/>
    <w:rsid w:val="7E8ADEBF"/>
    <w:rsid w:val="7EEF11D3"/>
    <w:rsid w:val="7EFD1016"/>
    <w:rsid w:val="7EFE4840"/>
    <w:rsid w:val="7F0971A6"/>
    <w:rsid w:val="7F1D62E7"/>
    <w:rsid w:val="7F3F679B"/>
    <w:rsid w:val="7F4FC4EF"/>
    <w:rsid w:val="7F5E4D54"/>
    <w:rsid w:val="7F6E0135"/>
    <w:rsid w:val="7F79F205"/>
    <w:rsid w:val="7F8042C1"/>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5"/>
    <w:qFormat/>
    <w:uiPriority w:val="9"/>
    <w:rPr>
      <w:rFonts w:ascii="Times New Roman" w:hAnsi="Times New Roman"/>
      <w:b/>
      <w:bCs/>
      <w:kern w:val="44"/>
      <w:sz w:val="44"/>
      <w:szCs w:val="44"/>
    </w:rPr>
  </w:style>
  <w:style w:type="character" w:customStyle="1" w:styleId="29">
    <w:name w:val="标题 2 字符"/>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10"/>
    <w:semiHidden/>
    <w:qFormat/>
    <w:uiPriority w:val="99"/>
    <w:rPr>
      <w:rFonts w:ascii="Times New Roman" w:hAnsi="Times New Roman"/>
      <w:kern w:val="2"/>
      <w:sz w:val="18"/>
      <w:szCs w:val="18"/>
    </w:rPr>
  </w:style>
  <w:style w:type="character" w:customStyle="1" w:styleId="32">
    <w:name w:val="标题 3 字符"/>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普通(网站) Char"/>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决算数</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0.00_ </c:formatCode>
                <c:ptCount val="2"/>
                <c:pt idx="0">
                  <c:v>155.31</c:v>
                </c:pt>
                <c:pt idx="1" c:formatCode="General">
                  <c:v>165.56</c:v>
                </c:pt>
              </c:numCache>
            </c:numRef>
          </c:val>
        </c:ser>
        <c:dLbls>
          <c:showLegendKey val="0"/>
          <c:showVal val="1"/>
          <c:showCatName val="0"/>
          <c:showSerName val="0"/>
          <c:showPercent val="0"/>
          <c:showBubbleSize val="0"/>
        </c:dLbls>
        <c:gapWidth val="260"/>
        <c:overlap val="-32"/>
        <c:axId val="196629332"/>
        <c:axId val="480141852"/>
      </c:barChart>
      <c:catAx>
        <c:axId val="196629332"/>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80141852"/>
        <c:crosses val="autoZero"/>
        <c:auto val="1"/>
        <c:lblAlgn val="ctr"/>
        <c:lblOffset val="100"/>
        <c:noMultiLvlLbl val="0"/>
      </c:catAx>
      <c:valAx>
        <c:axId val="480141852"/>
        <c:scaling>
          <c:orientation val="minMax"/>
        </c:scaling>
        <c:delete val="1"/>
        <c:axPos val="l"/>
        <c:numFmt formatCode="0.00_ "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9662933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cde4d130-67d1-455b-8ab7-085063d8348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a:t>
            </a:r>
            <a:r>
              <a:t>收入决算结构图</a:t>
            </a:r>
          </a:p>
        </c:rich>
      </c:tx>
      <c:layout/>
      <c:overlay val="0"/>
      <c:spPr>
        <a:noFill/>
        <a:ln>
          <a:noFill/>
        </a:ln>
        <a:effectLst/>
      </c:spPr>
    </c:title>
    <c:autoTitleDeleted val="0"/>
    <c:plotArea>
      <c:layout/>
      <c:pieChart>
        <c:varyColors val="1"/>
        <c:ser>
          <c:idx val="1"/>
          <c:order val="0"/>
          <c:tx>
            <c:strRef>
              <c:f>Sheet1!$B$1</c:f>
              <c:strCache>
                <c:ptCount val="1"/>
                <c:pt idx="0">
                  <c:v>2025年收入决算结构图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165.56</c:v>
                </c:pt>
                <c:pt idx="1">
                  <c:v>0</c:v>
                </c:pt>
                <c:pt idx="2">
                  <c:v>0</c:v>
                </c:pt>
                <c:pt idx="3">
                  <c:v>0</c:v>
                </c:pt>
                <c:pt idx="4">
                  <c:v>0</c:v>
                </c:pt>
                <c:pt idx="5">
                  <c:v>0</c:v>
                </c:pt>
                <c:pt idx="6">
                  <c:v>0</c:v>
                </c:pt>
                <c:pt idx="7">
                  <c:v>0</c:v>
                </c:pt>
              </c:numCache>
            </c:numRef>
          </c:val>
        </c:ser>
        <c:ser>
          <c:idx val="2"/>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Sheet1!$C$2:$C$9</c:f>
              <c:numCache>
                <c:formatCode>General</c:formatCode>
                <c:ptCount val="8"/>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67875503-3ce5-46d9-bbbe-93d3946ec4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a:t>
            </a:r>
            <a:r>
              <a:t>支出决算结构图</a:t>
            </a:r>
          </a:p>
        </c:rich>
      </c:tx>
      <c:layout/>
      <c:overlay val="0"/>
      <c:spPr>
        <a:noFill/>
        <a:ln>
          <a:noFill/>
        </a:ln>
        <a:effectLst/>
      </c:spPr>
    </c:title>
    <c:autoTitleDeleted val="0"/>
    <c:plotArea>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pt idx="2">
                  <c:v>上缴上级支出</c:v>
                </c:pt>
                <c:pt idx="3">
                  <c:v>经营支出</c:v>
                </c:pt>
              </c:strCache>
            </c:strRef>
          </c:cat>
          <c:val>
            <c:numRef>
              <c:f>Sheet1!$B$2:$B$5</c:f>
              <c:numCache>
                <c:formatCode>General</c:formatCode>
                <c:ptCount val="4"/>
                <c:pt idx="0">
                  <c:v>165.56</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92098640-22b2-49a4-9ac9-b1c7175700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   </a:t>
            </a: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决算数</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2024年收、支决算</c:v>
                </c:pt>
                <c:pt idx="1">
                  <c:v>2025年收、支决算</c:v>
                </c:pt>
              </c:strCache>
            </c:strRef>
          </c:cat>
          <c:val>
            <c:numRef>
              <c:f>Sheet1!$B$2:$B$3</c:f>
              <c:numCache>
                <c:formatCode>0.00_ </c:formatCode>
                <c:ptCount val="2"/>
                <c:pt idx="0">
                  <c:v>155.31</c:v>
                </c:pt>
                <c:pt idx="1">
                  <c:v>165.56</c:v>
                </c:pt>
              </c:numCache>
            </c:numRef>
          </c:val>
        </c:ser>
        <c:dLbls>
          <c:showLegendKey val="0"/>
          <c:showVal val="1"/>
          <c:showCatName val="0"/>
          <c:showSerName val="0"/>
          <c:showPercent val="0"/>
          <c:showBubbleSize val="0"/>
        </c:dLbls>
        <c:gapWidth val="246"/>
        <c:overlap val="-28"/>
        <c:axId val="731476239"/>
        <c:axId val="80484128"/>
      </c:barChart>
      <c:catAx>
        <c:axId val="73147623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80484128"/>
        <c:crosses val="autoZero"/>
        <c:auto val="1"/>
        <c:lblAlgn val="ctr"/>
        <c:lblOffset val="100"/>
        <c:noMultiLvlLbl val="0"/>
      </c:catAx>
      <c:valAx>
        <c:axId val="80484128"/>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31476239"/>
        <c:crosses val="autoZero"/>
        <c:crossBetween val="between"/>
      </c:valAx>
      <c:spPr>
        <a:noFill/>
        <a:ln>
          <a:noFill/>
        </a:ln>
        <a:effectLst/>
      </c:spPr>
    </c:plotArea>
    <c:plotVisOnly val="1"/>
    <c:dispBlanksAs val="gap"/>
    <c:showDLblsOverMax val="0"/>
    <c:extLst>
      <c:ext uri="{0b15fc19-7d7d-44ad-8c2d-2c3a37ce22c3}">
        <chartProps xmlns="https://web.wps.cn/et/2018/main" chartId="{cf601950-aa61-44ac-b328-7a3dadd9a86c}"/>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manualLayout>
          <c:xMode val="edge"/>
          <c:yMode val="edge"/>
          <c:x val="0.160839928320743"/>
          <c:y val="0.0243901706501042"/>
        </c:manualLayout>
      </c:layout>
      <c:overlay val="0"/>
      <c:spPr>
        <a:noFill/>
        <a:ln>
          <a:noFill/>
        </a:ln>
        <a:effectLst/>
      </c:spPr>
    </c:title>
    <c:autoTitleDeleted val="0"/>
    <c:plotArea>
      <c:layout>
        <c:manualLayout>
          <c:layoutTarget val="inner"/>
          <c:xMode val="edge"/>
          <c:yMode val="edge"/>
          <c:x val="0.0831661696936839"/>
          <c:y val="0.232308791994282"/>
          <c:w val="0.891081593927894"/>
          <c:h val="0.697736478436979"/>
        </c:manualLayout>
      </c:layout>
      <c:barChart>
        <c:barDir val="col"/>
        <c:grouping val="clustered"/>
        <c:varyColors val="0"/>
        <c:ser>
          <c:idx val="0"/>
          <c:order val="0"/>
          <c:tx>
            <c:strRef>
              <c:f>Sheet1!$B$1</c:f>
              <c:strCache>
                <c:ptCount val="1"/>
                <c:pt idx="0">
                  <c:v>决算数</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2024年一般公共预算支出</c:v>
                </c:pt>
                <c:pt idx="1">
                  <c:v>2025年一般公共预算支出</c:v>
                </c:pt>
              </c:strCache>
            </c:strRef>
          </c:cat>
          <c:val>
            <c:numRef>
              <c:f>Sheet1!$B$2:$B$3</c:f>
              <c:numCache>
                <c:formatCode>0.00_ </c:formatCode>
                <c:ptCount val="2"/>
                <c:pt idx="0">
                  <c:v>155.31</c:v>
                </c:pt>
                <c:pt idx="1" c:formatCode="General">
                  <c:v>165.56</c:v>
                </c:pt>
              </c:numCache>
            </c:numRef>
          </c:val>
        </c:ser>
        <c:dLbls>
          <c:showLegendKey val="0"/>
          <c:showVal val="1"/>
          <c:showCatName val="0"/>
          <c:showSerName val="0"/>
          <c:showPercent val="0"/>
          <c:showBubbleSize val="0"/>
        </c:dLbls>
        <c:gapWidth val="246"/>
        <c:overlap val="-28"/>
        <c:axId val="731476239"/>
        <c:axId val="80484128"/>
      </c:barChart>
      <c:catAx>
        <c:axId val="73147623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80484128"/>
        <c:crosses val="autoZero"/>
        <c:auto val="1"/>
        <c:lblAlgn val="ctr"/>
        <c:lblOffset val="100"/>
        <c:noMultiLvlLbl val="0"/>
      </c:catAx>
      <c:valAx>
        <c:axId val="80484128"/>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31476239"/>
        <c:crosses val="autoZero"/>
        <c:crossBetween val="between"/>
      </c:valAx>
      <c:spPr>
        <a:noFill/>
        <a:ln>
          <a:noFill/>
        </a:ln>
        <a:effectLst/>
      </c:spPr>
    </c:plotArea>
    <c:plotVisOnly val="1"/>
    <c:dispBlanksAs val="gap"/>
    <c:showDLblsOverMax val="0"/>
    <c:extLst>
      <c:ext uri="{0b15fc19-7d7d-44ad-8c2d-2c3a37ce22c3}">
        <chartProps xmlns="https://web.wps.cn/et/2018/main" chartId="{0dfb0865-9839-4f64-bd50-a5b8bee183a8}"/>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农林水支出</c:v>
                </c:pt>
              </c:strCache>
            </c:strRef>
          </c:cat>
          <c:val>
            <c:numRef>
              <c:f>Sheet1!$B$2:$B$5</c:f>
              <c:numCache>
                <c:formatCode>General</c:formatCode>
                <c:ptCount val="4"/>
                <c:pt idx="0">
                  <c:v>20.33</c:v>
                </c:pt>
                <c:pt idx="1">
                  <c:v>8</c:v>
                </c:pt>
                <c:pt idx="2">
                  <c:v>11.15</c:v>
                </c:pt>
                <c:pt idx="3">
                  <c:v>126.08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924f2e-9546-40e2-b18b-7cf2642db2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因公出国（境）费支出决算</c:v>
                </c:pt>
                <c:pt idx="1">
                  <c:v>公务用车购置及运行维护费支出决算</c:v>
                </c:pt>
                <c:pt idx="2">
                  <c:v>公务接待费支出决算</c:v>
                </c:pt>
              </c:strCache>
            </c:strRef>
          </c:cat>
          <c:val>
            <c:numRef>
              <c:f>Sheet1!$B$2:$B$5</c:f>
              <c:numCache>
                <c:formatCode>General</c:formatCode>
                <c:ptCount val="4"/>
                <c:pt idx="0">
                  <c:v>0</c:v>
                </c:pt>
                <c:pt idx="1">
                  <c:v>1.18</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72c589-3f47-4df1-960d-bd5183a05f8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4378</Words>
  <Characters>4760</Characters>
  <Lines>60</Lines>
  <Paragraphs>17</Paragraphs>
  <TotalTime>5</TotalTime>
  <ScaleCrop>false</ScaleCrop>
  <LinksUpToDate>false</LinksUpToDate>
  <CharactersWithSpaces>4792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毛毛虫</cp:lastModifiedBy>
  <cp:lastPrinted>2026-09-10T01:57:00Z</cp:lastPrinted>
  <dcterms:modified xsi:type="dcterms:W3CDTF">2026-09-11T01:56:09Z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A7EF1305F54A44BCB20EECEF205E12CB_13</vt:lpwstr>
  </property>
  <property fmtid="{D5CDD505-2E9C-101B-9397-08002B2CF9AE}" pid="4" name="KSOTemplateDocerSaveRecord">
    <vt:lpwstr>eyJoZGlkIjoiMmI1NWQ5MGRlMTk4NzM1Y2JiMWFhNDQyY2E2ZGVkYjAiLCJ1c2VySWQiOiI4MTEyMTE5NjMifQ==</vt:lpwstr>
  </property>
</Properties>
</file>