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2CF4F">
      <w:pPr>
        <w:pStyle w:val="2"/>
        <w:spacing w:before="93"/>
        <w:rPr>
          <w:rFonts w:ascii="Times New Roman" w:eastAsia="方正小标宋简体"/>
          <w:kern w:val="2"/>
          <w:sz w:val="72"/>
          <w:szCs w:val="72"/>
        </w:rPr>
      </w:pPr>
      <w:bookmarkStart w:id="0" w:name="_Toc15377425"/>
      <w:bookmarkStart w:id="1" w:name="_Toc15306267"/>
      <w:bookmarkStart w:id="2" w:name="_Toc15378441"/>
      <w:bookmarkStart w:id="3" w:name="_Toc15396475"/>
      <w:bookmarkStart w:id="4" w:name="_Toc15377193"/>
      <w:bookmarkStart w:id="5" w:name="_Toc15396597"/>
    </w:p>
    <w:p w14:paraId="6C7F2313">
      <w:pPr>
        <w:pStyle w:val="2"/>
        <w:spacing w:before="93"/>
        <w:rPr>
          <w:rFonts w:ascii="Times New Roman" w:eastAsia="方正小标宋简体"/>
          <w:kern w:val="2"/>
          <w:sz w:val="72"/>
          <w:szCs w:val="72"/>
        </w:rPr>
      </w:pPr>
    </w:p>
    <w:p w14:paraId="42194924">
      <w:pPr>
        <w:pStyle w:val="2"/>
        <w:spacing w:before="93"/>
        <w:rPr>
          <w:rFonts w:ascii="Times New Roman" w:eastAsia="方正小标宋简体"/>
          <w:kern w:val="2"/>
          <w:sz w:val="72"/>
          <w:szCs w:val="72"/>
        </w:rPr>
      </w:pPr>
    </w:p>
    <w:p w14:paraId="3B04896F">
      <w:pPr>
        <w:pStyle w:val="2"/>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Times New Roman" w:eastAsia="方正小标宋简体"/>
          <w:kern w:val="2"/>
          <w:sz w:val="44"/>
          <w:szCs w:val="44"/>
          <w:lang w:eastAsia="zh-CN"/>
        </w:rPr>
        <w:t>四川省阿坝州木材检查站</w:t>
      </w:r>
    </w:p>
    <w:p w14:paraId="15E79CFE">
      <w:pPr>
        <w:pStyle w:val="2"/>
        <w:spacing w:before="93"/>
        <w:jc w:val="center"/>
        <w:rPr>
          <w:rFonts w:ascii="Times New Roman" w:eastAsia="方正小标宋简体"/>
          <w:kern w:val="2"/>
          <w:sz w:val="44"/>
          <w:szCs w:val="44"/>
        </w:rPr>
      </w:pP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决算公开</w:t>
      </w:r>
    </w:p>
    <w:p w14:paraId="3FCD0165">
      <w:pPr>
        <w:spacing w:line="600" w:lineRule="exact"/>
        <w:jc w:val="center"/>
        <w:outlineLvl w:val="0"/>
        <w:rPr>
          <w:rFonts w:eastAsia="方正小标宋简体"/>
          <w:sz w:val="72"/>
          <w:szCs w:val="72"/>
        </w:rPr>
      </w:pPr>
    </w:p>
    <w:p w14:paraId="3DD3DA10">
      <w:pPr>
        <w:pStyle w:val="2"/>
        <w:rPr>
          <w:rFonts w:eastAsia="方正小标宋简体"/>
          <w:sz w:val="72"/>
          <w:szCs w:val="72"/>
        </w:rPr>
      </w:pPr>
    </w:p>
    <w:p w14:paraId="7B83D3AA">
      <w:pPr>
        <w:rPr>
          <w:rFonts w:eastAsia="方正小标宋简体"/>
          <w:sz w:val="72"/>
          <w:szCs w:val="72"/>
        </w:rPr>
      </w:pPr>
    </w:p>
    <w:p w14:paraId="318741E1">
      <w:pPr>
        <w:pStyle w:val="2"/>
        <w:rPr>
          <w:rFonts w:eastAsia="方正小标宋简体"/>
          <w:sz w:val="72"/>
          <w:szCs w:val="72"/>
        </w:rPr>
      </w:pPr>
    </w:p>
    <w:p w14:paraId="1C9ED796">
      <w:pPr>
        <w:jc w:val="center"/>
        <w:rPr>
          <w:rFonts w:eastAsia="方正小标宋简体"/>
          <w:sz w:val="72"/>
          <w:szCs w:val="72"/>
        </w:rPr>
      </w:pPr>
    </w:p>
    <w:p w14:paraId="222957F1">
      <w:pPr>
        <w:jc w:val="center"/>
        <w:rPr>
          <w:rFonts w:hint="eastAsia" w:ascii="Times New Roman" w:hAnsi="Times New Roman" w:eastAsia="仿宋_GB2312" w:cs="仿宋_GB2312"/>
          <w:kern w:val="2"/>
          <w:sz w:val="32"/>
          <w:szCs w:val="32"/>
          <w:lang w:val="en-US" w:eastAsia="zh-CN" w:bidi="ar-SA"/>
        </w:rPr>
      </w:pPr>
    </w:p>
    <w:bookmarkEnd w:id="0"/>
    <w:bookmarkEnd w:id="1"/>
    <w:bookmarkEnd w:id="2"/>
    <w:bookmarkEnd w:id="3"/>
    <w:bookmarkEnd w:id="4"/>
    <w:bookmarkEnd w:id="5"/>
    <w:p w14:paraId="0870A2D1">
      <w:pPr>
        <w:widowControl/>
        <w:jc w:val="center"/>
        <w:rPr>
          <w:rFonts w:hint="eastAsia" w:eastAsia="黑体"/>
          <w:sz w:val="48"/>
          <w:szCs w:val="48"/>
        </w:rPr>
      </w:pPr>
    </w:p>
    <w:p w14:paraId="362A1397">
      <w:pPr>
        <w:widowControl/>
        <w:jc w:val="center"/>
        <w:rPr>
          <w:rFonts w:hint="eastAsia" w:eastAsia="黑体"/>
          <w:sz w:val="48"/>
          <w:szCs w:val="48"/>
        </w:rPr>
      </w:pPr>
    </w:p>
    <w:p w14:paraId="23E97E2F">
      <w:pPr>
        <w:widowControl/>
        <w:jc w:val="center"/>
        <w:rPr>
          <w:rFonts w:hint="eastAsia" w:eastAsia="黑体"/>
          <w:sz w:val="48"/>
          <w:szCs w:val="48"/>
        </w:rPr>
      </w:pPr>
    </w:p>
    <w:p w14:paraId="10769A7D">
      <w:pPr>
        <w:widowControl/>
        <w:jc w:val="center"/>
        <w:rPr>
          <w:rFonts w:hint="eastAsia" w:eastAsia="黑体"/>
          <w:sz w:val="48"/>
          <w:szCs w:val="48"/>
        </w:rPr>
      </w:pPr>
    </w:p>
    <w:p w14:paraId="5918C5C2">
      <w:pPr>
        <w:widowControl/>
        <w:jc w:val="center"/>
        <w:rPr>
          <w:rFonts w:hint="eastAsia" w:eastAsia="黑体"/>
          <w:sz w:val="48"/>
          <w:szCs w:val="48"/>
        </w:rPr>
      </w:pPr>
    </w:p>
    <w:p w14:paraId="2495B846">
      <w:pPr>
        <w:widowControl/>
        <w:jc w:val="center"/>
        <w:rPr>
          <w:rFonts w:eastAsia="黑体"/>
          <w:sz w:val="48"/>
          <w:szCs w:val="48"/>
        </w:rPr>
      </w:pPr>
      <w:r>
        <w:rPr>
          <w:rFonts w:hint="eastAsia" w:eastAsia="黑体"/>
          <w:sz w:val="48"/>
          <w:szCs w:val="48"/>
        </w:rPr>
        <w:t>目录</w:t>
      </w:r>
    </w:p>
    <w:p w14:paraId="177DE3FC">
      <w:pPr>
        <w:widowControl/>
        <w:jc w:val="center"/>
        <w:rPr>
          <w:rFonts w:eastAsia="黑体" w:cstheme="minorBidi"/>
          <w:sz w:val="28"/>
          <w:szCs w:val="28"/>
        </w:rPr>
      </w:pPr>
    </w:p>
    <w:p w14:paraId="6D88EE3A">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 xml:space="preserve">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日</w:t>
      </w:r>
    </w:p>
    <w:p w14:paraId="7A2FDE13"/>
    <w:p w14:paraId="3655979D">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 xml:space="preserve">第一部分 </w:t>
      </w:r>
      <w:r>
        <w:rPr>
          <w:rFonts w:hint="eastAsia" w:ascii="Times New Roman" w:hAnsi="Times New Roman" w:eastAsia="黑体" w:cs="黑体"/>
          <w:sz w:val="32"/>
          <w:szCs w:val="32"/>
          <w:lang w:eastAsia="zh-CN"/>
        </w:rPr>
        <w:t>单位</w:t>
      </w:r>
      <w:r>
        <w:rPr>
          <w:rFonts w:hint="eastAsia" w:ascii="Times New Roman" w:hAnsi="Times New Roman" w:eastAsia="黑体" w:cs="黑体"/>
          <w:sz w:val="32"/>
          <w:szCs w:val="32"/>
        </w:rPr>
        <w:t>概况</w:t>
      </w:r>
    </w:p>
    <w:p w14:paraId="5C5207F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w:t>
      </w:r>
      <w:r>
        <w:rPr>
          <w:rFonts w:hint="eastAsia" w:eastAsia="仿宋_GB2312" w:cs="仿宋_GB2312"/>
          <w:sz w:val="32"/>
          <w:szCs w:val="32"/>
          <w:lang w:eastAsia="zh-CN"/>
        </w:rPr>
        <w:t>单位</w:t>
      </w:r>
      <w:r>
        <w:rPr>
          <w:rFonts w:hint="eastAsia" w:eastAsia="仿宋_GB2312" w:cs="仿宋_GB2312"/>
          <w:sz w:val="32"/>
          <w:szCs w:val="32"/>
        </w:rPr>
        <w:t>职责</w:t>
      </w:r>
    </w:p>
    <w:p w14:paraId="0782995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452E844A">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w:t>
      </w:r>
      <w:r>
        <w:rPr>
          <w:rFonts w:hint="eastAsia" w:ascii="Times New Roman" w:hAnsi="Times New Roman" w:eastAsia="黑体" w:cs="黑体"/>
          <w:sz w:val="32"/>
          <w:szCs w:val="32"/>
          <w:lang w:val="en-US" w:eastAsia="zh-CN"/>
        </w:rPr>
        <w:t>5</w:t>
      </w:r>
      <w:r>
        <w:rPr>
          <w:rFonts w:hint="eastAsia" w:ascii="Times New Roman" w:hAnsi="Times New Roman" w:eastAsia="黑体" w:cs="黑体"/>
          <w:sz w:val="32"/>
          <w:szCs w:val="32"/>
        </w:rPr>
        <w:t>年度部门决算情况说明</w:t>
      </w:r>
    </w:p>
    <w:p w14:paraId="2824BF2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4E53507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50891FB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53F30DA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776DF3C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30C89AF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202868E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5E1F828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1A2EF13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6F8853D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6E2E6AEE">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3772E2E1">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23694925">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60389AE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67047AD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01C8897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2AAFF8E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779FAC9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5309125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3F9ACCD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7AC5574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2C7DADB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21A8B19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709D63F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2A566A0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40B6CFA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7B104542">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409FE17F">
      <w:pPr>
        <w:widowControl/>
        <w:spacing w:line="560" w:lineRule="exact"/>
        <w:jc w:val="left"/>
        <w:rPr>
          <w:rFonts w:eastAsia="仿宋_GB2312" w:cs="仿宋_GB2312"/>
          <w:bCs/>
          <w:kern w:val="44"/>
          <w:sz w:val="32"/>
          <w:szCs w:val="32"/>
        </w:rPr>
      </w:pPr>
      <w:bookmarkStart w:id="6" w:name="_Toc15377196"/>
      <w:bookmarkStart w:id="7" w:name="_Toc15396599"/>
      <w:r>
        <w:rPr>
          <w:rFonts w:hint="eastAsia" w:eastAsia="仿宋_GB2312" w:cs="仿宋_GB2312"/>
          <w:b/>
          <w:sz w:val="32"/>
          <w:szCs w:val="32"/>
        </w:rPr>
        <w:br w:type="page"/>
      </w:r>
    </w:p>
    <w:p w14:paraId="1133E746">
      <w:pPr>
        <w:pStyle w:val="3"/>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lang w:eastAsia="zh-CN"/>
        </w:rPr>
        <w:t>单位</w:t>
      </w:r>
      <w:r>
        <w:rPr>
          <w:rStyle w:val="28"/>
          <w:rFonts w:hint="eastAsia" w:eastAsia="方正小标宋简体" w:cs="方正小标宋简体"/>
          <w:b w:val="0"/>
          <w:bCs w:val="0"/>
        </w:rPr>
        <w:t>概况</w:t>
      </w:r>
      <w:bookmarkEnd w:id="6"/>
      <w:bookmarkEnd w:id="7"/>
    </w:p>
    <w:p w14:paraId="52475883">
      <w:pPr>
        <w:widowControl/>
        <w:jc w:val="left"/>
        <w:rPr>
          <w:rFonts w:eastAsia="黑体"/>
          <w:sz w:val="32"/>
          <w:szCs w:val="32"/>
        </w:rPr>
      </w:pPr>
    </w:p>
    <w:p w14:paraId="06E3A8A1">
      <w:pPr>
        <w:pStyle w:val="4"/>
        <w:numPr>
          <w:ilvl w:val="0"/>
          <w:numId w:val="1"/>
        </w:numPr>
        <w:rPr>
          <w:rFonts w:hint="eastAsia" w:ascii="Times New Roman" w:hAnsi="Times New Roman" w:eastAsia="黑体"/>
          <w:b w:val="0"/>
        </w:rPr>
      </w:pPr>
      <w:r>
        <w:rPr>
          <w:rFonts w:hint="eastAsia" w:ascii="Times New Roman" w:hAnsi="Times New Roman" w:eastAsia="黑体"/>
          <w:b w:val="0"/>
          <w:lang w:eastAsia="zh-CN"/>
        </w:rPr>
        <w:t>单位</w:t>
      </w:r>
      <w:r>
        <w:rPr>
          <w:rFonts w:hint="eastAsia" w:ascii="Times New Roman" w:hAnsi="Times New Roman" w:eastAsia="黑体"/>
          <w:b w:val="0"/>
        </w:rPr>
        <w:t>职责</w:t>
      </w:r>
    </w:p>
    <w:p w14:paraId="6851EB05">
      <w:pPr>
        <w:snapToGrid w:val="0"/>
        <w:spacing w:line="52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一是宣传、执行《中华人民共和国森林法》、《中华人民共和国野生动物保护法》、《植物检疫条例》和国家、省、市有关木材运输检查监督的法规、政策；二是巡护森林、草原、发现火情、林草有害生物以及破坏林草资源的行为，应及时处理并向当地林草等有关本部门报告；三是根据林业行政主管部门或其它有关单位的依法授权或委托，履行相应的职责；四是完成上级交办的各项工作任务。</w:t>
      </w:r>
    </w:p>
    <w:p w14:paraId="09CA1F20">
      <w:pPr>
        <w:pStyle w:val="4"/>
        <w:rPr>
          <w:rStyle w:val="29"/>
          <w:rFonts w:ascii="Times New Roman" w:hAnsi="Times New Roman"/>
          <w:b w:val="0"/>
          <w:bCs w:val="0"/>
        </w:rPr>
      </w:pPr>
      <w:bookmarkStart w:id="8" w:name="_Toc15377200"/>
      <w:bookmarkStart w:id="9"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8"/>
      <w:bookmarkEnd w:id="9"/>
    </w:p>
    <w:p w14:paraId="73CDB3AF">
      <w:pPr>
        <w:widowControl/>
        <w:ind w:firstLine="640" w:firstLineChars="200"/>
        <w:jc w:val="left"/>
        <w:rPr>
          <w:rFonts w:eastAsia="仿宋"/>
          <w:kern w:val="0"/>
          <w:sz w:val="32"/>
          <w:szCs w:val="32"/>
        </w:rPr>
      </w:pPr>
      <w:r>
        <w:rPr>
          <w:rFonts w:hint="eastAsia" w:ascii="仿宋_GB2312" w:hAnsi="仿宋" w:eastAsia="仿宋_GB2312" w:cs="Times New Roman"/>
          <w:sz w:val="32"/>
          <w:szCs w:val="32"/>
        </w:rPr>
        <w:t>阿坝州木材检查总站（原阿坝州漩口木材检查站，2005年经阿坝州编委批准与阿坝州林业局映秀木材服务站合并，成立阿坝州木材检查总站）始建于1972年，经过多次搬迁后于2012年7月迁至汶川县威州镇，现站址设在汶川县威州镇西街21号，2019年7月按阿编发〔2019〕66号及阿州机改办〔2019〕59号、阿州机改办〔2019〕83号）等文件精神进行了机构改革。202</w:t>
      </w:r>
      <w:r>
        <w:rPr>
          <w:rFonts w:hint="eastAsia" w:ascii="仿宋_GB2312" w:hAnsi="仿宋" w:eastAsia="仿宋_GB2312" w:cs="Times New Roman"/>
          <w:sz w:val="32"/>
          <w:szCs w:val="32"/>
          <w:lang w:val="en-US" w:eastAsia="zh-CN"/>
        </w:rPr>
        <w:t>5</w:t>
      </w:r>
      <w:r>
        <w:rPr>
          <w:rFonts w:hint="eastAsia" w:ascii="仿宋_GB2312" w:hAnsi="仿宋" w:eastAsia="仿宋_GB2312" w:cs="Times New Roman"/>
          <w:sz w:val="32"/>
          <w:szCs w:val="32"/>
        </w:rPr>
        <w:t>年底实有人数</w:t>
      </w:r>
      <w:r>
        <w:rPr>
          <w:rFonts w:hint="eastAsia" w:ascii="仿宋_GB2312" w:hAnsi="仿宋" w:eastAsia="仿宋_GB2312" w:cs="Times New Roman"/>
          <w:sz w:val="32"/>
          <w:szCs w:val="32"/>
          <w:lang w:val="en-US" w:eastAsia="zh-CN"/>
        </w:rPr>
        <w:t>8</w:t>
      </w:r>
      <w:r>
        <w:rPr>
          <w:rFonts w:hint="eastAsia" w:ascii="仿宋_GB2312" w:hAnsi="仿宋" w:eastAsia="仿宋_GB2312" w:cs="Times New Roman"/>
          <w:sz w:val="32"/>
          <w:szCs w:val="32"/>
        </w:rPr>
        <w:t>人，主管部门为阿坝州林业和草原局，属全额财政拨款事业单位。</w:t>
      </w:r>
      <w:r>
        <w:rPr>
          <w:rFonts w:eastAsia="仿宋"/>
          <w:sz w:val="32"/>
          <w:szCs w:val="32"/>
        </w:rPr>
        <w:br w:type="page"/>
      </w:r>
    </w:p>
    <w:p w14:paraId="409F0B99">
      <w:pPr>
        <w:pStyle w:val="3"/>
        <w:jc w:val="center"/>
        <w:rPr>
          <w:rFonts w:eastAsia="方正小标宋简体" w:cs="方正小标宋简体"/>
          <w:b w:val="0"/>
        </w:rPr>
      </w:pPr>
      <w:bookmarkStart w:id="10" w:name="_Toc15396602"/>
      <w:bookmarkStart w:id="11" w:name="_Toc15377204"/>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年度部门决算情况说明</w:t>
      </w:r>
      <w:bookmarkEnd w:id="10"/>
      <w:bookmarkEnd w:id="11"/>
    </w:p>
    <w:p w14:paraId="0C6D15EE"/>
    <w:p w14:paraId="30650AF4">
      <w:pPr>
        <w:pStyle w:val="27"/>
        <w:spacing w:line="600" w:lineRule="exact"/>
        <w:ind w:firstLine="640"/>
        <w:outlineLvl w:val="1"/>
        <w:rPr>
          <w:rStyle w:val="29"/>
          <w:rFonts w:ascii="Times New Roman" w:hAnsi="Times New Roman" w:eastAsia="黑体"/>
          <w:b w:val="0"/>
        </w:rPr>
      </w:pPr>
      <w:bookmarkStart w:id="12" w:name="_Toc15377205"/>
      <w:bookmarkStart w:id="13"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2"/>
      <w:bookmarkEnd w:id="13"/>
    </w:p>
    <w:p w14:paraId="25A4C558">
      <w:pPr>
        <w:pStyle w:val="27"/>
        <w:spacing w:line="600" w:lineRule="exact"/>
        <w:ind w:firstLine="640"/>
        <w:outlineLvl w:val="1"/>
        <w:rPr>
          <w:rFonts w:hint="eastAsia" w:ascii="仿宋" w:hAnsi="仿宋" w:eastAsia="仿宋"/>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年度收入、支出总计均为</w:t>
      </w:r>
      <w:r>
        <w:rPr>
          <w:rFonts w:hint="eastAsia" w:eastAsia="仿宋_GB2312" w:cs="仿宋_GB2312"/>
          <w:sz w:val="32"/>
          <w:szCs w:val="32"/>
          <w:lang w:val="en-US" w:eastAsia="zh-CN"/>
        </w:rPr>
        <w:t>329.84</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年度相比，收入、支出总计各减少</w:t>
      </w:r>
      <w:r>
        <w:rPr>
          <w:rFonts w:hint="eastAsia" w:eastAsia="仿宋_GB2312" w:cs="仿宋_GB2312"/>
          <w:sz w:val="32"/>
          <w:szCs w:val="32"/>
          <w:lang w:val="en-US" w:eastAsia="zh-CN"/>
        </w:rPr>
        <w:t>35.48</w:t>
      </w:r>
      <w:r>
        <w:rPr>
          <w:rFonts w:hint="eastAsia" w:eastAsia="仿宋_GB2312" w:cs="仿宋_GB2312"/>
          <w:sz w:val="32"/>
          <w:szCs w:val="32"/>
        </w:rPr>
        <w:t>万元，下降</w:t>
      </w:r>
      <w:r>
        <w:rPr>
          <w:rFonts w:hint="eastAsia" w:eastAsia="仿宋_GB2312" w:cs="仿宋_GB2312"/>
          <w:sz w:val="32"/>
          <w:szCs w:val="32"/>
          <w:lang w:val="en-US" w:eastAsia="zh-CN"/>
        </w:rPr>
        <w:t>9.7</w:t>
      </w:r>
      <w:r>
        <w:rPr>
          <w:rFonts w:hint="eastAsia" w:eastAsia="仿宋_GB2312" w:cs="仿宋_GB2312"/>
          <w:sz w:val="32"/>
          <w:szCs w:val="32"/>
        </w:rPr>
        <w:t>%。主要变动原因是</w:t>
      </w:r>
      <w:r>
        <w:rPr>
          <w:rFonts w:hint="eastAsia" w:ascii="仿宋" w:hAnsi="仿宋" w:eastAsia="仿宋"/>
          <w:sz w:val="32"/>
          <w:szCs w:val="32"/>
          <w:lang w:eastAsia="zh-CN"/>
        </w:rPr>
        <w:t>在职人员减少，日常开支减少</w:t>
      </w:r>
      <w:r>
        <w:rPr>
          <w:rFonts w:hint="eastAsia" w:ascii="仿宋" w:hAnsi="仿宋" w:eastAsia="仿宋"/>
          <w:sz w:val="32"/>
          <w:szCs w:val="32"/>
        </w:rPr>
        <w:t>。</w:t>
      </w:r>
    </w:p>
    <w:p w14:paraId="08567EA5">
      <w:pPr>
        <w:pStyle w:val="27"/>
        <w:spacing w:line="600" w:lineRule="exact"/>
        <w:ind w:firstLine="640"/>
        <w:outlineLvl w:val="1"/>
        <w:rPr>
          <w:rFonts w:hint="eastAsia" w:ascii="仿宋" w:hAnsi="仿宋" w:eastAsia="仿宋"/>
          <w:sz w:val="32"/>
          <w:szCs w:val="32"/>
        </w:rPr>
      </w:pPr>
      <w:r>
        <w:rPr>
          <w:rFonts w:hint="eastAsia" w:ascii="仿宋_GB2312" w:eastAsia="仿宋_GB2312"/>
          <w:sz w:val="32"/>
          <w:szCs w:val="32"/>
          <w:lang w:val="en-US" w:eastAsia="zh-CN"/>
        </w:rPr>
        <w:drawing>
          <wp:anchor distT="0" distB="0" distL="114300" distR="114300" simplePos="0" relativeHeight="251659264" behindDoc="1" locked="0" layoutInCell="1" allowOverlap="1">
            <wp:simplePos x="0" y="0"/>
            <wp:positionH relativeFrom="column">
              <wp:posOffset>737235</wp:posOffset>
            </wp:positionH>
            <wp:positionV relativeFrom="paragraph">
              <wp:posOffset>217805</wp:posOffset>
            </wp:positionV>
            <wp:extent cx="3830955" cy="2073275"/>
            <wp:effectExtent l="5080" t="4445" r="12065" b="17780"/>
            <wp:wrapNone/>
            <wp:docPr id="3" name="图表 3"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1C56101">
      <w:pPr>
        <w:ind w:firstLine="640" w:firstLineChars="200"/>
        <w:rPr>
          <w:rFonts w:hint="eastAsia" w:eastAsia="仿宋_GB2312" w:cs="仿宋_GB2312"/>
          <w:sz w:val="32"/>
          <w:szCs w:val="32"/>
        </w:rPr>
      </w:pPr>
    </w:p>
    <w:p w14:paraId="277F2AC7">
      <w:pPr>
        <w:ind w:firstLine="640" w:firstLineChars="200"/>
        <w:rPr>
          <w:rFonts w:hint="eastAsia" w:eastAsia="仿宋_GB2312" w:cs="仿宋_GB2312"/>
          <w:sz w:val="32"/>
          <w:szCs w:val="32"/>
        </w:rPr>
      </w:pPr>
    </w:p>
    <w:p w14:paraId="1FB81535">
      <w:pPr>
        <w:ind w:firstLine="640" w:firstLineChars="200"/>
        <w:rPr>
          <w:rFonts w:hint="eastAsia" w:eastAsia="仿宋_GB2312" w:cs="仿宋_GB2312"/>
          <w:sz w:val="32"/>
          <w:szCs w:val="32"/>
        </w:rPr>
      </w:pPr>
    </w:p>
    <w:p w14:paraId="665FC37E">
      <w:pPr>
        <w:ind w:firstLine="640" w:firstLineChars="200"/>
        <w:rPr>
          <w:rFonts w:hint="eastAsia" w:eastAsia="仿宋_GB2312" w:cs="仿宋_GB2312"/>
          <w:sz w:val="32"/>
          <w:szCs w:val="32"/>
        </w:rPr>
      </w:pPr>
    </w:p>
    <w:p w14:paraId="0A52A769">
      <w:pPr>
        <w:spacing w:line="600" w:lineRule="exact"/>
        <w:ind w:firstLine="640" w:firstLineChars="200"/>
        <w:jc w:val="left"/>
        <w:rPr>
          <w:rFonts w:hint="eastAsia" w:ascii="仿宋_GB2312" w:hAnsi="Times New Roman" w:eastAsia="仿宋_GB2312" w:cs="Times New Roman"/>
          <w:sz w:val="32"/>
          <w:szCs w:val="32"/>
          <w:lang w:val="en-US" w:eastAsia="zh-CN"/>
        </w:rPr>
      </w:pPr>
    </w:p>
    <w:p w14:paraId="561E9F99">
      <w:pPr>
        <w:spacing w:line="600" w:lineRule="exact"/>
        <w:ind w:firstLine="640" w:firstLineChars="200"/>
        <w:jc w:val="left"/>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（图1：收入、支出决算总计变动情况图）（柱状图）</w:t>
      </w:r>
    </w:p>
    <w:p w14:paraId="04D5C42A">
      <w:pPr>
        <w:pStyle w:val="27"/>
        <w:spacing w:line="600" w:lineRule="exact"/>
        <w:ind w:left="0" w:leftChars="0" w:firstLine="0" w:firstLineChars="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6AAE4665">
      <w:pPr>
        <w:pStyle w:val="27"/>
        <w:spacing w:line="600" w:lineRule="exact"/>
        <w:ind w:firstLine="640"/>
        <w:jc w:val="left"/>
        <w:outlineLvl w:val="1"/>
        <w:rPr>
          <w:rFonts w:hint="eastAsia"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ascii="仿宋_GB2312" w:hAnsi="仿宋_GB2312" w:eastAsia="仿宋_GB2312" w:cs="仿宋_GB2312"/>
          <w:sz w:val="32"/>
          <w:szCs w:val="32"/>
          <w:lang w:val="en-US" w:eastAsia="zh-CN"/>
        </w:rPr>
        <w:t>329.84</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329.84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万元；国有资本经营预算财政拨款收入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w:t>
      </w:r>
      <w:r>
        <w:rPr>
          <w:rFonts w:hint="eastAsia" w:eastAsia="仿宋_GB2312" w:cs="仿宋_GB2312"/>
          <w:b/>
          <w:bCs/>
          <w:sz w:val="32"/>
          <w:szCs w:val="32"/>
        </w:rPr>
        <w:t>（注：仅罗列本部门涉及的收入）</w:t>
      </w:r>
    </w:p>
    <w:p w14:paraId="4F3C8925">
      <w:pPr>
        <w:pStyle w:val="27"/>
        <w:spacing w:line="600" w:lineRule="exact"/>
        <w:ind w:firstLine="640"/>
        <w:jc w:val="left"/>
        <w:outlineLvl w:val="1"/>
        <w:rPr>
          <w:rFonts w:hint="eastAsia" w:eastAsia="仿宋_GB2312" w:cs="仿宋_GB2312"/>
          <w:b/>
          <w:bCs/>
          <w:sz w:val="32"/>
          <w:szCs w:val="32"/>
        </w:rPr>
      </w:pPr>
    </w:p>
    <w:p w14:paraId="00B17F8E">
      <w:pPr>
        <w:ind w:firstLine="800" w:firstLineChars="250"/>
        <w:rPr>
          <w:rFonts w:hint="eastAsia" w:eastAsia="仿宋_GB2312" w:cs="仿宋_GB2312"/>
          <w:sz w:val="32"/>
          <w:szCs w:val="32"/>
        </w:rPr>
      </w:pPr>
    </w:p>
    <w:p w14:paraId="39F992AB">
      <w:pPr>
        <w:pStyle w:val="13"/>
        <w:rPr>
          <w:rFonts w:hint="eastAsia"/>
        </w:rPr>
      </w:pPr>
    </w:p>
    <w:p w14:paraId="1676F533">
      <w:pPr>
        <w:ind w:firstLine="800" w:firstLineChars="250"/>
        <w:rPr>
          <w:rFonts w:hint="eastAsia" w:eastAsia="仿宋_GB2312" w:cs="仿宋_GB2312"/>
          <w:sz w:val="32"/>
          <w:szCs w:val="32"/>
        </w:rPr>
      </w:pPr>
      <w:r>
        <w:rPr>
          <w:rFonts w:hint="eastAsia" w:ascii="仿宋_GB2312" w:eastAsia="仿宋_GB2312"/>
          <w:sz w:val="32"/>
          <w:szCs w:val="32"/>
          <w:lang w:eastAsia="zh-CN"/>
        </w:rPr>
        <w:drawing>
          <wp:anchor distT="0" distB="0" distL="114300" distR="114300" simplePos="0" relativeHeight="251660288" behindDoc="1" locked="0" layoutInCell="1" allowOverlap="1">
            <wp:simplePos x="0" y="0"/>
            <wp:positionH relativeFrom="column">
              <wp:posOffset>418465</wp:posOffset>
            </wp:positionH>
            <wp:positionV relativeFrom="paragraph">
              <wp:posOffset>361950</wp:posOffset>
            </wp:positionV>
            <wp:extent cx="4288155" cy="2638425"/>
            <wp:effectExtent l="4445" t="4445" r="12700" b="5080"/>
            <wp:wrapNone/>
            <wp:docPr id="4" name="图表 4"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19F229D5">
      <w:pPr>
        <w:ind w:firstLine="800" w:firstLineChars="250"/>
        <w:rPr>
          <w:rFonts w:hint="eastAsia" w:eastAsia="仿宋_GB2312" w:cs="仿宋_GB2312"/>
          <w:sz w:val="32"/>
          <w:szCs w:val="32"/>
        </w:rPr>
      </w:pPr>
    </w:p>
    <w:p w14:paraId="47128C1D">
      <w:pPr>
        <w:ind w:firstLine="800" w:firstLineChars="250"/>
        <w:rPr>
          <w:rFonts w:hint="eastAsia" w:eastAsia="仿宋_GB2312" w:cs="仿宋_GB2312"/>
          <w:sz w:val="32"/>
          <w:szCs w:val="32"/>
        </w:rPr>
      </w:pPr>
    </w:p>
    <w:p w14:paraId="222D43FE">
      <w:pPr>
        <w:rPr>
          <w:rFonts w:hint="eastAsia" w:eastAsia="仿宋_GB2312" w:cs="仿宋_GB2312"/>
          <w:sz w:val="32"/>
          <w:szCs w:val="32"/>
        </w:rPr>
      </w:pPr>
    </w:p>
    <w:p w14:paraId="3CD682A8">
      <w:pPr>
        <w:rPr>
          <w:rFonts w:hint="eastAsia" w:eastAsia="仿宋_GB2312" w:cs="仿宋_GB2312"/>
          <w:sz w:val="32"/>
          <w:szCs w:val="32"/>
        </w:rPr>
      </w:pPr>
    </w:p>
    <w:p w14:paraId="4DC72BE6">
      <w:pPr>
        <w:rPr>
          <w:rFonts w:hint="eastAsia" w:eastAsia="仿宋_GB2312" w:cs="仿宋_GB2312"/>
          <w:sz w:val="32"/>
          <w:szCs w:val="32"/>
        </w:rPr>
      </w:pPr>
    </w:p>
    <w:p w14:paraId="18CCCE80">
      <w:pPr>
        <w:rPr>
          <w:rFonts w:hint="eastAsia" w:eastAsia="仿宋_GB2312" w:cs="仿宋_GB2312"/>
          <w:sz w:val="32"/>
          <w:szCs w:val="32"/>
        </w:rPr>
      </w:pPr>
    </w:p>
    <w:p w14:paraId="5575CAA2">
      <w:pPr>
        <w:rPr>
          <w:rFonts w:hint="eastAsia" w:eastAsia="仿宋_GB2312" w:cs="仿宋_GB2312"/>
          <w:sz w:val="32"/>
          <w:szCs w:val="32"/>
        </w:rPr>
      </w:pPr>
    </w:p>
    <w:p w14:paraId="55B4F889">
      <w:pPr>
        <w:jc w:val="center"/>
        <w:rPr>
          <w:rFonts w:eastAsia="仿宋_GB2312" w:cs="仿宋_GB2312"/>
          <w:sz w:val="32"/>
          <w:szCs w:val="32"/>
        </w:rPr>
      </w:pPr>
      <w:r>
        <w:rPr>
          <w:rFonts w:hint="eastAsia" w:eastAsia="仿宋_GB2312" w:cs="仿宋_GB2312"/>
          <w:sz w:val="32"/>
          <w:szCs w:val="32"/>
        </w:rPr>
        <w:t>（图2：收入决算结构图）（饼状图）</w:t>
      </w:r>
    </w:p>
    <w:p w14:paraId="3BE905E8">
      <w:pPr>
        <w:pStyle w:val="27"/>
        <w:spacing w:line="600" w:lineRule="exact"/>
        <w:ind w:left="0" w:leftChars="0" w:firstLine="0" w:firstLineChars="0"/>
        <w:outlineLvl w:val="1"/>
        <w:rPr>
          <w:rStyle w:val="29"/>
          <w:rFonts w:ascii="Times New Roman" w:hAnsi="Times New Roman" w:eastAsia="黑体"/>
          <w:b w:val="0"/>
        </w:rPr>
      </w:pPr>
      <w:bookmarkStart w:id="16" w:name="_Toc15377207"/>
      <w:bookmarkStart w:id="17" w:name="_Toc15396605"/>
      <w:r>
        <w:rPr>
          <w:rFonts w:hint="eastAsia" w:eastAsia="黑体"/>
          <w:sz w:val="32"/>
          <w:szCs w:val="32"/>
        </w:rPr>
        <w:t>三、支</w:t>
      </w:r>
      <w:r>
        <w:rPr>
          <w:rStyle w:val="29"/>
          <w:rFonts w:hint="eastAsia" w:ascii="Times New Roman" w:hAnsi="Times New Roman" w:eastAsia="黑体"/>
          <w:b w:val="0"/>
        </w:rPr>
        <w:t>出决算情况说明</w:t>
      </w:r>
      <w:bookmarkEnd w:id="16"/>
      <w:bookmarkEnd w:id="17"/>
    </w:p>
    <w:p w14:paraId="74BD3C58">
      <w:pPr>
        <w:pStyle w:val="27"/>
        <w:spacing w:line="600" w:lineRule="exact"/>
        <w:ind w:firstLine="640"/>
        <w:jc w:val="left"/>
        <w:outlineLvl w:val="1"/>
        <w:rPr>
          <w:rFonts w:hint="eastAsia"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w:t>
      </w:r>
      <w:r>
        <w:rPr>
          <w:rFonts w:hint="eastAsia" w:ascii="仿宋_GB2312" w:hAnsi="仿宋_GB2312" w:eastAsia="仿宋_GB2312" w:cs="仿宋_GB2312"/>
          <w:sz w:val="32"/>
          <w:szCs w:val="32"/>
          <w:lang w:val="en-US" w:eastAsia="zh-CN"/>
        </w:rPr>
        <w:t>329.84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329.84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%；项目支</w:t>
      </w:r>
      <w:r>
        <w:rPr>
          <w:rFonts w:hint="eastAsia" w:ascii="仿宋_GB2312" w:hAnsi="仿宋_GB2312" w:eastAsia="仿宋_GB2312" w:cs="仿宋_GB2312"/>
          <w:sz w:val="32"/>
          <w:szCs w:val="32"/>
          <w:lang w:val="en-US" w:eastAsia="zh-CN"/>
        </w:rPr>
        <w:t>出0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r>
        <w:rPr>
          <w:rFonts w:hint="eastAsia" w:ascii="仿宋_GB2312" w:hAnsi="仿宋_GB2312" w:eastAsia="仿宋_GB2312" w:cs="仿宋_GB2312"/>
          <w:sz w:val="32"/>
          <w:szCs w:val="32"/>
        </w:rPr>
        <w:t>。</w:t>
      </w:r>
      <w:r>
        <w:rPr>
          <w:rFonts w:hint="eastAsia" w:eastAsia="仿宋_GB2312" w:cs="仿宋_GB2312"/>
          <w:b/>
          <w:bCs/>
          <w:sz w:val="32"/>
          <w:szCs w:val="32"/>
        </w:rPr>
        <w:t>注：仅罗列本部门涉及的支出）</w:t>
      </w:r>
    </w:p>
    <w:p w14:paraId="63DEF3DC">
      <w:pPr>
        <w:pStyle w:val="27"/>
        <w:spacing w:line="600" w:lineRule="exact"/>
        <w:ind w:firstLine="640"/>
        <w:jc w:val="left"/>
        <w:outlineLvl w:val="1"/>
        <w:rPr>
          <w:rFonts w:hint="eastAsia" w:eastAsia="仿宋_GB2312" w:cs="仿宋_GB2312"/>
          <w:b/>
          <w:bCs/>
          <w:sz w:val="32"/>
          <w:szCs w:val="32"/>
          <w:lang w:eastAsia="zh-CN"/>
        </w:rPr>
      </w:pPr>
      <w:r>
        <w:rPr>
          <w:rFonts w:hint="eastAsia" w:ascii="仿宋" w:hAnsi="仿宋" w:eastAsia="仿宋"/>
          <w:sz w:val="32"/>
          <w:szCs w:val="32"/>
          <w:shd w:val="pct10" w:color="auto" w:fill="FFFFFF"/>
          <w:lang w:eastAsia="zh-CN"/>
        </w:rPr>
        <w:drawing>
          <wp:anchor distT="0" distB="0" distL="114300" distR="114300" simplePos="0" relativeHeight="251661312" behindDoc="1" locked="0" layoutInCell="1" allowOverlap="1">
            <wp:simplePos x="0" y="0"/>
            <wp:positionH relativeFrom="column">
              <wp:posOffset>666750</wp:posOffset>
            </wp:positionH>
            <wp:positionV relativeFrom="paragraph">
              <wp:posOffset>145415</wp:posOffset>
            </wp:positionV>
            <wp:extent cx="4171315" cy="2548255"/>
            <wp:effectExtent l="4445" t="5080" r="15240" b="18415"/>
            <wp:wrapNone/>
            <wp:docPr id="5" name="图表 5"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BA56316">
      <w:pPr>
        <w:ind w:firstLine="800" w:firstLineChars="250"/>
        <w:rPr>
          <w:rFonts w:hint="eastAsia" w:eastAsia="仿宋_GB2312" w:cs="仿宋_GB2312"/>
          <w:sz w:val="32"/>
          <w:szCs w:val="32"/>
        </w:rPr>
      </w:pPr>
    </w:p>
    <w:p w14:paraId="5583EBE0">
      <w:pPr>
        <w:ind w:firstLine="800" w:firstLineChars="250"/>
        <w:rPr>
          <w:rFonts w:hint="eastAsia" w:eastAsia="仿宋_GB2312" w:cs="仿宋_GB2312"/>
          <w:sz w:val="32"/>
          <w:szCs w:val="32"/>
        </w:rPr>
      </w:pPr>
    </w:p>
    <w:p w14:paraId="2DF2D424">
      <w:pPr>
        <w:ind w:firstLine="800" w:firstLineChars="250"/>
        <w:rPr>
          <w:rFonts w:hint="eastAsia" w:eastAsia="仿宋_GB2312" w:cs="仿宋_GB2312"/>
          <w:sz w:val="32"/>
          <w:szCs w:val="32"/>
        </w:rPr>
      </w:pPr>
    </w:p>
    <w:p w14:paraId="7BCA7B8C">
      <w:pPr>
        <w:ind w:firstLine="800" w:firstLineChars="250"/>
        <w:rPr>
          <w:rFonts w:hint="eastAsia" w:eastAsia="仿宋_GB2312" w:cs="仿宋_GB2312"/>
          <w:sz w:val="32"/>
          <w:szCs w:val="32"/>
        </w:rPr>
      </w:pPr>
    </w:p>
    <w:p w14:paraId="1C88D9EC">
      <w:pPr>
        <w:ind w:firstLine="800" w:firstLineChars="250"/>
        <w:jc w:val="center"/>
        <w:rPr>
          <w:rFonts w:hint="eastAsia" w:eastAsia="仿宋_GB2312" w:cs="仿宋_GB2312"/>
          <w:sz w:val="32"/>
          <w:szCs w:val="32"/>
        </w:rPr>
      </w:pPr>
    </w:p>
    <w:p w14:paraId="15FB1388">
      <w:pPr>
        <w:ind w:firstLine="1280" w:firstLineChars="400"/>
        <w:jc w:val="both"/>
        <w:rPr>
          <w:rFonts w:hint="eastAsia" w:eastAsia="仿宋_GB2312" w:cs="仿宋_GB2312"/>
          <w:sz w:val="32"/>
          <w:szCs w:val="32"/>
        </w:rPr>
      </w:pPr>
    </w:p>
    <w:p w14:paraId="5F402524">
      <w:pPr>
        <w:ind w:firstLine="1600" w:firstLineChars="500"/>
        <w:jc w:val="both"/>
        <w:rPr>
          <w:rFonts w:eastAsia="仿宋_GB2312" w:cs="仿宋_GB2312"/>
          <w:sz w:val="32"/>
          <w:szCs w:val="32"/>
        </w:rPr>
      </w:pPr>
      <w:r>
        <w:rPr>
          <w:rFonts w:hint="eastAsia" w:eastAsia="仿宋_GB2312" w:cs="仿宋_GB2312"/>
          <w:sz w:val="32"/>
          <w:szCs w:val="32"/>
        </w:rPr>
        <w:t>（图3：支出决算结构图）（饼状图）</w:t>
      </w:r>
    </w:p>
    <w:p w14:paraId="3E554D15">
      <w:pPr>
        <w:spacing w:line="600" w:lineRule="exact"/>
        <w:outlineLvl w:val="1"/>
        <w:rPr>
          <w:rStyle w:val="29"/>
          <w:rFonts w:ascii="Times New Roman" w:hAnsi="Times New Roman" w:eastAsia="黑体"/>
          <w:b w:val="0"/>
        </w:rPr>
      </w:pPr>
      <w:bookmarkStart w:id="18" w:name="_Toc15377208"/>
      <w:bookmarkStart w:id="19"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18"/>
      <w:bookmarkEnd w:id="19"/>
    </w:p>
    <w:p w14:paraId="33F2E632">
      <w:pPr>
        <w:pStyle w:val="27"/>
        <w:spacing w:line="600" w:lineRule="exact"/>
        <w:ind w:firstLine="640"/>
        <w:outlineLvl w:val="1"/>
        <w:rPr>
          <w:rFonts w:hint="eastAsia" w:ascii="仿宋" w:hAnsi="仿宋" w:eastAsia="仿宋"/>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年度财政拨款收入、支出总计均为</w:t>
      </w:r>
      <w:r>
        <w:rPr>
          <w:rFonts w:hint="eastAsia" w:ascii="仿宋_GB2312" w:hAnsi="仿宋_GB2312" w:eastAsia="仿宋_GB2312" w:cs="仿宋_GB2312"/>
          <w:sz w:val="32"/>
          <w:szCs w:val="32"/>
          <w:lang w:val="en-US" w:eastAsia="zh-CN"/>
        </w:rPr>
        <w:t>329.84</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年度相比，财政拨款收入总计、支出总计各减少</w:t>
      </w:r>
      <w:r>
        <w:rPr>
          <w:rFonts w:hint="eastAsia" w:eastAsia="仿宋_GB2312" w:cs="仿宋_GB2312"/>
          <w:sz w:val="32"/>
          <w:szCs w:val="32"/>
          <w:lang w:val="en-US" w:eastAsia="zh-CN"/>
        </w:rPr>
        <w:t>35.48</w:t>
      </w:r>
      <w:r>
        <w:rPr>
          <w:rFonts w:hint="eastAsia" w:eastAsia="仿宋_GB2312" w:cs="仿宋_GB2312"/>
          <w:sz w:val="32"/>
          <w:szCs w:val="32"/>
        </w:rPr>
        <w:t>万元，下降</w:t>
      </w:r>
      <w:r>
        <w:rPr>
          <w:rFonts w:hint="eastAsia" w:eastAsia="仿宋_GB2312" w:cs="仿宋_GB2312"/>
          <w:sz w:val="32"/>
          <w:szCs w:val="32"/>
          <w:lang w:val="en-US" w:eastAsia="zh-CN"/>
        </w:rPr>
        <w:t>9.7</w:t>
      </w:r>
      <w:r>
        <w:rPr>
          <w:rFonts w:hint="eastAsia" w:eastAsia="仿宋_GB2312" w:cs="仿宋_GB2312"/>
          <w:sz w:val="32"/>
          <w:szCs w:val="32"/>
        </w:rPr>
        <w:t>%。主要变动原因是</w:t>
      </w:r>
      <w:r>
        <w:rPr>
          <w:rFonts w:hint="eastAsia" w:ascii="仿宋" w:hAnsi="仿宋" w:eastAsia="仿宋"/>
          <w:sz w:val="32"/>
          <w:szCs w:val="32"/>
          <w:lang w:eastAsia="zh-CN"/>
        </w:rPr>
        <w:t>在职人员减少，日常开支减少</w:t>
      </w:r>
      <w:r>
        <w:rPr>
          <w:rFonts w:hint="eastAsia" w:ascii="仿宋" w:hAnsi="仿宋" w:eastAsia="仿宋"/>
          <w:sz w:val="32"/>
          <w:szCs w:val="32"/>
        </w:rPr>
        <w:t>。</w:t>
      </w:r>
    </w:p>
    <w:p w14:paraId="0A3493CF">
      <w:pPr>
        <w:pStyle w:val="27"/>
        <w:spacing w:line="600" w:lineRule="exact"/>
        <w:ind w:firstLine="640"/>
        <w:outlineLvl w:val="1"/>
        <w:rPr>
          <w:rFonts w:hint="eastAsia" w:ascii="仿宋" w:hAnsi="仿宋" w:eastAsia="仿宋"/>
          <w:sz w:val="32"/>
          <w:szCs w:val="32"/>
        </w:rPr>
      </w:pPr>
      <w:r>
        <w:rPr>
          <w:rFonts w:hint="eastAsia" w:ascii="仿宋" w:hAnsi="仿宋" w:eastAsia="仿宋"/>
          <w:b/>
          <w:sz w:val="32"/>
          <w:szCs w:val="32"/>
          <w:lang w:eastAsia="zh-CN"/>
        </w:rPr>
        <w:drawing>
          <wp:anchor distT="0" distB="0" distL="114300" distR="114300" simplePos="0" relativeHeight="251662336" behindDoc="1" locked="0" layoutInCell="1" allowOverlap="1">
            <wp:simplePos x="0" y="0"/>
            <wp:positionH relativeFrom="column">
              <wp:posOffset>485775</wp:posOffset>
            </wp:positionH>
            <wp:positionV relativeFrom="paragraph">
              <wp:posOffset>10160</wp:posOffset>
            </wp:positionV>
            <wp:extent cx="4266565" cy="2323465"/>
            <wp:effectExtent l="5080" t="4445" r="14605" b="53340"/>
            <wp:wrapNone/>
            <wp:docPr id="6" name="图表 6"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260E9EA">
      <w:pPr>
        <w:spacing w:line="600" w:lineRule="exact"/>
        <w:ind w:firstLine="640"/>
        <w:rPr>
          <w:rFonts w:eastAsia="仿宋_GB2312" w:cs="仿宋_GB2312"/>
          <w:sz w:val="32"/>
          <w:szCs w:val="32"/>
        </w:rPr>
      </w:pPr>
    </w:p>
    <w:p w14:paraId="218FC662">
      <w:pPr>
        <w:pStyle w:val="13"/>
        <w:rPr>
          <w:rFonts w:hint="eastAsia" w:eastAsia="仿宋_GB2312" w:cs="仿宋_GB2312"/>
          <w:sz w:val="32"/>
          <w:szCs w:val="32"/>
          <w:lang w:eastAsia="zh-CN"/>
        </w:rPr>
      </w:pPr>
    </w:p>
    <w:p w14:paraId="00420256">
      <w:pPr>
        <w:spacing w:line="600" w:lineRule="exact"/>
        <w:rPr>
          <w:rFonts w:hint="eastAsia" w:eastAsia="仿宋_GB2312" w:cs="仿宋_GB2312"/>
          <w:sz w:val="32"/>
          <w:szCs w:val="32"/>
        </w:rPr>
      </w:pPr>
    </w:p>
    <w:p w14:paraId="1502E6D5">
      <w:pPr>
        <w:spacing w:line="600" w:lineRule="exact"/>
        <w:rPr>
          <w:rFonts w:hint="eastAsia" w:eastAsia="仿宋_GB2312" w:cs="仿宋_GB2312"/>
          <w:sz w:val="32"/>
          <w:szCs w:val="32"/>
        </w:rPr>
      </w:pPr>
    </w:p>
    <w:p w14:paraId="199567CD">
      <w:pPr>
        <w:spacing w:line="600" w:lineRule="exact"/>
        <w:rPr>
          <w:rFonts w:hint="eastAsia" w:eastAsia="仿宋_GB2312" w:cs="仿宋_GB2312"/>
          <w:sz w:val="32"/>
          <w:szCs w:val="32"/>
        </w:rPr>
      </w:pPr>
    </w:p>
    <w:p w14:paraId="03533773">
      <w:pPr>
        <w:spacing w:line="600" w:lineRule="exact"/>
        <w:rPr>
          <w:rFonts w:hint="eastAsia" w:eastAsia="仿宋_GB2312" w:cs="仿宋_GB2312"/>
          <w:sz w:val="32"/>
          <w:szCs w:val="32"/>
        </w:rPr>
      </w:pPr>
    </w:p>
    <w:p w14:paraId="253D645C">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1463D84F">
      <w:pPr>
        <w:spacing w:line="600" w:lineRule="exact"/>
        <w:outlineLvl w:val="1"/>
        <w:rPr>
          <w:rStyle w:val="29"/>
          <w:rFonts w:ascii="Times New Roman" w:hAnsi="Times New Roman" w:eastAsia="黑体"/>
          <w:b w:val="0"/>
        </w:rPr>
      </w:pPr>
      <w:bookmarkStart w:id="20" w:name="_Toc15396607"/>
      <w:bookmarkStart w:id="21"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0"/>
      <w:bookmarkEnd w:id="21"/>
    </w:p>
    <w:p w14:paraId="261222D8">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01A4858D">
      <w:pPr>
        <w:pStyle w:val="27"/>
        <w:spacing w:line="600" w:lineRule="exact"/>
        <w:ind w:firstLine="640"/>
        <w:outlineLvl w:val="1"/>
        <w:rPr>
          <w:rFonts w:hint="eastAsia" w:ascii="仿宋" w:hAnsi="仿宋" w:eastAsia="仿宋"/>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329.84</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年度相比，一般公共预算财政拨款支出减少</w:t>
      </w:r>
      <w:r>
        <w:rPr>
          <w:rFonts w:hint="eastAsia" w:ascii="仿宋_GB2312" w:hAnsi="仿宋_GB2312" w:eastAsia="仿宋_GB2312" w:cs="仿宋_GB2312"/>
          <w:sz w:val="32"/>
          <w:szCs w:val="32"/>
          <w:lang w:val="en-US" w:eastAsia="zh-CN"/>
        </w:rPr>
        <w:t>35.48</w:t>
      </w:r>
      <w:r>
        <w:rPr>
          <w:rFonts w:hint="eastAsia" w:ascii="仿宋_GB2312" w:hAnsi="仿宋_GB2312" w:eastAsia="仿宋_GB2312" w:cs="仿宋_GB2312"/>
          <w:sz w:val="32"/>
          <w:szCs w:val="32"/>
        </w:rPr>
        <w:t>万元，</w:t>
      </w:r>
      <w:r>
        <w:rPr>
          <w:rFonts w:hint="eastAsia" w:eastAsia="仿宋_GB2312" w:cs="仿宋_GB2312"/>
          <w:sz w:val="32"/>
          <w:szCs w:val="32"/>
        </w:rPr>
        <w:t>下降</w:t>
      </w:r>
      <w:r>
        <w:rPr>
          <w:rFonts w:hint="eastAsia" w:eastAsia="仿宋_GB2312" w:cs="仿宋_GB2312"/>
          <w:sz w:val="32"/>
          <w:szCs w:val="32"/>
          <w:lang w:val="en-US" w:eastAsia="zh-CN"/>
        </w:rPr>
        <w:t>9.7</w:t>
      </w:r>
      <w:r>
        <w:rPr>
          <w:rFonts w:hint="eastAsia" w:eastAsia="仿宋_GB2312" w:cs="仿宋_GB2312"/>
          <w:sz w:val="32"/>
          <w:szCs w:val="32"/>
        </w:rPr>
        <w:t>%。主要变动原因是</w:t>
      </w:r>
      <w:r>
        <w:rPr>
          <w:rFonts w:hint="eastAsia" w:ascii="仿宋" w:hAnsi="仿宋" w:eastAsia="仿宋"/>
          <w:sz w:val="32"/>
          <w:szCs w:val="32"/>
          <w:lang w:eastAsia="zh-CN"/>
        </w:rPr>
        <w:t>在职人员减少，日常开支减少</w:t>
      </w:r>
      <w:r>
        <w:rPr>
          <w:rFonts w:hint="eastAsia" w:ascii="仿宋" w:hAnsi="仿宋" w:eastAsia="仿宋"/>
          <w:sz w:val="32"/>
          <w:szCs w:val="32"/>
        </w:rPr>
        <w:t>。</w:t>
      </w:r>
    </w:p>
    <w:p w14:paraId="3A5C3BA4">
      <w:pPr>
        <w:spacing w:line="600" w:lineRule="exact"/>
        <w:ind w:firstLine="640"/>
        <w:rPr>
          <w:rFonts w:hint="eastAsia" w:eastAsia="仿宋_GB2312" w:cs="仿宋_GB2312"/>
          <w:sz w:val="32"/>
          <w:szCs w:val="32"/>
        </w:rPr>
      </w:pPr>
      <w:r>
        <w:rPr>
          <w:rFonts w:hint="eastAsia" w:ascii="仿宋" w:hAnsi="仿宋" w:eastAsia="仿宋"/>
          <w:b/>
          <w:sz w:val="32"/>
          <w:szCs w:val="32"/>
          <w:lang w:eastAsia="zh-CN"/>
        </w:rPr>
        <w:drawing>
          <wp:anchor distT="0" distB="0" distL="114300" distR="114300" simplePos="0" relativeHeight="251663360" behindDoc="1" locked="0" layoutInCell="1" allowOverlap="1">
            <wp:simplePos x="0" y="0"/>
            <wp:positionH relativeFrom="column">
              <wp:posOffset>488950</wp:posOffset>
            </wp:positionH>
            <wp:positionV relativeFrom="paragraph">
              <wp:posOffset>60960</wp:posOffset>
            </wp:positionV>
            <wp:extent cx="4218940" cy="2249170"/>
            <wp:effectExtent l="4445" t="5080" r="5715" b="50800"/>
            <wp:wrapNone/>
            <wp:docPr id="7" name="图表 7"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CE68845">
      <w:pPr>
        <w:spacing w:line="600" w:lineRule="exact"/>
        <w:ind w:firstLine="640"/>
        <w:rPr>
          <w:rFonts w:hint="eastAsia" w:eastAsia="仿宋_GB2312" w:cs="仿宋_GB2312"/>
          <w:sz w:val="32"/>
          <w:szCs w:val="32"/>
        </w:rPr>
      </w:pPr>
    </w:p>
    <w:p w14:paraId="10B9FB95">
      <w:pPr>
        <w:spacing w:line="600" w:lineRule="exact"/>
        <w:ind w:firstLine="640"/>
        <w:rPr>
          <w:rFonts w:hint="eastAsia" w:eastAsia="仿宋_GB2312" w:cs="仿宋_GB2312"/>
          <w:sz w:val="32"/>
          <w:szCs w:val="32"/>
        </w:rPr>
      </w:pPr>
    </w:p>
    <w:p w14:paraId="54DEBBF4">
      <w:pPr>
        <w:spacing w:line="600" w:lineRule="exact"/>
        <w:rPr>
          <w:rFonts w:hint="eastAsia" w:eastAsia="仿宋_GB2312" w:cs="仿宋_GB2312"/>
          <w:sz w:val="32"/>
          <w:szCs w:val="32"/>
        </w:rPr>
      </w:pPr>
    </w:p>
    <w:p w14:paraId="499C3C63">
      <w:pPr>
        <w:spacing w:line="600" w:lineRule="exact"/>
        <w:rPr>
          <w:rFonts w:eastAsia="仿宋_GB2312" w:cs="仿宋_GB2312"/>
          <w:sz w:val="32"/>
          <w:szCs w:val="32"/>
        </w:rPr>
      </w:pPr>
      <w:r>
        <w:rPr>
          <w:rFonts w:hint="eastAsia" w:eastAsia="仿宋_GB2312" w:cs="仿宋_GB2312"/>
          <w:sz w:val="32"/>
          <w:szCs w:val="32"/>
        </w:rPr>
        <w:t>（图5：一般公共预算财政拨款支出决算变动情况）（柱状图）</w:t>
      </w:r>
    </w:p>
    <w:p w14:paraId="0AE2D1E2">
      <w:pPr>
        <w:spacing w:line="600" w:lineRule="exact"/>
        <w:ind w:firstLine="640"/>
        <w:rPr>
          <w:rFonts w:eastAsia="仿宋_GB2312" w:cs="仿宋_GB2312"/>
          <w:sz w:val="32"/>
          <w:szCs w:val="32"/>
        </w:rPr>
      </w:pPr>
    </w:p>
    <w:p w14:paraId="56635B36">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55B027AF">
      <w:pPr>
        <w:spacing w:line="600" w:lineRule="exact"/>
        <w:ind w:firstLine="640"/>
        <w:rPr>
          <w:rFonts w:hint="default" w:ascii="Times New Roman" w:hAnsi="Times New Roman"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329.84</w:t>
      </w:r>
      <w:r>
        <w:rPr>
          <w:rFonts w:hint="eastAsia" w:ascii="仿宋_GB2312" w:hAnsi="仿宋_GB2312" w:eastAsia="仿宋_GB2312" w:cs="仿宋_GB2312"/>
          <w:sz w:val="32"/>
          <w:szCs w:val="32"/>
        </w:rPr>
        <w:t>万元</w:t>
      </w:r>
      <w:r>
        <w:rPr>
          <w:rFonts w:hint="eastAsia" w:eastAsia="仿宋_GB2312" w:cs="仿宋_GB2312"/>
          <w:sz w:val="32"/>
          <w:szCs w:val="32"/>
        </w:rPr>
        <w:t>，</w:t>
      </w:r>
      <w:r>
        <w:rPr>
          <w:rFonts w:hint="eastAsia" w:ascii="Times New Roman" w:hAnsi="Times New Roman" w:eastAsia="仿宋_GB2312" w:cs="仿宋_GB2312"/>
          <w:sz w:val="32"/>
          <w:szCs w:val="32"/>
        </w:rPr>
        <w:t>社会保障和就业支出</w:t>
      </w:r>
      <w:r>
        <w:rPr>
          <w:rFonts w:hint="eastAsia" w:eastAsia="仿宋_GB2312" w:cs="仿宋_GB2312"/>
          <w:sz w:val="32"/>
          <w:szCs w:val="32"/>
          <w:lang w:val="en-US" w:eastAsia="zh-CN"/>
        </w:rPr>
        <w:t>42.16</w:t>
      </w:r>
      <w:r>
        <w:rPr>
          <w:rFonts w:hint="eastAsia" w:eastAsia="仿宋_GB2312" w:cs="仿宋_GB2312"/>
          <w:sz w:val="32"/>
          <w:szCs w:val="32"/>
        </w:rPr>
        <w:t>万元，占</w:t>
      </w:r>
      <w:r>
        <w:rPr>
          <w:rFonts w:hint="eastAsia" w:eastAsia="仿宋_GB2312" w:cs="仿宋_GB2312"/>
          <w:sz w:val="32"/>
          <w:szCs w:val="32"/>
          <w:lang w:val="en-US" w:eastAsia="zh-CN"/>
        </w:rPr>
        <w:t xml:space="preserve">13 </w:t>
      </w:r>
      <w:r>
        <w:rPr>
          <w:rFonts w:hint="eastAsia" w:eastAsia="仿宋_GB2312" w:cs="仿宋_GB2312"/>
          <w:sz w:val="32"/>
          <w:szCs w:val="32"/>
        </w:rPr>
        <w:t>%；卫生健康支出</w:t>
      </w:r>
      <w:r>
        <w:rPr>
          <w:rFonts w:hint="eastAsia" w:eastAsia="仿宋_GB2312" w:cs="仿宋_GB2312"/>
          <w:sz w:val="32"/>
          <w:szCs w:val="32"/>
          <w:lang w:val="en-US" w:eastAsia="zh-CN"/>
        </w:rPr>
        <w:t>16.10</w:t>
      </w:r>
      <w:r>
        <w:rPr>
          <w:rFonts w:hint="eastAsia" w:eastAsia="仿宋_GB2312" w:cs="仿宋_GB2312"/>
          <w:sz w:val="32"/>
          <w:szCs w:val="32"/>
        </w:rPr>
        <w:t>万元，占</w:t>
      </w:r>
      <w:r>
        <w:rPr>
          <w:rFonts w:hint="eastAsia" w:eastAsia="仿宋_GB2312" w:cs="仿宋_GB2312"/>
          <w:sz w:val="32"/>
          <w:szCs w:val="32"/>
          <w:lang w:val="en-US" w:eastAsia="zh-CN"/>
        </w:rPr>
        <w:t xml:space="preserve">5 </w:t>
      </w:r>
      <w:r>
        <w:rPr>
          <w:rFonts w:hint="eastAsia" w:eastAsia="仿宋_GB2312" w:cs="仿宋_GB2312"/>
          <w:sz w:val="32"/>
          <w:szCs w:val="32"/>
        </w:rPr>
        <w:t>%；住房保障支出</w:t>
      </w:r>
      <w:r>
        <w:rPr>
          <w:rFonts w:hint="eastAsia" w:eastAsia="仿宋_GB2312" w:cs="仿宋_GB2312"/>
          <w:sz w:val="32"/>
          <w:szCs w:val="32"/>
          <w:lang w:val="en-US" w:eastAsia="zh-CN"/>
        </w:rPr>
        <w:t>14.84</w:t>
      </w:r>
      <w:r>
        <w:rPr>
          <w:rFonts w:hint="eastAsia" w:eastAsia="仿宋_GB2312" w:cs="仿宋_GB2312"/>
          <w:sz w:val="32"/>
          <w:szCs w:val="32"/>
        </w:rPr>
        <w:t>万元，占</w:t>
      </w:r>
      <w:r>
        <w:rPr>
          <w:rFonts w:hint="eastAsia" w:eastAsia="仿宋_GB2312" w:cs="仿宋_GB2312"/>
          <w:sz w:val="32"/>
          <w:szCs w:val="32"/>
          <w:lang w:val="en-US" w:eastAsia="zh-CN"/>
        </w:rPr>
        <w:t xml:space="preserve">4 </w:t>
      </w:r>
      <w:r>
        <w:rPr>
          <w:rFonts w:hint="eastAsia" w:eastAsia="仿宋_GB2312" w:cs="仿宋_GB2312"/>
          <w:sz w:val="32"/>
          <w:szCs w:val="32"/>
        </w:rPr>
        <w:t>%；</w:t>
      </w:r>
      <w:r>
        <w:rPr>
          <w:rFonts w:hint="eastAsia" w:ascii="Times New Roman" w:hAnsi="Times New Roman" w:eastAsia="仿宋_GB2312" w:cs="仿宋_GB2312"/>
          <w:sz w:val="32"/>
          <w:szCs w:val="32"/>
          <w:lang w:eastAsia="zh-CN"/>
        </w:rPr>
        <w:t>农林水支出</w:t>
      </w:r>
      <w:r>
        <w:rPr>
          <w:rFonts w:hint="eastAsia" w:eastAsia="仿宋_GB2312" w:cs="仿宋_GB2312"/>
          <w:sz w:val="32"/>
          <w:szCs w:val="32"/>
          <w:lang w:val="en-US" w:eastAsia="zh-CN"/>
        </w:rPr>
        <w:t>256.74</w:t>
      </w:r>
      <w:r>
        <w:rPr>
          <w:rFonts w:hint="eastAsia" w:ascii="Times New Roman" w:hAnsi="Times New Roman" w:eastAsia="仿宋_GB2312" w:cs="仿宋_GB2312"/>
          <w:sz w:val="32"/>
          <w:szCs w:val="32"/>
          <w:lang w:val="en-US" w:eastAsia="zh-CN"/>
        </w:rPr>
        <w:t>万元，占</w:t>
      </w:r>
      <w:r>
        <w:rPr>
          <w:rFonts w:hint="eastAsia" w:eastAsia="仿宋_GB2312" w:cs="仿宋_GB2312"/>
          <w:sz w:val="32"/>
          <w:szCs w:val="32"/>
          <w:lang w:val="en-US" w:eastAsia="zh-CN"/>
        </w:rPr>
        <w:t xml:space="preserve">78 </w:t>
      </w:r>
      <w:r>
        <w:rPr>
          <w:rFonts w:hint="eastAsia" w:ascii="Times New Roman" w:hAnsi="Times New Roman" w:eastAsia="仿宋_GB2312" w:cs="仿宋_GB2312"/>
          <w:sz w:val="32"/>
          <w:szCs w:val="32"/>
          <w:lang w:val="en-US" w:eastAsia="zh-CN"/>
        </w:rPr>
        <w:t>%</w:t>
      </w:r>
      <w:r>
        <w:rPr>
          <w:rFonts w:hint="eastAsia" w:eastAsia="仿宋_GB2312" w:cs="仿宋_GB2312"/>
          <w:sz w:val="32"/>
          <w:szCs w:val="32"/>
          <w:lang w:val="en-US" w:eastAsia="zh-CN"/>
        </w:rPr>
        <w:t>。</w:t>
      </w:r>
    </w:p>
    <w:p w14:paraId="0945E452">
      <w:pPr>
        <w:spacing w:line="600" w:lineRule="exact"/>
        <w:ind w:firstLine="321" w:firstLineChars="100"/>
        <w:rPr>
          <w:rFonts w:eastAsia="仿宋_GB2312" w:cs="仿宋_GB2312"/>
          <w:b/>
          <w:bCs/>
          <w:sz w:val="32"/>
          <w:szCs w:val="32"/>
        </w:rPr>
      </w:pPr>
      <w:r>
        <w:rPr>
          <w:rFonts w:hint="eastAsia" w:eastAsia="仿宋_GB2312" w:cs="仿宋_GB2312"/>
          <w:b/>
          <w:bCs/>
          <w:sz w:val="32"/>
          <w:szCs w:val="32"/>
        </w:rPr>
        <w:t>（注：仅罗列本部门涉及的全部功能分类科目，至类级）</w:t>
      </w:r>
    </w:p>
    <w:p w14:paraId="1AB6ECD3">
      <w:pPr>
        <w:spacing w:line="600" w:lineRule="exact"/>
        <w:ind w:firstLine="640"/>
        <w:rPr>
          <w:rFonts w:hint="eastAsia" w:eastAsia="仿宋_GB2312" w:cs="仿宋_GB2312"/>
          <w:sz w:val="32"/>
          <w:szCs w:val="32"/>
        </w:rPr>
      </w:pPr>
      <w:r>
        <w:rPr>
          <w:rFonts w:hint="eastAsia" w:ascii="仿宋" w:hAnsi="仿宋" w:eastAsia="仿宋"/>
          <w:sz w:val="32"/>
          <w:szCs w:val="32"/>
          <w:lang w:eastAsia="zh-CN"/>
        </w:rPr>
        <w:drawing>
          <wp:anchor distT="0" distB="0" distL="114300" distR="114300" simplePos="0" relativeHeight="251664384" behindDoc="1" locked="0" layoutInCell="1" allowOverlap="1">
            <wp:simplePos x="0" y="0"/>
            <wp:positionH relativeFrom="column">
              <wp:posOffset>388620</wp:posOffset>
            </wp:positionH>
            <wp:positionV relativeFrom="paragraph">
              <wp:posOffset>153670</wp:posOffset>
            </wp:positionV>
            <wp:extent cx="4582160" cy="2562225"/>
            <wp:effectExtent l="4445" t="4445" r="23495" b="508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504CA68">
      <w:pPr>
        <w:spacing w:line="600" w:lineRule="exact"/>
        <w:ind w:firstLine="640"/>
        <w:rPr>
          <w:rFonts w:hint="eastAsia" w:eastAsia="仿宋_GB2312" w:cs="仿宋_GB2312"/>
          <w:sz w:val="32"/>
          <w:szCs w:val="32"/>
        </w:rPr>
      </w:pPr>
    </w:p>
    <w:p w14:paraId="7356287C">
      <w:pPr>
        <w:spacing w:line="600" w:lineRule="exact"/>
        <w:ind w:firstLine="640"/>
        <w:rPr>
          <w:rFonts w:hint="eastAsia" w:eastAsia="仿宋_GB2312" w:cs="仿宋_GB2312"/>
          <w:sz w:val="32"/>
          <w:szCs w:val="32"/>
        </w:rPr>
      </w:pPr>
    </w:p>
    <w:p w14:paraId="4813038B">
      <w:pPr>
        <w:spacing w:line="600" w:lineRule="exact"/>
        <w:ind w:firstLine="640"/>
        <w:rPr>
          <w:rFonts w:hint="eastAsia" w:eastAsia="仿宋_GB2312" w:cs="仿宋_GB2312"/>
          <w:sz w:val="32"/>
          <w:szCs w:val="32"/>
        </w:rPr>
      </w:pPr>
    </w:p>
    <w:p w14:paraId="4596CC0A">
      <w:pPr>
        <w:spacing w:line="600" w:lineRule="exact"/>
        <w:ind w:firstLine="640"/>
        <w:rPr>
          <w:rFonts w:hint="eastAsia" w:eastAsia="仿宋_GB2312" w:cs="仿宋_GB2312"/>
          <w:sz w:val="32"/>
          <w:szCs w:val="32"/>
        </w:rPr>
      </w:pPr>
    </w:p>
    <w:p w14:paraId="3514BF31">
      <w:pPr>
        <w:spacing w:line="600" w:lineRule="exact"/>
        <w:ind w:firstLine="640"/>
        <w:rPr>
          <w:rFonts w:hint="eastAsia" w:eastAsia="仿宋_GB2312" w:cs="仿宋_GB2312"/>
          <w:sz w:val="32"/>
          <w:szCs w:val="32"/>
        </w:rPr>
      </w:pPr>
    </w:p>
    <w:p w14:paraId="2967D73F">
      <w:pPr>
        <w:spacing w:line="600" w:lineRule="exact"/>
        <w:ind w:firstLine="640"/>
        <w:rPr>
          <w:rFonts w:hint="eastAsia" w:eastAsia="仿宋_GB2312" w:cs="仿宋_GB2312"/>
          <w:sz w:val="32"/>
          <w:szCs w:val="32"/>
        </w:rPr>
      </w:pPr>
    </w:p>
    <w:p w14:paraId="1C4F33AD">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2F22E65B">
      <w:pPr>
        <w:spacing w:line="600" w:lineRule="exact"/>
        <w:ind w:firstLine="643" w:firstLineChars="200"/>
        <w:outlineLvl w:val="2"/>
        <w:rPr>
          <w:rFonts w:eastAsia="楷体_GB2312" w:cs="楷体_GB2312"/>
          <w:b/>
          <w:sz w:val="32"/>
          <w:szCs w:val="32"/>
        </w:rPr>
      </w:pPr>
      <w:bookmarkStart w:id="24" w:name="_Toc15377212"/>
      <w:r>
        <w:rPr>
          <w:rFonts w:hint="eastAsia" w:eastAsia="楷体_GB2312" w:cs="楷体_GB2312"/>
          <w:b/>
          <w:sz w:val="32"/>
          <w:szCs w:val="32"/>
        </w:rPr>
        <w:t>（三）一般公共预算财政拨款支出决算具体情况</w:t>
      </w:r>
      <w:bookmarkEnd w:id="24"/>
    </w:p>
    <w:p w14:paraId="07DD2A2F">
      <w:pPr>
        <w:spacing w:line="600" w:lineRule="exact"/>
        <w:ind w:firstLine="640"/>
        <w:rPr>
          <w:rFonts w:eastAsia="仿宋_GB2312" w:cs="仿宋_GB2312"/>
          <w:sz w:val="32"/>
          <w:szCs w:val="32"/>
        </w:rPr>
      </w:pPr>
      <w:bookmarkStart w:id="25" w:name="_Toc15377213"/>
      <w:bookmarkStart w:id="26" w:name="_Toc15378460"/>
      <w:bookmarkStart w:id="27"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329.84</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5"/>
      <w:bookmarkEnd w:id="26"/>
      <w:bookmarkEnd w:id="27"/>
    </w:p>
    <w:p w14:paraId="7BFCDF4C">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1.</w:t>
      </w:r>
      <w:r>
        <w:rPr>
          <w:rFonts w:hint="eastAsia" w:eastAsia="仿宋_GB2312" w:cs="仿宋_GB2312"/>
          <w:b/>
          <w:bCs/>
          <w:sz w:val="32"/>
          <w:szCs w:val="32"/>
        </w:rPr>
        <w:t>社会保障和就业（208类）行政事业单位养老支出（05款）机关事业单位基本养老保险缴费支出（05项）</w:t>
      </w:r>
      <w:r>
        <w:rPr>
          <w:rFonts w:hint="eastAsia" w:eastAsia="仿宋_GB2312" w:cs="仿宋_GB2312"/>
          <w:b/>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17.43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6AC46122">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2.</w:t>
      </w:r>
      <w:r>
        <w:rPr>
          <w:rFonts w:hint="eastAsia" w:eastAsia="仿宋_GB2312" w:cs="仿宋_GB2312"/>
          <w:b/>
          <w:bCs/>
          <w:sz w:val="32"/>
          <w:szCs w:val="32"/>
        </w:rPr>
        <w:t xml:space="preserve">社会保障和就业（208类）行政事业单位养老支出（05款）机关事业单位职业年金缴费支出（06项）: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16.03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1FCD102A">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3.</w:t>
      </w:r>
      <w:r>
        <w:rPr>
          <w:rFonts w:hint="eastAsia" w:eastAsia="仿宋_GB2312" w:cs="仿宋_GB2312"/>
          <w:b/>
          <w:bCs/>
          <w:sz w:val="32"/>
          <w:szCs w:val="32"/>
        </w:rPr>
        <w:t>社会保障和就业（208类）行政事业单位养老支出（05款）</w:t>
      </w:r>
      <w:r>
        <w:rPr>
          <w:rFonts w:hint="eastAsia" w:eastAsia="仿宋_GB2312" w:cs="仿宋_GB2312"/>
          <w:b/>
          <w:bCs/>
          <w:sz w:val="32"/>
          <w:szCs w:val="32"/>
          <w:lang w:eastAsia="zh-CN"/>
        </w:rPr>
        <w:t>其他行政</w:t>
      </w:r>
      <w:r>
        <w:rPr>
          <w:rFonts w:hint="eastAsia" w:eastAsia="仿宋_GB2312" w:cs="仿宋_GB2312"/>
          <w:b/>
          <w:bCs/>
          <w:sz w:val="32"/>
          <w:szCs w:val="32"/>
        </w:rPr>
        <w:t>事业单位</w:t>
      </w:r>
      <w:r>
        <w:rPr>
          <w:rFonts w:hint="eastAsia" w:eastAsia="仿宋_GB2312" w:cs="仿宋_GB2312"/>
          <w:b/>
          <w:bCs/>
          <w:sz w:val="32"/>
          <w:szCs w:val="32"/>
          <w:lang w:eastAsia="zh-CN"/>
        </w:rPr>
        <w:t>养老保险支</w:t>
      </w:r>
      <w:r>
        <w:rPr>
          <w:rFonts w:hint="eastAsia" w:eastAsia="仿宋_GB2312" w:cs="仿宋_GB2312"/>
          <w:b/>
          <w:bCs/>
          <w:sz w:val="32"/>
          <w:szCs w:val="32"/>
        </w:rPr>
        <w:t>出（</w:t>
      </w:r>
      <w:r>
        <w:rPr>
          <w:rFonts w:hint="eastAsia" w:eastAsia="仿宋_GB2312" w:cs="仿宋_GB2312"/>
          <w:b/>
          <w:bCs/>
          <w:sz w:val="32"/>
          <w:szCs w:val="32"/>
          <w:lang w:val="en-US" w:eastAsia="zh-CN"/>
        </w:rPr>
        <w:t>99</w:t>
      </w:r>
      <w:r>
        <w:rPr>
          <w:rFonts w:hint="eastAsia" w:eastAsia="仿宋_GB2312" w:cs="仿宋_GB2312"/>
          <w:b/>
          <w:bCs/>
          <w:sz w:val="32"/>
          <w:szCs w:val="32"/>
        </w:rPr>
        <w:t xml:space="preserve">项）: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0BE0DCD5">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4.</w:t>
      </w:r>
      <w:r>
        <w:rPr>
          <w:rFonts w:hint="eastAsia" w:eastAsia="仿宋_GB2312" w:cs="仿宋_GB2312"/>
          <w:b/>
          <w:bCs/>
          <w:sz w:val="32"/>
          <w:szCs w:val="32"/>
        </w:rPr>
        <w:t>卫生健康（210类）行政事业单位医疗（11款）事业单位医疗（02项）:</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8.34</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2990E8CF">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5.</w:t>
      </w:r>
      <w:r>
        <w:rPr>
          <w:rFonts w:hint="eastAsia" w:eastAsia="仿宋_GB2312" w:cs="仿宋_GB2312"/>
          <w:b/>
          <w:bCs/>
          <w:sz w:val="32"/>
          <w:szCs w:val="32"/>
        </w:rPr>
        <w:t>卫生健康（210类）行政事业单位医疗（11款）其他行政事业单位医疗支出（</w:t>
      </w:r>
      <w:r>
        <w:rPr>
          <w:rFonts w:hint="eastAsia" w:eastAsia="仿宋_GB2312" w:cs="仿宋_GB2312"/>
          <w:b/>
          <w:bCs/>
          <w:sz w:val="32"/>
          <w:szCs w:val="32"/>
          <w:lang w:val="en-US" w:eastAsia="zh-CN"/>
        </w:rPr>
        <w:t>99</w:t>
      </w:r>
      <w:r>
        <w:rPr>
          <w:rFonts w:hint="eastAsia" w:eastAsia="仿宋_GB2312" w:cs="仿宋_GB2312"/>
          <w:b/>
          <w:bCs/>
          <w:sz w:val="32"/>
          <w:szCs w:val="32"/>
        </w:rPr>
        <w:t>项）:</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7.76</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1F5D30D1">
      <w:pPr>
        <w:pStyle w:val="13"/>
        <w:numPr>
          <w:ilvl w:val="0"/>
          <w:numId w:val="0"/>
        </w:numPr>
        <w:rPr>
          <w:rFonts w:hint="eastAsia"/>
        </w:rPr>
      </w:pPr>
    </w:p>
    <w:p w14:paraId="342FD0F0">
      <w:pPr>
        <w:numPr>
          <w:ilvl w:val="0"/>
          <w:numId w:val="0"/>
        </w:numPr>
        <w:spacing w:line="600" w:lineRule="exact"/>
        <w:ind w:leftChars="0"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6.</w:t>
      </w:r>
      <w:r>
        <w:rPr>
          <w:rFonts w:hint="eastAsia" w:eastAsia="仿宋_GB2312" w:cs="仿宋_GB2312"/>
          <w:b/>
          <w:bCs/>
          <w:sz w:val="32"/>
          <w:szCs w:val="32"/>
        </w:rPr>
        <w:t>住房保障（221类）住房改革支出（02款）住房公积金（01项）:</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14.84</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14:paraId="06705A71">
      <w:pPr>
        <w:pStyle w:val="13"/>
        <w:numPr>
          <w:ilvl w:val="0"/>
          <w:numId w:val="0"/>
        </w:numPr>
        <w:ind w:leftChars="0"/>
        <w:rPr>
          <w:rFonts w:hint="default" w:eastAsia="宋体"/>
          <w:lang w:val="en-US" w:eastAsia="zh-CN"/>
        </w:rPr>
      </w:pPr>
    </w:p>
    <w:p w14:paraId="709046C8">
      <w:pPr>
        <w:numPr>
          <w:ilvl w:val="0"/>
          <w:numId w:val="0"/>
        </w:numPr>
        <w:spacing w:line="600" w:lineRule="exact"/>
        <w:ind w:firstLine="643" w:firstLineChars="200"/>
        <w:rPr>
          <w:rStyle w:val="17"/>
          <w:rFonts w:hint="eastAsia" w:ascii="仿宋" w:hAnsi="仿宋" w:eastAsia="仿宋" w:cstheme="minorBidi"/>
          <w:b w:val="0"/>
          <w:bCs/>
          <w:kern w:val="2"/>
          <w:sz w:val="32"/>
          <w:szCs w:val="32"/>
          <w:lang w:val="en-US" w:eastAsia="zh-CN" w:bidi="ar-SA"/>
        </w:rPr>
      </w:pPr>
      <w:r>
        <w:rPr>
          <w:rStyle w:val="17"/>
          <w:rFonts w:hint="eastAsia" w:ascii="仿宋" w:hAnsi="仿宋" w:eastAsia="仿宋" w:cstheme="minorBidi"/>
          <w:bCs/>
          <w:kern w:val="2"/>
          <w:sz w:val="32"/>
          <w:szCs w:val="32"/>
          <w:lang w:val="en-US" w:eastAsia="zh-CN" w:bidi="ar-SA"/>
        </w:rPr>
        <w:t>7.</w:t>
      </w:r>
      <w:r>
        <w:rPr>
          <w:rFonts w:hint="eastAsia" w:eastAsia="仿宋_GB2312" w:cs="仿宋_GB2312"/>
          <w:b/>
          <w:bCs/>
          <w:sz w:val="32"/>
          <w:szCs w:val="32"/>
        </w:rPr>
        <w:t>农林水（213类）林业和草原（02款）事业机构（04项）:</w:t>
      </w:r>
      <w:r>
        <w:rPr>
          <w:rStyle w:val="17"/>
          <w:rFonts w:hint="eastAsia" w:ascii="仿宋" w:hAnsi="仿宋" w:eastAsia="仿宋" w:cstheme="minorBidi"/>
          <w:b w:val="0"/>
          <w:bCs/>
          <w:kern w:val="2"/>
          <w:sz w:val="32"/>
          <w:szCs w:val="32"/>
          <w:lang w:val="en-US" w:eastAsia="zh-CN" w:bidi="ar-SA"/>
        </w:rPr>
        <w:t>支出决算为256.74万元，完成预算100%。</w:t>
      </w:r>
    </w:p>
    <w:p w14:paraId="67395223">
      <w:pPr>
        <w:numPr>
          <w:ilvl w:val="0"/>
          <w:numId w:val="0"/>
        </w:numPr>
        <w:spacing w:line="600" w:lineRule="exact"/>
        <w:ind w:firstLine="643" w:firstLineChars="200"/>
        <w:rPr>
          <w:rFonts w:eastAsia="仿宋_GB2312" w:cs="仿宋_GB2312"/>
          <w:b/>
          <w:bCs/>
          <w:sz w:val="32"/>
          <w:szCs w:val="32"/>
        </w:rPr>
      </w:pPr>
      <w:r>
        <w:rPr>
          <w:rFonts w:hint="eastAsia" w:eastAsia="仿宋_GB2312" w:cs="仿宋_GB2312"/>
          <w:b/>
          <w:bCs/>
          <w:sz w:val="32"/>
          <w:szCs w:val="32"/>
        </w:rPr>
        <w:t>（注：仅罗列本部门涉及的全部功能分类科目，至项级。上述“预算”口径为全年预算数。增减变动原因为决算数&lt;项级&gt;和全年预算数&lt;项级&gt;比较，与预算数持平可以不写原因）</w:t>
      </w:r>
    </w:p>
    <w:p w14:paraId="5A0174AB">
      <w:pPr>
        <w:spacing w:line="600" w:lineRule="exact"/>
        <w:ind w:firstLine="640"/>
        <w:rPr>
          <w:rFonts w:eastAsia="仿宋_GB2312" w:cs="仿宋_GB2312"/>
          <w:sz w:val="32"/>
          <w:szCs w:val="32"/>
        </w:rPr>
      </w:pPr>
    </w:p>
    <w:p w14:paraId="03879C47">
      <w:pPr>
        <w:tabs>
          <w:tab w:val="right" w:pos="8306"/>
        </w:tabs>
        <w:spacing w:line="600" w:lineRule="exact"/>
        <w:ind w:firstLine="640"/>
        <w:outlineLvl w:val="1"/>
        <w:rPr>
          <w:rStyle w:val="29"/>
          <w:rFonts w:ascii="Times New Roman" w:hAnsi="Times New Roman"/>
        </w:rPr>
      </w:pPr>
      <w:bookmarkStart w:id="28" w:name="_Toc15377214"/>
      <w:bookmarkStart w:id="29"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28"/>
      <w:bookmarkEnd w:id="29"/>
      <w:r>
        <w:rPr>
          <w:rStyle w:val="29"/>
          <w:rFonts w:ascii="Times New Roman" w:hAnsi="Times New Roman" w:eastAsia="黑体"/>
          <w:b w:val="0"/>
        </w:rPr>
        <w:tab/>
      </w:r>
    </w:p>
    <w:p w14:paraId="60708B6C">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eastAsia="仿宋_GB2312" w:cs="仿宋_GB2312"/>
          <w:sz w:val="32"/>
          <w:szCs w:val="32"/>
          <w:lang w:val="en-US" w:eastAsia="zh-CN"/>
        </w:rPr>
        <w:t>329.84</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46A7E9E">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302.34</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元，主要包括：基本工资53.05</w:t>
      </w:r>
      <w:r>
        <w:rPr>
          <w:rFonts w:hint="eastAsia" w:eastAsia="仿宋_GB2312" w:cs="仿宋_GB2312"/>
          <w:sz w:val="32"/>
          <w:szCs w:val="32"/>
          <w:lang w:eastAsia="zh-CN"/>
        </w:rPr>
        <w:t>万元</w:t>
      </w:r>
      <w:r>
        <w:rPr>
          <w:rFonts w:hint="eastAsia" w:eastAsia="仿宋_GB2312" w:cs="仿宋_GB2312"/>
          <w:sz w:val="32"/>
          <w:szCs w:val="32"/>
        </w:rPr>
        <w:t>、津贴补贴4.74</w:t>
      </w:r>
      <w:r>
        <w:rPr>
          <w:rFonts w:hint="eastAsia" w:eastAsia="仿宋_GB2312" w:cs="仿宋_GB2312"/>
          <w:sz w:val="32"/>
          <w:szCs w:val="32"/>
          <w:lang w:eastAsia="zh-CN"/>
        </w:rPr>
        <w:t>万元</w:t>
      </w:r>
      <w:r>
        <w:rPr>
          <w:rFonts w:hint="eastAsia" w:eastAsia="仿宋_GB2312" w:cs="仿宋_GB2312"/>
          <w:sz w:val="32"/>
          <w:szCs w:val="32"/>
        </w:rPr>
        <w:t>、奖金51.41</w:t>
      </w:r>
      <w:r>
        <w:rPr>
          <w:rFonts w:hint="eastAsia" w:eastAsia="仿宋_GB2312" w:cs="仿宋_GB2312"/>
          <w:sz w:val="32"/>
          <w:szCs w:val="32"/>
          <w:lang w:eastAsia="zh-CN"/>
        </w:rPr>
        <w:t>万元</w:t>
      </w:r>
      <w:r>
        <w:rPr>
          <w:rFonts w:hint="eastAsia" w:eastAsia="仿宋_GB2312" w:cs="仿宋_GB2312"/>
          <w:sz w:val="32"/>
          <w:szCs w:val="32"/>
        </w:rPr>
        <w:t>、绩效工资26</w:t>
      </w:r>
      <w:r>
        <w:rPr>
          <w:rFonts w:hint="eastAsia" w:eastAsia="仿宋_GB2312" w:cs="仿宋_GB2312"/>
          <w:sz w:val="32"/>
          <w:szCs w:val="32"/>
          <w:lang w:eastAsia="zh-CN"/>
        </w:rPr>
        <w:t>万元</w:t>
      </w:r>
      <w:r>
        <w:rPr>
          <w:rFonts w:hint="eastAsia" w:eastAsia="仿宋_GB2312" w:cs="仿宋_GB2312"/>
          <w:sz w:val="32"/>
          <w:szCs w:val="32"/>
        </w:rPr>
        <w:t>、机关事业单位基本养老保险缴费17.43</w:t>
      </w:r>
      <w:r>
        <w:rPr>
          <w:rFonts w:hint="eastAsia" w:eastAsia="仿宋_GB2312" w:cs="仿宋_GB2312"/>
          <w:sz w:val="32"/>
          <w:szCs w:val="32"/>
          <w:lang w:eastAsia="zh-CN"/>
        </w:rPr>
        <w:t>万元</w:t>
      </w:r>
      <w:r>
        <w:rPr>
          <w:rFonts w:hint="eastAsia" w:eastAsia="仿宋_GB2312" w:cs="仿宋_GB2312"/>
          <w:sz w:val="32"/>
          <w:szCs w:val="32"/>
        </w:rPr>
        <w:t>、职业年金缴费8.7</w:t>
      </w:r>
      <w:r>
        <w:rPr>
          <w:rFonts w:hint="eastAsia" w:eastAsia="仿宋_GB2312" w:cs="仿宋_GB2312"/>
          <w:sz w:val="32"/>
          <w:szCs w:val="32"/>
          <w:lang w:eastAsia="zh-CN"/>
        </w:rPr>
        <w:t>万元</w:t>
      </w:r>
      <w:r>
        <w:rPr>
          <w:rFonts w:hint="eastAsia" w:eastAsia="仿宋_GB2312" w:cs="仿宋_GB2312"/>
          <w:sz w:val="32"/>
          <w:szCs w:val="32"/>
        </w:rPr>
        <w:t>、职工基本医疗保险缴费8.34</w:t>
      </w:r>
      <w:r>
        <w:rPr>
          <w:rFonts w:hint="eastAsia" w:eastAsia="仿宋_GB2312" w:cs="仿宋_GB2312"/>
          <w:sz w:val="32"/>
          <w:szCs w:val="32"/>
          <w:lang w:eastAsia="zh-CN"/>
        </w:rPr>
        <w:t>万元、</w:t>
      </w:r>
      <w:r>
        <w:rPr>
          <w:rFonts w:hint="eastAsia" w:eastAsia="仿宋_GB2312" w:cs="仿宋_GB2312"/>
          <w:sz w:val="32"/>
          <w:szCs w:val="32"/>
        </w:rPr>
        <w:t>其他社会保障缴费8.71</w:t>
      </w:r>
      <w:r>
        <w:rPr>
          <w:rFonts w:hint="eastAsia" w:eastAsia="仿宋_GB2312" w:cs="仿宋_GB2312"/>
          <w:sz w:val="32"/>
          <w:szCs w:val="32"/>
          <w:lang w:eastAsia="zh-CN"/>
        </w:rPr>
        <w:t>万元</w:t>
      </w:r>
      <w:r>
        <w:rPr>
          <w:rFonts w:hint="eastAsia" w:eastAsia="仿宋_GB2312" w:cs="仿宋_GB2312"/>
          <w:sz w:val="32"/>
          <w:szCs w:val="32"/>
        </w:rPr>
        <w:t>、其他工资福利支出2.1</w:t>
      </w:r>
      <w:r>
        <w:rPr>
          <w:rFonts w:hint="eastAsia" w:eastAsia="仿宋_GB2312" w:cs="仿宋_GB2312"/>
          <w:sz w:val="32"/>
          <w:szCs w:val="32"/>
          <w:lang w:eastAsia="zh-CN"/>
        </w:rPr>
        <w:t>万元</w:t>
      </w:r>
      <w:r>
        <w:rPr>
          <w:rFonts w:hint="eastAsia" w:eastAsia="仿宋_GB2312" w:cs="仿宋_GB2312"/>
          <w:sz w:val="32"/>
          <w:szCs w:val="32"/>
        </w:rPr>
        <w:t>、住房公积金14.84</w:t>
      </w:r>
      <w:r>
        <w:rPr>
          <w:rFonts w:hint="eastAsia" w:eastAsia="仿宋_GB2312" w:cs="仿宋_GB2312"/>
          <w:sz w:val="32"/>
          <w:szCs w:val="32"/>
          <w:lang w:eastAsia="zh-CN"/>
        </w:rPr>
        <w:t>万元、抚恤金7.01万元、生活补助100.01万元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27.51</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元，主要包括：办公费0.67</w:t>
      </w:r>
      <w:r>
        <w:rPr>
          <w:rFonts w:hint="eastAsia" w:eastAsia="仿宋_GB2312" w:cs="仿宋_GB2312"/>
          <w:sz w:val="32"/>
          <w:szCs w:val="32"/>
          <w:lang w:eastAsia="zh-CN"/>
        </w:rPr>
        <w:t>万元</w:t>
      </w:r>
      <w:r>
        <w:rPr>
          <w:rFonts w:hint="eastAsia" w:eastAsia="仿宋_GB2312" w:cs="仿宋_GB2312"/>
          <w:sz w:val="32"/>
          <w:szCs w:val="32"/>
        </w:rPr>
        <w:t>、电费0.35</w:t>
      </w:r>
      <w:r>
        <w:rPr>
          <w:rFonts w:hint="eastAsia" w:eastAsia="仿宋_GB2312" w:cs="仿宋_GB2312"/>
          <w:sz w:val="32"/>
          <w:szCs w:val="32"/>
          <w:lang w:eastAsia="zh-CN"/>
        </w:rPr>
        <w:t>万元</w:t>
      </w:r>
      <w:r>
        <w:rPr>
          <w:rFonts w:hint="eastAsia" w:eastAsia="仿宋_GB2312" w:cs="仿宋_GB2312"/>
          <w:sz w:val="32"/>
          <w:szCs w:val="32"/>
        </w:rPr>
        <w:t>、邮电费2.53</w:t>
      </w:r>
      <w:r>
        <w:rPr>
          <w:rFonts w:hint="eastAsia" w:eastAsia="仿宋_GB2312" w:cs="仿宋_GB2312"/>
          <w:sz w:val="32"/>
          <w:szCs w:val="32"/>
          <w:lang w:eastAsia="zh-CN"/>
        </w:rPr>
        <w:t>万元</w:t>
      </w:r>
      <w:r>
        <w:rPr>
          <w:rFonts w:hint="eastAsia" w:eastAsia="仿宋_GB2312" w:cs="仿宋_GB2312"/>
          <w:sz w:val="32"/>
          <w:szCs w:val="32"/>
        </w:rPr>
        <w:t>、差旅费7.45</w:t>
      </w:r>
      <w:r>
        <w:rPr>
          <w:rFonts w:hint="eastAsia" w:eastAsia="仿宋_GB2312" w:cs="仿宋_GB2312"/>
          <w:sz w:val="32"/>
          <w:szCs w:val="32"/>
          <w:lang w:eastAsia="zh-CN"/>
        </w:rPr>
        <w:t>万元</w:t>
      </w:r>
      <w:r>
        <w:rPr>
          <w:rFonts w:hint="eastAsia" w:eastAsia="仿宋_GB2312" w:cs="仿宋_GB2312"/>
          <w:sz w:val="32"/>
          <w:szCs w:val="32"/>
        </w:rPr>
        <w:t>、维修（护）费0.12</w:t>
      </w:r>
      <w:r>
        <w:rPr>
          <w:rFonts w:hint="eastAsia" w:eastAsia="仿宋_GB2312" w:cs="仿宋_GB2312"/>
          <w:sz w:val="32"/>
          <w:szCs w:val="32"/>
          <w:lang w:eastAsia="zh-CN"/>
        </w:rPr>
        <w:t>万元</w:t>
      </w:r>
      <w:r>
        <w:rPr>
          <w:rFonts w:hint="eastAsia" w:eastAsia="仿宋_GB2312" w:cs="仿宋_GB2312"/>
          <w:sz w:val="32"/>
          <w:szCs w:val="32"/>
        </w:rPr>
        <w:t>、培训费0.19</w:t>
      </w:r>
      <w:r>
        <w:rPr>
          <w:rFonts w:hint="eastAsia" w:eastAsia="仿宋_GB2312" w:cs="仿宋_GB2312"/>
          <w:sz w:val="32"/>
          <w:szCs w:val="32"/>
          <w:lang w:eastAsia="zh-CN"/>
        </w:rPr>
        <w:t>万元</w:t>
      </w:r>
      <w:r>
        <w:rPr>
          <w:rFonts w:hint="eastAsia" w:eastAsia="仿宋_GB2312" w:cs="仿宋_GB2312"/>
          <w:sz w:val="32"/>
          <w:szCs w:val="32"/>
        </w:rPr>
        <w:t>、委托业务费1.58</w:t>
      </w:r>
      <w:r>
        <w:rPr>
          <w:rFonts w:hint="eastAsia" w:eastAsia="仿宋_GB2312" w:cs="仿宋_GB2312"/>
          <w:sz w:val="32"/>
          <w:szCs w:val="32"/>
          <w:lang w:eastAsia="zh-CN"/>
        </w:rPr>
        <w:t>万元</w:t>
      </w:r>
      <w:r>
        <w:rPr>
          <w:rFonts w:hint="eastAsia" w:eastAsia="仿宋_GB2312" w:cs="仿宋_GB2312"/>
          <w:sz w:val="32"/>
          <w:szCs w:val="32"/>
        </w:rPr>
        <w:t>、福利费5.49</w:t>
      </w:r>
      <w:r>
        <w:rPr>
          <w:rFonts w:hint="eastAsia" w:eastAsia="仿宋_GB2312" w:cs="仿宋_GB2312"/>
          <w:sz w:val="32"/>
          <w:szCs w:val="32"/>
          <w:lang w:eastAsia="zh-CN"/>
        </w:rPr>
        <w:t>万元</w:t>
      </w:r>
      <w:r>
        <w:rPr>
          <w:rFonts w:hint="eastAsia" w:eastAsia="仿宋_GB2312" w:cs="仿宋_GB2312"/>
          <w:sz w:val="32"/>
          <w:szCs w:val="32"/>
        </w:rPr>
        <w:t>、公务用车运行维护费4.13</w:t>
      </w:r>
      <w:r>
        <w:rPr>
          <w:rFonts w:hint="eastAsia" w:eastAsia="仿宋_GB2312" w:cs="仿宋_GB2312"/>
          <w:sz w:val="32"/>
          <w:szCs w:val="32"/>
          <w:lang w:eastAsia="zh-CN"/>
        </w:rPr>
        <w:t>万元、其他商品和服务支出5</w:t>
      </w:r>
      <w:r>
        <w:rPr>
          <w:rFonts w:hint="eastAsia" w:eastAsia="仿宋_GB2312" w:cs="仿宋_GB2312"/>
          <w:sz w:val="32"/>
          <w:szCs w:val="32"/>
          <w:lang w:val="en-US" w:eastAsia="zh-CN"/>
        </w:rPr>
        <w:t>.00万元</w:t>
      </w:r>
      <w:r>
        <w:rPr>
          <w:rFonts w:hint="eastAsia" w:eastAsia="仿宋_GB2312" w:cs="仿宋_GB2312"/>
          <w:sz w:val="32"/>
          <w:szCs w:val="32"/>
          <w:lang w:eastAsia="zh-CN"/>
        </w:rPr>
        <w:t>。</w:t>
      </w:r>
    </w:p>
    <w:p w14:paraId="7DE21DF5">
      <w:pPr>
        <w:spacing w:line="600" w:lineRule="exact"/>
        <w:ind w:firstLine="640"/>
        <w:rPr>
          <w:rFonts w:eastAsia="仿宋_GB2312" w:cs="仿宋_GB2312"/>
          <w:b/>
          <w:bCs/>
          <w:sz w:val="32"/>
          <w:szCs w:val="32"/>
        </w:rPr>
      </w:pPr>
      <w:r>
        <w:rPr>
          <w:rFonts w:hint="eastAsia" w:eastAsia="仿宋_GB2312" w:cs="仿宋_GB2312"/>
          <w:b/>
          <w:bCs/>
          <w:sz w:val="32"/>
          <w:szCs w:val="32"/>
        </w:rPr>
        <w:t>（注：仅罗列本部门实际支出涉及的经济分类科目）</w:t>
      </w:r>
    </w:p>
    <w:p w14:paraId="094A42E6">
      <w:pPr>
        <w:spacing w:line="600" w:lineRule="exact"/>
        <w:outlineLvl w:val="1"/>
        <w:rPr>
          <w:rStyle w:val="29"/>
          <w:rFonts w:ascii="Times New Roman" w:hAnsi="Times New Roman" w:eastAsia="黑体"/>
          <w:b w:val="0"/>
        </w:rPr>
      </w:pPr>
      <w:bookmarkStart w:id="30" w:name="_Toc15377215"/>
      <w:bookmarkStart w:id="31"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0"/>
      <w:bookmarkEnd w:id="31"/>
    </w:p>
    <w:p w14:paraId="74344BB5">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（一）“三公”经费财政拨款支出决算总体情况说明</w:t>
      </w:r>
      <w:bookmarkEnd w:id="32"/>
    </w:p>
    <w:p w14:paraId="5153E0B9">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4.13</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较上年度减少</w:t>
      </w:r>
      <w:r>
        <w:rPr>
          <w:rFonts w:hint="eastAsia" w:eastAsia="仿宋_GB2312" w:cs="仿宋_GB2312"/>
          <w:sz w:val="32"/>
          <w:szCs w:val="32"/>
          <w:lang w:val="en-US" w:eastAsia="zh-CN"/>
        </w:rPr>
        <w:t>1.25</w:t>
      </w:r>
      <w:r>
        <w:rPr>
          <w:rFonts w:hint="eastAsia" w:eastAsia="仿宋_GB2312" w:cs="仿宋_GB2312"/>
          <w:sz w:val="32"/>
          <w:szCs w:val="32"/>
        </w:rPr>
        <w:t>万元，下降</w:t>
      </w:r>
      <w:r>
        <w:rPr>
          <w:rFonts w:hint="eastAsia" w:eastAsia="仿宋_GB2312" w:cs="仿宋_GB2312"/>
          <w:sz w:val="32"/>
          <w:szCs w:val="32"/>
          <w:lang w:val="en-US" w:eastAsia="zh-CN"/>
        </w:rPr>
        <w:t>22.2</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决算数</w:t>
      </w:r>
      <w:r>
        <w:rPr>
          <w:rFonts w:hint="eastAsia" w:eastAsia="仿宋_GB2312" w:cs="仿宋_GB2312"/>
          <w:sz w:val="32"/>
          <w:szCs w:val="32"/>
          <w:lang w:eastAsia="zh-CN"/>
        </w:rPr>
        <w:t>与全年</w:t>
      </w:r>
      <w:r>
        <w:rPr>
          <w:rFonts w:hint="eastAsia" w:eastAsia="仿宋_GB2312" w:cs="仿宋_GB2312"/>
          <w:sz w:val="32"/>
          <w:szCs w:val="32"/>
        </w:rPr>
        <w:t>预算数持平</w:t>
      </w:r>
      <w:r>
        <w:rPr>
          <w:rFonts w:hint="eastAsia" w:eastAsia="仿宋_GB2312" w:cs="仿宋_GB2312"/>
          <w:sz w:val="32"/>
          <w:szCs w:val="32"/>
          <w:lang w:eastAsia="zh-CN"/>
        </w:rPr>
        <w:t>）</w:t>
      </w:r>
      <w:r>
        <w:rPr>
          <w:rFonts w:hint="eastAsia" w:eastAsia="仿宋_GB2312" w:cs="仿宋_GB2312"/>
          <w:sz w:val="32"/>
          <w:szCs w:val="32"/>
        </w:rPr>
        <w:t>的主要原因是</w:t>
      </w:r>
      <w:r>
        <w:rPr>
          <w:rFonts w:hint="eastAsia" w:ascii="仿宋" w:hAnsi="仿宋" w:eastAsia="仿宋"/>
          <w:sz w:val="32"/>
          <w:szCs w:val="32"/>
          <w:lang w:eastAsia="zh-CN"/>
        </w:rPr>
        <w:t>在职人员减少，出差次数减少。</w:t>
      </w:r>
    </w:p>
    <w:p w14:paraId="7133E1F7">
      <w:pPr>
        <w:spacing w:line="600" w:lineRule="exact"/>
        <w:ind w:firstLine="640"/>
        <w:rPr>
          <w:rFonts w:eastAsia="仿宋_GB2312" w:cs="仿宋_GB2312"/>
          <w:b/>
          <w:bCs/>
          <w:sz w:val="32"/>
          <w:szCs w:val="32"/>
        </w:rPr>
      </w:pPr>
      <w:r>
        <w:rPr>
          <w:rFonts w:hint="eastAsia" w:eastAsia="仿宋_GB2312" w:cs="仿宋_GB2312"/>
          <w:b/>
          <w:bCs/>
          <w:sz w:val="32"/>
          <w:szCs w:val="32"/>
        </w:rPr>
        <w:t>（注：上述“预算”口径为全年预算数，包括一般公共预算和政府性基金预算财政拨款支出决算情况）</w:t>
      </w:r>
    </w:p>
    <w:p w14:paraId="176C4A3C">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7A1B06BF">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4.13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%。具体情况如下：</w:t>
      </w:r>
    </w:p>
    <w:p w14:paraId="6D99F8C9">
      <w:pPr>
        <w:pStyle w:val="13"/>
        <w:rPr>
          <w:rFonts w:hint="eastAsia" w:ascii="仿宋_GB2312" w:hAnsi="仿宋_GB2312" w:eastAsia="仿宋_GB2312" w:cs="仿宋_GB2312"/>
          <w:sz w:val="32"/>
          <w:szCs w:val="32"/>
        </w:rPr>
      </w:pPr>
    </w:p>
    <w:p w14:paraId="54CC9B0D">
      <w:pPr>
        <w:pStyle w:val="7"/>
        <w:rPr>
          <w:rFonts w:hint="eastAsia" w:ascii="仿宋_GB2312" w:hAnsi="仿宋_GB2312" w:eastAsia="仿宋_GB2312" w:cs="仿宋_GB2312"/>
          <w:sz w:val="32"/>
          <w:szCs w:val="32"/>
        </w:rPr>
      </w:pPr>
    </w:p>
    <w:p w14:paraId="7101FB57">
      <w:pPr>
        <w:pStyle w:val="7"/>
        <w:rPr>
          <w:rFonts w:hint="eastAsia" w:ascii="仿宋_GB2312" w:hAnsi="仿宋_GB2312" w:eastAsia="仿宋_GB2312" w:cs="仿宋_GB2312"/>
          <w:sz w:val="32"/>
          <w:szCs w:val="32"/>
        </w:rPr>
      </w:pPr>
      <w:r>
        <w:rPr>
          <w:rFonts w:hint="eastAsia" w:ascii="仿宋" w:hAnsi="仿宋" w:eastAsia="仿宋"/>
          <w:sz w:val="32"/>
          <w:szCs w:val="32"/>
          <w:lang w:eastAsia="zh-CN"/>
        </w:rPr>
        <w:drawing>
          <wp:anchor distT="0" distB="0" distL="114300" distR="114300" simplePos="0" relativeHeight="251665408" behindDoc="1" locked="0" layoutInCell="1" allowOverlap="1">
            <wp:simplePos x="0" y="0"/>
            <wp:positionH relativeFrom="column">
              <wp:posOffset>610870</wp:posOffset>
            </wp:positionH>
            <wp:positionV relativeFrom="paragraph">
              <wp:posOffset>-649605</wp:posOffset>
            </wp:positionV>
            <wp:extent cx="4594860" cy="2127885"/>
            <wp:effectExtent l="4445" t="4445" r="10795" b="20320"/>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D11D1DA">
      <w:pPr>
        <w:spacing w:line="600" w:lineRule="exact"/>
        <w:ind w:firstLine="640"/>
        <w:rPr>
          <w:rFonts w:hint="eastAsia" w:eastAsia="仿宋_GB2312" w:cs="仿宋_GB2312"/>
          <w:sz w:val="32"/>
          <w:szCs w:val="32"/>
        </w:rPr>
      </w:pPr>
    </w:p>
    <w:p w14:paraId="13BA592E">
      <w:pPr>
        <w:spacing w:line="600" w:lineRule="exact"/>
        <w:ind w:firstLine="640"/>
        <w:rPr>
          <w:rFonts w:hint="eastAsia" w:eastAsia="仿宋_GB2312" w:cs="仿宋_GB2312"/>
          <w:sz w:val="32"/>
          <w:szCs w:val="32"/>
        </w:rPr>
      </w:pPr>
    </w:p>
    <w:p w14:paraId="7F35DF24">
      <w:pPr>
        <w:spacing w:line="600" w:lineRule="exact"/>
        <w:ind w:firstLine="640"/>
        <w:rPr>
          <w:rFonts w:hint="eastAsia" w:eastAsia="仿宋_GB2312" w:cs="仿宋_GB2312"/>
          <w:sz w:val="32"/>
          <w:szCs w:val="32"/>
        </w:rPr>
      </w:pPr>
    </w:p>
    <w:p w14:paraId="15B5DAAF">
      <w:pPr>
        <w:spacing w:line="600" w:lineRule="exact"/>
        <w:ind w:firstLine="640"/>
        <w:rPr>
          <w:rFonts w:eastAsia="仿宋_GB2312" w:cs="仿宋_GB2312"/>
          <w:sz w:val="32"/>
          <w:szCs w:val="32"/>
        </w:rPr>
      </w:pPr>
      <w:r>
        <w:rPr>
          <w:rFonts w:hint="eastAsia" w:eastAsia="仿宋_GB2312" w:cs="仿宋_GB2312"/>
          <w:sz w:val="32"/>
          <w:szCs w:val="32"/>
        </w:rPr>
        <w:t>（图7：“三公”经费财政拨款支出结构）（饼状图）</w:t>
      </w:r>
    </w:p>
    <w:p w14:paraId="5BA6C629">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。因公出国（境）支出决算比202</w:t>
      </w:r>
      <w:r>
        <w:rPr>
          <w:rFonts w:hint="eastAsia" w:eastAsia="仿宋_GB2312" w:cs="仿宋_GB2312"/>
          <w:sz w:val="32"/>
          <w:szCs w:val="32"/>
          <w:lang w:val="en-US" w:eastAsia="zh-CN"/>
        </w:rPr>
        <w:t>4</w:t>
      </w:r>
      <w:r>
        <w:rPr>
          <w:rFonts w:hint="eastAsia" w:eastAsia="仿宋_GB2312" w:cs="仿宋_GB2312"/>
          <w:sz w:val="32"/>
          <w:szCs w:val="32"/>
        </w:rPr>
        <w:t>年增加/减少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544E46DE">
      <w:pPr>
        <w:spacing w:line="600"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4.13</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年度减少</w:t>
      </w:r>
      <w:r>
        <w:rPr>
          <w:rFonts w:hint="eastAsia" w:eastAsia="仿宋_GB2312" w:cs="仿宋_GB2312"/>
          <w:sz w:val="32"/>
          <w:szCs w:val="32"/>
          <w:lang w:val="en-US" w:eastAsia="zh-CN"/>
        </w:rPr>
        <w:t>0.24</w:t>
      </w:r>
      <w:r>
        <w:rPr>
          <w:rFonts w:hint="eastAsia" w:eastAsia="仿宋_GB2312" w:cs="仿宋_GB2312"/>
          <w:sz w:val="32"/>
          <w:szCs w:val="32"/>
        </w:rPr>
        <w:t>万元，下降</w:t>
      </w:r>
      <w:r>
        <w:rPr>
          <w:rFonts w:hint="eastAsia" w:eastAsia="仿宋_GB2312" w:cs="仿宋_GB2312"/>
          <w:sz w:val="32"/>
          <w:szCs w:val="32"/>
          <w:lang w:val="en-US" w:eastAsia="zh-CN"/>
        </w:rPr>
        <w:t>5.5</w:t>
      </w:r>
      <w:r>
        <w:rPr>
          <w:rFonts w:hint="eastAsia" w:eastAsia="仿宋_GB2312" w:cs="仿宋_GB2312"/>
          <w:sz w:val="32"/>
          <w:szCs w:val="32"/>
        </w:rPr>
        <w:t>%。主要原因是</w:t>
      </w:r>
      <w:r>
        <w:rPr>
          <w:rFonts w:hint="eastAsia" w:ascii="仿宋" w:hAnsi="仿宋" w:eastAsia="仿宋"/>
          <w:sz w:val="32"/>
          <w:szCs w:val="32"/>
          <w:lang w:eastAsia="zh-CN"/>
        </w:rPr>
        <w:t>在职人员减少，出差次数减少，强化公务用车日常管理，统筹调度公务出行，减少非必要用车，压减车辆运维成本。</w:t>
      </w:r>
    </w:p>
    <w:p w14:paraId="669A61BE">
      <w:pPr>
        <w:spacing w:line="600" w:lineRule="exact"/>
        <w:ind w:firstLine="640" w:firstLineChars="200"/>
        <w:rPr>
          <w:rFonts w:hint="eastAsia" w:eastAsia="仿宋_GB2312" w:cs="仿宋_GB2312"/>
          <w:sz w:val="32"/>
          <w:szCs w:val="32"/>
          <w:lang w:val="en-US" w:eastAsia="zh-CN"/>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2</w:t>
      </w:r>
      <w:r>
        <w:rPr>
          <w:rFonts w:hint="eastAsia" w:eastAsia="仿宋_GB2312" w:cs="仿宋_GB2312"/>
          <w:sz w:val="32"/>
          <w:szCs w:val="32"/>
        </w:rPr>
        <w:t>辆，其中：越野车</w:t>
      </w:r>
      <w:r>
        <w:rPr>
          <w:rFonts w:hint="eastAsia" w:eastAsia="仿宋_GB2312" w:cs="仿宋_GB2312"/>
          <w:sz w:val="32"/>
          <w:szCs w:val="32"/>
          <w:lang w:val="en-US" w:eastAsia="zh-CN"/>
        </w:rPr>
        <w:t>2</w:t>
      </w:r>
      <w:r>
        <w:rPr>
          <w:rFonts w:hint="eastAsia" w:eastAsia="仿宋_GB2312" w:cs="仿宋_GB2312"/>
          <w:sz w:val="32"/>
          <w:szCs w:val="32"/>
        </w:rPr>
        <w:t>辆。</w:t>
      </w:r>
    </w:p>
    <w:p w14:paraId="7986C757">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4.13</w:t>
      </w:r>
      <w:r>
        <w:rPr>
          <w:rFonts w:hint="eastAsia" w:eastAsia="仿宋_GB2312" w:cs="仿宋_GB2312"/>
          <w:sz w:val="32"/>
          <w:szCs w:val="32"/>
        </w:rPr>
        <w:t>万元。主要用于</w:t>
      </w:r>
      <w:r>
        <w:rPr>
          <w:rFonts w:hint="eastAsia" w:eastAsia="仿宋_GB2312" w:cs="仿宋_GB2312"/>
          <w:sz w:val="32"/>
          <w:szCs w:val="32"/>
          <w:lang w:eastAsia="zh-CN"/>
        </w:rPr>
        <w:t>出差办事</w:t>
      </w:r>
      <w:r>
        <w:rPr>
          <w:rFonts w:hint="eastAsia" w:eastAsia="仿宋_GB2312" w:cs="仿宋_GB2312"/>
          <w:sz w:val="32"/>
          <w:szCs w:val="32"/>
        </w:rPr>
        <w:t>所需的公务用车燃料费、维修费、过路过桥费、保险费等支出。</w:t>
      </w:r>
    </w:p>
    <w:p w14:paraId="794DF390">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年度增加/减少</w:t>
      </w:r>
      <w:r>
        <w:rPr>
          <w:rFonts w:hint="eastAsia" w:eastAsia="仿宋_GB2312" w:cs="仿宋_GB2312"/>
          <w:sz w:val="32"/>
          <w:szCs w:val="32"/>
          <w:lang w:val="en-US" w:eastAsia="zh-CN"/>
        </w:rPr>
        <w:t>0</w:t>
      </w:r>
      <w:r>
        <w:rPr>
          <w:rFonts w:hint="eastAsia" w:eastAsia="仿宋_GB2312" w:cs="仿宋_GB2312"/>
          <w:sz w:val="32"/>
          <w:szCs w:val="32"/>
        </w:rPr>
        <w:t>万元，增长/下降</w:t>
      </w:r>
      <w:r>
        <w:rPr>
          <w:rFonts w:hint="eastAsia" w:eastAsia="仿宋_GB2312" w:cs="仿宋_GB2312"/>
          <w:sz w:val="32"/>
          <w:szCs w:val="32"/>
          <w:lang w:val="en-US" w:eastAsia="zh-CN"/>
        </w:rPr>
        <w:t>0</w:t>
      </w:r>
      <w:r>
        <w:rPr>
          <w:rFonts w:hint="eastAsia" w:eastAsia="仿宋_GB2312" w:cs="仿宋_GB2312"/>
          <w:sz w:val="32"/>
          <w:szCs w:val="32"/>
        </w:rPr>
        <w:t>%。</w:t>
      </w:r>
    </w:p>
    <w:p w14:paraId="78F616E0">
      <w:pPr>
        <w:spacing w:line="600" w:lineRule="exact"/>
        <w:outlineLvl w:val="1"/>
        <w:rPr>
          <w:rStyle w:val="29"/>
          <w:rFonts w:ascii="Times New Roman" w:hAnsi="Times New Roman" w:eastAsia="黑体"/>
        </w:rPr>
      </w:pPr>
      <w:bookmarkStart w:id="34" w:name="_Toc15377218"/>
      <w:bookmarkStart w:id="35" w:name="_Toc15396610"/>
      <w:r>
        <w:rPr>
          <w:rFonts w:hint="eastAsia" w:eastAsia="黑体"/>
          <w:sz w:val="32"/>
          <w:szCs w:val="32"/>
        </w:rPr>
        <w:t>八、</w:t>
      </w:r>
      <w:r>
        <w:rPr>
          <w:rStyle w:val="29"/>
          <w:rFonts w:hint="eastAsia" w:ascii="Times New Roman" w:hAnsi="Times New Roman" w:eastAsia="黑体"/>
          <w:b w:val="0"/>
        </w:rPr>
        <w:t>政府性基金预算支出决算情况说明</w:t>
      </w:r>
      <w:bookmarkEnd w:id="34"/>
      <w:bookmarkEnd w:id="35"/>
    </w:p>
    <w:p w14:paraId="2C682540">
      <w:pPr>
        <w:spacing w:line="600" w:lineRule="exact"/>
        <w:ind w:firstLine="640"/>
        <w:rPr>
          <w:rFonts w:hint="eastAsia" w:eastAsia="仿宋_GB2312" w:cs="仿宋_GB2312"/>
          <w:b/>
          <w:bCs/>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23CF8B31">
      <w:pPr>
        <w:spacing w:line="600" w:lineRule="exact"/>
        <w:outlineLvl w:val="1"/>
        <w:rPr>
          <w:rStyle w:val="29"/>
          <w:rFonts w:ascii="Times New Roman" w:hAnsi="Times New Roman" w:eastAsia="黑体"/>
          <w:b w:val="0"/>
        </w:rPr>
      </w:pPr>
      <w:bookmarkStart w:id="36" w:name="_Toc15396611"/>
      <w:bookmarkStart w:id="37" w:name="_Toc15377219"/>
      <w:r>
        <w:rPr>
          <w:rStyle w:val="29"/>
          <w:rFonts w:hint="eastAsia" w:ascii="Times New Roman" w:hAnsi="Times New Roman" w:eastAsia="黑体"/>
          <w:b w:val="0"/>
        </w:rPr>
        <w:t>九、国有资本经营预算支出决算情况说明</w:t>
      </w:r>
      <w:bookmarkEnd w:id="36"/>
      <w:bookmarkEnd w:id="37"/>
    </w:p>
    <w:p w14:paraId="46A2F255">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1D2FE7A9">
      <w:pPr>
        <w:spacing w:line="600" w:lineRule="exact"/>
        <w:outlineLvl w:val="1"/>
        <w:rPr>
          <w:rStyle w:val="29"/>
          <w:rFonts w:ascii="Times New Roman" w:hAnsi="Times New Roman" w:eastAsia="黑体"/>
          <w:b w:val="0"/>
        </w:rPr>
      </w:pPr>
      <w:bookmarkStart w:id="38" w:name="_Toc15377221"/>
      <w:bookmarkStart w:id="39" w:name="_Toc15396612"/>
      <w:r>
        <w:rPr>
          <w:rStyle w:val="29"/>
          <w:rFonts w:hint="eastAsia" w:ascii="Times New Roman" w:hAnsi="Times New Roman" w:eastAsia="黑体"/>
          <w:b w:val="0"/>
        </w:rPr>
        <w:t>十、其他重要事项的情况说明</w:t>
      </w:r>
      <w:bookmarkEnd w:id="38"/>
      <w:bookmarkEnd w:id="39"/>
    </w:p>
    <w:p w14:paraId="411035DC">
      <w:pPr>
        <w:spacing w:line="600" w:lineRule="exact"/>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3BBC1879">
      <w:pPr>
        <w:spacing w:line="600" w:lineRule="exact"/>
        <w:ind w:firstLine="640" w:firstLineChars="200"/>
        <w:rPr>
          <w:rFonts w:ascii="仿宋_GB2312" w:eastAsia="仿宋_GB2312"/>
          <w:sz w:val="32"/>
          <w:szCs w:val="32"/>
        </w:rPr>
      </w:pPr>
      <w:r>
        <w:rPr>
          <w:rFonts w:ascii="仿宋_GB2312" w:eastAsia="仿宋_GB2312"/>
          <w:sz w:val="32"/>
          <w:szCs w:val="32"/>
        </w:rPr>
        <w:t>本单位为事业单位，未使用机关运行经费相关科目，机关运行经费安排为零</w:t>
      </w:r>
    </w:p>
    <w:p w14:paraId="4D294E30">
      <w:pPr>
        <w:spacing w:line="600" w:lineRule="exact"/>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2266FFFF">
      <w:pPr>
        <w:spacing w:line="60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202</w:t>
      </w:r>
      <w:r>
        <w:rPr>
          <w:rFonts w:hint="eastAsia" w:ascii="仿宋_GB2312" w:eastAsia="仿宋_GB2312" w:cs="Times New Roman"/>
          <w:sz w:val="32"/>
          <w:szCs w:val="32"/>
          <w:lang w:val="en-US" w:eastAsia="zh-CN"/>
        </w:rPr>
        <w:t>5</w:t>
      </w:r>
      <w:r>
        <w:rPr>
          <w:rFonts w:hint="eastAsia" w:ascii="仿宋_GB2312" w:hAnsi="Times New Roman" w:eastAsia="仿宋_GB2312" w:cs="Times New Roman"/>
          <w:sz w:val="32"/>
          <w:szCs w:val="32"/>
        </w:rPr>
        <w:t>年度政府采购支出总额</w:t>
      </w:r>
      <w:r>
        <w:rPr>
          <w:rFonts w:hint="eastAsia" w:ascii="仿宋_GB2312" w:eastAsia="仿宋_GB2312" w:cs="Times New Roman"/>
          <w:sz w:val="32"/>
          <w:szCs w:val="32"/>
          <w:lang w:val="en-US" w:eastAsia="zh-CN"/>
        </w:rPr>
        <w:t>1.09</w:t>
      </w:r>
      <w:r>
        <w:rPr>
          <w:rFonts w:hint="eastAsia" w:ascii="仿宋_GB2312" w:hAnsi="Times New Roman" w:eastAsia="仿宋_GB2312" w:cs="Times New Roman"/>
          <w:sz w:val="32"/>
          <w:szCs w:val="32"/>
        </w:rPr>
        <w:t>万元，其中政府采购服务支出</w:t>
      </w:r>
      <w:r>
        <w:rPr>
          <w:rFonts w:hint="eastAsia" w:ascii="仿宋_GB2312" w:eastAsia="仿宋_GB2312" w:cs="Times New Roman"/>
          <w:sz w:val="32"/>
          <w:szCs w:val="32"/>
          <w:lang w:val="en-US" w:eastAsia="zh-CN"/>
        </w:rPr>
        <w:t>1.09</w:t>
      </w:r>
      <w:r>
        <w:rPr>
          <w:rFonts w:hint="eastAsia" w:ascii="仿宋_GB2312" w:hAnsi="Times New Roman" w:eastAsia="仿宋_GB2312" w:cs="Times New Roman"/>
          <w:sz w:val="32"/>
          <w:szCs w:val="32"/>
        </w:rPr>
        <w:t>万元。主要用于</w:t>
      </w:r>
      <w:r>
        <w:rPr>
          <w:rFonts w:hint="eastAsia" w:ascii="仿宋_GB2312" w:hAnsi="Times New Roman" w:eastAsia="仿宋_GB2312" w:cs="Times New Roman"/>
          <w:sz w:val="32"/>
          <w:szCs w:val="32"/>
          <w:lang w:eastAsia="zh-CN"/>
        </w:rPr>
        <w:t>公务用车</w:t>
      </w:r>
      <w:r>
        <w:rPr>
          <w:rFonts w:hint="eastAsia" w:ascii="仿宋_GB2312" w:eastAsia="仿宋_GB2312" w:cs="Times New Roman"/>
          <w:sz w:val="32"/>
          <w:szCs w:val="32"/>
          <w:lang w:val="en-US" w:eastAsia="zh-CN"/>
        </w:rPr>
        <w:t>2025</w:t>
      </w:r>
      <w:r>
        <w:rPr>
          <w:rFonts w:hint="eastAsia" w:ascii="仿宋_GB2312" w:hAnsi="Times New Roman" w:eastAsia="仿宋_GB2312" w:cs="Times New Roman"/>
          <w:sz w:val="32"/>
          <w:szCs w:val="32"/>
          <w:lang w:val="en-US" w:eastAsia="zh-CN"/>
        </w:rPr>
        <w:t>年</w:t>
      </w:r>
      <w:r>
        <w:rPr>
          <w:rFonts w:hint="eastAsia" w:ascii="仿宋_GB2312" w:hAnsi="Times New Roman" w:eastAsia="仿宋_GB2312" w:cs="Times New Roman"/>
          <w:sz w:val="32"/>
          <w:szCs w:val="32"/>
          <w:lang w:eastAsia="zh-CN"/>
        </w:rPr>
        <w:t>保险服务费用</w:t>
      </w:r>
      <w:r>
        <w:rPr>
          <w:rFonts w:hint="eastAsia" w:ascii="仿宋_GB2312" w:hAnsi="Times New Roman" w:eastAsia="仿宋_GB2312" w:cs="Times New Roman"/>
          <w:sz w:val="32"/>
          <w:szCs w:val="32"/>
        </w:rPr>
        <w:t>。</w:t>
      </w:r>
    </w:p>
    <w:p w14:paraId="49D00F01">
      <w:pPr>
        <w:spacing w:line="600" w:lineRule="exact"/>
        <w:outlineLvl w:val="2"/>
        <w:rPr>
          <w:rFonts w:eastAsia="楷体_GB2312" w:cs="楷体_GB2312"/>
          <w:b/>
          <w:sz w:val="32"/>
          <w:szCs w:val="32"/>
        </w:rPr>
      </w:pPr>
      <w:bookmarkStart w:id="42" w:name="_Toc15377224"/>
      <w:r>
        <w:rPr>
          <w:rFonts w:hint="eastAsia" w:eastAsia="楷体_GB2312" w:cs="楷体_GB2312"/>
          <w:b/>
          <w:sz w:val="32"/>
          <w:szCs w:val="32"/>
        </w:rPr>
        <w:t>（三）国有资产占有使用情况</w:t>
      </w:r>
      <w:bookmarkEnd w:id="42"/>
    </w:p>
    <w:p w14:paraId="69B530CA">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w:t>
      </w:r>
      <w:r>
        <w:rPr>
          <w:rFonts w:hint="eastAsia" w:ascii="仿宋_GB2312" w:hAnsi="仿宋_GB2312" w:eastAsia="仿宋_GB2312" w:cs="仿宋_GB2312"/>
          <w:sz w:val="32"/>
          <w:szCs w:val="32"/>
          <w:lang w:eastAsia="zh-CN"/>
        </w:rPr>
        <w:t>阿坝州木材检查站</w:t>
      </w:r>
      <w:r>
        <w:rPr>
          <w:rFonts w:hint="eastAsia" w:ascii="仿宋_GB2312" w:hAnsi="仿宋_GB2312" w:eastAsia="仿宋_GB2312" w:cs="仿宋_GB2312"/>
          <w:sz w:val="32"/>
          <w:szCs w:val="32"/>
        </w:rPr>
        <w:t>共有车辆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辆，其中：其他用车</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辆，其他用车主要是用于</w:t>
      </w:r>
      <w:r>
        <w:rPr>
          <w:rFonts w:hint="eastAsia" w:ascii="仿宋_GB2312" w:eastAsia="仿宋_GB2312"/>
          <w:sz w:val="32"/>
          <w:szCs w:val="32"/>
          <w:lang w:eastAsia="zh-CN"/>
        </w:rPr>
        <w:t>日常出差工作等业务</w:t>
      </w:r>
      <w:r>
        <w:rPr>
          <w:rFonts w:hint="eastAsia" w:ascii="仿宋_GB2312" w:eastAsia="仿宋_GB2312"/>
          <w:sz w:val="32"/>
          <w:szCs w:val="32"/>
        </w:rPr>
        <w:t>。</w:t>
      </w:r>
    </w:p>
    <w:p w14:paraId="0A8BEA62">
      <w:pPr>
        <w:spacing w:line="600" w:lineRule="exact"/>
        <w:ind w:firstLine="640"/>
        <w:rPr>
          <w:rFonts w:eastAsia="仿宋_GB2312" w:cs="仿宋_GB2312"/>
          <w:sz w:val="32"/>
          <w:szCs w:val="32"/>
        </w:rPr>
      </w:pPr>
    </w:p>
    <w:p w14:paraId="4CB9B860">
      <w:pPr>
        <w:pStyle w:val="2"/>
        <w:rPr>
          <w:rFonts w:eastAsia="仿宋_GB2312" w:cs="仿宋_GB2312"/>
          <w:sz w:val="32"/>
          <w:szCs w:val="32"/>
        </w:rPr>
      </w:pPr>
    </w:p>
    <w:p w14:paraId="03BEED9F">
      <w:pPr>
        <w:rPr>
          <w:rFonts w:eastAsia="仿宋_GB2312" w:cs="仿宋_GB2312"/>
          <w:sz w:val="32"/>
          <w:szCs w:val="32"/>
        </w:rPr>
      </w:pPr>
    </w:p>
    <w:p w14:paraId="4AED9FCA">
      <w:pPr>
        <w:spacing w:line="600" w:lineRule="exact"/>
        <w:jc w:val="center"/>
        <w:outlineLvl w:val="0"/>
        <w:rPr>
          <w:rFonts w:eastAsia="黑体"/>
          <w:sz w:val="44"/>
          <w:szCs w:val="44"/>
        </w:rPr>
      </w:pPr>
      <w:bookmarkStart w:id="43" w:name="_Toc15396613"/>
      <w:bookmarkStart w:id="44" w:name="_Toc15377225"/>
      <w:r>
        <w:rPr>
          <w:rFonts w:hint="eastAsia" w:eastAsia="黑体"/>
          <w:sz w:val="44"/>
          <w:szCs w:val="44"/>
        </w:rPr>
        <w:t>第三部分  名词解释</w:t>
      </w:r>
      <w:bookmarkEnd w:id="43"/>
      <w:bookmarkEnd w:id="44"/>
    </w:p>
    <w:p w14:paraId="2519FABA">
      <w:pPr>
        <w:spacing w:line="600" w:lineRule="exact"/>
        <w:jc w:val="left"/>
        <w:rPr>
          <w:b/>
          <w:sz w:val="44"/>
          <w:szCs w:val="44"/>
        </w:rPr>
      </w:pPr>
    </w:p>
    <w:p w14:paraId="10EB6BB3">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50DC9866">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335A14A7">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4541EC55">
      <w:pPr>
        <w:spacing w:line="600" w:lineRule="exact"/>
        <w:ind w:firstLine="640"/>
        <w:rPr>
          <w:rFonts w:eastAsia="仿宋_GB2312" w:cs="仿宋_GB2312"/>
          <w:sz w:val="32"/>
          <w:szCs w:val="32"/>
        </w:rPr>
      </w:pPr>
      <w:r>
        <w:rPr>
          <w:rFonts w:hint="eastAsia" w:eastAsia="仿宋_GB2312" w:cs="仿宋_GB2312"/>
          <w:sz w:val="32"/>
          <w:szCs w:val="32"/>
        </w:rPr>
        <w:t>4.其他收入：指单位取得的</w:t>
      </w:r>
      <w:bookmarkStart w:id="60" w:name="_GoBack"/>
      <w:bookmarkEnd w:id="60"/>
      <w:r>
        <w:rPr>
          <w:rFonts w:hint="eastAsia" w:eastAsia="仿宋_GB2312" w:cs="仿宋_GB2312"/>
          <w:sz w:val="32"/>
          <w:szCs w:val="32"/>
        </w:rPr>
        <w:t>除上述收入以外的各项收入。</w:t>
      </w:r>
    </w:p>
    <w:p w14:paraId="2CF8A713">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059767E3">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67A0CC2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6A636A2F">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7458B1BC">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9</w:t>
      </w:r>
      <w:r>
        <w:rPr>
          <w:rFonts w:hint="eastAsia" w:ascii="仿宋_GB2312" w:hAnsi="宋体" w:eastAsia="仿宋_GB2312" w:cs="仿宋_GB2312"/>
          <w:kern w:val="0"/>
          <w:sz w:val="32"/>
          <w:szCs w:val="32"/>
        </w:rPr>
        <w:t>.社会保障和就业（208）行政事业单位离退休（05）机关事业单位基本养老保险缴费支出（05）：指反映各级财政部门对机关事业单位基本养老保险基金收老保险基金的补助支缺口的补助。</w:t>
      </w:r>
    </w:p>
    <w:p w14:paraId="3DB77A97">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10.</w:t>
      </w:r>
      <w:r>
        <w:rPr>
          <w:rFonts w:hint="eastAsia" w:ascii="仿宋_GB2312" w:hAnsi="宋体" w:eastAsia="仿宋_GB2312" w:cs="仿宋_GB2312"/>
          <w:kern w:val="0"/>
          <w:sz w:val="32"/>
          <w:szCs w:val="32"/>
        </w:rPr>
        <w:t>社会保障和就业（208）行政事业单位离退休（05）机关事业单位职业年金缴费支出（06）：指反映机关事业单位实施养老保险制度由单位实际缴纳的缴费支出职业年金支出。</w:t>
      </w:r>
    </w:p>
    <w:p w14:paraId="3B5B9840">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11.</w:t>
      </w:r>
      <w:r>
        <w:rPr>
          <w:rFonts w:hint="eastAsia" w:ascii="仿宋_GB2312" w:hAnsi="宋体" w:eastAsia="仿宋_GB2312" w:cs="仿宋_GB2312"/>
          <w:kern w:val="0"/>
          <w:sz w:val="32"/>
          <w:szCs w:val="32"/>
        </w:rPr>
        <w:t>卫生健康支出（210）行政事业单位医疗（11）事业单位医疗（02）：指反映财政部门集中安排的事业单位基本医疗保险缴费经费，未参加医疗保险的事业单位的公费医疗经费，按国家规定享受离休人员待遇的医疗经费。</w:t>
      </w:r>
    </w:p>
    <w:p w14:paraId="76548E6F">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12.</w:t>
      </w:r>
      <w:r>
        <w:rPr>
          <w:rFonts w:hint="eastAsia" w:ascii="仿宋_GB2312" w:hAnsi="宋体" w:eastAsia="仿宋_GB2312" w:cs="仿宋_GB2312"/>
          <w:kern w:val="0"/>
          <w:sz w:val="32"/>
          <w:szCs w:val="32"/>
        </w:rPr>
        <w:t>卫生健康支出（210）行政事业单位医疗（11）其他行政事业单位医疗（99）：指反映除上述项目以外的其他用于行政事业单位医疗方面的支出。</w:t>
      </w:r>
    </w:p>
    <w:p w14:paraId="34ABB1C9">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仿宋_GB2312" w:cs="仿宋_GB2312"/>
          <w:kern w:val="0"/>
          <w:sz w:val="32"/>
          <w:szCs w:val="32"/>
        </w:rPr>
      </w:pPr>
      <w:r>
        <w:rPr>
          <w:rFonts w:hint="eastAsia" w:ascii="仿宋_GB2312" w:eastAsia="仿宋_GB2312" w:cs="仿宋_GB2312"/>
          <w:kern w:val="0"/>
          <w:sz w:val="32"/>
          <w:szCs w:val="32"/>
          <w:lang w:val="en-US" w:eastAsia="zh-CN"/>
        </w:rPr>
        <w:t>13</w:t>
      </w:r>
      <w:r>
        <w:rPr>
          <w:rFonts w:hint="eastAsia" w:ascii="仿宋_GB2312" w:hAnsi="宋体" w:eastAsia="仿宋_GB2312" w:cs="仿宋_GB2312"/>
          <w:kern w:val="0"/>
          <w:sz w:val="32"/>
          <w:szCs w:val="32"/>
        </w:rPr>
        <w:t>住房保障（221）住房改革支出（02）住房公积金（01）：指反映行政事业单位按人力资源和社会保障部、财政部规定的基本工资和津贴补贴以及规定比例为职工缴纳的住房公积金。</w:t>
      </w:r>
    </w:p>
    <w:p w14:paraId="6EAC08C0">
      <w:pPr>
        <w:pStyle w:val="35"/>
        <w:keepNext w:val="0"/>
        <w:keepLines w:val="0"/>
        <w:widowControl w:val="0"/>
        <w:suppressLineNumbers w:val="0"/>
        <w:autoSpaceDE w:val="0"/>
        <w:autoSpaceDN/>
        <w:adjustRightInd w:val="0"/>
        <w:snapToGrid w:val="0"/>
        <w:spacing w:before="0" w:beforeAutospacing="0" w:line="360" w:lineRule="auto"/>
        <w:ind w:left="0" w:firstLine="640" w:firstLineChars="200"/>
        <w:jc w:val="both"/>
        <w:rPr>
          <w:rFonts w:hint="eastAsia" w:ascii="仿宋_GB2312" w:hAnsi="宋体" w:eastAsia="宋体" w:cs="仿宋_GB2312"/>
          <w:kern w:val="0"/>
          <w:sz w:val="32"/>
          <w:szCs w:val="32"/>
          <w:lang w:eastAsia="zh-CN"/>
        </w:rPr>
      </w:pPr>
      <w:r>
        <w:rPr>
          <w:rFonts w:hint="eastAsia" w:ascii="仿宋_GB2312" w:eastAsia="仿宋_GB2312" w:cs="仿宋_GB2312"/>
          <w:kern w:val="0"/>
          <w:sz w:val="32"/>
          <w:szCs w:val="32"/>
          <w:lang w:val="en-US" w:eastAsia="zh-CN"/>
        </w:rPr>
        <w:t>14.</w:t>
      </w:r>
      <w:r>
        <w:rPr>
          <w:rFonts w:hint="eastAsia" w:ascii="仿宋_GB2312" w:hAnsi="宋体" w:eastAsia="仿宋_GB2312" w:cs="仿宋_GB2312"/>
          <w:kern w:val="0"/>
          <w:sz w:val="32"/>
          <w:szCs w:val="32"/>
        </w:rPr>
        <w:t>住房保障（221）住房改革支出（02）</w:t>
      </w:r>
      <w:r>
        <w:rPr>
          <w:rFonts w:hint="eastAsia" w:ascii="仿宋_GB2312" w:eastAsia="仿宋_GB2312" w:cs="仿宋_GB2312"/>
          <w:kern w:val="0"/>
          <w:sz w:val="32"/>
          <w:szCs w:val="32"/>
          <w:lang w:eastAsia="zh-CN"/>
        </w:rPr>
        <w:t>购房补贴</w:t>
      </w:r>
      <w:r>
        <w:rPr>
          <w:rFonts w:hint="eastAsia" w:ascii="仿宋_GB2312" w:hAnsi="宋体" w:eastAsia="仿宋_GB2312" w:cs="仿宋_GB2312"/>
          <w:kern w:val="0"/>
          <w:sz w:val="32"/>
          <w:szCs w:val="32"/>
        </w:rPr>
        <w:t>（0</w:t>
      </w:r>
      <w:r>
        <w:rPr>
          <w:rFonts w:hint="eastAsia" w:ascii="仿宋_GB2312" w:eastAsia="仿宋_GB2312" w:cs="仿宋_GB2312"/>
          <w:kern w:val="0"/>
          <w:sz w:val="32"/>
          <w:szCs w:val="32"/>
          <w:lang w:val="en-US" w:eastAsia="zh-CN"/>
        </w:rPr>
        <w:t>3</w:t>
      </w:r>
      <w:r>
        <w:rPr>
          <w:rFonts w:hint="eastAsia" w:ascii="仿宋_GB2312" w:hAnsi="宋体" w:eastAsia="仿宋_GB2312" w:cs="仿宋_GB2312"/>
          <w:kern w:val="0"/>
          <w:sz w:val="32"/>
          <w:szCs w:val="32"/>
        </w:rPr>
        <w:t>）：指反映行政事业单位按人力资源和社会保障部、财政部规定按房改政策</w:t>
      </w:r>
      <w:r>
        <w:rPr>
          <w:rFonts w:hint="default" w:ascii="仿宋_GB2312" w:hAnsi="宋体" w:eastAsia="仿宋_GB2312" w:cs="仿宋_GB2312"/>
          <w:kern w:val="0"/>
          <w:sz w:val="32"/>
          <w:szCs w:val="32"/>
        </w:rPr>
        <w:t>向符合条件的职工发放的购房补贴。</w:t>
      </w:r>
      <w:r>
        <w:rPr>
          <w:rFonts w:hint="default" w:ascii="Arial" w:hAnsi="Arial" w:eastAsia="Arial" w:cs="Arial"/>
          <w:i w:val="0"/>
          <w:iCs w:val="0"/>
          <w:caps w:val="0"/>
          <w:color w:val="333333"/>
          <w:spacing w:val="0"/>
          <w:sz w:val="24"/>
          <w:szCs w:val="24"/>
          <w:shd w:val="clear" w:fill="FFFFFF"/>
        </w:rPr>
        <w:t xml:space="preserve"> ‌</w:t>
      </w:r>
    </w:p>
    <w:p w14:paraId="48653828">
      <w:pPr>
        <w:spacing w:line="600" w:lineRule="exact"/>
        <w:ind w:firstLine="640" w:firstLineChars="200"/>
        <w:rPr>
          <w:rFonts w:hint="eastAsia" w:eastAsia="仿宋_GB2312" w:cs="仿宋_GB2312"/>
          <w:sz w:val="32"/>
          <w:szCs w:val="32"/>
          <w:lang w:eastAsia="zh-CN"/>
        </w:rPr>
      </w:pPr>
      <w:r>
        <w:rPr>
          <w:rFonts w:hint="eastAsia" w:eastAsia="仿宋_GB2312" w:cs="仿宋_GB2312"/>
          <w:sz w:val="32"/>
          <w:szCs w:val="32"/>
        </w:rPr>
        <w:t>1</w:t>
      </w:r>
      <w:r>
        <w:rPr>
          <w:rFonts w:hint="eastAsia" w:eastAsia="仿宋_GB2312" w:cs="仿宋_GB2312"/>
          <w:sz w:val="32"/>
          <w:szCs w:val="32"/>
          <w:lang w:val="en-US" w:eastAsia="zh-CN"/>
        </w:rPr>
        <w:t>5</w:t>
      </w:r>
      <w:r>
        <w:rPr>
          <w:rFonts w:hint="eastAsia" w:eastAsia="仿宋_GB2312" w:cs="仿宋_GB2312"/>
          <w:sz w:val="32"/>
          <w:szCs w:val="32"/>
        </w:rPr>
        <w:t>.农林水（</w:t>
      </w:r>
      <w:r>
        <w:rPr>
          <w:rFonts w:hint="eastAsia" w:eastAsia="仿宋_GB2312" w:cs="仿宋_GB2312"/>
          <w:sz w:val="32"/>
          <w:szCs w:val="32"/>
          <w:lang w:val="en-US" w:eastAsia="zh-CN"/>
        </w:rPr>
        <w:t>213</w:t>
      </w:r>
      <w:r>
        <w:rPr>
          <w:rFonts w:hint="eastAsia" w:eastAsia="仿宋_GB2312" w:cs="仿宋_GB2312"/>
          <w:sz w:val="32"/>
          <w:szCs w:val="32"/>
        </w:rPr>
        <w:t>）</w:t>
      </w:r>
      <w:r>
        <w:rPr>
          <w:rFonts w:hint="eastAsia" w:eastAsia="仿宋_GB2312" w:cs="仿宋_GB2312"/>
          <w:sz w:val="32"/>
          <w:szCs w:val="32"/>
          <w:lang w:eastAsia="zh-CN"/>
        </w:rPr>
        <w:t>林业和草原</w:t>
      </w:r>
      <w:r>
        <w:rPr>
          <w:rFonts w:hint="eastAsia" w:eastAsia="仿宋_GB2312" w:cs="仿宋_GB2312"/>
          <w:sz w:val="32"/>
          <w:szCs w:val="32"/>
        </w:rPr>
        <w:t>（</w:t>
      </w:r>
      <w:r>
        <w:rPr>
          <w:rFonts w:hint="eastAsia" w:eastAsia="仿宋_GB2312" w:cs="仿宋_GB2312"/>
          <w:sz w:val="32"/>
          <w:szCs w:val="32"/>
          <w:lang w:val="en-US" w:eastAsia="zh-CN"/>
        </w:rPr>
        <w:t>02</w:t>
      </w:r>
      <w:r>
        <w:rPr>
          <w:rFonts w:hint="eastAsia" w:eastAsia="仿宋_GB2312" w:cs="仿宋_GB2312"/>
          <w:sz w:val="32"/>
          <w:szCs w:val="32"/>
        </w:rPr>
        <w:t>）</w:t>
      </w:r>
      <w:r>
        <w:rPr>
          <w:rFonts w:hint="eastAsia" w:eastAsia="仿宋_GB2312" w:cs="仿宋_GB2312"/>
          <w:sz w:val="32"/>
          <w:szCs w:val="32"/>
          <w:lang w:eastAsia="zh-CN"/>
        </w:rPr>
        <w:t>事业机构</w:t>
      </w:r>
      <w:r>
        <w:rPr>
          <w:rFonts w:hint="eastAsia" w:eastAsia="仿宋_GB2312" w:cs="仿宋_GB2312"/>
          <w:sz w:val="32"/>
          <w:szCs w:val="32"/>
        </w:rPr>
        <w:t>（</w:t>
      </w:r>
      <w:r>
        <w:rPr>
          <w:rFonts w:hint="eastAsia" w:eastAsia="仿宋_GB2312" w:cs="仿宋_GB2312"/>
          <w:sz w:val="32"/>
          <w:szCs w:val="32"/>
          <w:lang w:val="en-US" w:eastAsia="zh-CN"/>
        </w:rPr>
        <w:t>04</w:t>
      </w:r>
      <w:r>
        <w:rPr>
          <w:rFonts w:hint="eastAsia" w:eastAsia="仿宋_GB2312" w:cs="仿宋_GB2312"/>
          <w:sz w:val="32"/>
          <w:szCs w:val="32"/>
        </w:rPr>
        <w:t>）：指</w:t>
      </w:r>
      <w:r>
        <w:rPr>
          <w:rFonts w:hint="eastAsia" w:eastAsia="仿宋_GB2312" w:cs="仿宋_GB2312"/>
          <w:sz w:val="32"/>
          <w:szCs w:val="32"/>
          <w:lang w:eastAsia="zh-CN"/>
        </w:rPr>
        <w:t>日常工作中的支出</w:t>
      </w:r>
    </w:p>
    <w:p w14:paraId="2A0B66CB">
      <w:pPr>
        <w:spacing w:line="600" w:lineRule="exact"/>
        <w:rPr>
          <w:rFonts w:eastAsia="仿宋_GB2312" w:cs="仿宋_GB2312"/>
          <w:sz w:val="32"/>
          <w:szCs w:val="32"/>
        </w:rPr>
      </w:pPr>
      <w:r>
        <w:rPr>
          <w:rFonts w:hint="eastAsia" w:eastAsia="仿宋_GB2312" w:cs="仿宋_GB2312"/>
          <w:b/>
          <w:bCs/>
          <w:sz w:val="32"/>
          <w:szCs w:val="32"/>
        </w:rPr>
        <w:t>（注：解释本部门决算报表中涉及的全部功能分类科目至项级，不涉及的科目请自行删除。请参照《2024年政府收支分类科目》增减内容）</w:t>
      </w:r>
    </w:p>
    <w:p w14:paraId="17E01F9D">
      <w:pPr>
        <w:spacing w:line="600" w:lineRule="exact"/>
        <w:ind w:firstLine="640"/>
        <w:rPr>
          <w:rFonts w:eastAsia="仿宋_GB2312" w:cs="仿宋_GB2312"/>
          <w:sz w:val="32"/>
          <w:szCs w:val="32"/>
        </w:rPr>
      </w:pPr>
      <w:r>
        <w:rPr>
          <w:rFonts w:hint="eastAsia" w:eastAsia="仿宋_GB2312" w:cs="仿宋_GB2312"/>
          <w:sz w:val="32"/>
          <w:szCs w:val="32"/>
          <w:lang w:val="en-US" w:eastAsia="zh-CN"/>
        </w:rPr>
        <w:t>16</w:t>
      </w:r>
      <w:r>
        <w:rPr>
          <w:rFonts w:hint="eastAsia" w:eastAsia="仿宋_GB2312" w:cs="仿宋_GB2312"/>
          <w:sz w:val="32"/>
          <w:szCs w:val="32"/>
        </w:rPr>
        <w:t>.基本支出：指为保障机构正常运转、完成日常工作任务而发生的人员支出和公用支出。</w:t>
      </w:r>
    </w:p>
    <w:p w14:paraId="3411C61B">
      <w:pPr>
        <w:spacing w:line="600" w:lineRule="exact"/>
        <w:ind w:firstLine="640"/>
        <w:rPr>
          <w:rFonts w:eastAsia="仿宋_GB2312" w:cs="仿宋_GB2312"/>
          <w:sz w:val="32"/>
          <w:szCs w:val="32"/>
        </w:rPr>
      </w:pPr>
      <w:r>
        <w:rPr>
          <w:rFonts w:hint="eastAsia" w:eastAsia="仿宋_GB2312" w:cs="仿宋_GB2312"/>
          <w:sz w:val="32"/>
          <w:szCs w:val="32"/>
          <w:lang w:val="en-US" w:eastAsia="zh-CN"/>
        </w:rPr>
        <w:t>17</w:t>
      </w:r>
      <w:r>
        <w:rPr>
          <w:rFonts w:hint="eastAsia" w:eastAsia="仿宋_GB2312" w:cs="仿宋_GB2312"/>
          <w:sz w:val="32"/>
          <w:szCs w:val="32"/>
        </w:rPr>
        <w:t xml:space="preserve">.项目支出：指在基本支出之外为完成特定行政任务和事业发展目标所发生的支出。 </w:t>
      </w:r>
    </w:p>
    <w:p w14:paraId="431CD98C">
      <w:pPr>
        <w:spacing w:line="600" w:lineRule="exact"/>
        <w:ind w:firstLine="640"/>
        <w:rPr>
          <w:rFonts w:eastAsia="仿宋_GB2312" w:cs="仿宋_GB2312"/>
          <w:sz w:val="32"/>
          <w:szCs w:val="32"/>
        </w:rPr>
      </w:pPr>
      <w:r>
        <w:rPr>
          <w:rFonts w:hint="eastAsia" w:eastAsia="仿宋_GB2312" w:cs="仿宋_GB2312"/>
          <w:sz w:val="32"/>
          <w:szCs w:val="32"/>
          <w:lang w:val="en-US" w:eastAsia="zh-CN"/>
        </w:rPr>
        <w:t>18</w:t>
      </w: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7D82EB9">
      <w:pPr>
        <w:spacing w:line="600" w:lineRule="exact"/>
        <w:ind w:firstLine="640"/>
        <w:rPr>
          <w:rFonts w:eastAsia="仿宋_GB2312" w:cs="仿宋_GB2312"/>
          <w:sz w:val="32"/>
          <w:szCs w:val="32"/>
        </w:rPr>
      </w:pPr>
      <w:r>
        <w:rPr>
          <w:rFonts w:hint="eastAsia" w:eastAsia="仿宋_GB2312" w:cs="仿宋_GB2312"/>
          <w:sz w:val="32"/>
          <w:szCs w:val="32"/>
          <w:lang w:val="en-US" w:eastAsia="zh-CN"/>
        </w:rPr>
        <w:t>19</w:t>
      </w: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7B3E27">
      <w:pPr>
        <w:spacing w:line="600" w:lineRule="exact"/>
        <w:ind w:firstLine="640"/>
        <w:rPr>
          <w:rFonts w:eastAsia="仿宋_GB2312" w:cs="仿宋_GB2312"/>
          <w:b/>
          <w:bCs/>
          <w:sz w:val="32"/>
          <w:szCs w:val="32"/>
        </w:rPr>
      </w:pPr>
      <w:r>
        <w:rPr>
          <w:rFonts w:hint="eastAsia" w:eastAsia="仿宋_GB2312" w:cs="仿宋_GB2312"/>
          <w:b/>
          <w:bCs/>
          <w:sz w:val="32"/>
          <w:szCs w:val="32"/>
        </w:rPr>
        <w:t>（注：名词解释部分请根据各部门实际列支情况罗列，并根据本部门职责职能增减名词解释内容）</w:t>
      </w:r>
    </w:p>
    <w:p w14:paraId="5B4B93F9">
      <w:pPr>
        <w:spacing w:line="578" w:lineRule="exact"/>
        <w:ind w:firstLine="3080" w:firstLineChars="700"/>
        <w:rPr>
          <w:rFonts w:eastAsia="仿宋"/>
        </w:rPr>
      </w:pPr>
      <w:bookmarkStart w:id="45" w:name="_Toc15396618"/>
      <w:bookmarkStart w:id="46" w:name="_Toc15377226"/>
      <w:r>
        <w:rPr>
          <w:rFonts w:hint="eastAsia" w:eastAsia="黑体"/>
          <w:sz w:val="44"/>
          <w:szCs w:val="44"/>
        </w:rPr>
        <w:t>第</w:t>
      </w:r>
      <w:r>
        <w:rPr>
          <w:rStyle w:val="28"/>
          <w:rFonts w:hint="eastAsia" w:eastAsia="黑体"/>
          <w:b w:val="0"/>
        </w:rPr>
        <w:t>五部分 附表</w:t>
      </w:r>
      <w:bookmarkEnd w:id="45"/>
      <w:bookmarkEnd w:id="46"/>
      <w:bookmarkStart w:id="47" w:name="_Toc15396619"/>
    </w:p>
    <w:p w14:paraId="48C236F6">
      <w:pPr>
        <w:pStyle w:val="14"/>
        <w:adjustRightInd w:val="0"/>
        <w:snapToGrid w:val="0"/>
        <w:spacing w:line="560" w:lineRule="exact"/>
        <w:jc w:val="left"/>
        <w:rPr>
          <w:rFonts w:eastAsia="仿宋_GB2312" w:cs="仿宋_GB2312"/>
          <w:sz w:val="32"/>
          <w:szCs w:val="32"/>
        </w:rPr>
      </w:pPr>
    </w:p>
    <w:p w14:paraId="792C36C3">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7"/>
    </w:p>
    <w:p w14:paraId="31217932">
      <w:pPr>
        <w:pStyle w:val="14"/>
        <w:adjustRightInd w:val="0"/>
        <w:snapToGrid w:val="0"/>
        <w:spacing w:line="560" w:lineRule="exact"/>
        <w:jc w:val="left"/>
        <w:rPr>
          <w:rFonts w:eastAsia="仿宋_GB2312" w:cs="仿宋_GB2312"/>
          <w:sz w:val="32"/>
          <w:szCs w:val="32"/>
        </w:rPr>
      </w:pPr>
      <w:bookmarkStart w:id="48" w:name="_Toc15396620"/>
      <w:r>
        <w:rPr>
          <w:rFonts w:hint="eastAsia" w:eastAsia="仿宋_GB2312" w:cs="仿宋_GB2312"/>
          <w:sz w:val="32"/>
          <w:szCs w:val="32"/>
        </w:rPr>
        <w:t>二、收入决算表</w:t>
      </w:r>
      <w:bookmarkEnd w:id="48"/>
    </w:p>
    <w:p w14:paraId="4EBBEEE6">
      <w:pPr>
        <w:pStyle w:val="14"/>
        <w:adjustRightInd w:val="0"/>
        <w:snapToGrid w:val="0"/>
        <w:spacing w:line="560" w:lineRule="exact"/>
        <w:jc w:val="left"/>
        <w:rPr>
          <w:rFonts w:eastAsia="仿宋_GB2312" w:cs="仿宋_GB2312"/>
          <w:sz w:val="32"/>
          <w:szCs w:val="32"/>
        </w:rPr>
      </w:pPr>
      <w:bookmarkStart w:id="49" w:name="_Toc15396621"/>
      <w:r>
        <w:rPr>
          <w:rFonts w:hint="eastAsia" w:eastAsia="仿宋_GB2312" w:cs="仿宋_GB2312"/>
          <w:sz w:val="32"/>
          <w:szCs w:val="32"/>
        </w:rPr>
        <w:t>三、支出决算表</w:t>
      </w:r>
      <w:bookmarkEnd w:id="49"/>
    </w:p>
    <w:p w14:paraId="4C1D33F2">
      <w:pPr>
        <w:pStyle w:val="14"/>
        <w:adjustRightInd w:val="0"/>
        <w:snapToGrid w:val="0"/>
        <w:spacing w:line="560" w:lineRule="exact"/>
        <w:jc w:val="left"/>
        <w:rPr>
          <w:rFonts w:eastAsia="仿宋_GB2312" w:cs="仿宋_GB2312"/>
          <w:sz w:val="32"/>
          <w:szCs w:val="32"/>
        </w:rPr>
      </w:pPr>
      <w:bookmarkStart w:id="50" w:name="_Toc15396622"/>
      <w:r>
        <w:rPr>
          <w:rFonts w:hint="eastAsia" w:eastAsia="仿宋_GB2312" w:cs="仿宋_GB2312"/>
          <w:sz w:val="32"/>
          <w:szCs w:val="32"/>
        </w:rPr>
        <w:t>四、财政拨款收入支出决算总表</w:t>
      </w:r>
      <w:bookmarkEnd w:id="50"/>
    </w:p>
    <w:p w14:paraId="556D34A2">
      <w:pPr>
        <w:pStyle w:val="14"/>
        <w:adjustRightInd w:val="0"/>
        <w:snapToGrid w:val="0"/>
        <w:spacing w:line="560" w:lineRule="exact"/>
        <w:jc w:val="left"/>
        <w:rPr>
          <w:rFonts w:eastAsia="仿宋_GB2312" w:cs="仿宋_GB2312"/>
          <w:sz w:val="32"/>
          <w:szCs w:val="32"/>
        </w:rPr>
      </w:pPr>
      <w:bookmarkStart w:id="51" w:name="_Toc15396623"/>
      <w:r>
        <w:rPr>
          <w:rFonts w:hint="eastAsia" w:eastAsia="仿宋_GB2312" w:cs="仿宋_GB2312"/>
          <w:sz w:val="32"/>
          <w:szCs w:val="32"/>
        </w:rPr>
        <w:t>五、财政拨款支出决算明细表</w:t>
      </w:r>
      <w:bookmarkEnd w:id="51"/>
      <w:bookmarkStart w:id="52" w:name="_Toc15396624"/>
    </w:p>
    <w:p w14:paraId="30E916CC">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2"/>
    </w:p>
    <w:p w14:paraId="5488F29F">
      <w:pPr>
        <w:pStyle w:val="14"/>
        <w:adjustRightInd w:val="0"/>
        <w:snapToGrid w:val="0"/>
        <w:spacing w:line="560" w:lineRule="exact"/>
        <w:jc w:val="left"/>
        <w:rPr>
          <w:rFonts w:eastAsia="仿宋_GB2312" w:cs="仿宋_GB2312"/>
          <w:sz w:val="32"/>
          <w:szCs w:val="32"/>
        </w:rPr>
      </w:pPr>
      <w:bookmarkStart w:id="53" w:name="_Toc15396625"/>
      <w:r>
        <w:rPr>
          <w:rFonts w:hint="eastAsia" w:eastAsia="仿宋_GB2312" w:cs="仿宋_GB2312"/>
          <w:sz w:val="32"/>
          <w:szCs w:val="32"/>
        </w:rPr>
        <w:t>七、一般公共预算财政拨款支出决算明细表</w:t>
      </w:r>
      <w:bookmarkEnd w:id="53"/>
    </w:p>
    <w:p w14:paraId="4111EDC7">
      <w:pPr>
        <w:pStyle w:val="14"/>
        <w:adjustRightInd w:val="0"/>
        <w:snapToGrid w:val="0"/>
        <w:spacing w:line="560" w:lineRule="exact"/>
        <w:jc w:val="left"/>
        <w:rPr>
          <w:rFonts w:eastAsia="仿宋_GB2312" w:cs="仿宋_GB2312"/>
          <w:sz w:val="32"/>
          <w:szCs w:val="32"/>
        </w:rPr>
      </w:pPr>
      <w:bookmarkStart w:id="54" w:name="_Toc15396626"/>
      <w:r>
        <w:rPr>
          <w:rFonts w:hint="eastAsia" w:eastAsia="仿宋_GB2312" w:cs="仿宋_GB2312"/>
          <w:sz w:val="32"/>
          <w:szCs w:val="32"/>
        </w:rPr>
        <w:t>八、一般公共预算财政拨款基本支出决算表</w:t>
      </w:r>
      <w:bookmarkEnd w:id="54"/>
    </w:p>
    <w:p w14:paraId="755FCE0B">
      <w:pPr>
        <w:pStyle w:val="14"/>
        <w:adjustRightInd w:val="0"/>
        <w:snapToGrid w:val="0"/>
        <w:spacing w:line="560" w:lineRule="exact"/>
        <w:jc w:val="left"/>
        <w:rPr>
          <w:rFonts w:eastAsia="仿宋_GB2312" w:cs="仿宋_GB2312"/>
          <w:sz w:val="32"/>
          <w:szCs w:val="32"/>
        </w:rPr>
      </w:pPr>
      <w:bookmarkStart w:id="55" w:name="_Toc15396627"/>
      <w:r>
        <w:rPr>
          <w:rFonts w:hint="eastAsia" w:eastAsia="仿宋_GB2312" w:cs="仿宋_GB2312"/>
          <w:sz w:val="32"/>
          <w:szCs w:val="32"/>
        </w:rPr>
        <w:t>九、一般公共预算财政拨款项目支出决算表</w:t>
      </w:r>
      <w:bookmarkEnd w:id="55"/>
    </w:p>
    <w:p w14:paraId="1F349079">
      <w:pPr>
        <w:pStyle w:val="14"/>
        <w:adjustRightInd w:val="0"/>
        <w:snapToGrid w:val="0"/>
        <w:spacing w:line="560" w:lineRule="exact"/>
        <w:jc w:val="left"/>
        <w:rPr>
          <w:rFonts w:eastAsia="仿宋_GB2312" w:cs="仿宋_GB2312"/>
          <w:sz w:val="32"/>
          <w:szCs w:val="32"/>
        </w:rPr>
      </w:pPr>
      <w:bookmarkStart w:id="56" w:name="_Toc15396628"/>
      <w:r>
        <w:rPr>
          <w:rFonts w:hint="eastAsia" w:eastAsia="仿宋_GB2312" w:cs="仿宋_GB2312"/>
          <w:sz w:val="32"/>
          <w:szCs w:val="32"/>
        </w:rPr>
        <w:t>十、</w:t>
      </w:r>
      <w:bookmarkEnd w:id="56"/>
      <w:r>
        <w:rPr>
          <w:rFonts w:hint="eastAsia" w:eastAsia="仿宋_GB2312" w:cs="仿宋_GB2312"/>
          <w:sz w:val="32"/>
          <w:szCs w:val="32"/>
        </w:rPr>
        <w:t>政府性基金预算财政拨款收入支出决算表</w:t>
      </w:r>
    </w:p>
    <w:p w14:paraId="416C5EE1">
      <w:pPr>
        <w:pStyle w:val="14"/>
        <w:adjustRightInd w:val="0"/>
        <w:snapToGrid w:val="0"/>
        <w:spacing w:line="560" w:lineRule="exact"/>
        <w:jc w:val="left"/>
        <w:rPr>
          <w:rFonts w:eastAsia="仿宋_GB2312" w:cs="仿宋_GB2312"/>
          <w:sz w:val="32"/>
          <w:szCs w:val="32"/>
        </w:rPr>
      </w:pPr>
      <w:bookmarkStart w:id="57" w:name="_Toc15396629"/>
      <w:r>
        <w:rPr>
          <w:rFonts w:hint="eastAsia" w:eastAsia="仿宋_GB2312" w:cs="仿宋_GB2312"/>
          <w:sz w:val="32"/>
          <w:szCs w:val="32"/>
        </w:rPr>
        <w:t>十一、</w:t>
      </w:r>
      <w:bookmarkEnd w:id="57"/>
      <w:r>
        <w:rPr>
          <w:rFonts w:hint="eastAsia" w:eastAsia="仿宋_GB2312" w:cs="仿宋_GB2312"/>
          <w:sz w:val="32"/>
          <w:szCs w:val="32"/>
        </w:rPr>
        <w:t>国有资本经营预算财政拨款收入支出决算表</w:t>
      </w:r>
    </w:p>
    <w:p w14:paraId="691001A7">
      <w:pPr>
        <w:pStyle w:val="14"/>
        <w:adjustRightInd w:val="0"/>
        <w:snapToGrid w:val="0"/>
        <w:spacing w:line="560" w:lineRule="exact"/>
        <w:jc w:val="left"/>
        <w:rPr>
          <w:rFonts w:eastAsia="仿宋_GB2312" w:cs="仿宋_GB2312"/>
          <w:sz w:val="32"/>
          <w:szCs w:val="32"/>
        </w:rPr>
      </w:pPr>
      <w:bookmarkStart w:id="58" w:name="_Toc15396630"/>
      <w:r>
        <w:rPr>
          <w:rFonts w:hint="eastAsia" w:eastAsia="仿宋_GB2312" w:cs="仿宋_GB2312"/>
          <w:sz w:val="32"/>
          <w:szCs w:val="32"/>
        </w:rPr>
        <w:t>十二、</w:t>
      </w:r>
      <w:bookmarkEnd w:id="58"/>
      <w:r>
        <w:rPr>
          <w:rFonts w:hint="eastAsia" w:eastAsia="仿宋_GB2312" w:cs="仿宋_GB2312"/>
          <w:sz w:val="32"/>
          <w:szCs w:val="32"/>
        </w:rPr>
        <w:t>国有资本经营预算财政拨款支出决算表</w:t>
      </w:r>
    </w:p>
    <w:p w14:paraId="4CE7855B">
      <w:pPr>
        <w:pStyle w:val="14"/>
        <w:adjustRightInd w:val="0"/>
        <w:snapToGrid w:val="0"/>
        <w:spacing w:line="560" w:lineRule="exact"/>
        <w:jc w:val="left"/>
        <w:rPr>
          <w:rFonts w:eastAsia="仿宋_GB2312" w:cs="仿宋_GB2312"/>
          <w:sz w:val="32"/>
          <w:szCs w:val="32"/>
        </w:rPr>
      </w:pPr>
      <w:bookmarkStart w:id="59" w:name="_Toc15396631"/>
      <w:r>
        <w:rPr>
          <w:rFonts w:hint="eastAsia" w:eastAsia="仿宋_GB2312" w:cs="仿宋_GB2312"/>
          <w:sz w:val="32"/>
          <w:szCs w:val="32"/>
        </w:rPr>
        <w:t>十三、</w:t>
      </w:r>
      <w:bookmarkEnd w:id="59"/>
      <w:r>
        <w:rPr>
          <w:rFonts w:hint="eastAsia" w:eastAsia="仿宋_GB2312" w:cs="仿宋_GB2312"/>
          <w:sz w:val="32"/>
          <w:szCs w:val="32"/>
        </w:rPr>
        <w:t>财政拨款“三公”经费支出决算表</w:t>
      </w:r>
    </w:p>
    <w:p w14:paraId="77A16715"/>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A664">
    <w:pPr>
      <w:pStyle w:val="10"/>
      <w:jc w:val="center"/>
    </w:pPr>
  </w:p>
  <w:p w14:paraId="54A1328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C891">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9C8E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DAFAC8"/>
    <w:multiLevelType w:val="singleLevel"/>
    <w:tmpl w:val="96DAFA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A1658"/>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581365"/>
    <w:rsid w:val="02FEBE30"/>
    <w:rsid w:val="032F672A"/>
    <w:rsid w:val="03A24EC6"/>
    <w:rsid w:val="04133956"/>
    <w:rsid w:val="04916F1E"/>
    <w:rsid w:val="049375D4"/>
    <w:rsid w:val="04BA2023"/>
    <w:rsid w:val="06007F0A"/>
    <w:rsid w:val="061E35DE"/>
    <w:rsid w:val="066E0107"/>
    <w:rsid w:val="06F86E33"/>
    <w:rsid w:val="070D0B30"/>
    <w:rsid w:val="077B59E4"/>
    <w:rsid w:val="07996F6E"/>
    <w:rsid w:val="07DD676A"/>
    <w:rsid w:val="07DFD8BA"/>
    <w:rsid w:val="09867E8F"/>
    <w:rsid w:val="09B079E0"/>
    <w:rsid w:val="0A2032A3"/>
    <w:rsid w:val="0A8B04DC"/>
    <w:rsid w:val="0A935528"/>
    <w:rsid w:val="0CA8290A"/>
    <w:rsid w:val="0CE84960"/>
    <w:rsid w:val="0D203146"/>
    <w:rsid w:val="0D35B1ED"/>
    <w:rsid w:val="0DCE6B40"/>
    <w:rsid w:val="0E064022"/>
    <w:rsid w:val="0E254B6B"/>
    <w:rsid w:val="0E417312"/>
    <w:rsid w:val="0E567261"/>
    <w:rsid w:val="0EA7186A"/>
    <w:rsid w:val="0EC87671"/>
    <w:rsid w:val="0F98263C"/>
    <w:rsid w:val="1003503E"/>
    <w:rsid w:val="101860EC"/>
    <w:rsid w:val="101F47CC"/>
    <w:rsid w:val="10C055FF"/>
    <w:rsid w:val="10E741A0"/>
    <w:rsid w:val="10F93ED3"/>
    <w:rsid w:val="11694EBD"/>
    <w:rsid w:val="11772AA4"/>
    <w:rsid w:val="118107EC"/>
    <w:rsid w:val="11E93F48"/>
    <w:rsid w:val="121F5AA3"/>
    <w:rsid w:val="12E24EE2"/>
    <w:rsid w:val="13203999"/>
    <w:rsid w:val="13D50BC4"/>
    <w:rsid w:val="14074B59"/>
    <w:rsid w:val="14B17F78"/>
    <w:rsid w:val="156B673E"/>
    <w:rsid w:val="160550C9"/>
    <w:rsid w:val="165E0673"/>
    <w:rsid w:val="16B831D5"/>
    <w:rsid w:val="16BB723D"/>
    <w:rsid w:val="16DC3460"/>
    <w:rsid w:val="17171557"/>
    <w:rsid w:val="17270E8C"/>
    <w:rsid w:val="17D47448"/>
    <w:rsid w:val="17E50567"/>
    <w:rsid w:val="186504BB"/>
    <w:rsid w:val="18910E95"/>
    <w:rsid w:val="1991739F"/>
    <w:rsid w:val="19A445FC"/>
    <w:rsid w:val="1AB84DFF"/>
    <w:rsid w:val="1BE8440E"/>
    <w:rsid w:val="1BF43C15"/>
    <w:rsid w:val="1CC6347C"/>
    <w:rsid w:val="1D091942"/>
    <w:rsid w:val="1D155CEE"/>
    <w:rsid w:val="1D1638FE"/>
    <w:rsid w:val="1D320E99"/>
    <w:rsid w:val="1E312DEB"/>
    <w:rsid w:val="1E740ACF"/>
    <w:rsid w:val="1E8A6AB3"/>
    <w:rsid w:val="1E9C3CF8"/>
    <w:rsid w:val="1F1C595D"/>
    <w:rsid w:val="1FF35744"/>
    <w:rsid w:val="1FF6BC77"/>
    <w:rsid w:val="2186353C"/>
    <w:rsid w:val="21A47E8B"/>
    <w:rsid w:val="21AA2451"/>
    <w:rsid w:val="21F726B1"/>
    <w:rsid w:val="220D499C"/>
    <w:rsid w:val="226B3805"/>
    <w:rsid w:val="229B128E"/>
    <w:rsid w:val="23860B96"/>
    <w:rsid w:val="240371BF"/>
    <w:rsid w:val="244F3473"/>
    <w:rsid w:val="249C309C"/>
    <w:rsid w:val="24C97D99"/>
    <w:rsid w:val="24D42836"/>
    <w:rsid w:val="24FB36B6"/>
    <w:rsid w:val="25A718F0"/>
    <w:rsid w:val="25BB59F6"/>
    <w:rsid w:val="26035350"/>
    <w:rsid w:val="260B13D6"/>
    <w:rsid w:val="260F557C"/>
    <w:rsid w:val="26970054"/>
    <w:rsid w:val="26DC4B2B"/>
    <w:rsid w:val="278C73F8"/>
    <w:rsid w:val="281408E2"/>
    <w:rsid w:val="28A013AD"/>
    <w:rsid w:val="297D4CEA"/>
    <w:rsid w:val="29FD04D3"/>
    <w:rsid w:val="2A7A79DB"/>
    <w:rsid w:val="2AD6555A"/>
    <w:rsid w:val="2B681F2A"/>
    <w:rsid w:val="2B8E1990"/>
    <w:rsid w:val="2BC90C1A"/>
    <w:rsid w:val="2BFF7BC6"/>
    <w:rsid w:val="2C2F3784"/>
    <w:rsid w:val="2C385DA0"/>
    <w:rsid w:val="2C4C35F9"/>
    <w:rsid w:val="2C8A4B87"/>
    <w:rsid w:val="2C8A61B5"/>
    <w:rsid w:val="2CCD64E8"/>
    <w:rsid w:val="2DC55411"/>
    <w:rsid w:val="2DF04E50"/>
    <w:rsid w:val="2E114AFB"/>
    <w:rsid w:val="2E586DFA"/>
    <w:rsid w:val="2F040D46"/>
    <w:rsid w:val="2F6B035B"/>
    <w:rsid w:val="2FAE5751"/>
    <w:rsid w:val="2FB1A395"/>
    <w:rsid w:val="2FD9A7D8"/>
    <w:rsid w:val="2FDBF714"/>
    <w:rsid w:val="30AB6865"/>
    <w:rsid w:val="30CB2D3F"/>
    <w:rsid w:val="31570A76"/>
    <w:rsid w:val="319F7F4E"/>
    <w:rsid w:val="31C51E84"/>
    <w:rsid w:val="3212499D"/>
    <w:rsid w:val="32242512"/>
    <w:rsid w:val="32447FA1"/>
    <w:rsid w:val="32BD1EF1"/>
    <w:rsid w:val="3304709D"/>
    <w:rsid w:val="33A773CB"/>
    <w:rsid w:val="349D6851"/>
    <w:rsid w:val="34E56399"/>
    <w:rsid w:val="351A4295"/>
    <w:rsid w:val="35833E68"/>
    <w:rsid w:val="35E6413B"/>
    <w:rsid w:val="36144F2C"/>
    <w:rsid w:val="367F579D"/>
    <w:rsid w:val="36AA5135"/>
    <w:rsid w:val="36BE0DA7"/>
    <w:rsid w:val="376B6AA6"/>
    <w:rsid w:val="376D39B2"/>
    <w:rsid w:val="37E16F03"/>
    <w:rsid w:val="37F53A3B"/>
    <w:rsid w:val="387B14EE"/>
    <w:rsid w:val="389B6C89"/>
    <w:rsid w:val="38A02D03"/>
    <w:rsid w:val="38D469F0"/>
    <w:rsid w:val="38F848ED"/>
    <w:rsid w:val="39201487"/>
    <w:rsid w:val="39627CCD"/>
    <w:rsid w:val="397BAF1F"/>
    <w:rsid w:val="3AB79AF3"/>
    <w:rsid w:val="3AE834C0"/>
    <w:rsid w:val="3B052A4D"/>
    <w:rsid w:val="3B7EF35A"/>
    <w:rsid w:val="3B9308FD"/>
    <w:rsid w:val="3B9FDB6C"/>
    <w:rsid w:val="3BF5BC2F"/>
    <w:rsid w:val="3C231E00"/>
    <w:rsid w:val="3C687931"/>
    <w:rsid w:val="3CEBA265"/>
    <w:rsid w:val="3D163594"/>
    <w:rsid w:val="3D98207C"/>
    <w:rsid w:val="3DEE7CF3"/>
    <w:rsid w:val="3E740A63"/>
    <w:rsid w:val="3E78745D"/>
    <w:rsid w:val="3EE17838"/>
    <w:rsid w:val="3F1E7077"/>
    <w:rsid w:val="3F55381A"/>
    <w:rsid w:val="3F7F7599"/>
    <w:rsid w:val="3FD030C7"/>
    <w:rsid w:val="3FD43947"/>
    <w:rsid w:val="3FF4CAE0"/>
    <w:rsid w:val="3FF7B227"/>
    <w:rsid w:val="40283173"/>
    <w:rsid w:val="40EA6776"/>
    <w:rsid w:val="41110C42"/>
    <w:rsid w:val="415976E5"/>
    <w:rsid w:val="43566DE0"/>
    <w:rsid w:val="43802B87"/>
    <w:rsid w:val="43EE7018"/>
    <w:rsid w:val="44477B98"/>
    <w:rsid w:val="44E268DA"/>
    <w:rsid w:val="450D13D7"/>
    <w:rsid w:val="45303661"/>
    <w:rsid w:val="45506656"/>
    <w:rsid w:val="46DC75FC"/>
    <w:rsid w:val="476E221E"/>
    <w:rsid w:val="47A56081"/>
    <w:rsid w:val="486A6C7A"/>
    <w:rsid w:val="4A003601"/>
    <w:rsid w:val="4A604C6F"/>
    <w:rsid w:val="4A627F82"/>
    <w:rsid w:val="4A8A3D5B"/>
    <w:rsid w:val="4B0E749A"/>
    <w:rsid w:val="4B2477C4"/>
    <w:rsid w:val="4B4F25DA"/>
    <w:rsid w:val="4B9F6E4A"/>
    <w:rsid w:val="4BB247FE"/>
    <w:rsid w:val="4BE068DB"/>
    <w:rsid w:val="4C7B0312"/>
    <w:rsid w:val="4D0F7FFF"/>
    <w:rsid w:val="4D577224"/>
    <w:rsid w:val="4DBF1CEB"/>
    <w:rsid w:val="4DF0007C"/>
    <w:rsid w:val="4EAB630A"/>
    <w:rsid w:val="4EB33338"/>
    <w:rsid w:val="4EC45545"/>
    <w:rsid w:val="4ECC264C"/>
    <w:rsid w:val="4ECE2238"/>
    <w:rsid w:val="4F833267"/>
    <w:rsid w:val="4FE9BD67"/>
    <w:rsid w:val="4FFB052F"/>
    <w:rsid w:val="502A762A"/>
    <w:rsid w:val="52BF312B"/>
    <w:rsid w:val="52C06024"/>
    <w:rsid w:val="537E6D0A"/>
    <w:rsid w:val="53E20129"/>
    <w:rsid w:val="53F74C96"/>
    <w:rsid w:val="54392EB3"/>
    <w:rsid w:val="54FE72D7"/>
    <w:rsid w:val="55170BA8"/>
    <w:rsid w:val="553218C9"/>
    <w:rsid w:val="55D6790C"/>
    <w:rsid w:val="563F3703"/>
    <w:rsid w:val="567E1AA5"/>
    <w:rsid w:val="56E47B74"/>
    <w:rsid w:val="5714319B"/>
    <w:rsid w:val="57175D52"/>
    <w:rsid w:val="575B4970"/>
    <w:rsid w:val="57BD3DD4"/>
    <w:rsid w:val="58490869"/>
    <w:rsid w:val="595474C6"/>
    <w:rsid w:val="5ACD6A58"/>
    <w:rsid w:val="5AE12FDB"/>
    <w:rsid w:val="5AF92295"/>
    <w:rsid w:val="5B250254"/>
    <w:rsid w:val="5B483897"/>
    <w:rsid w:val="5BDD79E6"/>
    <w:rsid w:val="5BF561CA"/>
    <w:rsid w:val="5BFF5DFC"/>
    <w:rsid w:val="5C451348"/>
    <w:rsid w:val="5CAE513F"/>
    <w:rsid w:val="5CD71FC4"/>
    <w:rsid w:val="5D1F11B5"/>
    <w:rsid w:val="5D4D2BAA"/>
    <w:rsid w:val="5D601287"/>
    <w:rsid w:val="5D695134"/>
    <w:rsid w:val="5DAE1B18"/>
    <w:rsid w:val="5DB46785"/>
    <w:rsid w:val="5DC43718"/>
    <w:rsid w:val="5DE7D9E5"/>
    <w:rsid w:val="5E622685"/>
    <w:rsid w:val="5ECEC941"/>
    <w:rsid w:val="5F196D9D"/>
    <w:rsid w:val="5F4F0E5B"/>
    <w:rsid w:val="5FBF9FF3"/>
    <w:rsid w:val="5FCD4E2C"/>
    <w:rsid w:val="5FEF394A"/>
    <w:rsid w:val="5FF67715"/>
    <w:rsid w:val="60651FB9"/>
    <w:rsid w:val="60E94998"/>
    <w:rsid w:val="618A54EE"/>
    <w:rsid w:val="62544DB9"/>
    <w:rsid w:val="62BF3928"/>
    <w:rsid w:val="62D9639B"/>
    <w:rsid w:val="63B3701E"/>
    <w:rsid w:val="63F83144"/>
    <w:rsid w:val="647F5392"/>
    <w:rsid w:val="64B36C14"/>
    <w:rsid w:val="65197815"/>
    <w:rsid w:val="65E66580"/>
    <w:rsid w:val="664B1D71"/>
    <w:rsid w:val="664B4E8E"/>
    <w:rsid w:val="67104F25"/>
    <w:rsid w:val="67277B67"/>
    <w:rsid w:val="67AA3209"/>
    <w:rsid w:val="687F2243"/>
    <w:rsid w:val="68996CA3"/>
    <w:rsid w:val="68E96ECE"/>
    <w:rsid w:val="698D0931"/>
    <w:rsid w:val="69A753F0"/>
    <w:rsid w:val="6A470AE2"/>
    <w:rsid w:val="6A7FE5F3"/>
    <w:rsid w:val="6B053271"/>
    <w:rsid w:val="6BDD78B3"/>
    <w:rsid w:val="6C4A05C8"/>
    <w:rsid w:val="6C5D448C"/>
    <w:rsid w:val="6C8742B8"/>
    <w:rsid w:val="6D3B47CD"/>
    <w:rsid w:val="6DBF5E93"/>
    <w:rsid w:val="6DFF077E"/>
    <w:rsid w:val="6E714EF0"/>
    <w:rsid w:val="6E7E3605"/>
    <w:rsid w:val="6E7FDCC7"/>
    <w:rsid w:val="6ED6A62E"/>
    <w:rsid w:val="6EE00B15"/>
    <w:rsid w:val="6F4013EF"/>
    <w:rsid w:val="6F6F4C02"/>
    <w:rsid w:val="6F6FB3EB"/>
    <w:rsid w:val="6F8731EA"/>
    <w:rsid w:val="6F8D5088"/>
    <w:rsid w:val="6FCE6052"/>
    <w:rsid w:val="6FD57C00"/>
    <w:rsid w:val="6FD76303"/>
    <w:rsid w:val="6FEFFFD8"/>
    <w:rsid w:val="6FF5CC65"/>
    <w:rsid w:val="6FFB47EC"/>
    <w:rsid w:val="6FFF034A"/>
    <w:rsid w:val="703B317A"/>
    <w:rsid w:val="70484440"/>
    <w:rsid w:val="712A28F1"/>
    <w:rsid w:val="715C0E4B"/>
    <w:rsid w:val="71992E7C"/>
    <w:rsid w:val="72233669"/>
    <w:rsid w:val="72734D90"/>
    <w:rsid w:val="73160E6D"/>
    <w:rsid w:val="7332FE48"/>
    <w:rsid w:val="73AB61DA"/>
    <w:rsid w:val="73AC26D2"/>
    <w:rsid w:val="73AD73D5"/>
    <w:rsid w:val="73B6EB34"/>
    <w:rsid w:val="73C959E0"/>
    <w:rsid w:val="73FA497D"/>
    <w:rsid w:val="744731E5"/>
    <w:rsid w:val="74BBD01D"/>
    <w:rsid w:val="74ED5379"/>
    <w:rsid w:val="75540EC4"/>
    <w:rsid w:val="75DEEEC2"/>
    <w:rsid w:val="75E32345"/>
    <w:rsid w:val="76294569"/>
    <w:rsid w:val="7677439C"/>
    <w:rsid w:val="76E3355F"/>
    <w:rsid w:val="76FA1255"/>
    <w:rsid w:val="76FF5125"/>
    <w:rsid w:val="7767635E"/>
    <w:rsid w:val="776F6FFA"/>
    <w:rsid w:val="778769C8"/>
    <w:rsid w:val="77A75DCA"/>
    <w:rsid w:val="77DC22F5"/>
    <w:rsid w:val="783E271A"/>
    <w:rsid w:val="78616DE9"/>
    <w:rsid w:val="78E875D7"/>
    <w:rsid w:val="79086DAD"/>
    <w:rsid w:val="79D7FD79"/>
    <w:rsid w:val="79EE5BA4"/>
    <w:rsid w:val="7A894339"/>
    <w:rsid w:val="7AD284E8"/>
    <w:rsid w:val="7AFF7572"/>
    <w:rsid w:val="7B346CFF"/>
    <w:rsid w:val="7B6C7DFB"/>
    <w:rsid w:val="7B871525"/>
    <w:rsid w:val="7BBFBED0"/>
    <w:rsid w:val="7BC3E394"/>
    <w:rsid w:val="7C1F3737"/>
    <w:rsid w:val="7C8F68E3"/>
    <w:rsid w:val="7CBFC87B"/>
    <w:rsid w:val="7CFE0F48"/>
    <w:rsid w:val="7D00792A"/>
    <w:rsid w:val="7D272ABC"/>
    <w:rsid w:val="7D7EC23E"/>
    <w:rsid w:val="7DB06B11"/>
    <w:rsid w:val="7E533FC6"/>
    <w:rsid w:val="7E8ADEBF"/>
    <w:rsid w:val="7EEF11D3"/>
    <w:rsid w:val="7EFD1016"/>
    <w:rsid w:val="7EFE4840"/>
    <w:rsid w:val="7F0971A6"/>
    <w:rsid w:val="7F1D62E7"/>
    <w:rsid w:val="7F313C82"/>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13411"/>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3"/>
    <w:qFormat/>
    <w:uiPriority w:val="9"/>
    <w:rPr>
      <w:rFonts w:ascii="Times New Roman" w:hAnsi="Times New Roman"/>
      <w:b/>
      <w:bCs/>
      <w:kern w:val="44"/>
      <w:sz w:val="44"/>
      <w:szCs w:val="44"/>
    </w:rPr>
  </w:style>
  <w:style w:type="character" w:customStyle="1" w:styleId="29">
    <w:name w:val="标题 2 字符"/>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9"/>
    <w:semiHidden/>
    <w:qFormat/>
    <w:uiPriority w:val="99"/>
    <w:rPr>
      <w:rFonts w:ascii="Times New Roman" w:hAnsi="Times New Roman"/>
      <w:kern w:val="2"/>
      <w:sz w:val="18"/>
      <w:szCs w:val="18"/>
    </w:rPr>
  </w:style>
  <w:style w:type="character" w:customStyle="1" w:styleId="32">
    <w:name w:val="标题 3 字符"/>
    <w:basedOn w:val="16"/>
    <w:link w:val="5"/>
    <w:qFormat/>
    <w:uiPriority w:val="9"/>
    <w:rPr>
      <w:rFonts w:ascii="Times New Roman" w:hAnsi="Times New Roman"/>
      <w:b/>
      <w:bCs/>
      <w:kern w:val="2"/>
      <w:sz w:val="32"/>
      <w:szCs w:val="32"/>
    </w:rPr>
  </w:style>
  <w:style w:type="paragraph" w:customStyle="1" w:styleId="33">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普通(网站) Char"/>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决算数</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0.00_ </c:formatCode>
                <c:ptCount val="2"/>
                <c:pt idx="0">
                  <c:v>365.32</c:v>
                </c:pt>
                <c:pt idx="1" c:formatCode="General">
                  <c:v>329.84</c:v>
                </c:pt>
              </c:numCache>
            </c:numRef>
          </c:val>
        </c:ser>
        <c:dLbls>
          <c:showLegendKey val="0"/>
          <c:showVal val="1"/>
          <c:showCatName val="0"/>
          <c:showSerName val="0"/>
          <c:showPercent val="0"/>
          <c:showBubbleSize val="0"/>
        </c:dLbls>
        <c:gapWidth val="260"/>
        <c:overlap val="-32"/>
        <c:axId val="196629332"/>
        <c:axId val="480141852"/>
      </c:barChart>
      <c:catAx>
        <c:axId val="196629332"/>
        <c:scaling>
          <c:orientation val="minMax"/>
        </c:scaling>
        <c:delete val="0"/>
        <c:axPos val="b"/>
        <c:numFmt formatCode="General" sourceLinked="1"/>
        <c:majorTickMark val="out"/>
        <c:minorTickMark val="none"/>
        <c:tickLblPos val="nextTo"/>
        <c:spPr>
          <a:noFill/>
          <a:ln w="6350" cap="flat" cmpd="sng" algn="ctr">
            <a:solidFill>
              <a:schemeClr val="accent1">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80141852"/>
        <c:crosses val="autoZero"/>
        <c:auto val="1"/>
        <c:lblAlgn val="ctr"/>
        <c:lblOffset val="100"/>
        <c:noMultiLvlLbl val="0"/>
      </c:catAx>
      <c:valAx>
        <c:axId val="480141852"/>
        <c:scaling>
          <c:orientation val="minMax"/>
        </c:scaling>
        <c:delete val="1"/>
        <c:axPos val="l"/>
        <c:numFmt formatCode="0.00_ " sourceLinked="1"/>
        <c:majorTickMark val="out"/>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19662933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cde4d130-67d1-455b-8ab7-085063d8348d}"/>
      </c:ext>
    </c:extLst>
  </c:chart>
  <c:spPr>
    <a:solidFill>
      <a:schemeClr val="bg1"/>
    </a:solidFill>
    <a:ln w="6350" cap="flat" cmpd="sng" algn="ctr">
      <a:solidFill>
        <a:schemeClr val="tx1">
          <a:lumMod val="50000"/>
          <a:lumOff val="50000"/>
          <a:alpha val="25000"/>
        </a:schemeClr>
      </a:solidFill>
      <a:round/>
    </a:ln>
    <a:effectLst/>
  </c:spPr>
  <c:txPr>
    <a:bodyPr/>
    <a:lstStyle/>
    <a:p>
      <a:pPr>
        <a:defRPr lang="zh-CN" sz="90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2025</a:t>
            </a:r>
            <a:r>
              <a:rPr altLang="en-US"/>
              <a:t>年</a:t>
            </a:r>
            <a:r>
              <a:t>收入决算结构图</a:t>
            </a:r>
          </a:p>
        </c:rich>
      </c:tx>
      <c:layout/>
      <c:overlay val="0"/>
      <c:spPr>
        <a:noFill/>
        <a:ln>
          <a:noFill/>
        </a:ln>
        <a:effectLst/>
      </c:spPr>
    </c:title>
    <c:autoTitleDeleted val="0"/>
    <c:plotArea>
      <c:layout/>
      <c:pieChart>
        <c:varyColors val="1"/>
        <c:ser>
          <c:idx val="1"/>
          <c:order val="0"/>
          <c:tx>
            <c:strRef>
              <c:f>Sheet1!$B$1</c:f>
              <c:strCache>
                <c:ptCount val="1"/>
                <c:pt idx="0">
                  <c:v>2025年收入决算结构图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329.84</c:v>
                </c:pt>
                <c:pt idx="1">
                  <c:v>0</c:v>
                </c:pt>
                <c:pt idx="2">
                  <c:v>0</c:v>
                </c:pt>
                <c:pt idx="3">
                  <c:v>0</c:v>
                </c:pt>
                <c:pt idx="4">
                  <c:v>0</c:v>
                </c:pt>
                <c:pt idx="5">
                  <c:v>0</c:v>
                </c:pt>
                <c:pt idx="6">
                  <c:v>0</c:v>
                </c:pt>
                <c:pt idx="7">
                  <c:v>0</c:v>
                </c:pt>
              </c:numCache>
            </c:numRef>
          </c:val>
        </c:ser>
        <c:ser>
          <c:idx val="2"/>
          <c:order val="1"/>
          <c:tx>
            <c:strRef>
              <c:f>Sheet1!$C$1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Sheet1!$C$2:$C$9</c:f>
              <c:numCache>
                <c:formatCode>General</c:formatCode>
                <c:ptCount val="8"/>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67875503-3ce5-46d9-bbbe-93d3946ec4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2025</a:t>
            </a:r>
            <a:r>
              <a:rPr altLang="en-US"/>
              <a:t>年</a:t>
            </a:r>
            <a:r>
              <a:t>支出决算结构图</a:t>
            </a:r>
          </a:p>
        </c:rich>
      </c:tx>
      <c:layout/>
      <c:overlay val="0"/>
      <c:spPr>
        <a:noFill/>
        <a:ln>
          <a:noFill/>
        </a:ln>
        <a:effectLst/>
      </c:spPr>
    </c:title>
    <c:autoTitleDeleted val="0"/>
    <c:plotArea>
      <c:layout/>
      <c:pieChart>
        <c:varyColors val="1"/>
        <c:ser>
          <c:idx val="1"/>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bg1"/>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329.84</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92098640-22b2-49a4-9ac9-b1c71757006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lang="en-US" altLang="zh-CN"/>
              <a:t>   </a:t>
            </a: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决算数</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2024年收、支决算</c:v>
                </c:pt>
                <c:pt idx="1">
                  <c:v>2025年收、支决算</c:v>
                </c:pt>
              </c:strCache>
            </c:strRef>
          </c:cat>
          <c:val>
            <c:numRef>
              <c:f>Sheet1!$B$2:$B$3</c:f>
              <c:numCache>
                <c:formatCode>0.00_ </c:formatCode>
                <c:ptCount val="2"/>
                <c:pt idx="0">
                  <c:v>365.32</c:v>
                </c:pt>
                <c:pt idx="1">
                  <c:v>329.84</c:v>
                </c:pt>
              </c:numCache>
            </c:numRef>
          </c:val>
        </c:ser>
        <c:dLbls>
          <c:showLegendKey val="0"/>
          <c:showVal val="1"/>
          <c:showCatName val="0"/>
          <c:showSerName val="0"/>
          <c:showPercent val="0"/>
          <c:showBubbleSize val="0"/>
        </c:dLbls>
        <c:gapWidth val="246"/>
        <c:overlap val="-28"/>
        <c:axId val="731476239"/>
        <c:axId val="80484128"/>
      </c:barChart>
      <c:catAx>
        <c:axId val="731476239"/>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80484128"/>
        <c:crosses val="autoZero"/>
        <c:auto val="1"/>
        <c:lblAlgn val="ctr"/>
        <c:lblOffset val="100"/>
        <c:noMultiLvlLbl val="0"/>
      </c:catAx>
      <c:valAx>
        <c:axId val="80484128"/>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31476239"/>
        <c:crosses val="autoZero"/>
        <c:crossBetween val="between"/>
      </c:valAx>
      <c:spPr>
        <a:noFill/>
        <a:ln>
          <a:noFill/>
        </a:ln>
        <a:effectLst/>
      </c:spPr>
    </c:plotArea>
    <c:plotVisOnly val="1"/>
    <c:dispBlanksAs val="gap"/>
    <c:showDLblsOverMax val="0"/>
    <c:extLst>
      <c:ext uri="{0b15fc19-7d7d-44ad-8c2d-2c3a37ce22c3}">
        <chartProps xmlns="https://web.wps.cn/et/2018/main" chartId="{cf601950-aa61-44ac-b328-7a3dadd9a86c}"/>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一般公共预算财政拨款支出决算变动情况</a:t>
            </a:r>
          </a:p>
        </c:rich>
      </c:tx>
      <c:layout>
        <c:manualLayout>
          <c:xMode val="edge"/>
          <c:yMode val="edge"/>
          <c:x val="0.160839928320743"/>
          <c:y val="0.0243901706501042"/>
        </c:manualLayout>
      </c:layout>
      <c:overlay val="0"/>
      <c:spPr>
        <a:noFill/>
        <a:ln>
          <a:noFill/>
        </a:ln>
        <a:effectLst/>
      </c:spPr>
    </c:title>
    <c:autoTitleDeleted val="0"/>
    <c:plotArea>
      <c:layout>
        <c:manualLayout>
          <c:layoutTarget val="inner"/>
          <c:xMode val="edge"/>
          <c:yMode val="edge"/>
          <c:x val="0.0831661696936839"/>
          <c:y val="0.232308791994282"/>
          <c:w val="0.891081593927894"/>
          <c:h val="0.697736478436979"/>
        </c:manualLayout>
      </c:layout>
      <c:barChart>
        <c:barDir val="col"/>
        <c:grouping val="clustered"/>
        <c:varyColors val="0"/>
        <c:ser>
          <c:idx val="0"/>
          <c:order val="0"/>
          <c:tx>
            <c:strRef>
              <c:f>Sheet1!$B$1</c:f>
              <c:strCache>
                <c:ptCount val="1"/>
                <c:pt idx="0">
                  <c:v>决算数</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2024年一般公共预算支出</c:v>
                </c:pt>
                <c:pt idx="1">
                  <c:v>2025年一般公共预算支出</c:v>
                </c:pt>
              </c:strCache>
            </c:strRef>
          </c:cat>
          <c:val>
            <c:numRef>
              <c:f>Sheet1!$B$2:$B$3</c:f>
              <c:numCache>
                <c:formatCode>0.00_ </c:formatCode>
                <c:ptCount val="2"/>
                <c:pt idx="0">
                  <c:v>365.32</c:v>
                </c:pt>
                <c:pt idx="1" c:formatCode="General">
                  <c:v>329.84</c:v>
                </c:pt>
              </c:numCache>
            </c:numRef>
          </c:val>
        </c:ser>
        <c:dLbls>
          <c:showLegendKey val="0"/>
          <c:showVal val="1"/>
          <c:showCatName val="0"/>
          <c:showSerName val="0"/>
          <c:showPercent val="0"/>
          <c:showBubbleSize val="0"/>
        </c:dLbls>
        <c:gapWidth val="246"/>
        <c:overlap val="-28"/>
        <c:axId val="731476239"/>
        <c:axId val="80484128"/>
      </c:barChart>
      <c:catAx>
        <c:axId val="731476239"/>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crossAx val="80484128"/>
        <c:crosses val="autoZero"/>
        <c:auto val="1"/>
        <c:lblAlgn val="ctr"/>
        <c:lblOffset val="100"/>
        <c:noMultiLvlLbl val="0"/>
      </c:catAx>
      <c:valAx>
        <c:axId val="80484128"/>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31476239"/>
        <c:crosses val="autoZero"/>
        <c:crossBetween val="between"/>
      </c:valAx>
      <c:spPr>
        <a:noFill/>
        <a:ln>
          <a:noFill/>
        </a:ln>
        <a:effectLst/>
      </c:spPr>
    </c:plotArea>
    <c:plotVisOnly val="1"/>
    <c:dispBlanksAs val="gap"/>
    <c:showDLblsOverMax val="0"/>
    <c:extLst>
      <c:ext uri="{0b15fc19-7d7d-44ad-8c2d-2c3a37ce22c3}">
        <chartProps xmlns="https://web.wps.cn/et/2018/main" chartId="{0dfb0865-9839-4f64-bd50-a5b8bee183a8}"/>
      </c:ext>
    </c:extLst>
  </c:chart>
  <c:spPr>
    <a:solidFill>
      <a:schemeClr val="bg1"/>
    </a:solidFill>
    <a:ln w="6350" cap="flat" cmpd="sng" algn="ctr">
      <a:solidFill>
        <a:schemeClr val="tx1">
          <a:lumMod val="50000"/>
          <a:lumOff val="50000"/>
          <a:alpha val="2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住房保障支出</c:v>
                </c:pt>
                <c:pt idx="3">
                  <c:v>农林水支出</c:v>
                </c:pt>
              </c:strCache>
            </c:strRef>
          </c:cat>
          <c:val>
            <c:numRef>
              <c:f>Sheet1!$B$2:$B$5</c:f>
              <c:numCache>
                <c:formatCode>General</c:formatCode>
                <c:ptCount val="4"/>
                <c:pt idx="0">
                  <c:v>42.16</c:v>
                </c:pt>
                <c:pt idx="1">
                  <c:v>16.1</c:v>
                </c:pt>
                <c:pt idx="2">
                  <c:v>14.84</c:v>
                </c:pt>
                <c:pt idx="3">
                  <c:v>256.74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924f2e-9546-40e2-b18b-7cf2642db2d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a:t>
            </a:r>
          </a:p>
        </c:rich>
      </c:tx>
      <c:layout/>
      <c:overlay val="0"/>
      <c:spPr>
        <a:noFill/>
        <a:ln>
          <a:noFill/>
        </a:ln>
        <a:effectLst/>
      </c:spPr>
    </c:title>
    <c:autoTitleDeleted val="0"/>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因公出国（境）费支出决算</c:v>
                </c:pt>
                <c:pt idx="1">
                  <c:v>公务用车购置及运行维护费支出决算</c:v>
                </c:pt>
                <c:pt idx="2">
                  <c:v>公务接待费支出决算</c:v>
                </c:pt>
              </c:strCache>
            </c:strRef>
          </c:cat>
          <c:val>
            <c:numRef>
              <c:f>Sheet1!$B$2:$B$5</c:f>
              <c:numCache>
                <c:formatCode>General</c:formatCode>
                <c:ptCount val="4"/>
                <c:pt idx="0">
                  <c:v>0</c:v>
                </c:pt>
                <c:pt idx="1">
                  <c:v>4.13</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972c589-3f47-4df1-960d-bd5183a05f8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4870</Words>
  <Characters>5348</Characters>
  <Lines>60</Lines>
  <Paragraphs>17</Paragraphs>
  <TotalTime>6</TotalTime>
  <ScaleCrop>false</ScaleCrop>
  <LinksUpToDate>false</LinksUpToDate>
  <CharactersWithSpaces>5374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毛毛虫</cp:lastModifiedBy>
  <cp:lastPrinted>2026-09-10T01:54:00Z</cp:lastPrinted>
  <dcterms:modified xsi:type="dcterms:W3CDTF">2026-09-11T02:03:36Z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2DC1C4632C86470791703985ED3B88A9_13</vt:lpwstr>
  </property>
  <property fmtid="{D5CDD505-2E9C-101B-9397-08002B2CF9AE}" pid="4" name="KSOTemplateDocerSaveRecord">
    <vt:lpwstr>eyJoZGlkIjoiMmI1NWQ5MGRlMTk4NzM1Y2JiMWFhNDQyY2E2ZGVkYjAiLCJ1c2VySWQiOiI4MTEyMTE5NjMifQ==</vt:lpwstr>
  </property>
</Properties>
</file>