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8"/>
      </w:pPr>
      <w:r>
        <w:rPr>
          <w:rFonts w:ascii="仿宋_GB2312" w:eastAsia="仿宋_GB2312" w:hint="eastAsia"/>
          <w:sz w:val="32"/>
        </w:rPr>
        <w:drawing>
          <wp:anchor distT="0" distB="0" distL="114300" distR="114300" simplePos="0" relativeHeight="2" behindDoc="1" locked="0" layoutInCell="1" hidden="0" allowOverlap="1">
            <wp:simplePos x="0" y="0"/>
            <wp:positionH relativeFrom="column">
              <wp:posOffset>-40640</wp:posOffset>
            </wp:positionH>
            <wp:positionV relativeFrom="paragraph">
              <wp:posOffset>916940</wp:posOffset>
            </wp:positionV>
            <wp:extent cx="5575299" cy="2302510"/>
            <wp:effectExtent l="0" t="0" r="0" b="0"/>
            <wp:wrapNone/>
            <wp:docPr id="4" name="图片 5" descr="林草局文头_副本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图片 5 6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575299" cy="2302510"/>
                    </a:xfrm>
                    <a:prstGeom prst="rect"/>
                    <a:noFill/>
                    <a:ln w="9525" cmpd="sng" cap="flat">
                      <a:noFill/>
                      <a:prstDash val="solid"/>
                      <a:round/>
                    </a:ln>
                  </pic:spPr>
                </pic:pic>
              </a:graphicData>
            </a:graphic>
          </wp:anchor>
        </w:drawing>
      </w:r>
    </w:p>
    <w:p>
      <w:pPr>
        <w:spacing w:line="520" w:lineRule="exact"/>
        <w:ind w:firstLineChars="100" w:firstLine="320"/>
        <w:rPr>
          <w:rFonts w:ascii="仿宋_GB2312" w:eastAsia="仿宋_GB2312" w:cs="仿宋_GB2312"/>
          <w:sz w:val="32"/>
          <w:szCs w:val="32"/>
        </w:rPr>
      </w:pPr>
    </w:p>
    <w:p>
      <w:pPr>
        <w:spacing w:line="520" w:lineRule="exact"/>
        <w:ind w:firstLineChars="100" w:firstLine="320"/>
        <w:rPr>
          <w:rFonts w:ascii="仿宋_GB2312" w:eastAsia="仿宋_GB2312" w:cs="仿宋_GB2312"/>
          <w:sz w:val="32"/>
          <w:szCs w:val="32"/>
        </w:rPr>
      </w:pPr>
    </w:p>
    <w:p>
      <w:pPr>
        <w:spacing w:line="520" w:lineRule="exact"/>
        <w:ind w:firstLineChars="100" w:firstLine="320"/>
        <w:rPr>
          <w:rFonts w:ascii="仿宋_GB2312" w:eastAsia="仿宋_GB2312" w:cs="仿宋_GB2312"/>
          <w:sz w:val="32"/>
          <w:szCs w:val="32"/>
        </w:rPr>
      </w:pPr>
    </w:p>
    <w:p>
      <w:pPr>
        <w:spacing w:line="520" w:lineRule="exact"/>
        <w:ind w:firstLineChars="100" w:firstLine="320"/>
        <w:rPr>
          <w:rFonts w:ascii="仿宋_GB2312" w:eastAsia="仿宋_GB2312" w:cs="仿宋_GB2312"/>
          <w:sz w:val="32"/>
          <w:szCs w:val="32"/>
        </w:rPr>
      </w:pPr>
    </w:p>
    <w:p>
      <w:pPr>
        <w:spacing w:line="520" w:lineRule="exact"/>
        <w:ind w:firstLineChars="100" w:firstLine="320"/>
        <w:rPr>
          <w:rFonts w:ascii="仿宋_GB2312" w:eastAsia="仿宋_GB2312" w:cs="仿宋_GB2312"/>
          <w:sz w:val="32"/>
          <w:szCs w:val="32"/>
        </w:rPr>
      </w:pPr>
    </w:p>
    <w:p>
      <w:pPr>
        <w:spacing w:line="520" w:lineRule="exact"/>
        <w:ind w:firstLineChars="100" w:firstLine="320"/>
        <w:rPr>
          <w:rFonts w:ascii="仿宋_GB2312" w:eastAsia="仿宋_GB2312" w:cs="仿宋_GB2312"/>
          <w:sz w:val="32"/>
          <w:szCs w:val="32"/>
        </w:rPr>
      </w:pPr>
    </w:p>
    <w:p>
      <w:pPr>
        <w:spacing w:line="520" w:lineRule="exact"/>
        <w:ind w:firstLineChars="100" w:firstLine="320"/>
        <w:rPr>
          <w:rFonts w:asci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Chars="100" w:firstLine="320"/>
        <w:textAlignment w:val="auto"/>
        <w:rPr>
          <w:rFonts w:ascii="楷体" w:eastAsia="仿宋_GB2312" w:cs="楷体" w:hAnsi="楷体" w:hint="eastAsia"/>
          <w:sz w:val="32"/>
          <w:szCs w:val="32"/>
          <w:lang w:val="en-US" w:eastAsia="zh-CN"/>
        </w:rPr>
      </w:pPr>
      <w:r>
        <w:rPr>
          <w:rFonts w:ascii="仿宋_GB2312" w:eastAsia="仿宋_GB2312" w:cs="仿宋_GB2312"/>
          <w:sz w:val="32"/>
          <w:szCs w:val="32"/>
        </w:rPr>
        <w:t>阿州林</w:t>
      </w:r>
      <w:r>
        <w:rPr>
          <w:rFonts w:ascii="仿宋_GB2312" w:eastAsia="仿宋_GB2312" w:cs="仿宋_GB2312" w:hint="eastAsia"/>
          <w:sz w:val="32"/>
          <w:szCs w:val="32"/>
        </w:rPr>
        <w:t>草〔</w:t>
      </w:r>
      <w:r>
        <w:rPr>
          <w:rFonts w:ascii="仿宋_GB2312" w:eastAsia="仿宋_GB2312" w:cs="仿宋_GB2312"/>
          <w:sz w:val="32"/>
          <w:szCs w:val="32"/>
        </w:rPr>
        <w:t>202</w:t>
      </w:r>
      <w:r>
        <w:rPr>
          <w:rFonts w:ascii="仿宋_GB2312" w:eastAsia="仿宋_GB2312" w:cs="仿宋_GB2312" w:hint="eastAsia"/>
          <w:sz w:val="32"/>
          <w:szCs w:val="32"/>
          <w:lang w:val="en-US" w:eastAsia="zh-CN"/>
        </w:rPr>
        <w:t>5</w:t>
      </w:r>
      <w:r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 xml:space="preserve">36号              </w:t>
      </w:r>
      <w:r>
        <w:rPr>
          <w:rFonts w:ascii="仿宋_GB2312" w:eastAsia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cs="仿宋_GB2312"/>
          <w:sz w:val="32"/>
          <w:szCs w:val="32"/>
        </w:rPr>
        <w:t>签发人</w:t>
      </w:r>
      <w:r>
        <w:rPr>
          <w:rFonts w:ascii="仿宋_GB2312" w:eastAsia="仿宋_GB2312" w:cs="仿宋_GB2312" w:hint="eastAsia"/>
          <w:sz w:val="32"/>
          <w:szCs w:val="32"/>
        </w:rPr>
        <w:t>:</w:t>
      </w:r>
      <w:r>
        <w:rPr>
          <w:rFonts w:ascii="仿宋_GB2312" w:eastAsia="仿宋_GB2312" w:cs="仿宋_GB2312" w:hint="eastAsia"/>
          <w:sz w:val="32"/>
          <w:szCs w:val="32"/>
          <w:lang w:eastAsia="zh-CN"/>
        </w:rPr>
        <w:t>孙福华</w:t>
      </w:r>
    </w:p>
    <w:p>
      <w:pPr>
        <w:pStyle w:val="18"/>
      </w:pPr>
    </w:p>
    <w:p>
      <w:pPr>
        <w:pStyle w:val="30"/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阿坝州林业和草原局</w:t>
      </w:r>
    </w:p>
    <w:p>
      <w:pPr>
        <w:pStyle w:val="30"/>
        <w:spacing w:line="600" w:lineRule="exact"/>
        <w:jc w:val="center"/>
        <w:rPr>
          <w:rFonts w:ascii="方正小标宋简体" w:eastAsia="方正小标宋简体" w:cs="黑体"/>
          <w:bCs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</w:t>
      </w:r>
      <w:r>
        <w:rPr>
          <w:rFonts w:ascii="方正小标宋简体" w:eastAsia="方正小标宋简体" w:cs="黑体" w:hint="eastAsia"/>
          <w:bCs/>
          <w:sz w:val="44"/>
          <w:szCs w:val="44"/>
        </w:rPr>
        <w:t>202</w:t>
      </w:r>
      <w:r>
        <w:rPr>
          <w:rFonts w:ascii="方正小标宋简体" w:eastAsia="方正小标宋简体" w:cs="黑体" w:hint="eastAsia"/>
          <w:bCs/>
          <w:sz w:val="44"/>
          <w:szCs w:val="44"/>
          <w:lang w:val="en-US" w:eastAsia="zh-CN"/>
        </w:rPr>
        <w:t>4</w:t>
      </w:r>
      <w:r>
        <w:rPr>
          <w:rFonts w:ascii="方正小标宋简体" w:eastAsia="方正小标宋简体" w:cs="黑体" w:hint="eastAsia"/>
          <w:bCs/>
          <w:sz w:val="44"/>
          <w:szCs w:val="44"/>
        </w:rPr>
        <w:t>年中央对地方转移支付（中央财政</w:t>
      </w:r>
      <w:r>
        <w:rPr>
          <w:rFonts w:ascii="方正小标宋简体" w:eastAsia="方正小标宋简体" w:hint="eastAsia"/>
          <w:sz w:val="44"/>
          <w:szCs w:val="44"/>
        </w:rPr>
        <w:t>林业草原生态保护恢复资金）</w:t>
      </w:r>
      <w:r>
        <w:rPr>
          <w:rFonts w:ascii="方正小标宋简体" w:eastAsia="方正小标宋简体" w:cs="黑体" w:hint="eastAsia"/>
          <w:bCs/>
          <w:sz w:val="44"/>
          <w:szCs w:val="44"/>
        </w:rPr>
        <w:t>预算执行情</w:t>
      </w:r>
      <w:r>
        <w:rPr>
          <w:rFonts w:ascii="方正小标宋简体" w:eastAsia="方正小标宋简体" w:cs="黑体"/>
          <w:bCs/>
          <w:sz w:val="44"/>
          <w:szCs w:val="44"/>
        </w:rPr>
        <w:t>况</w:t>
      </w:r>
    </w:p>
    <w:p>
      <w:pPr>
        <w:pStyle w:val="30"/>
        <w:spacing w:line="600" w:lineRule="exact"/>
        <w:jc w:val="center"/>
        <w:rPr>
          <w:rFonts w:ascii="方正小标宋简体" w:eastAsia="方正小标宋简体" w:cs="黑体" w:hint="eastAsia"/>
          <w:bCs/>
          <w:sz w:val="44"/>
          <w:szCs w:val="44"/>
        </w:rPr>
      </w:pPr>
      <w:r>
        <w:rPr>
          <w:rFonts w:ascii="方正小标宋简体" w:eastAsia="方正小标宋简体" w:cs="黑体" w:hint="eastAsia"/>
          <w:bCs/>
          <w:sz w:val="44"/>
          <w:szCs w:val="44"/>
        </w:rPr>
        <w:t>绩效自评</w:t>
      </w:r>
      <w:r>
        <w:rPr>
          <w:rFonts w:ascii="方正小标宋简体" w:eastAsia="方正小标宋简体" w:cs="黑体"/>
          <w:bCs/>
          <w:sz w:val="44"/>
          <w:szCs w:val="44"/>
        </w:rPr>
        <w:t>的</w:t>
      </w:r>
      <w:r>
        <w:rPr>
          <w:rFonts w:ascii="方正小标宋简体" w:eastAsia="方正小标宋简体" w:cs="黑体" w:hint="eastAsia"/>
          <w:bCs/>
          <w:sz w:val="44"/>
          <w:szCs w:val="44"/>
        </w:rPr>
        <w:t>报告</w:t>
      </w:r>
    </w:p>
    <w:p>
      <w:pPr>
        <w:pStyle w:val="30"/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rPr>
          <w:rFonts w:ascii="仿宋_GB2312" w:eastAsia="仿宋_GB2312" w:cs="黑体" w:hint="eastAsia"/>
          <w:bCs/>
          <w:sz w:val="30"/>
          <w:szCs w:val="30"/>
        </w:rPr>
      </w:pPr>
      <w:r>
        <w:rPr>
          <w:rFonts w:ascii="仿宋_GB2312" w:eastAsia="仿宋_GB2312" w:cs="黑体" w:hint="eastAsia"/>
          <w:bCs/>
          <w:sz w:val="30"/>
          <w:szCs w:val="30"/>
          <w:lang w:eastAsia="zh-CN"/>
        </w:rPr>
        <w:t>州财政局</w:t>
      </w:r>
      <w:r>
        <w:rPr>
          <w:rFonts w:ascii="仿宋_GB2312" w:eastAsia="仿宋_GB2312" w:cs="黑体" w:hint="eastAsia"/>
          <w:bCs/>
          <w:sz w:val="30"/>
          <w:szCs w:val="30"/>
        </w:rPr>
        <w:t>：</w:t>
      </w:r>
    </w:p>
    <w:p>
      <w:pPr>
        <w:ind w:firstLineChars="200" w:firstLine="600"/>
        <w:rPr>
          <w:rFonts w:ascii="仿宋_GB2312" w:eastAsia="仿宋_GB2312" w:cs="黑体" w:hint="eastAsia"/>
          <w:bCs/>
          <w:sz w:val="30"/>
          <w:szCs w:val="30"/>
        </w:rPr>
      </w:pPr>
      <w:r>
        <w:rPr>
          <w:rFonts w:ascii="仿宋_GB2312" w:eastAsia="仿宋_GB2312" w:cs="黑体" w:hint="eastAsia"/>
          <w:bCs/>
          <w:sz w:val="30"/>
          <w:szCs w:val="30"/>
        </w:rPr>
        <w:t>按照《</w:t>
      </w:r>
      <w:r>
        <w:rPr>
          <w:rFonts w:ascii="仿宋_GB2312" w:eastAsia="仿宋_GB2312" w:cs="黑体" w:hint="eastAsia"/>
          <w:bCs/>
          <w:sz w:val="30"/>
          <w:szCs w:val="30"/>
          <w:lang w:eastAsia="zh-CN"/>
        </w:rPr>
        <w:t>阿坝州财政局</w:t>
      </w:r>
      <w:r>
        <w:rPr>
          <w:rFonts w:ascii="仿宋_GB2312" w:eastAsia="仿宋_GB2312" w:cs="黑体" w:hint="eastAsia"/>
          <w:bCs/>
          <w:sz w:val="30"/>
          <w:szCs w:val="30"/>
        </w:rPr>
        <w:t>关于开展202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4</w:t>
      </w:r>
      <w:r>
        <w:rPr>
          <w:rFonts w:ascii="仿宋_GB2312" w:eastAsia="仿宋_GB2312" w:cs="黑体" w:hint="eastAsia"/>
          <w:bCs/>
          <w:sz w:val="30"/>
          <w:szCs w:val="30"/>
        </w:rPr>
        <w:t>年中央对地方转移支付预算执行情况绩效自评工作的通知》（</w:t>
      </w:r>
      <w:r>
        <w:rPr>
          <w:rFonts w:ascii="仿宋_GB2312" w:eastAsia="仿宋_GB2312" w:cs="黑体" w:hint="eastAsia"/>
          <w:bCs/>
          <w:sz w:val="30"/>
          <w:szCs w:val="30"/>
          <w:lang w:eastAsia="zh-CN"/>
        </w:rPr>
        <w:t>阿州</w:t>
      </w:r>
      <w:r>
        <w:rPr>
          <w:rFonts w:ascii="仿宋_GB2312" w:eastAsia="仿宋_GB2312" w:cs="黑体" w:hint="eastAsia"/>
          <w:bCs/>
          <w:sz w:val="30"/>
          <w:szCs w:val="30"/>
        </w:rPr>
        <w:t>财</w:t>
      </w:r>
      <w:r>
        <w:rPr>
          <w:rFonts w:ascii="仿宋_GB2312" w:eastAsia="仿宋_GB2312" w:cs="黑体" w:hint="eastAsia"/>
          <w:bCs/>
          <w:sz w:val="30"/>
          <w:szCs w:val="30"/>
          <w:lang w:eastAsia="zh-CN"/>
        </w:rPr>
        <w:t>监</w:t>
      </w:r>
      <w:r>
        <w:rPr>
          <w:rFonts w:ascii="仿宋_GB2312" w:eastAsia="仿宋_GB2312" w:cs="黑体" w:hint="eastAsia"/>
          <w:bCs/>
          <w:sz w:val="30"/>
          <w:szCs w:val="30"/>
        </w:rPr>
        <w:t>绩〔202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5</w:t>
      </w:r>
      <w:r>
        <w:rPr>
          <w:rFonts w:ascii="仿宋_GB2312" w:eastAsia="仿宋_GB2312" w:cs="黑体" w:hint="eastAsia"/>
          <w:bCs/>
          <w:sz w:val="30"/>
          <w:szCs w:val="30"/>
        </w:rPr>
        <w:t>〕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2</w:t>
      </w:r>
      <w:r>
        <w:rPr>
          <w:rFonts w:ascii="仿宋_GB2312" w:eastAsia="仿宋_GB2312" w:cs="黑体" w:hint="eastAsia"/>
          <w:bCs/>
          <w:sz w:val="30"/>
          <w:szCs w:val="30"/>
        </w:rPr>
        <w:t>号），我局组织相关单位开展了绩效自评工作。现将有关情况报告如下：</w:t>
      </w:r>
    </w:p>
    <w:p>
      <w:pPr>
        <w:ind w:firstLineChars="200" w:firstLine="600"/>
        <w:rPr>
          <w:rFonts w:ascii="黑体" w:eastAsia="黑体" w:cs="黑体" w:hint="eastAsia"/>
          <w:bCs/>
          <w:sz w:val="30"/>
          <w:szCs w:val="30"/>
        </w:rPr>
      </w:pPr>
      <w:r>
        <w:rPr>
          <w:rFonts w:ascii="黑体" w:eastAsia="黑体" w:cs="黑体" w:hint="eastAsia"/>
          <w:bCs/>
          <w:sz w:val="30"/>
          <w:szCs w:val="30"/>
        </w:rPr>
        <w:t>一、绩效目标分解下达情况</w:t>
      </w:r>
    </w:p>
    <w:p>
      <w:pPr>
        <w:ind w:firstLineChars="200" w:firstLine="600"/>
        <w:rPr>
          <w:rFonts w:ascii="仿宋_GB2312" w:eastAsia="仿宋_GB2312" w:cs="黑体" w:hint="eastAsia"/>
          <w:bCs/>
          <w:sz w:val="30"/>
          <w:szCs w:val="30"/>
        </w:rPr>
      </w:pPr>
      <w:r>
        <w:rPr>
          <w:rFonts w:ascii="仿宋_GB2312" w:eastAsia="仿宋_GB2312" w:cs="黑体" w:hint="eastAsia"/>
          <w:bCs/>
          <w:sz w:val="30"/>
          <w:szCs w:val="30"/>
        </w:rPr>
        <w:t>202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4</w:t>
      </w:r>
      <w:r>
        <w:rPr>
          <w:rFonts w:ascii="仿宋_GB2312" w:eastAsia="仿宋_GB2312" w:cs="黑体" w:hint="eastAsia"/>
          <w:bCs/>
          <w:sz w:val="30"/>
          <w:szCs w:val="30"/>
        </w:rPr>
        <w:t>年，省财政厅、省林业和草原局下达我州林业草原生态保护恢复资金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71736.65</w:t>
      </w:r>
      <w:r>
        <w:rPr>
          <w:rFonts w:ascii="仿宋_GB2312" w:eastAsia="仿宋_GB2312" w:cs="黑体" w:hint="eastAsia"/>
          <w:bCs/>
          <w:sz w:val="30"/>
          <w:szCs w:val="30"/>
        </w:rPr>
        <w:t>万元（川财资环〔20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24</w:t>
      </w:r>
      <w:r>
        <w:rPr>
          <w:rFonts w:ascii="仿宋_GB2312" w:eastAsia="仿宋_GB2312" w:cs="黑体" w:hint="eastAsia"/>
          <w:bCs/>
          <w:sz w:val="30"/>
          <w:szCs w:val="30"/>
        </w:rPr>
        <w:t>〕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16</w:t>
      </w:r>
      <w:r>
        <w:rPr>
          <w:rFonts w:ascii="仿宋_GB2312" w:eastAsia="仿宋_GB2312" w:cs="黑体" w:hint="eastAsia"/>
          <w:bCs/>
          <w:sz w:val="30"/>
          <w:szCs w:val="30"/>
        </w:rPr>
        <w:t>号、川财资环〔20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24</w:t>
      </w:r>
      <w:r>
        <w:rPr>
          <w:rFonts w:ascii="仿宋_GB2312" w:eastAsia="仿宋_GB2312" w:cs="黑体" w:hint="eastAsia"/>
          <w:bCs/>
          <w:sz w:val="30"/>
          <w:szCs w:val="30"/>
        </w:rPr>
        <w:t>〕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46</w:t>
      </w:r>
      <w:r>
        <w:rPr>
          <w:rFonts w:ascii="仿宋_GB2312" w:eastAsia="仿宋_GB2312" w:cs="黑体" w:hint="eastAsia"/>
          <w:bCs/>
          <w:sz w:val="30"/>
          <w:szCs w:val="30"/>
        </w:rPr>
        <w:t>号</w:t>
      </w:r>
      <w:r>
        <w:rPr>
          <w:rFonts w:ascii="仿宋_GB2312" w:eastAsia="仿宋_GB2312" w:cs="黑体" w:hint="eastAsia"/>
          <w:bCs/>
          <w:sz w:val="30"/>
          <w:szCs w:val="30"/>
          <w:lang w:eastAsia="zh-CN"/>
        </w:rPr>
        <w:t>、</w:t>
      </w:r>
      <w:r>
        <w:rPr>
          <w:rFonts w:ascii="仿宋_GB2312" w:eastAsia="仿宋_GB2312" w:cs="黑体" w:hint="eastAsia"/>
          <w:bCs/>
          <w:sz w:val="30"/>
          <w:szCs w:val="30"/>
        </w:rPr>
        <w:t>川财资环〔20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25</w:t>
      </w:r>
      <w:r>
        <w:rPr>
          <w:rFonts w:ascii="仿宋_GB2312" w:eastAsia="仿宋_GB2312" w:cs="黑体" w:hint="eastAsia"/>
          <w:bCs/>
          <w:sz w:val="30"/>
          <w:szCs w:val="30"/>
        </w:rPr>
        <w:t>〕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15</w:t>
      </w:r>
      <w:r>
        <w:rPr>
          <w:rFonts w:ascii="仿宋_GB2312" w:eastAsia="仿宋_GB2312" w:cs="黑体" w:hint="eastAsia"/>
          <w:bCs/>
          <w:sz w:val="30"/>
          <w:szCs w:val="30"/>
        </w:rPr>
        <w:t>号）。我局根据省财政厅、省林业和草原局确定的资金支出方向、任务量以及分配建议，提出了资金分配方案，</w:t>
      </w:r>
      <w:r>
        <w:rPr>
          <w:rFonts w:ascii="仿宋_GB2312" w:eastAsia="仿宋_GB2312" w:cs="黑体"/>
          <w:bCs/>
          <w:sz w:val="30"/>
          <w:szCs w:val="30"/>
        </w:rPr>
        <w:t>报</w:t>
      </w:r>
      <w:r>
        <w:rPr>
          <w:rFonts w:ascii="仿宋_GB2312" w:eastAsia="仿宋_GB2312" w:cs="黑体" w:hint="eastAsia"/>
          <w:bCs/>
          <w:sz w:val="30"/>
          <w:szCs w:val="30"/>
        </w:rPr>
        <w:t>经州人民政府审批后，会同</w:t>
      </w:r>
      <w:r>
        <w:rPr>
          <w:rFonts w:ascii="仿宋_GB2312" w:eastAsia="仿宋_GB2312" w:cs="黑体"/>
          <w:bCs/>
          <w:sz w:val="30"/>
          <w:szCs w:val="30"/>
        </w:rPr>
        <w:t>你</w:t>
      </w:r>
      <w:r>
        <w:rPr>
          <w:rFonts w:ascii="仿宋_GB2312" w:eastAsia="仿宋_GB2312" w:cs="黑体" w:hint="eastAsia"/>
          <w:bCs/>
          <w:sz w:val="30"/>
          <w:szCs w:val="30"/>
        </w:rPr>
        <w:t>局将资金下达到各县财政局及州属林业企业局。</w:t>
      </w:r>
    </w:p>
    <w:p>
      <w:pPr>
        <w:ind w:firstLineChars="200" w:firstLine="600"/>
        <w:rPr>
          <w:rFonts w:ascii="仿宋_GB2312" w:eastAsia="仿宋_GB2312" w:cs="黑体"/>
          <w:bCs/>
          <w:sz w:val="30"/>
          <w:szCs w:val="30"/>
          <w:lang w:val="en-US" w:eastAsia="zh-CN"/>
        </w:rPr>
      </w:pPr>
      <w:r>
        <w:rPr>
          <w:rFonts w:ascii="仿宋_GB2312" w:eastAsia="仿宋_GB2312" w:cs="黑体" w:hint="eastAsia"/>
          <w:bCs/>
          <w:sz w:val="30"/>
          <w:szCs w:val="30"/>
          <w:lang w:val="zh-CN"/>
        </w:rPr>
        <w:t>项目主要内容及绩效目标：国家级自然保护区能力提升项目4个，湿地保护与恢复项目1个，专项拯救物种数量1个，完成15个林草系统管理的一级古树和名木抢救复壮，聘请生态护林员5906人。完成国有林管护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4430.95万亩，非国有林生态保护补偿1049.6万亩。森林修复（含森林可持续经营）16.11万亩。</w:t>
      </w:r>
    </w:p>
    <w:p>
      <w:pPr>
        <w:ind w:firstLineChars="200" w:firstLine="600"/>
        <w:rPr>
          <w:rFonts w:ascii="仿宋_GB2312" w:eastAsia="仿宋_GB2312" w:cs="黑体" w:hint="eastAsia"/>
          <w:bCs/>
          <w:sz w:val="30"/>
          <w:szCs w:val="30"/>
        </w:rPr>
      </w:pPr>
      <w:r>
        <w:rPr>
          <w:rFonts w:ascii="仿宋_GB2312" w:eastAsia="仿宋_GB2312" w:cs="黑体" w:hint="eastAsia"/>
          <w:bCs/>
          <w:sz w:val="30"/>
          <w:szCs w:val="30"/>
        </w:rPr>
        <w:t>（一）资金投入情况分析。</w:t>
      </w:r>
    </w:p>
    <w:p>
      <w:pPr>
        <w:ind w:firstLineChars="200" w:firstLine="600"/>
        <w:rPr>
          <w:rFonts w:ascii="仿宋_GB2312" w:eastAsia="仿宋_GB2312" w:cs="黑体" w:hint="eastAsia"/>
          <w:bCs/>
          <w:sz w:val="30"/>
          <w:szCs w:val="30"/>
          <w:lang w:val="zh-CN"/>
        </w:rPr>
      </w:pPr>
      <w:r>
        <w:rPr>
          <w:rFonts w:ascii="仿宋_GB2312" w:eastAsia="仿宋_GB2312" w:cs="黑体" w:hint="eastAsia"/>
          <w:bCs/>
          <w:sz w:val="30"/>
          <w:szCs w:val="30"/>
          <w:lang w:val="zh-CN"/>
        </w:rPr>
        <w:t>202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4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年，</w:t>
      </w:r>
      <w:r>
        <w:rPr>
          <w:rFonts w:ascii="仿宋_GB2312" w:eastAsia="仿宋_GB2312" w:cs="黑体"/>
          <w:bCs/>
          <w:sz w:val="30"/>
          <w:szCs w:val="30"/>
          <w:lang w:val="zh-CN"/>
        </w:rPr>
        <w:t>上级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下达我州中央林业草原生态保护恢复资金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71736.65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万元，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2024年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实际到位资金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42910.65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万元，</w:t>
      </w:r>
      <w:r>
        <w:rPr>
          <w:rFonts w:ascii="仿宋_GB2312" w:eastAsia="仿宋_GB2312" w:cs="黑体"/>
          <w:bCs/>
          <w:sz w:val="30"/>
          <w:szCs w:val="30"/>
          <w:lang w:val="zh-CN"/>
        </w:rPr>
        <w:t>2025年到位资金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28826万元，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到位率为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100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%。截至202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4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年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1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2月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31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日</w:t>
      </w:r>
      <w:r>
        <w:rPr>
          <w:rFonts w:ascii="仿宋_GB2312" w:eastAsia="仿宋_GB2312" w:cs="黑体"/>
          <w:bCs/>
          <w:sz w:val="30"/>
          <w:szCs w:val="30"/>
          <w:lang w:val="zh-CN"/>
        </w:rPr>
        <w:t>，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林业草原生态保护恢复资金拨付</w:t>
      </w:r>
      <w:r>
        <w:rPr>
          <w:rFonts w:ascii="仿宋_GB2312" w:eastAsia="仿宋_GB2312" w:cs="黑体"/>
          <w:bCs/>
          <w:sz w:val="30"/>
          <w:szCs w:val="30"/>
          <w:lang w:val="zh-CN"/>
        </w:rPr>
        <w:t>37754.23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万元，资金支付率为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52.62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%。</w:t>
      </w:r>
    </w:p>
    <w:p>
      <w:pPr>
        <w:ind w:firstLineChars="200" w:firstLine="600"/>
        <w:rPr>
          <w:rFonts w:ascii="仿宋_GB2312" w:eastAsia="仿宋_GB2312" w:cs="黑体" w:hint="eastAsia"/>
          <w:bCs/>
          <w:sz w:val="30"/>
          <w:szCs w:val="30"/>
          <w:lang w:val="en-US" w:eastAsia="zh-CN"/>
        </w:rPr>
      </w:pPr>
      <w:r>
        <w:rPr>
          <w:rFonts w:ascii="仿宋_GB2312" w:eastAsia="仿宋_GB2312" w:cs="黑体" w:hint="eastAsia"/>
          <w:bCs/>
          <w:sz w:val="30"/>
          <w:szCs w:val="30"/>
          <w:lang w:val="zh-CN"/>
        </w:rPr>
        <w:t>项目资金下达后，由项目实施单位编制实施方案，涉及县</w:t>
      </w:r>
      <w:r>
        <w:rPr>
          <w:rFonts w:ascii="仿宋_GB2312" w:eastAsia="仿宋_GB2312" w:cs="黑体"/>
          <w:bCs/>
          <w:sz w:val="30"/>
          <w:szCs w:val="30"/>
          <w:lang w:val="zh-CN"/>
        </w:rPr>
        <w:t>林草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局实施的项目，由县人民政府审批实施方案，涉及州属</w:t>
      </w:r>
      <w:r>
        <w:rPr>
          <w:rFonts w:ascii="仿宋_GB2312" w:eastAsia="仿宋_GB2312" w:cs="黑体"/>
          <w:bCs/>
          <w:sz w:val="30"/>
          <w:szCs w:val="30"/>
          <w:lang w:val="zh-CN"/>
        </w:rPr>
        <w:t>国有林保护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局实施的项目，由州林草局审批实施方案。方案批复后，由项目实施单位组织实施，州林草局负责监督指导。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 xml:space="preserve"> </w:t>
      </w:r>
    </w:p>
    <w:p>
      <w:pPr>
        <w:ind w:firstLineChars="200" w:firstLine="600"/>
        <w:rPr>
          <w:rFonts w:ascii="仿宋_GB2312" w:eastAsia="仿宋_GB2312" w:cs="黑体" w:hint="eastAsia"/>
          <w:bCs/>
          <w:sz w:val="30"/>
          <w:szCs w:val="30"/>
        </w:rPr>
      </w:pPr>
      <w:r>
        <w:rPr>
          <w:rFonts w:ascii="仿宋_GB2312" w:eastAsia="仿宋_GB2312" w:cs="黑体" w:hint="eastAsia"/>
          <w:bCs/>
          <w:sz w:val="30"/>
          <w:szCs w:val="30"/>
          <w:lang w:eastAsia="zh-CN"/>
        </w:rPr>
        <w:t>（二）</w:t>
      </w:r>
      <w:r>
        <w:rPr>
          <w:rFonts w:ascii="仿宋_GB2312" w:eastAsia="仿宋_GB2312" w:cs="黑体" w:hint="eastAsia"/>
          <w:bCs/>
          <w:sz w:val="30"/>
          <w:szCs w:val="30"/>
        </w:rPr>
        <w:t>总体绩效目标完成情况分析。</w:t>
      </w:r>
    </w:p>
    <w:p>
      <w:pPr>
        <w:ind w:firstLineChars="200" w:firstLine="600"/>
        <w:rPr>
          <w:rFonts w:ascii="仿宋_GB2312" w:eastAsia="仿宋_GB2312" w:cs="黑体" w:hint="eastAsia"/>
          <w:bCs/>
          <w:sz w:val="30"/>
          <w:szCs w:val="30"/>
          <w:lang w:val="en-US" w:eastAsia="zh-CN"/>
        </w:rPr>
      </w:pP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2024年，</w:t>
      </w:r>
      <w:r>
        <w:rPr>
          <w:rFonts w:ascii="仿宋_GB2312" w:eastAsia="仿宋_GB2312" w:cs="黑体" w:hint="eastAsia"/>
          <w:bCs/>
          <w:sz w:val="30"/>
          <w:szCs w:val="30"/>
        </w:rPr>
        <w:t>完成原天保工程区国有林管护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4430.95</w:t>
      </w:r>
      <w:r>
        <w:rPr>
          <w:rFonts w:ascii="仿宋_GB2312" w:eastAsia="仿宋_GB2312" w:cs="黑体" w:hint="eastAsia"/>
          <w:bCs/>
          <w:sz w:val="30"/>
          <w:szCs w:val="30"/>
        </w:rPr>
        <w:t>（万亩）、</w:t>
      </w:r>
      <w:r>
        <w:rPr>
          <w:rFonts w:ascii="仿宋_GB2312" w:eastAsia="仿宋_GB2312" w:cs="黑体" w:hint="eastAsia"/>
          <w:bCs/>
          <w:sz w:val="30"/>
          <w:szCs w:val="30"/>
          <w:lang w:eastAsia="zh-CN"/>
        </w:rPr>
        <w:t>完成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非国有林生态保护补偿1049.6万亩</w:t>
      </w:r>
      <w:r>
        <w:rPr>
          <w:rFonts w:ascii="仿宋_GB2312" w:eastAsia="仿宋_GB2312" w:cs="黑体" w:hint="eastAsia"/>
          <w:bCs/>
          <w:sz w:val="30"/>
          <w:szCs w:val="30"/>
          <w:lang w:eastAsia="zh-CN"/>
        </w:rPr>
        <w:t>；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202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4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年下达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5906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万元中央资金已全部用于生态护林员支出，全州聘请生态护林员人数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5906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个，项目对贫困地区建档立卡贫困人口受聘开展资源管护人员给予补助，同时实现资源有效管护。完成林草系统管理的一级古树和名木抢救复壮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15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(株)</w:t>
      </w:r>
      <w:r>
        <w:rPr>
          <w:rFonts w:ascii="仿宋_GB2312" w:eastAsia="仿宋_GB2312" w:cs="黑体" w:hint="eastAsia"/>
          <w:bCs/>
          <w:sz w:val="30"/>
          <w:szCs w:val="30"/>
          <w:lang w:val="zh-CN" w:eastAsia="zh-CN"/>
        </w:rPr>
        <w:t>。</w:t>
      </w:r>
    </w:p>
    <w:p>
      <w:pPr>
        <w:ind w:firstLineChars="200" w:firstLine="600"/>
        <w:rPr>
          <w:rFonts w:ascii="仿宋_GB2312" w:eastAsia="仿宋_GB2312" w:cs="黑体" w:hint="eastAsia"/>
          <w:bCs/>
          <w:sz w:val="30"/>
          <w:szCs w:val="30"/>
          <w:lang w:val="zh-CN" w:eastAsia="zh-CN"/>
        </w:rPr>
      </w:pPr>
      <w:r>
        <w:rPr>
          <w:rFonts w:ascii="仿宋_GB2312" w:eastAsia="仿宋_GB2312" w:cs="黑体" w:hint="eastAsia"/>
          <w:bCs/>
          <w:sz w:val="30"/>
          <w:szCs w:val="30"/>
          <w:lang w:val="zh-CN"/>
        </w:rPr>
        <w:t>通过项目</w:t>
      </w:r>
      <w:r>
        <w:rPr>
          <w:rFonts w:ascii="仿宋_GB2312" w:eastAsia="仿宋_GB2312" w:cs="黑体"/>
          <w:bCs/>
          <w:sz w:val="30"/>
          <w:szCs w:val="30"/>
          <w:lang w:val="zh-CN"/>
        </w:rPr>
        <w:t>实施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全州天然林资源森林</w:t>
      </w:r>
      <w:r>
        <w:rPr>
          <w:rFonts w:ascii="仿宋_GB2312" w:eastAsia="仿宋_GB2312" w:cs="黑体"/>
          <w:bCs/>
          <w:sz w:val="30"/>
          <w:szCs w:val="30"/>
          <w:lang w:val="zh-CN"/>
        </w:rPr>
        <w:t>面积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蓄积量持续</w:t>
      </w:r>
      <w:r>
        <w:rPr>
          <w:rFonts w:ascii="仿宋_GB2312" w:eastAsia="仿宋_GB2312" w:cs="黑体"/>
          <w:bCs/>
          <w:sz w:val="30"/>
          <w:szCs w:val="30"/>
          <w:lang w:val="zh-CN"/>
        </w:rPr>
        <w:t>双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增长；生态系统和生物多样性得到有效保护、持续加强；森林、湿地、荒漠生态系统生态效益发挥明显</w:t>
      </w:r>
      <w:r>
        <w:rPr>
          <w:rFonts w:ascii="仿宋_GB2312" w:eastAsia="仿宋_GB2312" w:cs="黑体"/>
          <w:bCs/>
          <w:sz w:val="30"/>
          <w:szCs w:val="30"/>
          <w:lang w:val="zh-CN"/>
        </w:rPr>
        <w:t>，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林区民生状况</w:t>
      </w:r>
      <w:r>
        <w:rPr>
          <w:rFonts w:ascii="仿宋_GB2312" w:eastAsia="仿宋_GB2312" w:cs="黑体"/>
          <w:bCs/>
          <w:sz w:val="30"/>
          <w:szCs w:val="30"/>
          <w:lang w:val="zh-CN"/>
        </w:rPr>
        <w:t>进一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步改善；国家级自然保护区保护和管理能力明显提升</w:t>
      </w:r>
      <w:r>
        <w:rPr>
          <w:rFonts w:ascii="仿宋_GB2312" w:eastAsia="仿宋_GB2312" w:cs="黑体"/>
          <w:bCs/>
          <w:sz w:val="30"/>
          <w:szCs w:val="30"/>
          <w:lang w:val="zh-CN"/>
        </w:rPr>
        <w:t>，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持续发挥森林资源生态作用</w:t>
      </w:r>
      <w:r>
        <w:rPr>
          <w:rFonts w:ascii="仿宋_GB2312" w:eastAsia="仿宋_GB2312" w:cs="黑体"/>
          <w:bCs/>
          <w:sz w:val="30"/>
          <w:szCs w:val="30"/>
          <w:lang w:val="zh-CN"/>
        </w:rPr>
        <w:t>。</w:t>
      </w:r>
    </w:p>
    <w:p>
      <w:pPr>
        <w:ind w:firstLineChars="200" w:firstLine="600"/>
        <w:outlineLvl w:val="0"/>
        <w:rPr>
          <w:rFonts w:ascii="仿宋_GB2312" w:eastAsia="仿宋_GB2312" w:cs="楷体_GB2312" w:hint="eastAsia"/>
          <w:b/>
          <w:bCs/>
          <w:sz w:val="30"/>
          <w:szCs w:val="30"/>
        </w:rPr>
      </w:pPr>
      <w:r>
        <w:rPr>
          <w:rFonts w:ascii="仿宋_GB2312" w:eastAsia="仿宋_GB2312" w:cs="黑体"/>
          <w:bCs/>
          <w:sz w:val="30"/>
          <w:szCs w:val="30"/>
          <w:lang w:val="zh-CN"/>
        </w:rPr>
        <w:t>二、</w:t>
      </w:r>
      <w:r>
        <w:rPr>
          <w:rFonts w:ascii="仿宋_GB2312" w:eastAsia="仿宋_GB2312" w:cs="楷体_GB2312" w:hint="eastAsia"/>
          <w:b/>
          <w:bCs/>
          <w:sz w:val="30"/>
          <w:szCs w:val="30"/>
        </w:rPr>
        <w:t>绩效指标完成情况分析。</w:t>
      </w:r>
    </w:p>
    <w:p>
      <w:pPr>
        <w:ind w:firstLineChars="200" w:firstLine="600"/>
        <w:rPr>
          <w:rFonts w:ascii="仿宋_GB2312" w:eastAsia="仿宋_GB2312" w:cs="黑体" w:hint="eastAsia"/>
          <w:bCs/>
          <w:sz w:val="30"/>
          <w:szCs w:val="30"/>
          <w:lang w:val="zh-CN"/>
        </w:rPr>
      </w:pPr>
      <w:r>
        <w:rPr>
          <w:rFonts w:ascii="仿宋_GB2312" w:eastAsia="仿宋_GB2312" w:cs="黑体"/>
          <w:bCs/>
          <w:sz w:val="30"/>
          <w:szCs w:val="30"/>
          <w:lang w:val="zh-CN" w:eastAsia="zh-CN"/>
        </w:rPr>
        <w:t>截至</w:t>
      </w:r>
      <w:r>
        <w:rPr>
          <w:rFonts w:ascii="仿宋_GB2312" w:eastAsia="仿宋_GB2312" w:cs="黑体" w:hint="eastAsia"/>
          <w:bCs/>
          <w:sz w:val="30"/>
          <w:szCs w:val="30"/>
          <w:lang w:val="zh-CN" w:eastAsia="zh-CN"/>
        </w:rPr>
        <w:t>目前，我州全面完成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原天保工程区国有林管护</w:t>
      </w:r>
      <w:r>
        <w:rPr>
          <w:rFonts w:ascii="仿宋_GB2312" w:eastAsia="仿宋_GB2312" w:cs="黑体" w:hint="eastAsia"/>
          <w:bCs/>
          <w:sz w:val="30"/>
          <w:szCs w:val="30"/>
          <w:lang w:val="zh-CN" w:eastAsia="zh-CN"/>
        </w:rPr>
        <w:t>、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国有国家级公益</w:t>
      </w:r>
      <w:r>
        <w:rPr>
          <w:rFonts w:ascii="仿宋_GB2312" w:eastAsia="仿宋_GB2312" w:cs="黑体" w:hint="eastAsia"/>
          <w:bCs/>
          <w:sz w:val="30"/>
          <w:szCs w:val="30"/>
          <w:lang w:val="zh-CN" w:eastAsia="zh-CN"/>
        </w:rPr>
        <w:t>林管护、保障了全州天保人员管护费及社会保险经费、完成生态护林员聘请，但还有部分项目正在实施。</w:t>
      </w:r>
    </w:p>
    <w:p>
      <w:pPr>
        <w:ind w:firstLineChars="200" w:firstLine="600"/>
        <w:rPr>
          <w:rFonts w:ascii="仿宋_GB2312" w:eastAsia="仿宋_GB2312" w:cs="黑体" w:hint="eastAsia"/>
          <w:bCs/>
          <w:sz w:val="30"/>
          <w:szCs w:val="30"/>
          <w:lang w:val="zh-CN"/>
        </w:rPr>
      </w:pPr>
      <w:r>
        <w:rPr>
          <w:rFonts w:ascii="仿宋_GB2312" w:eastAsia="仿宋_GB2312" w:cs="黑体" w:hint="eastAsia"/>
          <w:bCs/>
          <w:sz w:val="30"/>
          <w:szCs w:val="30"/>
          <w:lang w:val="zh-CN"/>
        </w:rPr>
        <w:t>国家级自然保护区能力提升项目正在实施，涉及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4个单位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：九寨沟白河国家</w:t>
      </w:r>
      <w:r>
        <w:rPr>
          <w:rFonts w:ascii="仿宋_GB2312" w:eastAsia="仿宋_GB2312" w:cs="黑体"/>
          <w:bCs/>
          <w:sz w:val="30"/>
          <w:szCs w:val="30"/>
          <w:lang w:val="zh-CN"/>
        </w:rPr>
        <w:t>级自然保护区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项目正在实施预计2025年完成；若尔盖国家公园项目正在开展前期，预计项目在2025年完工。四</w:t>
      </w:r>
      <w:r>
        <w:rPr>
          <w:rFonts w:ascii="仿宋_GB2312" w:eastAsia="仿宋_GB2312" w:cs="黑体"/>
          <w:bCs/>
          <w:sz w:val="30"/>
          <w:szCs w:val="30"/>
          <w:lang w:val="zh-CN"/>
        </w:rPr>
        <w:t>姑娘山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管局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2024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主要开展项目前期工作，包括资金使用方案编制及项目可行性论证，预计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2025年完工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。九</w:t>
      </w:r>
      <w:r>
        <w:rPr>
          <w:rFonts w:ascii="仿宋_GB2312" w:eastAsia="仿宋_GB2312" w:cs="黑体"/>
          <w:bCs/>
          <w:sz w:val="30"/>
          <w:szCs w:val="30"/>
          <w:lang w:val="zh-CN"/>
        </w:rPr>
        <w:t>寨沟国家级自然保护区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项目正在实施，预计2025年完工。</w:t>
      </w:r>
    </w:p>
    <w:p>
      <w:pPr>
        <w:ind w:firstLineChars="200" w:firstLine="600"/>
        <w:rPr>
          <w:rFonts w:ascii="仿宋_GB2312" w:eastAsia="仿宋_GB2312" w:cs="黑体" w:hint="eastAsia"/>
          <w:bCs/>
          <w:sz w:val="30"/>
          <w:szCs w:val="30"/>
          <w:lang w:val="en-US" w:eastAsia="zh-CN"/>
        </w:rPr>
      </w:pPr>
      <w:r>
        <w:rPr>
          <w:rFonts w:ascii="仿宋_GB2312" w:eastAsia="仿宋_GB2312" w:cs="黑体" w:hint="eastAsia"/>
          <w:bCs/>
          <w:sz w:val="30"/>
          <w:szCs w:val="30"/>
          <w:lang w:val="zh-CN"/>
        </w:rPr>
        <w:t>湿地保护与恢复项目、湿地生态保护补偿项目由若尔盖湿地管理局实施，项目建设期为2年，工程在2025年完工，禁牧部分在2026完成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。</w:t>
      </w:r>
    </w:p>
    <w:p>
      <w:pPr>
        <w:ind w:firstLineChars="200" w:firstLine="600"/>
        <w:rPr>
          <w:rFonts w:ascii="仿宋_GB2312" w:eastAsia="仿宋_GB2312" w:cs="黑体" w:hint="eastAsia"/>
          <w:bCs/>
          <w:sz w:val="30"/>
          <w:szCs w:val="30"/>
          <w:lang w:val="zh-CN"/>
        </w:rPr>
      </w:pPr>
      <w:r>
        <w:rPr>
          <w:rFonts w:ascii="仿宋_GB2312" w:eastAsia="仿宋_GB2312" w:cs="黑体" w:hint="eastAsia"/>
          <w:bCs/>
          <w:sz w:val="30"/>
          <w:szCs w:val="30"/>
          <w:lang w:val="zh-CN"/>
        </w:rPr>
        <w:t>野生动植物救助项目由九寨沟县实施。项目为川金丝猴种群栖息地分布及数量调查监测项目：预算82万。已编制实施方案，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2024年已完成秋冬季普查，2025</w:t>
      </w:r>
      <w:r>
        <w:rPr>
          <w:rFonts w:ascii="仿宋_GB2312" w:eastAsia="仿宋_GB2312" w:cs="黑体" w:hint="eastAsia"/>
          <w:bCs/>
          <w:sz w:val="30"/>
          <w:szCs w:val="30"/>
          <w:lang w:val="zh-CN"/>
        </w:rPr>
        <w:t>开展春夏季中期普查。</w:t>
      </w:r>
    </w:p>
    <w:p>
      <w:pPr>
        <w:pStyle w:val="15"/>
        <w:ind w:firstLine="600"/>
        <w:rPr>
          <w:rFonts w:ascii="仿宋_GB2312" w:eastAsia="仿宋_GB2312" w:cs="黑体" w:hint="eastAsia"/>
          <w:bCs/>
          <w:sz w:val="30"/>
          <w:szCs w:val="30"/>
          <w:lang w:val="en-US" w:eastAsia="zh-CN"/>
        </w:rPr>
      </w:pP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疫源疫病监测站(个)项目4个，由于资金在2025年下达，项目暂未实施。</w:t>
      </w:r>
    </w:p>
    <w:p>
      <w:pPr>
        <w:pStyle w:val="15"/>
        <w:ind w:firstLine="600"/>
        <w:rPr>
          <w:rFonts w:ascii="仿宋_GB2312" w:eastAsia="仿宋_GB2312" w:cs="黑体"/>
          <w:bCs/>
          <w:sz w:val="30"/>
          <w:szCs w:val="30"/>
          <w:lang w:val="en-US" w:eastAsia="zh-CN"/>
        </w:rPr>
      </w:pP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森林修复16.11万亩，资金预计在2025年下达，后续将尽快开展项目实施。</w:t>
      </w:r>
    </w:p>
    <w:p>
      <w:pPr>
        <w:ind w:firstLineChars="200" w:firstLine="600"/>
        <w:rPr>
          <w:rFonts w:ascii="黑体" w:eastAsia="黑体" w:cs="黑体" w:hint="eastAsia"/>
          <w:bCs/>
          <w:sz w:val="30"/>
          <w:szCs w:val="30"/>
          <w:lang w:val="zh-CN"/>
        </w:rPr>
      </w:pPr>
      <w:r>
        <w:rPr>
          <w:rFonts w:ascii="黑体" w:eastAsia="黑体" w:cs="黑体" w:hint="eastAsia"/>
          <w:bCs/>
          <w:sz w:val="30"/>
          <w:szCs w:val="30"/>
          <w:lang w:val="zh-CN"/>
        </w:rPr>
        <w:t>三、偏离绩效目标的原因和下一步改进措施</w:t>
      </w:r>
    </w:p>
    <w:p>
      <w:pPr>
        <w:ind w:firstLineChars="200" w:firstLine="600"/>
        <w:rPr>
          <w:rFonts w:ascii="仿宋_GB2312" w:eastAsia="仿宋_GB2312" w:cs="黑体" w:hint="eastAsia"/>
          <w:bCs/>
          <w:sz w:val="30"/>
          <w:szCs w:val="30"/>
          <w:lang w:val="en-US" w:eastAsia="zh-CN"/>
        </w:rPr>
      </w:pP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部分资金下达时间较晚，2024年中央财政林业草原生态保护恢复资金第三批为2025年2月。同时根据相关规定，项目实施需要方案编制及审批，或者开展项目政府采购实施流程，项目在当年的完工率较低。</w:t>
      </w:r>
    </w:p>
    <w:p>
      <w:pPr>
        <w:ind w:firstLineChars="200" w:firstLine="600"/>
        <w:rPr>
          <w:rFonts w:ascii="仿宋_GB2312" w:eastAsia="仿宋_GB2312" w:cs="黑体" w:hint="eastAsia"/>
          <w:bCs/>
          <w:sz w:val="30"/>
          <w:szCs w:val="30"/>
          <w:lang w:val="zh-CN"/>
        </w:rPr>
      </w:pP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州林草局在2025年将持续加强全州林草项目监督管理，保障林草项目有力有序开展，全面完成2024年中央财政林业草原生态保护恢复资金绩效目标。</w:t>
      </w:r>
    </w:p>
    <w:p>
      <w:pPr>
        <w:ind w:firstLineChars="200" w:firstLine="600"/>
        <w:rPr>
          <w:rFonts w:ascii="黑体" w:eastAsia="黑体" w:cs="黑体" w:hint="eastAsia"/>
          <w:bCs/>
          <w:sz w:val="30"/>
          <w:szCs w:val="30"/>
        </w:rPr>
      </w:pPr>
      <w:r>
        <w:rPr>
          <w:rFonts w:ascii="黑体" w:eastAsia="黑体" w:cs="黑体" w:hint="eastAsia"/>
          <w:bCs/>
          <w:sz w:val="30"/>
          <w:szCs w:val="30"/>
        </w:rPr>
        <w:t>四、绩效自评结果拟应用和公开情况</w:t>
      </w:r>
    </w:p>
    <w:p>
      <w:pPr>
        <w:ind w:firstLineChars="200" w:firstLine="600"/>
        <w:rPr>
          <w:rFonts w:ascii="仿宋_GB2312" w:eastAsia="仿宋_GB2312" w:cs="黑体" w:hint="eastAsia"/>
          <w:bCs/>
          <w:sz w:val="30"/>
          <w:szCs w:val="30"/>
          <w:lang w:val="en-US" w:eastAsia="zh-CN"/>
        </w:rPr>
      </w:pP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总体上看，各单位按照《财政部 国家林业局关于印发&lt;林业生态保护恢复资金管理办法&gt;的通知》（财资环[2024]159号）等管理办法规定使用项目资金，并自觉接受监察、审计、财政等部门的监督和指导。通过各单位自评，未发现截留、挪用、贪污项目资金等违纪违规问题。自评结果对今后的林业生态保护恢复资金安排起到引导作用，资金会向拨付及时，项目开展迅速的单位倾斜。资金绩效自评结果会根据相关文件要求及时公开，自觉接受各界监督。</w:t>
      </w:r>
    </w:p>
    <w:p>
      <w:pPr>
        <w:ind w:firstLineChars="200" w:firstLine="600"/>
        <w:rPr>
          <w:rFonts w:ascii="仿宋_GB2312" w:eastAsia="仿宋_GB2312" w:cs="黑体" w:hint="eastAsia"/>
          <w:bCs/>
          <w:sz w:val="30"/>
          <w:szCs w:val="30"/>
        </w:rPr>
      </w:pPr>
      <w:r>
        <w:rPr>
          <w:rFonts w:ascii="仿宋_GB2312" w:eastAsia="仿宋_GB2312" w:cs="黑体" w:hint="eastAsia"/>
          <w:bCs/>
          <w:sz w:val="30"/>
          <w:szCs w:val="30"/>
        </w:rPr>
        <w:t>五、其他需要说明的问题</w:t>
      </w:r>
    </w:p>
    <w:p>
      <w:pPr>
        <w:ind w:firstLineChars="200" w:firstLine="600"/>
        <w:rPr>
          <w:rFonts w:ascii="仿宋_GB2312" w:eastAsia="仿宋_GB2312" w:cs="黑体" w:hint="eastAsia"/>
          <w:bCs/>
          <w:sz w:val="30"/>
          <w:szCs w:val="30"/>
          <w:lang w:val="en-US" w:eastAsia="zh-CN"/>
        </w:rPr>
      </w:pP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无。</w:t>
      </w:r>
    </w:p>
    <w:p>
      <w:pPr>
        <w:ind w:firstLineChars="200" w:firstLine="600"/>
        <w:rPr>
          <w:rFonts w:ascii="仿宋_GB2312" w:eastAsia="仿宋_GB2312" w:cs="黑体" w:hint="eastAsia"/>
          <w:bCs/>
          <w:sz w:val="30"/>
          <w:szCs w:val="30"/>
          <w:lang w:val="en-US" w:eastAsia="zh-CN"/>
        </w:rPr>
      </w:pP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 xml:space="preserve">    </w:t>
      </w:r>
    </w:p>
    <w:p>
      <w:pPr>
        <w:ind w:firstLineChars="200" w:firstLine="600"/>
        <w:rPr>
          <w:rFonts w:ascii="仿宋_GB2312" w:eastAsia="仿宋_GB2312" w:cs="黑体"/>
          <w:bCs/>
          <w:sz w:val="30"/>
          <w:szCs w:val="30"/>
          <w:lang w:val="en-US" w:eastAsia="zh-CN"/>
        </w:rPr>
      </w:pP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附：2024年阿坝州林业草原生态保护恢复资金绩效自评表</w:t>
      </w: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ind w:firstLineChars="200" w:firstLine="640"/>
        <w:rPr>
          <w:rFonts w:ascii="仿宋_GB2312" w:cs="黑体" w:hAnsi="仿宋_GB2312"/>
          <w:bCs/>
          <w:sz w:val="32"/>
          <w:szCs w:val="32"/>
          <w:lang w:val="zh-CN" w:eastAsia="zh-CN"/>
        </w:rPr>
      </w:pPr>
    </w:p>
    <w:p>
      <w:pPr>
        <w:ind w:firstLineChars="200" w:firstLine="640"/>
        <w:rPr>
          <w:rFonts w:ascii="仿宋_GB2312" w:cs="黑体" w:hAnsi="仿宋_GB2312"/>
          <w:bCs/>
          <w:sz w:val="32"/>
          <w:szCs w:val="32"/>
          <w:lang w:val="zh-CN" w:eastAsia="zh-CN"/>
        </w:rPr>
      </w:pPr>
    </w:p>
    <w:p>
      <w:pPr>
        <w:ind w:firstLineChars="1650" w:firstLine="4950"/>
        <w:rPr>
          <w:rFonts w:ascii="仿宋_GB2312" w:eastAsia="仿宋_GB2312" w:cs="黑体" w:hint="eastAsia"/>
          <w:bCs/>
          <w:sz w:val="30"/>
          <w:szCs w:val="30"/>
          <w:lang w:val="zh-CN" w:eastAsia="zh-CN"/>
        </w:rPr>
      </w:pPr>
      <w:r>
        <w:rPr>
          <w:rFonts w:ascii="仿宋_GB2312" w:eastAsia="仿宋_GB2312" w:cs="黑体" w:hint="eastAsia"/>
          <w:bCs/>
          <w:sz w:val="30"/>
          <w:szCs w:val="30"/>
          <w:lang w:val="zh-CN" w:eastAsia="zh-CN"/>
        </w:rPr>
        <w:t>阿坝州林业和草原局</w:t>
      </w:r>
    </w:p>
    <w:p>
      <w:pPr>
        <w:ind w:firstLineChars="200" w:firstLine="600"/>
        <w:rPr>
          <w:rFonts w:ascii="仿宋_GB2312" w:eastAsia="仿宋_GB2312" w:cs="黑体" w:hint="eastAsia"/>
          <w:bCs/>
          <w:sz w:val="30"/>
          <w:szCs w:val="30"/>
          <w:lang w:val="zh-CN" w:eastAsia="zh-CN"/>
        </w:rPr>
      </w:pPr>
      <w:r>
        <w:rPr>
          <w:rFonts w:ascii="仿宋_GB2312" w:eastAsia="仿宋_GB2312" w:cs="黑体" w:hint="eastAsia"/>
          <w:bCs/>
          <w:sz w:val="30"/>
          <w:szCs w:val="30"/>
          <w:lang w:val="zh-CN" w:eastAsia="zh-CN"/>
        </w:rPr>
        <w:t xml:space="preserve">                               202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5</w:t>
      </w:r>
      <w:r>
        <w:rPr>
          <w:rFonts w:ascii="仿宋_GB2312" w:eastAsia="仿宋_GB2312" w:cs="黑体" w:hint="eastAsia"/>
          <w:bCs/>
          <w:sz w:val="30"/>
          <w:szCs w:val="30"/>
          <w:lang w:val="zh-CN" w:eastAsia="zh-CN"/>
        </w:rPr>
        <w:t>年3月</w:t>
      </w:r>
      <w:r>
        <w:rPr>
          <w:rFonts w:ascii="仿宋_GB2312" w:eastAsia="仿宋_GB2312" w:cs="黑体" w:hint="eastAsia"/>
          <w:bCs/>
          <w:sz w:val="30"/>
          <w:szCs w:val="30"/>
          <w:lang w:val="en-US" w:eastAsia="zh-CN"/>
        </w:rPr>
        <w:t>19</w:t>
      </w:r>
      <w:r>
        <w:rPr>
          <w:rFonts w:ascii="仿宋_GB2312" w:eastAsia="仿宋_GB2312" w:cs="黑体" w:hint="eastAsia"/>
          <w:bCs/>
          <w:sz w:val="30"/>
          <w:szCs w:val="30"/>
          <w:lang w:val="zh-CN" w:eastAsia="zh-CN"/>
        </w:rPr>
        <w:t>日</w:t>
      </w:r>
    </w:p>
    <w:p>
      <w:pPr>
        <w:pStyle w:val="15"/>
        <w:rPr>
          <w:rFonts w:ascii="仿宋_GB2312" w:eastAsia="仿宋_GB2312" w:hint="eastAsia"/>
        </w:rPr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spacing w:line="400" w:lineRule="exact"/>
        <w:jc w:val="left"/>
        <w:rPr>
          <w:rFonts w:ascii="黑体" w:eastAsia="黑体"/>
          <w:kern w:val="0"/>
          <w:sz w:val="32"/>
          <w:szCs w:val="32"/>
        </w:rPr>
      </w:pPr>
    </w:p>
    <w:p>
      <w:pPr>
        <w:spacing w:line="400" w:lineRule="exact"/>
        <w:jc w:val="left"/>
        <w:rPr>
          <w:rFonts w:eastAsia="黑体"/>
          <w:kern w:val="0"/>
          <w:sz w:val="32"/>
          <w:szCs w:val="32"/>
        </w:rPr>
      </w:pPr>
      <w:r>
        <w:rPr>
          <w:rFonts w:ascii="黑体" w:eastAsia="黑体" w:hint="eastAsia"/>
          <w:kern w:val="0"/>
          <w:sz w:val="32"/>
          <w:szCs w:val="32"/>
        </w:rPr>
        <w:t>信息公开选项：</w:t>
      </w:r>
      <w:r>
        <w:rPr>
          <w:rFonts w:ascii="方正小标宋简体" w:hAnsi="方正小标宋简体"/>
          <w:kern w:val="0"/>
          <w:sz w:val="32"/>
          <w:szCs w:val="32"/>
        </w:rPr>
        <w:t>按申请公开</w:t>
      </w:r>
    </w:p>
    <w:tbl>
      <w:tblPr>
        <w:jc w:val="left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8"/>
      </w:tblGrid>
      <w:tr>
        <w:trPr>
          <w:trHeight w:val="352"/>
        </w:trPr>
        <w:tc>
          <w:tcPr>
            <w:tcW w:w="8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spacing w:line="560" w:lineRule="exact"/>
              <w:ind w:firstLineChars="100" w:firstLine="300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阿坝州林业和草原局办公室</w:t>
            </w:r>
            <w:r>
              <w:rPr>
                <w:rFonts w:eastAsia="仿宋_GB2312" w:hint="eastAsia"/>
                <w:kern w:val="0"/>
                <w:sz w:val="30"/>
                <w:szCs w:val="30"/>
              </w:rPr>
              <w:t xml:space="preserve"> </w:t>
            </w:r>
            <w:r>
              <w:rPr>
                <w:rFonts w:eastAsia="仿宋_GB2312"/>
                <w:kern w:val="0"/>
                <w:sz w:val="30"/>
                <w:szCs w:val="30"/>
              </w:rPr>
              <w:t xml:space="preserve">        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 xml:space="preserve">   20</w:t>
            </w:r>
            <w:r>
              <w:rPr>
                <w:rFonts w:ascii="仿宋_GB2312" w:eastAsia="仿宋_GB2312"/>
                <w:kern w:val="0"/>
                <w:sz w:val="30"/>
                <w:szCs w:val="30"/>
              </w:rPr>
              <w:t>2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  <w:lang w:val="en-US" w:eastAsia="zh-CN"/>
              </w:rPr>
              <w:t>5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年</w:t>
            </w:r>
            <w:r>
              <w:rPr>
                <w:rFonts w:ascii="仿宋_GB2312" w:eastAsia="仿宋_GB2312"/>
                <w:kern w:val="0"/>
                <w:sz w:val="30"/>
                <w:szCs w:val="30"/>
              </w:rPr>
              <w:t>3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月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  <w:lang w:val="en-US" w:eastAsia="zh-CN"/>
              </w:rPr>
              <w:t>19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日印发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center"/>
        <w:rPr>
          <w:sz w:val="30"/>
          <w:szCs w:val="30"/>
        </w:rPr>
      </w:pPr>
    </w:p>
    <w:sectPr>
      <w:footerReference w:type="default" r:id="rId2"/>
      <w:pgSz w:w="11906" w:h="16838"/>
      <w:pgMar w:top="2098" w:right="1474" w:bottom="1984" w:left="1587" w:header="851" w:footer="907" w:gutter="0"/>
      <w:pgNumType w:fmt="numberInDash"/>
      <w:docGrid w:type="lines" w:linePitch="579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仿宋_GB2312">
    <w:panose1 w:val="02010609030101010101"/>
    <w:charset w:val="86"/>
    <w:family w:val="modern"/>
    <w:pitch w:val="variable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variable"/>
    <w:sig w:usb0="00000001" w:usb1="080E0000" w:usb2="00000000" w:usb3="00000000" w:csb0="00040000" w:csb1="00000000"/>
  </w:font>
  <w:font w:name="Calibri">
    <w:altName w:val="Times New Roman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??">
    <w:altName w:val="Times New Roman"/>
    <w:panose1 w:val="00000000000000000000"/>
    <w:charset w:val="00"/>
    <w:family w:val="roman"/>
    <w:pitch w:val="variable"/>
    <w:sig w:usb0="00000000" w:usb1="00000000" w:usb2="00000000" w:usb3="00000000" w:csb0="0004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21"/>
      <w:tabs>
        <w:tab w:val="center" w:pos="4153"/>
        <w:tab w:val="right" w:pos="8306"/>
      </w:tabs>
      <w:jc w:val="center"/>
      <w:rPr>
        <w:rFonts w:ascii="Times New Roman" w:cs="Times New Roman" w:hAnsi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298" distR="114298" simplePos="0" relativeHeight="12" behindDoc="0" locked="0" layoutInCell="1" hidden="0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370179" cy="266560"/>
              <wp:effectExtent l="0" t="0" r="0" b="0"/>
              <wp:wrapNone/>
              <wp:docPr id="1" name="文本框 1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370179" cy="266560"/>
                      </a:xfrm>
                      <a:prstGeom prst="rect"/>
                      <a:noFill/>
                      <a:ln w="9525" cmpd="sng" cap="flat">
                        <a:noFill/>
                        <a:prstDash val="solid"/>
                        <a:round/>
                      </a:ln>
                    </wps:spPr>
                    <wps:txbx id="2">
                      <w:txbxContent>
                        <w:p>
                          <w:pPr>
                            <w:pStyle w:val="21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rPr>
                              <w:rFonts w:asci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asci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type="#_x0000_t1" id="文本框 1 3" o:spid="_x0000_s3" filled="f" stroked="f" style="position:absolute;margin-left:0.0pt;margin-top:0.0pt;width:29.147999pt;height:20.989048pt;z-index:12;mso-position-horizontal:outside;mso-position-horizontal-relative:margin;mso-position-vertical:absolute;mso-wrap-distance-left:8.999863pt;mso-wrap-distance-right:8.999863pt;mso-wrap-style:none;">
              <v:stroke color="#000000"/>
              <v:textbox id="849" inset="0mm,0mm,0mm,0mm" o:insetmode="custom" style="layout-flow:horizontal;v-text-anchor:top;mso-fit-shape-to-text:t;">
                <w:txbxContent>
                  <w:p>
                    <w:pPr>
                      <w:pStyle w:val="21"/>
                      <w:tabs>
                        <w:tab w:val="center" w:pos="4153"/>
                        <w:tab w:val="right" w:pos="8306"/>
                      </w:tabs>
                    </w:pPr>
                    <w:r>
                      <w:rPr>
                        <w:rFonts w:asci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ascii="宋体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  <w:p>
    <w:pPr>
      <w:pStyle w:val="21"/>
      <w:tabs>
        <w:tab w:val="center" w:pos="4153"/>
        <w:tab w:val="right" w:pos="8306"/>
      </w:tabs>
      <w:rPr>
        <w:rFonts w:ascii="Times New Roman" w:cs="Times New Roman" w:hAnsi="Times New Roman"/>
        <w:sz w:val="28"/>
        <w:szCs w:val="28"/>
      </w:rPr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579"/>
  <w:displayHorizontalDrawingGridEvery w:val="0"/>
  <w:displayVerticalDrawingGridEvery w:val="1"/>
  <w:noPunctuationKerning/>
  <w:characterSpacingControl w:val="compressPunctuation"/>
  <w:compat>
    <w:spaceForUL/>
    <w:balanceSingleByteDoubleByteWidth/>
    <w:ulTrailSpace/>
    <w:doNotExpandShiftReturn/>
    <w:adjustLineHeightInTable/>
    <w:growAutofit/>
    <w:compatSetting w:name="compatibilityMode" w:uri="http://schemas.microsoft.com/office/word" w:val="14"/>
  </w:compat>
  <w:docVars>
    <w:docVar w:name="commondata" w:val="eyJoZGlkIjoiNDE3Y2FmNTIzNWFkMDVlYTllYTFiZDlmZWI1YjgxNDc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next w:val="15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cs="Times New Roman" w:hAnsi="Arial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customStyle="1" w:styleId="15">
    <w:name w:val="Plain Text1"/>
    <w:basedOn w:val="0"/>
    <w:rPr>
      <w:rFonts w:ascii="宋体"/>
      <w:sz w:val="30"/>
      <w:szCs w:val="30"/>
    </w:rPr>
  </w:style>
  <w:style w:type="paragraph" w:styleId="16">
    <w:name w:val="index 5"/>
    <w:basedOn w:val="0"/>
    <w:next w:val="0"/>
    <w:pPr>
      <w:ind w:left="1680"/>
    </w:pPr>
  </w:style>
  <w:style w:type="paragraph" w:styleId="17">
    <w:name w:val="index 6"/>
    <w:basedOn w:val="0"/>
    <w:next w:val="0"/>
    <w:pPr>
      <w:ind w:left="2100"/>
    </w:pPr>
  </w:style>
  <w:style w:type="paragraph" w:styleId="18">
    <w:name w:val="Body Text"/>
    <w:basedOn w:val="0"/>
    <w:next w:val="0"/>
    <w:pPr>
      <w:spacing w:before="100" w:beforeAutospacing="1" w:after="120"/>
    </w:pPr>
  </w:style>
  <w:style w:type="paragraph" w:styleId="19">
    <w:name w:val="Body Text Indent"/>
    <w:basedOn w:val="0"/>
    <w:pPr>
      <w:spacing w:after="120"/>
      <w:ind w:leftChars="200" w:left="200"/>
    </w:pPr>
  </w:style>
  <w:style w:type="paragraph" w:styleId="20">
    <w:name w:val="Balloon Text"/>
    <w:basedOn w:val="0"/>
    <w:rPr>
      <w:sz w:val="18"/>
      <w:szCs w:val="18"/>
    </w:rPr>
  </w:style>
  <w:style w:type="paragraph" w:styleId="21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2">
    <w:name w:val="header"/>
    <w:basedOn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23">
    <w:name w:val="HTML Preformatted"/>
    <w:basedOn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cs="Times New Roman"/>
      <w:kern w:val="0"/>
      <w:sz w:val="24"/>
    </w:rPr>
  </w:style>
  <w:style w:type="paragraph" w:styleId="24">
    <w:name w:val="Normal (Web)"/>
    <w:basedOn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25">
    <w:name w:val="Body Text First Indent 2"/>
    <w:basedOn w:val="19"/>
    <w:pPr>
      <w:ind w:firstLineChars="200" w:firstLine="200"/>
    </w:pPr>
  </w:style>
  <w:style w:type="character" w:styleId="26">
    <w:name w:val="FollowedHyperlink"/>
    <w:basedOn w:val="10"/>
    <w:rPr>
      <w:color w:val="800080"/>
      <w:u w:val="single"/>
    </w:rPr>
  </w:style>
  <w:style w:type="character" w:styleId="27">
    <w:name w:val="Hyperlink"/>
    <w:basedOn w:val="10"/>
    <w:rPr>
      <w:color w:val="0000FF"/>
      <w:u w:val="single"/>
    </w:rPr>
  </w:style>
  <w:style w:type="paragraph" w:customStyle="1" w:styleId="28">
    <w:name w:val="正文 New"/>
    <w:next w:val="29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customStyle="1" w:styleId="29">
    <w:name w:val="图表目录1"/>
    <w:basedOn w:val="28"/>
    <w:next w:val="0"/>
    <w:pPr>
      <w:ind w:leftChars="200" w:left="400" w:hangingChars="200" w:hanging="200"/>
    </w:pPr>
    <w:rPr>
      <w:rFonts w:eastAsia="仿宋_GB2312"/>
      <w:sz w:val="32"/>
    </w:rPr>
  </w:style>
  <w:style w:type="paragraph" w:customStyle="1" w:styleId="30">
    <w:name w:val="四号正文"/>
    <w:next w:val="21"/>
    <w:pPr>
      <w:widowControl w:val="0"/>
      <w:spacing w:line="360" w:lineRule="auto"/>
      <w:jc w:val="both"/>
    </w:pPr>
    <w:rPr>
      <w:rFonts w:ascii="??" w:eastAsia="宋体" w:cs="Times New Roman" w:hAnsi="??"/>
      <w:color w:val="000000"/>
      <w:kern w:val="0"/>
      <w:sz w:val="28"/>
      <w:szCs w:val="21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image" Target="media/5.jpeg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76</TotalTime>
  <Application>Yozo_Office</Application>
  <Pages>1</Pages>
  <Words>53</Words>
  <Characters>56</Characters>
  <Lines>4</Lines>
  <Paragraphs>3</Paragraphs>
  <CharactersWithSpaces>56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白</dc:creator>
  <cp:lastModifiedBy>lx</cp:lastModifiedBy>
  <cp:revision>18</cp:revision>
  <cp:lastPrinted>2023-11-20T00:48:00Z</cp:lastPrinted>
  <dcterms:created xsi:type="dcterms:W3CDTF">2021-08-26T10:04:00Z</dcterms:created>
  <dcterms:modified xsi:type="dcterms:W3CDTF">2025-03-19T08:51:07Z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2052-11.8.2.11542</vt:lpwstr>
  </property>
  <property fmtid="{D5CDD505-2E9C-101B-9397-08002B2CF9AE}" pid="3" name="ICV">
    <vt:lpwstr>4D79AF7C49BE4777A6A9BECF9DBC0106</vt:lpwstr>
  </property>
</Properties>
</file>