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2DD24">
      <w:pPr>
        <w:pStyle w:val="8"/>
      </w:pPr>
      <w:r>
        <w:rPr>
          <w:rFonts w:hint="eastAsia" w:ascii="仿宋_GB2312" w:eastAsia="仿宋_GB2312"/>
          <w:sz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916940</wp:posOffset>
            </wp:positionV>
            <wp:extent cx="5575300" cy="2302510"/>
            <wp:effectExtent l="0" t="0" r="0" b="0"/>
            <wp:wrapNone/>
            <wp:docPr id="4" name="图片 5" descr="林草局文头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林草局文头_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75299" cy="230251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round/>
                    </a:ln>
                  </pic:spPr>
                </pic:pic>
              </a:graphicData>
            </a:graphic>
          </wp:anchor>
        </w:drawing>
      </w:r>
    </w:p>
    <w:p w14:paraId="75985999">
      <w:pPr>
        <w:spacing w:line="520" w:lineRule="exact"/>
        <w:ind w:firstLine="320" w:firstLineChars="100"/>
        <w:rPr>
          <w:rFonts w:ascii="仿宋_GB2312" w:eastAsia="仿宋_GB2312" w:cs="仿宋_GB2312"/>
          <w:sz w:val="32"/>
          <w:szCs w:val="32"/>
        </w:rPr>
      </w:pPr>
    </w:p>
    <w:p w14:paraId="22E528EC">
      <w:pPr>
        <w:spacing w:line="520" w:lineRule="exact"/>
        <w:ind w:firstLine="320" w:firstLineChars="100"/>
        <w:rPr>
          <w:rFonts w:ascii="仿宋_GB2312" w:eastAsia="仿宋_GB2312" w:cs="仿宋_GB2312"/>
          <w:sz w:val="32"/>
          <w:szCs w:val="32"/>
        </w:rPr>
      </w:pPr>
    </w:p>
    <w:p w14:paraId="66A9D469">
      <w:pPr>
        <w:spacing w:line="520" w:lineRule="exact"/>
        <w:ind w:firstLine="320" w:firstLineChars="100"/>
        <w:rPr>
          <w:rFonts w:ascii="仿宋_GB2312" w:eastAsia="仿宋_GB2312" w:cs="仿宋_GB2312"/>
          <w:sz w:val="32"/>
          <w:szCs w:val="32"/>
        </w:rPr>
      </w:pPr>
    </w:p>
    <w:p w14:paraId="5ACFB7B9">
      <w:pPr>
        <w:spacing w:line="520" w:lineRule="exact"/>
        <w:ind w:firstLine="320" w:firstLineChars="100"/>
        <w:rPr>
          <w:rFonts w:ascii="仿宋_GB2312" w:eastAsia="仿宋_GB2312" w:cs="仿宋_GB2312"/>
          <w:sz w:val="32"/>
          <w:szCs w:val="32"/>
        </w:rPr>
      </w:pPr>
    </w:p>
    <w:p w14:paraId="554D916B">
      <w:pPr>
        <w:spacing w:line="520" w:lineRule="exact"/>
        <w:ind w:firstLine="320" w:firstLineChars="100"/>
        <w:rPr>
          <w:rFonts w:ascii="仿宋_GB2312" w:eastAsia="仿宋_GB2312" w:cs="仿宋_GB2312"/>
          <w:sz w:val="32"/>
          <w:szCs w:val="32"/>
        </w:rPr>
      </w:pPr>
    </w:p>
    <w:p w14:paraId="00339A91">
      <w:pPr>
        <w:spacing w:line="520" w:lineRule="exact"/>
        <w:ind w:firstLine="320" w:firstLineChars="100"/>
        <w:rPr>
          <w:rFonts w:ascii="仿宋_GB2312" w:eastAsia="仿宋_GB2312" w:cs="仿宋_GB2312"/>
          <w:sz w:val="32"/>
          <w:szCs w:val="32"/>
        </w:rPr>
      </w:pPr>
    </w:p>
    <w:p w14:paraId="2845D501">
      <w:pPr>
        <w:spacing w:line="520" w:lineRule="exact"/>
        <w:ind w:firstLine="320" w:firstLineChars="100"/>
        <w:rPr>
          <w:rFonts w:ascii="仿宋_GB2312" w:eastAsia="仿宋_GB2312" w:cs="仿宋_GB2312"/>
          <w:sz w:val="32"/>
          <w:szCs w:val="32"/>
        </w:rPr>
      </w:pPr>
    </w:p>
    <w:p w14:paraId="5ECFC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20" w:firstLineChars="100"/>
        <w:textAlignment w:val="auto"/>
        <w:rPr>
          <w:rFonts w:hint="eastAsia" w:ascii="楷体" w:hAnsi="楷体" w:eastAsia="仿宋_GB2312" w:cs="楷体"/>
          <w:sz w:val="32"/>
          <w:szCs w:val="32"/>
          <w:lang w:eastAsia="zh-CN"/>
        </w:rPr>
      </w:pPr>
      <w:r>
        <w:rPr>
          <w:rFonts w:ascii="仿宋_GB2312" w:eastAsia="仿宋_GB2312" w:cs="仿宋_GB2312"/>
          <w:sz w:val="32"/>
          <w:szCs w:val="32"/>
        </w:rPr>
        <w:t>阿州林</w:t>
      </w:r>
      <w:r>
        <w:rPr>
          <w:rFonts w:hint="eastAsia" w:ascii="仿宋_GB2312" w:eastAsia="仿宋_GB2312" w:cs="仿宋_GB2312"/>
          <w:sz w:val="32"/>
          <w:szCs w:val="32"/>
        </w:rPr>
        <w:t>草〔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 xml:space="preserve">37号              </w:t>
      </w:r>
      <w:r>
        <w:rPr>
          <w:rFonts w:hint="eastAsia" w:ascii="仿宋_GB2312" w:eastAsia="仿宋_GB2312" w:cs="仿宋_GB2312"/>
          <w:sz w:val="32"/>
          <w:szCs w:val="32"/>
        </w:rPr>
        <w:t xml:space="preserve">    </w:t>
      </w:r>
      <w:r>
        <w:rPr>
          <w:rFonts w:ascii="仿宋_GB2312" w:eastAsia="仿宋_GB2312" w:cs="仿宋_GB2312"/>
          <w:sz w:val="32"/>
          <w:szCs w:val="32"/>
        </w:rPr>
        <w:t>签发人</w:t>
      </w:r>
      <w:r>
        <w:rPr>
          <w:rFonts w:hint="eastAsia" w:ascii="仿宋_GB2312" w:eastAsia="仿宋_GB2312" w:cs="仿宋_GB2312"/>
          <w:sz w:val="32"/>
          <w:szCs w:val="32"/>
        </w:rPr>
        <w:t>: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孙福华</w:t>
      </w:r>
    </w:p>
    <w:p w14:paraId="67BCC191">
      <w:pPr>
        <w:pStyle w:val="8"/>
      </w:pPr>
    </w:p>
    <w:p w14:paraId="60F5B947">
      <w:pPr>
        <w:pStyle w:val="22"/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阿坝州林业和草原局</w:t>
      </w:r>
    </w:p>
    <w:p w14:paraId="2A154299">
      <w:pPr>
        <w:pStyle w:val="22"/>
        <w:spacing w:line="600" w:lineRule="exact"/>
        <w:jc w:val="center"/>
        <w:rPr>
          <w:rFonts w:ascii="方正小标宋简体" w:eastAsia="方正小标宋简体" w:cs="黑体"/>
          <w:bCs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 w:cs="黑体"/>
          <w:bCs/>
          <w:sz w:val="44"/>
          <w:szCs w:val="44"/>
        </w:rPr>
        <w:t>202</w:t>
      </w:r>
      <w:r>
        <w:rPr>
          <w:rFonts w:hint="eastAsia" w:ascii="方正小标宋简体" w:eastAsia="方正小标宋简体" w:cs="黑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 w:cs="黑体"/>
          <w:bCs/>
          <w:sz w:val="44"/>
          <w:szCs w:val="44"/>
        </w:rPr>
        <w:t>年中央对地方转移支付（中央财政</w:t>
      </w:r>
      <w:r>
        <w:rPr>
          <w:rFonts w:hint="eastAsia" w:ascii="方正小标宋简体" w:eastAsia="方正小标宋简体"/>
          <w:sz w:val="44"/>
          <w:szCs w:val="44"/>
        </w:rPr>
        <w:t>林业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改革发展</w:t>
      </w:r>
      <w:r>
        <w:rPr>
          <w:rFonts w:hint="eastAsia" w:ascii="方正小标宋简体" w:eastAsia="方正小标宋简体"/>
          <w:sz w:val="44"/>
          <w:szCs w:val="44"/>
        </w:rPr>
        <w:t>资金）</w:t>
      </w:r>
      <w:r>
        <w:rPr>
          <w:rFonts w:hint="eastAsia" w:ascii="方正小标宋简体" w:eastAsia="方正小标宋简体" w:cs="黑体"/>
          <w:bCs/>
          <w:sz w:val="44"/>
          <w:szCs w:val="44"/>
        </w:rPr>
        <w:t>预算执行情况</w:t>
      </w:r>
    </w:p>
    <w:p w14:paraId="51A3345A">
      <w:pPr>
        <w:pStyle w:val="22"/>
        <w:spacing w:line="600" w:lineRule="exact"/>
        <w:jc w:val="center"/>
        <w:rPr>
          <w:rFonts w:hint="eastAsia" w:ascii="方正小标宋简体" w:eastAsia="方正小标宋简体" w:cs="黑体"/>
          <w:bCs/>
          <w:sz w:val="44"/>
          <w:szCs w:val="44"/>
        </w:rPr>
      </w:pPr>
      <w:r>
        <w:rPr>
          <w:rFonts w:hint="eastAsia" w:ascii="方正小标宋简体" w:eastAsia="方正小标宋简体" w:cs="黑体"/>
          <w:bCs/>
          <w:sz w:val="44"/>
          <w:szCs w:val="44"/>
        </w:rPr>
        <w:t>绩效自评</w:t>
      </w:r>
      <w:r>
        <w:rPr>
          <w:rFonts w:ascii="方正小标宋简体" w:eastAsia="方正小标宋简体" w:cs="黑体"/>
          <w:bCs/>
          <w:sz w:val="44"/>
          <w:szCs w:val="44"/>
        </w:rPr>
        <w:t>的</w:t>
      </w:r>
      <w:r>
        <w:rPr>
          <w:rFonts w:hint="eastAsia" w:ascii="方正小标宋简体" w:eastAsia="方正小标宋简体" w:cs="黑体"/>
          <w:bCs/>
          <w:sz w:val="44"/>
          <w:szCs w:val="44"/>
        </w:rPr>
        <w:t>报告</w:t>
      </w:r>
    </w:p>
    <w:p w14:paraId="011F8DE3">
      <w:pPr>
        <w:pStyle w:val="11"/>
        <w:jc w:val="left"/>
      </w:pPr>
    </w:p>
    <w:p w14:paraId="5D24E832">
      <w:pPr>
        <w:pStyle w:val="11"/>
        <w:jc w:val="left"/>
      </w:pPr>
    </w:p>
    <w:p w14:paraId="4817FBA1">
      <w:pPr>
        <w:rPr>
          <w:rFonts w:hint="eastAsia" w:ascii="仿宋_GB2312" w:eastAsia="仿宋_GB2312" w:cs="黑体"/>
          <w:bCs/>
          <w:sz w:val="30"/>
          <w:szCs w:val="30"/>
        </w:rPr>
      </w:pPr>
      <w:r>
        <w:rPr>
          <w:rFonts w:hint="eastAsia" w:ascii="仿宋_GB2312" w:eastAsia="仿宋_GB2312" w:cs="黑体"/>
          <w:bCs/>
          <w:sz w:val="30"/>
          <w:szCs w:val="30"/>
          <w:lang w:eastAsia="zh-CN"/>
        </w:rPr>
        <w:t>州财政局</w:t>
      </w:r>
      <w:r>
        <w:rPr>
          <w:rFonts w:hint="eastAsia" w:ascii="仿宋_GB2312" w:eastAsia="仿宋_GB2312" w:cs="黑体"/>
          <w:bCs/>
          <w:sz w:val="30"/>
          <w:szCs w:val="30"/>
        </w:rPr>
        <w:t>：</w:t>
      </w:r>
    </w:p>
    <w:p w14:paraId="322E6792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</w:rPr>
      </w:pPr>
      <w:r>
        <w:rPr>
          <w:rFonts w:hint="eastAsia" w:ascii="仿宋_GB2312" w:eastAsia="仿宋_GB2312" w:cs="黑体"/>
          <w:bCs/>
          <w:sz w:val="30"/>
          <w:szCs w:val="30"/>
        </w:rPr>
        <w:t>按照《</w:t>
      </w:r>
      <w:r>
        <w:rPr>
          <w:rFonts w:hint="eastAsia" w:ascii="仿宋_GB2312" w:eastAsia="仿宋_GB2312" w:cs="黑体"/>
          <w:bCs/>
          <w:sz w:val="30"/>
          <w:szCs w:val="30"/>
          <w:lang w:eastAsia="zh-CN"/>
        </w:rPr>
        <w:t>阿坝州财政局</w:t>
      </w:r>
      <w:r>
        <w:rPr>
          <w:rFonts w:hint="eastAsia" w:ascii="仿宋_GB2312" w:eastAsia="仿宋_GB2312" w:cs="黑体"/>
          <w:bCs/>
          <w:sz w:val="30"/>
          <w:szCs w:val="30"/>
        </w:rPr>
        <w:t>关于开展202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 w:cs="黑体"/>
          <w:bCs/>
          <w:sz w:val="30"/>
          <w:szCs w:val="30"/>
        </w:rPr>
        <w:t>年中央对地方转移支付预算执行情况绩效自评工作的</w:t>
      </w:r>
      <w:bookmarkStart w:id="0" w:name="_GoBack"/>
      <w:bookmarkEnd w:id="0"/>
      <w:r>
        <w:rPr>
          <w:rFonts w:hint="eastAsia" w:ascii="仿宋_GB2312" w:eastAsia="仿宋_GB2312" w:cs="黑体"/>
          <w:bCs/>
          <w:sz w:val="30"/>
          <w:szCs w:val="30"/>
        </w:rPr>
        <w:t>通知》（</w:t>
      </w:r>
      <w:r>
        <w:rPr>
          <w:rFonts w:hint="eastAsia" w:ascii="仿宋_GB2312" w:eastAsia="仿宋_GB2312" w:cs="黑体"/>
          <w:bCs/>
          <w:sz w:val="30"/>
          <w:szCs w:val="30"/>
          <w:lang w:eastAsia="zh-CN"/>
        </w:rPr>
        <w:t>阿州</w:t>
      </w:r>
      <w:r>
        <w:rPr>
          <w:rFonts w:hint="eastAsia" w:ascii="仿宋_GB2312" w:eastAsia="仿宋_GB2312" w:cs="黑体"/>
          <w:bCs/>
          <w:sz w:val="30"/>
          <w:szCs w:val="30"/>
        </w:rPr>
        <w:t>财</w:t>
      </w:r>
      <w:r>
        <w:rPr>
          <w:rFonts w:hint="eastAsia" w:ascii="仿宋_GB2312" w:eastAsia="仿宋_GB2312" w:cs="黑体"/>
          <w:bCs/>
          <w:sz w:val="30"/>
          <w:szCs w:val="30"/>
          <w:lang w:eastAsia="zh-CN"/>
        </w:rPr>
        <w:t>监</w:t>
      </w:r>
      <w:r>
        <w:rPr>
          <w:rFonts w:hint="eastAsia" w:ascii="仿宋_GB2312" w:eastAsia="仿宋_GB2312" w:cs="黑体"/>
          <w:bCs/>
          <w:sz w:val="30"/>
          <w:szCs w:val="30"/>
        </w:rPr>
        <w:t>绩〔202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 w:cs="黑体"/>
          <w:bCs/>
          <w:sz w:val="30"/>
          <w:szCs w:val="30"/>
        </w:rPr>
        <w:t>〕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 w:cs="黑体"/>
          <w:bCs/>
          <w:sz w:val="30"/>
          <w:szCs w:val="30"/>
        </w:rPr>
        <w:t>号），我局组织相关单位开展了绩效自评工作。现将有关情况报告如下：</w:t>
      </w:r>
    </w:p>
    <w:p w14:paraId="724BB7A5">
      <w:pPr>
        <w:ind w:firstLine="600" w:firstLineChars="200"/>
        <w:rPr>
          <w:rFonts w:hint="eastAsia" w:ascii="黑体" w:eastAsia="黑体" w:cs="黑体"/>
          <w:bCs/>
          <w:sz w:val="30"/>
          <w:szCs w:val="30"/>
        </w:rPr>
      </w:pPr>
      <w:r>
        <w:rPr>
          <w:rFonts w:hint="eastAsia" w:ascii="黑体" w:eastAsia="黑体" w:cs="黑体"/>
          <w:bCs/>
          <w:sz w:val="30"/>
          <w:szCs w:val="30"/>
        </w:rPr>
        <w:t>一、绩效目标分解下达情况</w:t>
      </w:r>
    </w:p>
    <w:p w14:paraId="0730F1C7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</w:rPr>
      </w:pPr>
      <w:r>
        <w:rPr>
          <w:rFonts w:hint="eastAsia" w:ascii="仿宋_GB2312" w:eastAsia="仿宋_GB2312" w:cs="黑体"/>
          <w:bCs/>
          <w:sz w:val="30"/>
          <w:szCs w:val="30"/>
        </w:rPr>
        <w:t>202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 w:cs="黑体"/>
          <w:bCs/>
          <w:sz w:val="30"/>
          <w:szCs w:val="30"/>
        </w:rPr>
        <w:t>年，省财政厅、省林业和草原局下达我州</w:t>
      </w:r>
      <w:r>
        <w:rPr>
          <w:rFonts w:hint="eastAsia" w:ascii="仿宋_GB2312" w:eastAsia="仿宋_GB2312" w:cs="黑体"/>
          <w:bCs/>
          <w:sz w:val="30"/>
          <w:szCs w:val="30"/>
          <w:lang w:eastAsia="zh-CN"/>
        </w:rPr>
        <w:t>林业改革发展</w:t>
      </w:r>
      <w:r>
        <w:rPr>
          <w:rFonts w:hint="eastAsia" w:ascii="仿宋_GB2312" w:eastAsia="仿宋_GB2312" w:cs="黑体"/>
          <w:bCs/>
          <w:sz w:val="30"/>
          <w:szCs w:val="30"/>
        </w:rPr>
        <w:t>资金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15260.53</w:t>
      </w:r>
      <w:r>
        <w:rPr>
          <w:rFonts w:hint="eastAsia" w:ascii="仿宋_GB2312" w:eastAsia="仿宋_GB2312" w:cs="黑体"/>
          <w:bCs/>
          <w:sz w:val="30"/>
          <w:szCs w:val="30"/>
        </w:rPr>
        <w:t>万元（川财资环〔20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24</w:t>
      </w:r>
      <w:r>
        <w:rPr>
          <w:rFonts w:hint="eastAsia" w:ascii="仿宋_GB2312" w:eastAsia="仿宋_GB2312" w:cs="黑体"/>
          <w:bCs/>
          <w:sz w:val="30"/>
          <w:szCs w:val="30"/>
        </w:rPr>
        <w:t>〕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16</w:t>
      </w:r>
      <w:r>
        <w:rPr>
          <w:rFonts w:hint="eastAsia" w:ascii="仿宋_GB2312" w:eastAsia="仿宋_GB2312" w:cs="黑体"/>
          <w:bCs/>
          <w:sz w:val="30"/>
          <w:szCs w:val="30"/>
        </w:rPr>
        <w:t>号、川财资环〔20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24</w:t>
      </w:r>
      <w:r>
        <w:rPr>
          <w:rFonts w:hint="eastAsia" w:ascii="仿宋_GB2312" w:eastAsia="仿宋_GB2312" w:cs="黑体"/>
          <w:bCs/>
          <w:sz w:val="30"/>
          <w:szCs w:val="30"/>
        </w:rPr>
        <w:t>〕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46</w:t>
      </w:r>
      <w:r>
        <w:rPr>
          <w:rFonts w:hint="eastAsia" w:ascii="仿宋_GB2312" w:eastAsia="仿宋_GB2312" w:cs="黑体"/>
          <w:bCs/>
          <w:sz w:val="30"/>
          <w:szCs w:val="30"/>
        </w:rPr>
        <w:t>号</w:t>
      </w:r>
      <w:r>
        <w:rPr>
          <w:rFonts w:hint="eastAsia" w:ascii="仿宋_GB2312" w:eastAsia="仿宋_GB2312" w:cs="黑体"/>
          <w:bCs/>
          <w:sz w:val="30"/>
          <w:szCs w:val="30"/>
          <w:lang w:eastAsia="zh-CN"/>
        </w:rPr>
        <w:t>、</w:t>
      </w:r>
      <w:r>
        <w:rPr>
          <w:rFonts w:hint="eastAsia" w:ascii="仿宋_GB2312" w:eastAsia="仿宋_GB2312" w:cs="黑体"/>
          <w:bCs/>
          <w:sz w:val="30"/>
          <w:szCs w:val="30"/>
        </w:rPr>
        <w:t>川财资环〔20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24</w:t>
      </w:r>
      <w:r>
        <w:rPr>
          <w:rFonts w:hint="eastAsia" w:ascii="仿宋_GB2312" w:eastAsia="仿宋_GB2312" w:cs="黑体"/>
          <w:bCs/>
          <w:sz w:val="30"/>
          <w:szCs w:val="30"/>
        </w:rPr>
        <w:t>〕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106</w:t>
      </w:r>
      <w:r>
        <w:rPr>
          <w:rFonts w:hint="eastAsia" w:ascii="仿宋_GB2312" w:eastAsia="仿宋_GB2312" w:cs="黑体"/>
          <w:bCs/>
          <w:sz w:val="30"/>
          <w:szCs w:val="30"/>
        </w:rPr>
        <w:t>号</w:t>
      </w:r>
      <w:r>
        <w:rPr>
          <w:rFonts w:hint="eastAsia" w:ascii="仿宋_GB2312" w:eastAsia="仿宋_GB2312" w:cs="黑体"/>
          <w:bCs/>
          <w:sz w:val="30"/>
          <w:szCs w:val="30"/>
          <w:lang w:eastAsia="zh-CN"/>
        </w:rPr>
        <w:t>、</w:t>
      </w:r>
      <w:r>
        <w:rPr>
          <w:rFonts w:hint="eastAsia" w:ascii="仿宋_GB2312" w:eastAsia="仿宋_GB2312" w:cs="黑体"/>
          <w:bCs/>
          <w:sz w:val="30"/>
          <w:szCs w:val="30"/>
        </w:rPr>
        <w:t>川财资环〔20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25</w:t>
      </w:r>
      <w:r>
        <w:rPr>
          <w:rFonts w:hint="eastAsia" w:ascii="仿宋_GB2312" w:eastAsia="仿宋_GB2312" w:cs="黑体"/>
          <w:bCs/>
          <w:sz w:val="30"/>
          <w:szCs w:val="30"/>
        </w:rPr>
        <w:t>〕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15</w:t>
      </w:r>
      <w:r>
        <w:rPr>
          <w:rFonts w:hint="eastAsia" w:ascii="仿宋_GB2312" w:eastAsia="仿宋_GB2312" w:cs="黑体"/>
          <w:bCs/>
          <w:sz w:val="30"/>
          <w:szCs w:val="30"/>
        </w:rPr>
        <w:t>号）。我局根据省财政厅、省林业和草原局确定的资金支出方向、任务量以及分配建议，提出了资金分配方案，经州人民政府审批后，会同州财政局将资金下达到各县财政局及州属林业企业局。</w:t>
      </w:r>
    </w:p>
    <w:p w14:paraId="19864A8A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zh-CN"/>
        </w:rPr>
        <w:t>项目主要内容及绩效目标：新一轮退耕还林延长期补助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2.61万亩；上一轮政策到期退耕还生态林抚育9.12万亩；造林0.995（万亩）；森林质量提升2.1（万亩）；草原生态修复治理76.33（万亩）；松材线虫病重点区域防控5(万亩)；草原有害生物防治85(万亩)；草种繁育200(万亩)；林草科技推广项目4(个)，全国性林草湿荒综合监测项目样地不低于179(个)。</w:t>
      </w:r>
    </w:p>
    <w:p w14:paraId="69113F85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</w:rPr>
      </w:pPr>
      <w:r>
        <w:rPr>
          <w:rFonts w:hint="eastAsia" w:ascii="仿宋_GB2312" w:eastAsia="仿宋_GB2312" w:cs="黑体"/>
          <w:bCs/>
          <w:sz w:val="30"/>
          <w:szCs w:val="30"/>
        </w:rPr>
        <w:t>（一）资金投入情况分析。</w:t>
      </w:r>
    </w:p>
    <w:p w14:paraId="5627314B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zh-CN"/>
        </w:rPr>
        <w:t>202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年，</w:t>
      </w:r>
      <w:r>
        <w:rPr>
          <w:rFonts w:ascii="仿宋_GB2312" w:eastAsia="仿宋_GB2312" w:cs="黑体"/>
          <w:bCs/>
          <w:sz w:val="30"/>
          <w:szCs w:val="30"/>
          <w:lang w:val="zh-CN"/>
        </w:rPr>
        <w:t>上级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下达中央林业改革发展资金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15260.53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万元，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2024年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实际到位资金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1316.93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万元，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2025年下达13943.6万元。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资金到位率为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100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%。截至202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年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2月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日</w:t>
      </w:r>
      <w:r>
        <w:rPr>
          <w:rFonts w:ascii="仿宋_GB2312" w:eastAsia="仿宋_GB2312" w:cs="黑体"/>
          <w:bCs/>
          <w:sz w:val="30"/>
          <w:szCs w:val="30"/>
          <w:lang w:val="zh-CN"/>
        </w:rPr>
        <w:tab/>
      </w:r>
      <w:r>
        <w:rPr>
          <w:rFonts w:ascii="仿宋_GB2312" w:eastAsia="仿宋_GB2312" w:cs="黑体"/>
          <w:bCs/>
          <w:sz w:val="30"/>
          <w:szCs w:val="30"/>
          <w:lang w:val="zh-CN"/>
        </w:rPr>
        <w:t>全州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林业改革发展资金拨付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822.67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万元，资金支付率为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5.39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%。</w:t>
      </w:r>
    </w:p>
    <w:p w14:paraId="45C0B1E4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zh-CN"/>
        </w:rPr>
        <w:t>项目资金下达后，由项目实施单位编制实施方案，涉及县局实施的项目，由县人民政府审批实施方案，涉及州属</w:t>
      </w:r>
      <w:r>
        <w:rPr>
          <w:rFonts w:ascii="仿宋_GB2312" w:eastAsia="仿宋_GB2312" w:cs="黑体"/>
          <w:bCs/>
          <w:sz w:val="30"/>
          <w:szCs w:val="30"/>
          <w:lang w:val="zh-CN"/>
        </w:rPr>
        <w:t>国有林保护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局实施的项目，由州林草局审批实施方案。方案批复后，由项目实施单位组织实施，州林草局负责监督指导。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 xml:space="preserve"> </w:t>
      </w:r>
    </w:p>
    <w:p w14:paraId="11011299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zh-CN"/>
        </w:rPr>
        <w:t>（二）总体绩效目标完成情况分析。</w:t>
      </w:r>
    </w:p>
    <w:p w14:paraId="395A45A6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2024年已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完成新一轮退耕还林延长期补助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2.61万亩</w:t>
      </w:r>
      <w:r>
        <w:rPr>
          <w:rFonts w:ascii="仿宋_GB2312" w:eastAsia="仿宋_GB2312" w:cs="黑体"/>
          <w:bCs/>
          <w:sz w:val="30"/>
          <w:szCs w:val="30"/>
          <w:lang w:val="en-US" w:eastAsia="zh-CN"/>
        </w:rPr>
        <w:t>，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上一轮政策到期退耕还生态林抚育9.12万亩</w:t>
      </w:r>
      <w:r>
        <w:rPr>
          <w:rFonts w:ascii="仿宋_GB2312" w:eastAsia="仿宋_GB2312" w:cs="黑体"/>
          <w:bCs/>
          <w:sz w:val="30"/>
          <w:szCs w:val="30"/>
          <w:lang w:val="en-US" w:eastAsia="zh-CN"/>
        </w:rPr>
        <w:t>，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林草科技推广项目3个。</w:t>
      </w:r>
    </w:p>
    <w:p w14:paraId="1D998CC5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zh-CN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项目的</w:t>
      </w:r>
      <w:r>
        <w:rPr>
          <w:rFonts w:ascii="仿宋_GB2312" w:eastAsia="仿宋_GB2312" w:cs="黑体"/>
          <w:bCs/>
          <w:sz w:val="30"/>
          <w:szCs w:val="30"/>
          <w:lang w:val="zh-CN" w:eastAsia="zh-CN"/>
        </w:rPr>
        <w:t>实施使</w:t>
      </w: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我州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非国有林得到有效管护</w:t>
      </w:r>
      <w:r>
        <w:rPr>
          <w:rFonts w:ascii="仿宋_GB2312" w:eastAsia="仿宋_GB2312" w:cs="黑体"/>
          <w:bCs/>
          <w:sz w:val="30"/>
          <w:szCs w:val="30"/>
          <w:lang w:val="zh-CN"/>
        </w:rPr>
        <w:t>，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森林、草原生态系统生态效益发挥明显</w:t>
      </w:r>
      <w:r>
        <w:rPr>
          <w:rFonts w:ascii="仿宋_GB2312" w:eastAsia="仿宋_GB2312" w:cs="黑体"/>
          <w:bCs/>
          <w:sz w:val="30"/>
          <w:szCs w:val="30"/>
          <w:lang w:val="zh-CN"/>
        </w:rPr>
        <w:t>，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森林、草原、荒漠生态系统功能改善可持续影响明显；地区森林生态系统生态效益发挥明显；</w:t>
      </w:r>
    </w:p>
    <w:p w14:paraId="56A59DD0">
      <w:pPr>
        <w:ind w:left="0" w:firstLine="600" w:firstLineChars="200"/>
        <w:rPr>
          <w:rFonts w:hint="eastAsia" w:ascii="黑体" w:eastAsia="黑体" w:cs="黑体"/>
          <w:bCs/>
          <w:sz w:val="30"/>
          <w:szCs w:val="30"/>
          <w:lang w:val="zh-CN"/>
        </w:rPr>
      </w:pPr>
      <w:r>
        <w:rPr>
          <w:rFonts w:hint="eastAsia" w:ascii="黑体" w:eastAsia="黑体" w:cs="黑体"/>
          <w:bCs/>
          <w:sz w:val="30"/>
          <w:szCs w:val="30"/>
          <w:lang w:val="zh-CN" w:eastAsia="zh-CN"/>
        </w:rPr>
        <w:t>二、</w:t>
      </w:r>
      <w:r>
        <w:rPr>
          <w:rFonts w:hint="eastAsia" w:ascii="黑体" w:eastAsia="黑体" w:cs="黑体"/>
          <w:bCs/>
          <w:sz w:val="30"/>
          <w:szCs w:val="30"/>
          <w:lang w:val="zh-CN"/>
        </w:rPr>
        <w:t>绩效指标完成情况分析</w:t>
      </w:r>
    </w:p>
    <w:p w14:paraId="5AD9B0B0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zh-CN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截至目前，我州全面完成非国有林管护及原天保工程区非国有地方公益林管护</w:t>
      </w:r>
      <w:r>
        <w:rPr>
          <w:rFonts w:ascii="仿宋_GB2312" w:eastAsia="仿宋_GB2312" w:cs="黑体"/>
          <w:bCs/>
          <w:sz w:val="30"/>
          <w:szCs w:val="30"/>
          <w:lang w:val="zh-CN" w:eastAsia="zh-CN"/>
        </w:rPr>
        <w:t>、</w:t>
      </w: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完成了</w:t>
      </w:r>
      <w:r>
        <w:rPr>
          <w:rFonts w:hint="eastAsia" w:ascii="仿宋_GB2312" w:eastAsia="仿宋_GB2312" w:cs="黑体"/>
          <w:bCs/>
          <w:sz w:val="30"/>
          <w:szCs w:val="30"/>
          <w:lang w:val="zh-CN"/>
        </w:rPr>
        <w:t>新一轮退耕还林延长期</w:t>
      </w: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项目</w:t>
      </w:r>
      <w:r>
        <w:rPr>
          <w:rFonts w:ascii="仿宋_GB2312" w:eastAsia="仿宋_GB2312" w:cs="黑体"/>
          <w:bCs/>
          <w:sz w:val="30"/>
          <w:szCs w:val="30"/>
          <w:lang w:val="zh-CN" w:eastAsia="zh-CN"/>
        </w:rPr>
        <w:t>、</w:t>
      </w: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松材线虫病重点区域防控任务</w:t>
      </w:r>
      <w:r>
        <w:rPr>
          <w:rFonts w:ascii="仿宋_GB2312" w:eastAsia="仿宋_GB2312" w:cs="黑体"/>
          <w:bCs/>
          <w:sz w:val="30"/>
          <w:szCs w:val="30"/>
          <w:lang w:val="zh-CN" w:eastAsia="zh-CN"/>
        </w:rPr>
        <w:t>。</w:t>
      </w:r>
    </w:p>
    <w:p w14:paraId="3797F552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zh-CN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 xml:space="preserve"> 由于下达时间晚部分项目在2025年实施，包括：造林0.995万亩、森林质量提升2.1万亩、草原生态修复治理76.33万亩、草原有害生物防治85亩、草种繁育200亩、全国性林草湿荒综合监测项目样地不低于179个。</w:t>
      </w:r>
    </w:p>
    <w:p w14:paraId="2331A97C">
      <w:pPr>
        <w:numPr>
          <w:ilvl w:val="0"/>
          <w:numId w:val="1"/>
        </w:numPr>
        <w:ind w:left="0" w:firstLine="600" w:firstLineChars="200"/>
        <w:rPr>
          <w:rFonts w:hint="eastAsia" w:ascii="黑体" w:eastAsia="黑体" w:cs="黑体"/>
          <w:bCs/>
          <w:sz w:val="30"/>
          <w:szCs w:val="30"/>
        </w:rPr>
      </w:pPr>
      <w:r>
        <w:rPr>
          <w:rFonts w:hint="eastAsia" w:ascii="黑体" w:eastAsia="黑体" w:cs="黑体"/>
          <w:bCs/>
          <w:sz w:val="30"/>
          <w:szCs w:val="30"/>
        </w:rPr>
        <w:t>偏离绩效目标的原因和下一步改进措施</w:t>
      </w:r>
    </w:p>
    <w:p w14:paraId="1EE617E7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部分资金下达时间较晚，2024年中央财政林业改革发展资金第三批下达时间为2025年2月。同时根据相关规定，项目实施需要方案编制及审批，或者开展项目政府采购实施流程，项目在当年的完工率较低。</w:t>
      </w:r>
    </w:p>
    <w:p w14:paraId="4067E251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州林草局在2025年将持续加强全州林草项目监督管理，保障林草项目有力有序开展，全面完成2024年中央财政林业改革发展资金绩效目标。</w:t>
      </w:r>
    </w:p>
    <w:p w14:paraId="4A8CF50F">
      <w:pPr>
        <w:ind w:firstLine="600" w:firstLineChars="200"/>
        <w:rPr>
          <w:rFonts w:hint="eastAsia" w:ascii="黑体" w:eastAsia="黑体" w:cs="黑体"/>
          <w:bCs/>
          <w:sz w:val="30"/>
          <w:szCs w:val="30"/>
        </w:rPr>
      </w:pPr>
      <w:r>
        <w:rPr>
          <w:rFonts w:hint="eastAsia" w:ascii="黑体" w:eastAsia="黑体" w:cs="黑体"/>
          <w:bCs/>
          <w:sz w:val="30"/>
          <w:szCs w:val="30"/>
        </w:rPr>
        <w:t>四、绩效自评结果拟应用和公开情况</w:t>
      </w:r>
    </w:p>
    <w:p w14:paraId="14CB5D3D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总体上看，各单位严格按照林草项目相关管理办法使用项目资金，并自觉接受监察、审计、财政等部门的监督和指导。通过各单位自评，未发现截留、挪用、贪污项目资金等违纪违规问题。自评结果对今后的林业改革发展资金安排起到引导作用，资金会向拨付及时，项目开展迅速的单位倾斜。资金绩效自评结果会根据相关文件要求及时公开，自觉接受各界监督。</w:t>
      </w:r>
    </w:p>
    <w:p w14:paraId="125D7D39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</w:rPr>
      </w:pPr>
      <w:r>
        <w:rPr>
          <w:rFonts w:hint="eastAsia" w:ascii="仿宋_GB2312" w:eastAsia="仿宋_GB2312" w:cs="黑体"/>
          <w:bCs/>
          <w:sz w:val="30"/>
          <w:szCs w:val="30"/>
        </w:rPr>
        <w:t>五、其他需要说明的问题</w:t>
      </w:r>
    </w:p>
    <w:p w14:paraId="351F3045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 xml:space="preserve">无。 </w:t>
      </w:r>
    </w:p>
    <w:p w14:paraId="02401EF7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附：2024年阿坝州林业改革发展资金绩效自评表</w:t>
      </w:r>
    </w:p>
    <w:p w14:paraId="6CE99E47">
      <w:pPr>
        <w:ind w:firstLine="600" w:firstLineChars="200"/>
        <w:rPr>
          <w:rFonts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 xml:space="preserve">                           </w:t>
      </w:r>
      <w:r>
        <w:rPr>
          <w:rFonts w:ascii="仿宋_GB2312" w:eastAsia="仿宋_GB2312" w:cs="黑体"/>
          <w:bCs/>
          <w:sz w:val="30"/>
          <w:szCs w:val="30"/>
          <w:lang w:val="en-US" w:eastAsia="zh-CN"/>
        </w:rPr>
        <w:t xml:space="preserve">  </w:t>
      </w:r>
    </w:p>
    <w:p w14:paraId="3DF1A94D">
      <w:pPr>
        <w:ind w:firstLine="4950" w:firstLineChars="1650"/>
        <w:rPr>
          <w:rFonts w:hint="eastAsia" w:ascii="仿宋_GB2312" w:eastAsia="仿宋_GB2312" w:cs="黑体"/>
          <w:bCs/>
          <w:sz w:val="30"/>
          <w:szCs w:val="30"/>
          <w:lang w:val="zh-CN" w:eastAsia="zh-CN"/>
        </w:rPr>
      </w:pP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阿坝州林业和草原局</w:t>
      </w:r>
    </w:p>
    <w:p w14:paraId="1CCED313">
      <w:pPr>
        <w:ind w:firstLine="600" w:firstLineChars="200"/>
        <w:rPr>
          <w:rFonts w:hint="eastAsia" w:ascii="仿宋_GB2312" w:eastAsia="仿宋_GB2312" w:cs="黑体"/>
          <w:bCs/>
          <w:sz w:val="30"/>
          <w:szCs w:val="30"/>
        </w:rPr>
      </w:pP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 xml:space="preserve">                                202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年3月</w:t>
      </w:r>
      <w:r>
        <w:rPr>
          <w:rFonts w:hint="eastAsia" w:ascii="仿宋_GB2312" w:eastAsia="仿宋_GB2312" w:cs="黑体"/>
          <w:bCs/>
          <w:sz w:val="30"/>
          <w:szCs w:val="30"/>
          <w:lang w:val="en-US" w:eastAsia="zh-CN"/>
        </w:rPr>
        <w:t>19</w:t>
      </w:r>
      <w:r>
        <w:rPr>
          <w:rFonts w:hint="eastAsia" w:ascii="仿宋_GB2312" w:eastAsia="仿宋_GB2312" w:cs="黑体"/>
          <w:bCs/>
          <w:sz w:val="30"/>
          <w:szCs w:val="30"/>
          <w:lang w:val="zh-CN" w:eastAsia="zh-CN"/>
        </w:rPr>
        <w:t>日</w:t>
      </w:r>
    </w:p>
    <w:p w14:paraId="39B8E281">
      <w:pPr>
        <w:spacing w:line="400" w:lineRule="exact"/>
        <w:jc w:val="left"/>
        <w:rPr>
          <w:rFonts w:ascii="黑体" w:eastAsia="黑体"/>
          <w:kern w:val="0"/>
          <w:sz w:val="32"/>
          <w:szCs w:val="32"/>
        </w:rPr>
      </w:pPr>
    </w:p>
    <w:p w14:paraId="637C7D9E">
      <w:pPr>
        <w:pStyle w:val="2"/>
        <w:rPr>
          <w:rFonts w:ascii="黑体" w:eastAsia="黑体"/>
          <w:kern w:val="0"/>
          <w:sz w:val="32"/>
          <w:szCs w:val="32"/>
        </w:rPr>
      </w:pPr>
    </w:p>
    <w:p w14:paraId="37E98006">
      <w:pPr>
        <w:pStyle w:val="2"/>
        <w:rPr>
          <w:rFonts w:ascii="黑体" w:eastAsia="黑体"/>
          <w:kern w:val="0"/>
          <w:sz w:val="32"/>
          <w:szCs w:val="32"/>
        </w:rPr>
      </w:pPr>
    </w:p>
    <w:p w14:paraId="601A06B8">
      <w:pPr>
        <w:pStyle w:val="2"/>
        <w:rPr>
          <w:rFonts w:ascii="黑体" w:eastAsia="黑体"/>
          <w:kern w:val="0"/>
          <w:sz w:val="32"/>
          <w:szCs w:val="32"/>
        </w:rPr>
      </w:pPr>
    </w:p>
    <w:p w14:paraId="65AA7004">
      <w:pPr>
        <w:pStyle w:val="2"/>
        <w:rPr>
          <w:rFonts w:ascii="黑体" w:eastAsia="黑体"/>
          <w:kern w:val="0"/>
          <w:sz w:val="32"/>
          <w:szCs w:val="32"/>
        </w:rPr>
      </w:pPr>
    </w:p>
    <w:p w14:paraId="7BBF444F">
      <w:pPr>
        <w:pStyle w:val="2"/>
        <w:rPr>
          <w:rFonts w:ascii="黑体" w:eastAsia="黑体"/>
          <w:kern w:val="0"/>
          <w:sz w:val="32"/>
          <w:szCs w:val="32"/>
        </w:rPr>
      </w:pPr>
    </w:p>
    <w:p w14:paraId="6A9C7FB7">
      <w:pPr>
        <w:pStyle w:val="2"/>
        <w:rPr>
          <w:rFonts w:ascii="黑体" w:eastAsia="黑体"/>
          <w:kern w:val="0"/>
          <w:sz w:val="32"/>
          <w:szCs w:val="32"/>
        </w:rPr>
      </w:pPr>
    </w:p>
    <w:p w14:paraId="1260A32E">
      <w:pPr>
        <w:pStyle w:val="2"/>
        <w:rPr>
          <w:rFonts w:ascii="黑体" w:eastAsia="黑体"/>
          <w:kern w:val="0"/>
          <w:sz w:val="32"/>
          <w:szCs w:val="32"/>
        </w:rPr>
      </w:pPr>
    </w:p>
    <w:p w14:paraId="5E325731">
      <w:pPr>
        <w:spacing w:line="400" w:lineRule="exact"/>
        <w:jc w:val="left"/>
        <w:rPr>
          <w:rFonts w:eastAsia="黑体"/>
          <w:kern w:val="0"/>
          <w:sz w:val="32"/>
          <w:szCs w:val="32"/>
        </w:rPr>
      </w:pPr>
      <w:r>
        <w:rPr>
          <w:rFonts w:hint="eastAsia" w:ascii="黑体" w:eastAsia="黑体"/>
          <w:kern w:val="0"/>
          <w:sz w:val="32"/>
          <w:szCs w:val="32"/>
        </w:rPr>
        <w:t>信息公开选项：</w:t>
      </w:r>
      <w:r>
        <w:rPr>
          <w:rFonts w:ascii="方正小标宋简体" w:hAnsi="方正小标宋简体"/>
          <w:kern w:val="0"/>
          <w:sz w:val="32"/>
          <w:szCs w:val="32"/>
        </w:rPr>
        <w:t>依申请公开</w:t>
      </w:r>
    </w:p>
    <w:tbl>
      <w:tblPr>
        <w:tblStyle w:val="16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79D4C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9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365E4CC">
            <w:pPr>
              <w:spacing w:line="560" w:lineRule="exact"/>
              <w:ind w:firstLine="300" w:firstLineChars="100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kern w:val="0"/>
                <w:sz w:val="30"/>
                <w:szCs w:val="30"/>
              </w:rPr>
              <w:t>阿坝州林业和草原局办公室</w:t>
            </w:r>
            <w:r>
              <w:rPr>
                <w:rFonts w:hint="eastAsia" w:eastAsia="仿宋_GB2312"/>
                <w:kern w:val="0"/>
                <w:sz w:val="30"/>
                <w:szCs w:val="30"/>
              </w:rPr>
              <w:t xml:space="preserve"> </w:t>
            </w:r>
            <w:r>
              <w:rPr>
                <w:rFonts w:eastAsia="仿宋_GB2312"/>
                <w:kern w:val="0"/>
                <w:sz w:val="30"/>
                <w:szCs w:val="30"/>
              </w:rPr>
              <w:t xml:space="preserve">        </w:t>
            </w:r>
            <w:r>
              <w:rPr>
                <w:rFonts w:hint="eastAsia" w:ascii="仿宋_GB2312" w:eastAsia="仿宋_GB2312"/>
                <w:kern w:val="0"/>
                <w:sz w:val="30"/>
                <w:szCs w:val="30"/>
              </w:rPr>
              <w:t xml:space="preserve">   20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2</w:t>
            </w:r>
            <w:r>
              <w:rPr>
                <w:rFonts w:hint="eastAsia" w:ascii="仿宋_GB2312" w:eastAsia="仿宋_GB2312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kern w:val="0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3</w:t>
            </w:r>
            <w:r>
              <w:rPr>
                <w:rFonts w:hint="eastAsia" w:ascii="仿宋_GB2312" w:eastAsia="仿宋_GB2312"/>
                <w:kern w:val="0"/>
                <w:sz w:val="30"/>
                <w:szCs w:val="30"/>
              </w:rPr>
              <w:t>月</w:t>
            </w:r>
            <w:r>
              <w:rPr>
                <w:rFonts w:hint="eastAsia" w:ascii="仿宋_GB2312" w:eastAsia="仿宋_GB2312"/>
                <w:kern w:val="0"/>
                <w:sz w:val="30"/>
                <w:szCs w:val="30"/>
                <w:lang w:val="en-US" w:eastAsia="zh-CN"/>
              </w:rPr>
              <w:t>19</w:t>
            </w:r>
            <w:r>
              <w:rPr>
                <w:rFonts w:hint="eastAsia" w:ascii="仿宋_GB2312" w:eastAsia="仿宋_GB2312"/>
                <w:kern w:val="0"/>
                <w:sz w:val="30"/>
                <w:szCs w:val="30"/>
              </w:rPr>
              <w:t>日印发</w:t>
            </w:r>
          </w:p>
        </w:tc>
      </w:tr>
    </w:tbl>
    <w:p w14:paraId="00F92D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center"/>
        <w:rPr>
          <w:sz w:val="30"/>
          <w:szCs w:val="30"/>
        </w:rPr>
      </w:pPr>
    </w:p>
    <w:sectPr>
      <w:footerReference r:id="rId3" w:type="default"/>
      <w:pgSz w:w="11906" w:h="16838"/>
      <w:pgMar w:top="2098" w:right="1474" w:bottom="1984" w:left="1587" w:header="851" w:footer="907" w:gutter="0"/>
      <w:pgNumType w:fmt="numberInDash"/>
      <w:cols w:space="720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D266C">
    <w:pPr>
      <w:pStyle w:val="11"/>
      <w:jc w:val="center"/>
      <w:rPr>
        <w:rFonts w:ascii="Times New Roman" w:hAnsi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70205" cy="266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179" cy="26656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37E4E200">
                          <w:pPr>
                            <w:pStyle w:val="11"/>
                          </w:pP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21pt;width:29.1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hNpPtIAAAADAQAADwAAAAAAAAABACAAAAAiAAAAZHJzL2Rvd25y&#10;ZXYueG1sUEsBAhQAFAAAAAgAh07iQHvRCVQEAgAA9AMAAA4AAAAAAAAAAQAgAAAAIQEAAGRycy9l&#10;Mm9Eb2MueG1sUEsFBgAAAAAGAAYAWQEAAJcFAAAAAA==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 w14:paraId="37E4E200">
                    <w:pPr>
                      <w:pStyle w:val="11"/>
                    </w:pP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1E1A1742">
    <w:pPr>
      <w:pStyle w:val="11"/>
      <w:rPr>
        <w:rFonts w:ascii="Times New Roman" w:hAnsi="Times New Roman" w:cs="Times New Roman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827A1F"/>
    <w:multiLevelType w:val="singleLevel"/>
    <w:tmpl w:val="EA827A1F"/>
    <w:lvl w:ilvl="0" w:tentative="0">
      <w:start w:val="3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579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growAutofit/>
    <w:useFELayout/>
    <w:compatSetting w:name="compatibilityMode" w:uri="http://schemas.microsoft.com/office/word" w:val="14"/>
  </w:compat>
  <w:docVars>
    <w:docVar w:name="commondata" w:val="eyJoZGlkIjoiNDE3Y2FmNTIzNWFkMDVlYTllYTFiZDlmZWI1YjgxNDcifQ=="/>
  </w:docVars>
  <w:rsids>
    <w:rsidRoot w:val="00000000"/>
    <w:rsid w:val="028C5C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7">
    <w:name w:val="Default Paragraph Font"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qFormat/>
    <w:uiPriority w:val="0"/>
    <w:rPr>
      <w:rFonts w:ascii="宋体"/>
      <w:sz w:val="30"/>
      <w:szCs w:val="30"/>
    </w:rPr>
  </w:style>
  <w:style w:type="paragraph" w:styleId="6">
    <w:name w:val="index 5"/>
    <w:basedOn w:val="1"/>
    <w:next w:val="1"/>
    <w:qFormat/>
    <w:uiPriority w:val="0"/>
    <w:pPr>
      <w:ind w:left="1680"/>
    </w:pPr>
  </w:style>
  <w:style w:type="paragraph" w:styleId="7">
    <w:name w:val="index 6"/>
    <w:basedOn w:val="1"/>
    <w:next w:val="1"/>
    <w:qFormat/>
    <w:uiPriority w:val="0"/>
    <w:pPr>
      <w:ind w:left="2100"/>
    </w:pPr>
  </w:style>
  <w:style w:type="paragraph" w:styleId="8">
    <w:name w:val="Body Text"/>
    <w:basedOn w:val="1"/>
    <w:next w:val="1"/>
    <w:qFormat/>
    <w:uiPriority w:val="0"/>
    <w:pPr>
      <w:spacing w:before="100" w:beforeAutospacing="1" w:after="120"/>
    </w:pPr>
  </w:style>
  <w:style w:type="paragraph" w:styleId="9">
    <w:name w:val="Body Text Indent"/>
    <w:basedOn w:val="1"/>
    <w:qFormat/>
    <w:uiPriority w:val="0"/>
    <w:pPr>
      <w:spacing w:after="120"/>
      <w:ind w:left="200" w:leftChars="200"/>
    </w:p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cs="Times New Roman"/>
      <w:kern w:val="0"/>
      <w:sz w:val="24"/>
    </w:rPr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5">
    <w:name w:val="Body Text First Indent 2"/>
    <w:basedOn w:val="9"/>
    <w:qFormat/>
    <w:uiPriority w:val="0"/>
    <w:pPr>
      <w:ind w:firstLine="200" w:firstLineChars="200"/>
    </w:pPr>
  </w:style>
  <w:style w:type="character" w:styleId="18">
    <w:name w:val="FollowedHyperlink"/>
    <w:basedOn w:val="17"/>
    <w:qFormat/>
    <w:uiPriority w:val="0"/>
    <w:rPr>
      <w:color w:val="800080"/>
      <w:u w:val="single"/>
    </w:rPr>
  </w:style>
  <w:style w:type="character" w:styleId="19">
    <w:name w:val="Hyperlink"/>
    <w:basedOn w:val="17"/>
    <w:qFormat/>
    <w:uiPriority w:val="0"/>
    <w:rPr>
      <w:color w:val="0000FF"/>
      <w:u w:val="single"/>
    </w:rPr>
  </w:style>
  <w:style w:type="paragraph" w:customStyle="1" w:styleId="20">
    <w:name w:val="正文 New"/>
    <w:next w:val="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图表目录1"/>
    <w:basedOn w:val="20"/>
    <w:next w:val="1"/>
    <w:qFormat/>
    <w:uiPriority w:val="0"/>
    <w:pPr>
      <w:ind w:left="400" w:leftChars="200" w:hanging="200" w:hangingChars="200"/>
    </w:pPr>
    <w:rPr>
      <w:rFonts w:eastAsia="仿宋_GB2312"/>
      <w:sz w:val="32"/>
    </w:rPr>
  </w:style>
  <w:style w:type="paragraph" w:customStyle="1" w:styleId="22">
    <w:name w:val="四号正文"/>
    <w:next w:val="11"/>
    <w:qFormat/>
    <w:uiPriority w:val="0"/>
    <w:pPr>
      <w:widowControl w:val="0"/>
      <w:spacing w:line="360" w:lineRule="auto"/>
      <w:jc w:val="both"/>
    </w:pPr>
    <w:rPr>
      <w:rFonts w:ascii="??" w:hAnsi="??" w:eastAsia="宋体" w:cs="Times New Roman"/>
      <w:color w:val="000000"/>
      <w:kern w:val="0"/>
      <w:sz w:val="28"/>
      <w:szCs w:val="21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4</Pages>
  <Words>1397</Words>
  <Characters>1558</Characters>
  <Lines>87</Lines>
  <Paragraphs>30</Paragraphs>
  <TotalTime>35</TotalTime>
  <ScaleCrop>false</ScaleCrop>
  <LinksUpToDate>false</LinksUpToDate>
  <CharactersWithSpaces>1654</CharactersWithSpaces>
  <Application>WPS Office_12.8.2.18913_F1E327BC-269C-435d-A152-05C5408002CA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2021-08-26T10:04:00Z</dcterms:created>
  <dc:creator>白</dc:creator>
  <cp:lastModifiedBy>是小星星呀！</cp:lastModifiedBy>
  <cp:lastPrinted>2025-03-19T07:17:00Z</cp:lastPrinted>
  <dcterms:modified xsi:type="dcterms:W3CDTF">2026-04-17T06:10:52Z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6C76BA6B1D144CEB91D561BBE5EBE3FB_13</vt:lpwstr>
  </property>
</Properties>
</file>