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F5838">
      <w:pPr>
        <w:widowControl/>
        <w:spacing w:line="618" w:lineRule="exact"/>
        <w:ind w:left="0" w:leftChars="0" w:firstLine="638" w:firstLineChars="145"/>
        <w:contextualSpacing/>
        <w:jc w:val="center"/>
        <w:outlineLvl w:val="0"/>
        <w:rPr>
          <w:rFonts w:hint="default" w:eastAsia="方正小标宋简体"/>
          <w:bCs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eastAsia="方正小标宋简体"/>
          <w:bCs/>
          <w:color w:val="auto"/>
          <w:sz w:val="44"/>
          <w:szCs w:val="44"/>
          <w:highlight w:val="none"/>
          <w:shd w:val="clear" w:color="auto" w:fill="FFFFFF"/>
        </w:rPr>
        <w:t>阿坝藏族羌族自治州</w:t>
      </w:r>
      <w:r>
        <w:rPr>
          <w:rFonts w:hint="eastAsia" w:eastAsia="方正小标宋简体"/>
          <w:bCs/>
          <w:color w:val="auto"/>
          <w:sz w:val="44"/>
          <w:szCs w:val="44"/>
          <w:highlight w:val="none"/>
          <w:shd w:val="clear" w:color="auto" w:fill="FFFFFF"/>
          <w:lang w:val="en-US" w:eastAsia="zh-CN"/>
        </w:rPr>
        <w:t>林业和草原局</w:t>
      </w:r>
    </w:p>
    <w:p w14:paraId="49612D37">
      <w:pPr>
        <w:widowControl/>
        <w:spacing w:line="618" w:lineRule="exact"/>
        <w:ind w:left="0" w:leftChars="0" w:firstLine="638" w:firstLineChars="145"/>
        <w:contextualSpacing/>
        <w:jc w:val="center"/>
        <w:outlineLvl w:val="0"/>
        <w:rPr>
          <w:color w:val="auto"/>
          <w:highlight w:val="none"/>
        </w:rPr>
      </w:pPr>
      <w:r>
        <w:rPr>
          <w:rFonts w:eastAsia="方正小标宋简体"/>
          <w:bCs/>
          <w:color w:val="auto"/>
          <w:sz w:val="44"/>
          <w:szCs w:val="44"/>
          <w:highlight w:val="none"/>
          <w:shd w:val="clear" w:color="auto" w:fill="FFFFFF"/>
        </w:rPr>
        <w:t>部门预算绩效</w:t>
      </w:r>
      <w:r>
        <w:rPr>
          <w:rFonts w:hint="eastAsia" w:eastAsia="方正小标宋简体"/>
          <w:bCs/>
          <w:color w:val="auto"/>
          <w:sz w:val="44"/>
          <w:szCs w:val="44"/>
          <w:highlight w:val="none"/>
          <w:shd w:val="clear" w:color="auto" w:fill="FFFFFF"/>
        </w:rPr>
        <w:t>自评</w:t>
      </w:r>
      <w:r>
        <w:rPr>
          <w:rFonts w:eastAsia="方正小标宋简体"/>
          <w:bCs/>
          <w:color w:val="auto"/>
          <w:sz w:val="44"/>
          <w:szCs w:val="44"/>
          <w:highlight w:val="none"/>
          <w:shd w:val="clear" w:color="auto" w:fill="FFFFFF"/>
        </w:rPr>
        <w:t>报告</w:t>
      </w:r>
    </w:p>
    <w:p w14:paraId="7F68200E">
      <w:pPr>
        <w:widowControl/>
        <w:adjustRightInd w:val="0"/>
        <w:snapToGrid w:val="0"/>
        <w:spacing w:line="578" w:lineRule="exact"/>
        <w:ind w:firstLine="640" w:firstLineChars="200"/>
        <w:contextualSpacing/>
        <w:jc w:val="left"/>
        <w:rPr>
          <w:rFonts w:eastAsia="黑体"/>
          <w:color w:val="auto"/>
          <w:kern w:val="0"/>
          <w:szCs w:val="32"/>
          <w:highlight w:val="none"/>
          <w:shd w:val="clear" w:color="auto" w:fill="FFFFFF"/>
          <w:lang w:val="zh-CN"/>
        </w:rPr>
      </w:pPr>
    </w:p>
    <w:p w14:paraId="6F75B882">
      <w:pPr>
        <w:widowControl/>
        <w:adjustRightInd w:val="0"/>
        <w:snapToGrid w:val="0"/>
        <w:spacing w:line="578" w:lineRule="exact"/>
        <w:ind w:firstLine="640" w:firstLineChars="200"/>
        <w:contextualSpacing/>
        <w:jc w:val="left"/>
        <w:outlineLvl w:val="0"/>
        <w:rPr>
          <w:color w:val="auto"/>
          <w:szCs w:val="32"/>
          <w:highlight w:val="none"/>
        </w:rPr>
      </w:pPr>
      <w:r>
        <w:rPr>
          <w:rFonts w:eastAsia="黑体"/>
          <w:color w:val="auto"/>
          <w:kern w:val="0"/>
          <w:szCs w:val="32"/>
          <w:highlight w:val="none"/>
          <w:shd w:val="clear" w:color="auto" w:fill="FFFFFF"/>
          <w:lang w:val="zh-CN"/>
        </w:rPr>
        <w:t>一、部门（单位）基本情况</w:t>
      </w:r>
    </w:p>
    <w:p w14:paraId="4BA7EACE">
      <w:pPr>
        <w:widowControl/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（一）机构组成。</w:t>
      </w:r>
    </w:p>
    <w:p w14:paraId="090AABC9">
      <w:pPr>
        <w:widowControl/>
        <w:adjustRightInd w:val="0"/>
        <w:snapToGrid w:val="0"/>
        <w:spacing w:line="578" w:lineRule="exact"/>
        <w:ind w:left="320" w:leftChars="100" w:firstLine="320" w:firstLineChars="100"/>
        <w:contextualSpacing/>
        <w:rPr>
          <w:rFonts w:hint="eastAsia"/>
          <w:color w:val="auto"/>
          <w:szCs w:val="32"/>
          <w:highlight w:val="none"/>
          <w:lang w:eastAsia="zh-CN"/>
        </w:rPr>
      </w:pPr>
      <w:r>
        <w:rPr>
          <w:rFonts w:hint="eastAsia"/>
          <w:color w:val="auto"/>
          <w:szCs w:val="32"/>
          <w:highlight w:val="none"/>
          <w:lang w:eastAsia="zh-CN"/>
        </w:rPr>
        <w:t>阿坝藏族羌族自治州林业和草原局由领导班子统筹全局，下</w:t>
      </w:r>
    </w:p>
    <w:p w14:paraId="2E26561E">
      <w:pPr>
        <w:widowControl/>
        <w:adjustRightInd w:val="0"/>
        <w:snapToGrid w:val="0"/>
        <w:spacing w:line="578" w:lineRule="exact"/>
        <w:contextualSpacing/>
        <w:rPr>
          <w:rFonts w:hint="eastAsia"/>
          <w:color w:val="auto"/>
          <w:szCs w:val="32"/>
          <w:highlight w:val="none"/>
          <w:lang w:val="en-US" w:eastAsia="zh-CN"/>
        </w:rPr>
      </w:pPr>
      <w:r>
        <w:rPr>
          <w:rFonts w:hint="eastAsia"/>
          <w:color w:val="auto"/>
          <w:szCs w:val="32"/>
          <w:highlight w:val="none"/>
          <w:lang w:eastAsia="zh-CN"/>
        </w:rPr>
        <w:t>设办公室、生态保护修复科、草原管理科等职能科室，负责森林草原资源保护、生态修复和灾害防治等工作，并管理林业发展中心、防火监测中心等事业单位，形成覆盖全州的林草资源管理与生态保护体系。</w:t>
      </w:r>
    </w:p>
    <w:p w14:paraId="5FF86A2B">
      <w:pPr>
        <w:widowControl/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color w:val="auto"/>
          <w:szCs w:val="32"/>
          <w:highlight w:val="none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（二）机构职能。</w:t>
      </w:r>
    </w:p>
    <w:p w14:paraId="4EB6ADAE">
      <w:pPr>
        <w:adjustRightInd w:val="0"/>
        <w:snapToGrid w:val="0"/>
        <w:spacing w:line="578" w:lineRule="exact"/>
        <w:ind w:left="320" w:leftChars="100" w:firstLine="320" w:firstLineChars="100"/>
        <w:outlineLvl w:val="2"/>
        <w:rPr>
          <w:rFonts w:hint="eastAsia"/>
          <w:color w:val="auto"/>
          <w:szCs w:val="32"/>
          <w:highlight w:val="none"/>
        </w:rPr>
      </w:pPr>
      <w:r>
        <w:rPr>
          <w:rFonts w:hint="eastAsia"/>
          <w:color w:val="auto"/>
          <w:szCs w:val="32"/>
          <w:highlight w:val="none"/>
        </w:rPr>
        <w:t>阿坝藏族羌族自治州林业和草原局是负责全州林业和草原</w:t>
      </w:r>
    </w:p>
    <w:p w14:paraId="79B4C7D5">
      <w:pPr>
        <w:adjustRightInd w:val="0"/>
        <w:snapToGrid w:val="0"/>
        <w:spacing w:line="578" w:lineRule="exact"/>
        <w:outlineLvl w:val="2"/>
        <w:rPr>
          <w:color w:val="auto"/>
          <w:highlight w:val="none"/>
          <w:lang w:val="zh-CN"/>
        </w:rPr>
      </w:pPr>
      <w:r>
        <w:rPr>
          <w:rFonts w:hint="eastAsia"/>
          <w:color w:val="auto"/>
          <w:szCs w:val="32"/>
          <w:highlight w:val="none"/>
        </w:rPr>
        <w:t>资源保护管理的行政主管部门，主要承担森林、草原、湿地和自然保护地的生态保护修复与监督管理工作。具体负责组织实施国土绿化、生态修复工程，监督管理森林草原资源，开展森林草原防火和有害生物防治，推进国家公园建设与管理，指导林草产业发展和生态扶贫工作，并依法行使林业和草原行政执法职责，为维护长江黄河上游生态屏障安全提供重要保障。</w:t>
      </w:r>
    </w:p>
    <w:p w14:paraId="506E60D3">
      <w:pPr>
        <w:spacing w:line="578" w:lineRule="exact"/>
        <w:ind w:firstLine="643" w:firstLineChars="200"/>
        <w:outlineLvl w:val="1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（三）人员概况。</w:t>
      </w:r>
    </w:p>
    <w:p w14:paraId="118E7E52">
      <w:pPr>
        <w:adjustRightInd w:val="0"/>
        <w:snapToGrid w:val="0"/>
        <w:spacing w:line="578" w:lineRule="exact"/>
        <w:ind w:left="320" w:leftChars="100" w:firstLine="320" w:firstLineChars="100"/>
        <w:rPr>
          <w:rFonts w:hint="eastAsia"/>
          <w:color w:val="auto"/>
          <w:szCs w:val="32"/>
          <w:highlight w:val="none"/>
        </w:rPr>
      </w:pPr>
      <w:r>
        <w:rPr>
          <w:color w:val="auto"/>
          <w:szCs w:val="32"/>
          <w:highlight w:val="none"/>
        </w:rPr>
        <w:t>截至202</w:t>
      </w:r>
      <w:r>
        <w:rPr>
          <w:rFonts w:hint="eastAsia"/>
          <w:color w:val="auto"/>
          <w:szCs w:val="32"/>
          <w:highlight w:val="none"/>
        </w:rPr>
        <w:t>4</w:t>
      </w:r>
      <w:r>
        <w:rPr>
          <w:color w:val="auto"/>
          <w:szCs w:val="32"/>
          <w:highlight w:val="none"/>
        </w:rPr>
        <w:t>年末</w:t>
      </w:r>
      <w:r>
        <w:rPr>
          <w:rFonts w:hint="eastAsia"/>
          <w:color w:val="auto"/>
          <w:szCs w:val="32"/>
          <w:highlight w:val="none"/>
        </w:rPr>
        <w:t>，我部门编制内年末实有人数</w:t>
      </w:r>
      <w:r>
        <w:rPr>
          <w:rFonts w:hint="eastAsia"/>
          <w:color w:val="auto"/>
          <w:szCs w:val="32"/>
          <w:highlight w:val="none"/>
          <w:lang w:val="en-US" w:eastAsia="zh-CN"/>
        </w:rPr>
        <w:t>106</w:t>
      </w:r>
      <w:r>
        <w:rPr>
          <w:rFonts w:hint="eastAsia"/>
          <w:color w:val="auto"/>
          <w:szCs w:val="32"/>
          <w:highlight w:val="none"/>
        </w:rPr>
        <w:t>人，其中</w:t>
      </w:r>
    </w:p>
    <w:p w14:paraId="4BF6DAB6">
      <w:pPr>
        <w:adjustRightInd w:val="0"/>
        <w:snapToGrid w:val="0"/>
        <w:spacing w:line="578" w:lineRule="exact"/>
        <w:rPr>
          <w:color w:val="auto"/>
          <w:szCs w:val="32"/>
          <w:highlight w:val="none"/>
        </w:rPr>
      </w:pPr>
      <w:r>
        <w:rPr>
          <w:rFonts w:hint="eastAsia"/>
          <w:color w:val="auto"/>
          <w:szCs w:val="32"/>
          <w:highlight w:val="none"/>
        </w:rPr>
        <w:t>公务员</w:t>
      </w:r>
      <w:r>
        <w:rPr>
          <w:rFonts w:hint="eastAsia"/>
          <w:color w:val="auto"/>
          <w:szCs w:val="32"/>
          <w:highlight w:val="none"/>
          <w:lang w:val="en-US" w:eastAsia="zh-CN"/>
        </w:rPr>
        <w:t>33</w:t>
      </w:r>
      <w:r>
        <w:rPr>
          <w:rFonts w:hint="eastAsia"/>
          <w:color w:val="auto"/>
          <w:szCs w:val="32"/>
          <w:highlight w:val="none"/>
        </w:rPr>
        <w:t>人、参照公务员法管理事业人员</w:t>
      </w:r>
      <w:r>
        <w:rPr>
          <w:rFonts w:hint="eastAsia"/>
          <w:color w:val="auto"/>
          <w:szCs w:val="32"/>
          <w:highlight w:val="none"/>
          <w:lang w:val="en-US" w:eastAsia="zh-CN"/>
        </w:rPr>
        <w:t>5</w:t>
      </w:r>
      <w:r>
        <w:rPr>
          <w:rFonts w:hint="eastAsia"/>
          <w:color w:val="auto"/>
          <w:szCs w:val="32"/>
          <w:highlight w:val="none"/>
        </w:rPr>
        <w:t>人、事业管理人员和专业技术人员</w:t>
      </w:r>
      <w:r>
        <w:rPr>
          <w:rFonts w:hint="eastAsia"/>
          <w:color w:val="auto"/>
          <w:szCs w:val="32"/>
          <w:highlight w:val="none"/>
          <w:lang w:val="en-US" w:eastAsia="zh-CN"/>
        </w:rPr>
        <w:t>57</w:t>
      </w:r>
      <w:r>
        <w:rPr>
          <w:rFonts w:hint="eastAsia"/>
          <w:color w:val="auto"/>
          <w:szCs w:val="32"/>
          <w:highlight w:val="none"/>
        </w:rPr>
        <w:t>人、机关和事业工人</w:t>
      </w:r>
      <w:r>
        <w:rPr>
          <w:rFonts w:hint="eastAsia"/>
          <w:color w:val="auto"/>
          <w:szCs w:val="32"/>
          <w:highlight w:val="none"/>
          <w:lang w:val="en-US" w:eastAsia="zh-CN"/>
        </w:rPr>
        <w:t>11</w:t>
      </w:r>
      <w:r>
        <w:rPr>
          <w:rFonts w:hint="eastAsia"/>
          <w:color w:val="auto"/>
          <w:szCs w:val="32"/>
          <w:highlight w:val="none"/>
        </w:rPr>
        <w:t>人。</w:t>
      </w:r>
    </w:p>
    <w:p w14:paraId="5E66C6EB">
      <w:pPr>
        <w:widowControl/>
        <w:adjustRightInd w:val="0"/>
        <w:snapToGrid w:val="0"/>
        <w:spacing w:line="578" w:lineRule="exact"/>
        <w:ind w:firstLine="640" w:firstLineChars="200"/>
        <w:contextualSpacing/>
        <w:jc w:val="left"/>
        <w:outlineLvl w:val="0"/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  <w:t>二、部门资金收支情况</w:t>
      </w:r>
    </w:p>
    <w:p w14:paraId="1696E532">
      <w:pPr>
        <w:widowControl/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（一）收入情况。</w:t>
      </w:r>
    </w:p>
    <w:p w14:paraId="7B2CEB1D">
      <w:pPr>
        <w:widowControl/>
        <w:adjustRightInd w:val="0"/>
        <w:snapToGrid w:val="0"/>
        <w:spacing w:line="578" w:lineRule="exact"/>
        <w:ind w:left="320" w:leftChars="100" w:firstLine="320" w:firstLineChars="100"/>
        <w:contextualSpacing/>
        <w:jc w:val="left"/>
        <w:rPr>
          <w:color w:val="auto"/>
          <w:highlight w:val="none"/>
        </w:rPr>
      </w:pPr>
      <w:r>
        <w:rPr>
          <w:color w:val="auto"/>
          <w:highlight w:val="none"/>
        </w:rPr>
        <w:t>本部门202</w:t>
      </w:r>
      <w:r>
        <w:rPr>
          <w:rFonts w:hint="eastAsia"/>
          <w:color w:val="auto"/>
          <w:highlight w:val="none"/>
        </w:rPr>
        <w:t>4</w:t>
      </w:r>
      <w:r>
        <w:rPr>
          <w:color w:val="auto"/>
          <w:highlight w:val="none"/>
        </w:rPr>
        <w:t>年年初预算收入</w:t>
      </w:r>
      <w:r>
        <w:rPr>
          <w:rFonts w:hint="eastAsia"/>
          <w:color w:val="auto"/>
          <w:highlight w:val="none"/>
          <w:lang w:val="en-US" w:eastAsia="zh-CN"/>
        </w:rPr>
        <w:t>7378.14</w:t>
      </w:r>
      <w:r>
        <w:rPr>
          <w:color w:val="auto"/>
          <w:highlight w:val="none"/>
        </w:rPr>
        <w:t>万元，决算报表收入</w:t>
      </w:r>
    </w:p>
    <w:p w14:paraId="5DB5EC76">
      <w:pPr>
        <w:widowControl/>
        <w:adjustRightInd w:val="0"/>
        <w:snapToGrid w:val="0"/>
        <w:spacing w:line="578" w:lineRule="exact"/>
        <w:contextualSpacing/>
        <w:jc w:val="left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hint="eastAsia"/>
          <w:color w:val="auto"/>
          <w:highlight w:val="none"/>
          <w:lang w:val="en-US" w:eastAsia="zh-CN"/>
        </w:rPr>
        <w:t>40182.82</w:t>
      </w:r>
      <w:r>
        <w:rPr>
          <w:color w:val="auto"/>
          <w:highlight w:val="none"/>
        </w:rPr>
        <w:t>万元。其中：上年结转</w:t>
      </w:r>
      <w:r>
        <w:rPr>
          <w:rFonts w:hint="eastAsia"/>
          <w:color w:val="auto"/>
          <w:highlight w:val="none"/>
          <w:lang w:val="en-US" w:eastAsia="zh-CN"/>
        </w:rPr>
        <w:t>12.51</w:t>
      </w:r>
      <w:r>
        <w:rPr>
          <w:color w:val="auto"/>
          <w:highlight w:val="none"/>
        </w:rPr>
        <w:t>万元，占</w:t>
      </w:r>
      <w:r>
        <w:rPr>
          <w:rFonts w:hint="eastAsia"/>
          <w:color w:val="auto"/>
          <w:highlight w:val="none"/>
          <w:lang w:val="en-US" w:eastAsia="zh-CN"/>
        </w:rPr>
        <w:t>0.03%</w:t>
      </w:r>
      <w:r>
        <w:rPr>
          <w:rFonts w:eastAsia="宋体"/>
          <w:color w:val="auto"/>
          <w:highlight w:val="none"/>
          <w:lang w:val="en"/>
        </w:rPr>
        <w:t>；</w:t>
      </w:r>
      <w:r>
        <w:rPr>
          <w:color w:val="auto"/>
          <w:highlight w:val="none"/>
        </w:rPr>
        <w:t>一般公共预算拨款收入</w:t>
      </w:r>
      <w:r>
        <w:rPr>
          <w:rFonts w:hint="eastAsia"/>
          <w:color w:val="auto"/>
          <w:highlight w:val="none"/>
        </w:rPr>
        <w:t>373</w:t>
      </w:r>
      <w:r>
        <w:rPr>
          <w:rFonts w:hint="eastAsia"/>
          <w:color w:val="auto"/>
          <w:highlight w:val="none"/>
          <w:lang w:val="en-US" w:eastAsia="zh-CN"/>
        </w:rPr>
        <w:t>7</w:t>
      </w:r>
      <w:r>
        <w:rPr>
          <w:rFonts w:hint="eastAsia"/>
          <w:color w:val="auto"/>
          <w:highlight w:val="none"/>
        </w:rPr>
        <w:t>46</w:t>
      </w:r>
      <w:r>
        <w:rPr>
          <w:rFonts w:hint="eastAsia"/>
          <w:color w:val="auto"/>
          <w:highlight w:val="none"/>
          <w:lang w:val="en-US" w:eastAsia="zh-CN"/>
        </w:rPr>
        <w:t>.</w:t>
      </w:r>
      <w:r>
        <w:rPr>
          <w:rFonts w:hint="eastAsia"/>
          <w:color w:val="auto"/>
          <w:highlight w:val="none"/>
        </w:rPr>
        <w:t>5</w:t>
      </w:r>
      <w:r>
        <w:rPr>
          <w:rFonts w:hint="eastAsia"/>
          <w:color w:val="auto"/>
          <w:highlight w:val="none"/>
          <w:lang w:val="en-US" w:eastAsia="zh-CN"/>
        </w:rPr>
        <w:t>7</w:t>
      </w:r>
      <w:r>
        <w:rPr>
          <w:color w:val="auto"/>
          <w:highlight w:val="none"/>
        </w:rPr>
        <w:t>万元，占</w:t>
      </w:r>
      <w:r>
        <w:rPr>
          <w:rFonts w:hint="eastAsia" w:eastAsia="宋体"/>
          <w:color w:val="auto"/>
          <w:highlight w:val="none"/>
          <w:lang w:val="en-US" w:eastAsia="zh-CN"/>
        </w:rPr>
        <w:t>92.94</w:t>
      </w:r>
      <w:r>
        <w:rPr>
          <w:rFonts w:eastAsia="Times New Roman"/>
          <w:color w:val="auto"/>
          <w:highlight w:val="none"/>
          <w:lang w:val="en"/>
        </w:rPr>
        <w:t>%</w:t>
      </w:r>
      <w:r>
        <w:rPr>
          <w:color w:val="auto"/>
          <w:highlight w:val="none"/>
          <w:lang w:val="en"/>
        </w:rPr>
        <w:t>；</w:t>
      </w:r>
      <w:r>
        <w:rPr>
          <w:rFonts w:hint="eastAsia"/>
          <w:color w:val="auto"/>
          <w:highlight w:val="none"/>
        </w:rPr>
        <w:t>事业收入</w:t>
      </w:r>
      <w:r>
        <w:rPr>
          <w:rFonts w:hint="eastAsia"/>
          <w:color w:val="auto"/>
          <w:highlight w:val="none"/>
          <w:lang w:val="en-US" w:eastAsia="zh-CN"/>
        </w:rPr>
        <w:t>0.00</w:t>
      </w:r>
      <w:r>
        <w:rPr>
          <w:rFonts w:hint="eastAsia"/>
          <w:color w:val="auto"/>
          <w:highlight w:val="none"/>
        </w:rPr>
        <w:t>万元，占</w:t>
      </w:r>
      <w:r>
        <w:rPr>
          <w:rFonts w:hint="eastAsia"/>
          <w:color w:val="auto"/>
          <w:highlight w:val="none"/>
          <w:lang w:val="en-US" w:eastAsia="zh-CN"/>
        </w:rPr>
        <w:t>0.00</w:t>
      </w:r>
      <w:r>
        <w:rPr>
          <w:rFonts w:hint="eastAsia"/>
          <w:color w:val="auto"/>
          <w:highlight w:val="none"/>
        </w:rPr>
        <w:t>%；</w:t>
      </w:r>
      <w:r>
        <w:rPr>
          <w:color w:val="auto"/>
          <w:highlight w:val="none"/>
        </w:rPr>
        <w:t>其他收入</w:t>
      </w:r>
      <w:r>
        <w:rPr>
          <w:rFonts w:hint="eastAsia"/>
          <w:color w:val="auto"/>
          <w:highlight w:val="none"/>
          <w:lang w:val="en-US" w:eastAsia="zh-CN"/>
        </w:rPr>
        <w:t>23.75</w:t>
      </w:r>
      <w:r>
        <w:rPr>
          <w:color w:val="auto"/>
          <w:highlight w:val="none"/>
        </w:rPr>
        <w:t>万元，占</w:t>
      </w:r>
      <w:r>
        <w:rPr>
          <w:rFonts w:hint="eastAsia"/>
          <w:color w:val="auto"/>
          <w:highlight w:val="none"/>
          <w:lang w:val="en-US" w:eastAsia="zh-CN"/>
        </w:rPr>
        <w:t>0.10</w:t>
      </w:r>
      <w:r>
        <w:rPr>
          <w:rFonts w:eastAsia="Times New Roman"/>
          <w:color w:val="auto"/>
          <w:highlight w:val="none"/>
          <w:lang w:val="en"/>
        </w:rPr>
        <w:t>%</w:t>
      </w:r>
      <w:r>
        <w:rPr>
          <w:rFonts w:eastAsia="宋体"/>
          <w:color w:val="auto"/>
          <w:highlight w:val="none"/>
          <w:lang w:val="en"/>
        </w:rPr>
        <w:t>。</w:t>
      </w:r>
    </w:p>
    <w:p w14:paraId="14D70DB5">
      <w:pPr>
        <w:tabs>
          <w:tab w:val="left" w:pos="982"/>
        </w:tabs>
        <w:adjustRightInd w:val="0"/>
        <w:snapToGrid w:val="0"/>
        <w:spacing w:line="578" w:lineRule="exact"/>
        <w:ind w:firstLine="643" w:firstLineChars="200"/>
        <w:outlineLvl w:val="1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（二）支出情况。</w:t>
      </w:r>
    </w:p>
    <w:p w14:paraId="654DD951">
      <w:pPr>
        <w:tabs>
          <w:tab w:val="left" w:pos="982"/>
        </w:tabs>
        <w:adjustRightInd w:val="0"/>
        <w:snapToGrid w:val="0"/>
        <w:spacing w:line="578" w:lineRule="exact"/>
        <w:ind w:left="320" w:leftChars="100" w:firstLine="320" w:firstLineChars="100"/>
        <w:rPr>
          <w:color w:val="auto"/>
          <w:highlight w:val="none"/>
        </w:rPr>
      </w:pPr>
      <w:r>
        <w:rPr>
          <w:color w:val="auto"/>
          <w:highlight w:val="none"/>
        </w:rPr>
        <w:t>本部门202</w:t>
      </w:r>
      <w:r>
        <w:rPr>
          <w:rFonts w:hint="eastAsia"/>
          <w:color w:val="auto"/>
          <w:highlight w:val="none"/>
        </w:rPr>
        <w:t>4</w:t>
      </w:r>
      <w:r>
        <w:rPr>
          <w:color w:val="auto"/>
          <w:highlight w:val="none"/>
        </w:rPr>
        <w:t>年年初预算支出</w:t>
      </w:r>
      <w:r>
        <w:rPr>
          <w:rFonts w:hint="eastAsia"/>
          <w:color w:val="auto"/>
          <w:highlight w:val="none"/>
          <w:lang w:val="en-US" w:eastAsia="zh-CN"/>
        </w:rPr>
        <w:t>7378.14</w:t>
      </w:r>
      <w:r>
        <w:rPr>
          <w:color w:val="auto"/>
          <w:highlight w:val="none"/>
          <w:lang w:val="en"/>
        </w:rPr>
        <w:t>万</w:t>
      </w:r>
      <w:r>
        <w:rPr>
          <w:color w:val="auto"/>
          <w:highlight w:val="none"/>
        </w:rPr>
        <w:t>元，决算报表支出</w:t>
      </w:r>
    </w:p>
    <w:p w14:paraId="2F05494B">
      <w:pPr>
        <w:tabs>
          <w:tab w:val="left" w:pos="982"/>
        </w:tabs>
        <w:adjustRightInd w:val="0"/>
        <w:snapToGrid w:val="0"/>
        <w:spacing w:line="578" w:lineRule="exact"/>
        <w:rPr>
          <w:color w:val="auto"/>
          <w:highlight w:val="none"/>
          <w:lang w:val="zh-CN"/>
        </w:rPr>
      </w:pPr>
      <w:r>
        <w:rPr>
          <w:rFonts w:hint="eastAsia"/>
          <w:color w:val="auto"/>
          <w:highlight w:val="none"/>
          <w:lang w:val="en-US" w:eastAsia="zh-CN"/>
        </w:rPr>
        <w:t>40182.82</w:t>
      </w:r>
      <w:r>
        <w:rPr>
          <w:color w:val="auto"/>
          <w:highlight w:val="none"/>
          <w:lang w:val="en"/>
        </w:rPr>
        <w:t>万</w:t>
      </w:r>
      <w:r>
        <w:rPr>
          <w:color w:val="auto"/>
          <w:highlight w:val="none"/>
        </w:rPr>
        <w:t>元。其中：基本支出</w:t>
      </w:r>
      <w:r>
        <w:rPr>
          <w:rFonts w:hint="eastAsia" w:eastAsia="宋体"/>
          <w:color w:val="auto"/>
          <w:highlight w:val="none"/>
          <w:lang w:val="en-US" w:eastAsia="zh-CN"/>
        </w:rPr>
        <w:t>3704.23</w:t>
      </w:r>
      <w:r>
        <w:rPr>
          <w:color w:val="auto"/>
          <w:highlight w:val="none"/>
        </w:rPr>
        <w:t>万元，占</w:t>
      </w:r>
      <w:r>
        <w:rPr>
          <w:rFonts w:hint="eastAsia" w:eastAsia="宋体"/>
          <w:color w:val="auto"/>
          <w:highlight w:val="none"/>
        </w:rPr>
        <w:t>9</w:t>
      </w:r>
      <w:r>
        <w:rPr>
          <w:rFonts w:hint="eastAsia" w:eastAsia="宋体"/>
          <w:color w:val="auto"/>
          <w:highlight w:val="none"/>
          <w:lang w:val="en-US" w:eastAsia="zh-CN"/>
        </w:rPr>
        <w:t>.22</w:t>
      </w:r>
      <w:r>
        <w:rPr>
          <w:rFonts w:hint="eastAsia" w:eastAsia="宋体"/>
          <w:color w:val="auto"/>
          <w:highlight w:val="none"/>
        </w:rPr>
        <w:t>%</w:t>
      </w:r>
      <w:r>
        <w:rPr>
          <w:color w:val="auto"/>
          <w:highlight w:val="none"/>
          <w:lang w:val="en"/>
        </w:rPr>
        <w:t>；</w:t>
      </w:r>
      <w:r>
        <w:rPr>
          <w:color w:val="auto"/>
          <w:highlight w:val="none"/>
        </w:rPr>
        <w:t>项目支出</w:t>
      </w:r>
      <w:r>
        <w:rPr>
          <w:rFonts w:hint="eastAsia" w:eastAsia="宋体"/>
          <w:color w:val="auto"/>
          <w:highlight w:val="none"/>
          <w:lang w:val="en-US" w:eastAsia="zh-CN"/>
        </w:rPr>
        <w:t>36454.29</w:t>
      </w:r>
      <w:r>
        <w:rPr>
          <w:color w:val="auto"/>
          <w:highlight w:val="none"/>
        </w:rPr>
        <w:t>万元，占</w:t>
      </w:r>
      <w:r>
        <w:rPr>
          <w:rFonts w:hint="eastAsia" w:eastAsia="宋体"/>
          <w:color w:val="auto"/>
          <w:highlight w:val="none"/>
          <w:lang w:val="en-US" w:eastAsia="zh-CN"/>
        </w:rPr>
        <w:t>90.72</w:t>
      </w:r>
      <w:r>
        <w:rPr>
          <w:rFonts w:hint="eastAsia" w:eastAsia="宋体"/>
          <w:color w:val="auto"/>
          <w:highlight w:val="none"/>
        </w:rPr>
        <w:t>%</w:t>
      </w:r>
      <w:r>
        <w:rPr>
          <w:color w:val="auto"/>
          <w:highlight w:val="none"/>
        </w:rPr>
        <w:t>。</w:t>
      </w:r>
    </w:p>
    <w:p w14:paraId="17C6DDBD">
      <w:pPr>
        <w:widowControl/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rFonts w:eastAsia="楷体_GB2312"/>
          <w:b/>
          <w:color w:val="auto"/>
          <w:szCs w:val="32"/>
          <w:highlight w:val="none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（三）</w:t>
      </w:r>
      <w:r>
        <w:rPr>
          <w:rFonts w:eastAsia="楷体_GB2312"/>
          <w:b/>
          <w:color w:val="auto"/>
          <w:szCs w:val="32"/>
          <w:highlight w:val="none"/>
        </w:rPr>
        <w:t>结余分配和结转结余情况。</w:t>
      </w:r>
    </w:p>
    <w:p w14:paraId="56E4EBEC">
      <w:pPr>
        <w:adjustRightInd w:val="0"/>
        <w:snapToGrid w:val="0"/>
        <w:spacing w:line="578" w:lineRule="exact"/>
        <w:ind w:left="320" w:leftChars="100" w:firstLine="320" w:firstLineChars="100"/>
        <w:rPr>
          <w:rFonts w:hint="eastAsia"/>
          <w:color w:val="auto"/>
          <w:kern w:val="0"/>
          <w:highlight w:val="none"/>
          <w:shd w:val="clear" w:color="auto" w:fill="FFFFFF"/>
          <w:lang w:eastAsia="zh-CN"/>
        </w:rPr>
      </w:pPr>
      <w:r>
        <w:rPr>
          <w:color w:val="auto"/>
          <w:kern w:val="0"/>
          <w:highlight w:val="none"/>
          <w:shd w:val="clear" w:color="auto" w:fill="FFFFFF"/>
        </w:rPr>
        <w:t>结余分配情况：</w:t>
      </w:r>
      <w:r>
        <w:rPr>
          <w:color w:val="auto"/>
          <w:highlight w:val="none"/>
        </w:rPr>
        <w:t>本部门202</w:t>
      </w:r>
      <w:r>
        <w:rPr>
          <w:rFonts w:hint="eastAsia"/>
          <w:color w:val="auto"/>
          <w:highlight w:val="none"/>
        </w:rPr>
        <w:t>4</w:t>
      </w:r>
      <w:r>
        <w:rPr>
          <w:color w:val="auto"/>
          <w:highlight w:val="none"/>
        </w:rPr>
        <w:t>年决算报表</w:t>
      </w:r>
      <w:r>
        <w:rPr>
          <w:color w:val="auto"/>
          <w:kern w:val="0"/>
          <w:highlight w:val="none"/>
          <w:shd w:val="clear" w:color="auto" w:fill="FFFFFF"/>
        </w:rPr>
        <w:t>结余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12.51</w:t>
      </w:r>
      <w:r>
        <w:rPr>
          <w:color w:val="auto"/>
          <w:kern w:val="0"/>
          <w:highlight w:val="none"/>
          <w:shd w:val="clear" w:color="auto" w:fill="FFFFFF"/>
        </w:rPr>
        <w:t>万元</w:t>
      </w:r>
      <w:r>
        <w:rPr>
          <w:rFonts w:hint="eastAsia"/>
          <w:color w:val="auto"/>
          <w:kern w:val="0"/>
          <w:highlight w:val="none"/>
          <w:shd w:val="clear" w:color="auto" w:fill="FFFFFF"/>
          <w:lang w:eastAsia="zh-CN"/>
        </w:rPr>
        <w:t>；</w:t>
      </w:r>
    </w:p>
    <w:p w14:paraId="6D619618">
      <w:pPr>
        <w:adjustRightInd w:val="0"/>
        <w:snapToGrid w:val="0"/>
        <w:spacing w:line="578" w:lineRule="exact"/>
        <w:rPr>
          <w:color w:val="auto"/>
          <w:highlight w:val="none"/>
        </w:rPr>
      </w:pPr>
      <w:r>
        <w:rPr>
          <w:color w:val="auto"/>
          <w:highlight w:val="none"/>
        </w:rPr>
        <w:t>结转结余情况：本部门202</w:t>
      </w:r>
      <w:r>
        <w:rPr>
          <w:rFonts w:hint="eastAsia"/>
          <w:color w:val="auto"/>
          <w:highlight w:val="none"/>
        </w:rPr>
        <w:t>4</w:t>
      </w:r>
      <w:r>
        <w:rPr>
          <w:color w:val="auto"/>
          <w:highlight w:val="none"/>
        </w:rPr>
        <w:t>年决算报表</w:t>
      </w:r>
      <w:r>
        <w:rPr>
          <w:color w:val="auto"/>
          <w:kern w:val="0"/>
          <w:highlight w:val="none"/>
          <w:shd w:val="clear" w:color="auto" w:fill="FFFFFF"/>
        </w:rPr>
        <w:t>结转结余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12.51</w:t>
      </w:r>
      <w:r>
        <w:rPr>
          <w:color w:val="auto"/>
          <w:highlight w:val="none"/>
        </w:rPr>
        <w:t>万元。</w:t>
      </w:r>
    </w:p>
    <w:p w14:paraId="7279EF32">
      <w:pPr>
        <w:widowControl/>
        <w:adjustRightInd w:val="0"/>
        <w:snapToGrid w:val="0"/>
        <w:spacing w:line="578" w:lineRule="exact"/>
        <w:ind w:firstLine="640" w:firstLineChars="200"/>
        <w:contextualSpacing/>
        <w:jc w:val="left"/>
        <w:outlineLvl w:val="0"/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  <w:t>三、部门预算绩效分析</w:t>
      </w:r>
    </w:p>
    <w:p w14:paraId="3E26C45B">
      <w:pPr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（一）部门预算总体绩效分析。</w:t>
      </w:r>
    </w:p>
    <w:p w14:paraId="6A14CE68">
      <w:pPr>
        <w:adjustRightInd w:val="0"/>
        <w:snapToGrid w:val="0"/>
        <w:spacing w:line="578" w:lineRule="exact"/>
        <w:ind w:firstLine="640" w:firstLineChars="200"/>
        <w:contextualSpacing/>
        <w:jc w:val="left"/>
        <w:outlineLvl w:val="2"/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  <w:t>1</w:t>
      </w:r>
      <w:r>
        <w:rPr>
          <w:rFonts w:hint="eastAsia" w:eastAsia="楷体_GB2312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履职效能。</w:t>
      </w:r>
    </w:p>
    <w:p w14:paraId="015FC24A">
      <w:pPr>
        <w:adjustRightInd w:val="0"/>
        <w:snapToGrid w:val="0"/>
        <w:spacing w:line="578" w:lineRule="exact"/>
        <w:ind w:left="320" w:leftChars="100" w:firstLine="320" w:firstLineChars="100"/>
        <w:contextualSpacing/>
        <w:jc w:val="left"/>
        <w:rPr>
          <w:rFonts w:hint="default" w:ascii="Times New Roman" w:hAnsi="Times New Roman" w:eastAsia="方正仿宋_GBK" w:cs="Times New Roman"/>
          <w:bCs/>
          <w:color w:val="auto"/>
          <w:spacing w:val="0"/>
          <w:w w:val="100"/>
          <w:kern w:val="21"/>
          <w:sz w:val="32"/>
          <w:szCs w:val="32"/>
          <w:highlight w:val="none"/>
          <w:lang w:val="en-US" w:eastAsia="zh-CN" w:bidi="ar-SA"/>
        </w:rPr>
      </w:pP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2024年，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highlight w:val="none"/>
          <w:lang w:val="en-US" w:eastAsia="zh-CN"/>
        </w:rPr>
        <w:t>常态有效保护天然林5580万亩、</w:t>
      </w:r>
      <w:r>
        <w:rPr>
          <w:rFonts w:hint="default" w:ascii="Times New Roman" w:hAnsi="Times New Roman" w:eastAsia="方正仿宋_GBK" w:cs="Times New Roman"/>
          <w:bCs/>
          <w:color w:val="auto"/>
          <w:spacing w:val="0"/>
          <w:w w:val="100"/>
          <w:kern w:val="21"/>
          <w:sz w:val="32"/>
          <w:szCs w:val="32"/>
          <w:highlight w:val="none"/>
          <w:lang w:val="en-US" w:eastAsia="zh-CN" w:bidi="ar-SA"/>
        </w:rPr>
        <w:t>天然草原4718</w:t>
      </w:r>
    </w:p>
    <w:p w14:paraId="745A13BD">
      <w:pPr>
        <w:adjustRightInd w:val="0"/>
        <w:snapToGrid w:val="0"/>
        <w:spacing w:line="578" w:lineRule="exact"/>
        <w:contextualSpacing/>
        <w:jc w:val="left"/>
        <w:rPr>
          <w:color w:val="auto"/>
          <w:kern w:val="0"/>
          <w:highlight w:val="none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bCs/>
          <w:color w:val="auto"/>
          <w:spacing w:val="0"/>
          <w:w w:val="100"/>
          <w:kern w:val="21"/>
          <w:sz w:val="32"/>
          <w:szCs w:val="32"/>
          <w:highlight w:val="none"/>
          <w:lang w:val="en-US" w:eastAsia="zh-CN" w:bidi="ar-SA"/>
        </w:rPr>
        <w:t>万亩、湿地883万亩，巩固退耕还林成果76.68万亩。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val="en-US" w:eastAsia="zh-CN"/>
        </w:rPr>
        <w:t>强化林草灾害风险防范，科学防控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eastAsia="zh-CN"/>
        </w:rPr>
        <w:t>森林草原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val="en-US" w:eastAsia="zh-CN"/>
        </w:rPr>
        <w:t>火灾、林草有害生物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0"/>
          <w:w w:val="100"/>
          <w:kern w:val="21"/>
          <w:sz w:val="32"/>
          <w:szCs w:val="32"/>
          <w:highlight w:val="none"/>
        </w:rPr>
        <w:t>排查整治森林草原火险隐患2016个，查处森林草原火灾案件78起，及时高效处置雷击火2起，全面构建森林草原防火“微网实格”，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val="en-US" w:eastAsia="zh-CN"/>
        </w:rPr>
        <w:t>实现连续37年无重特大森林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</w:rPr>
        <w:t>火灾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0"/>
          <w:w w:val="100"/>
          <w:kern w:val="21"/>
          <w:sz w:val="32"/>
          <w:szCs w:val="32"/>
          <w:highlight w:val="none"/>
        </w:rPr>
        <w:t>严防松材线虫等外来林业有害生物入侵，</w:t>
      </w:r>
      <w:r>
        <w:rPr>
          <w:rFonts w:hint="default" w:ascii="Times New Roman" w:hAnsi="Times New Roman" w:eastAsia="方正仿宋_GBK" w:cs="Times New Roman"/>
          <w:bCs/>
          <w:color w:val="auto"/>
          <w:spacing w:val="0"/>
          <w:w w:val="100"/>
          <w:kern w:val="21"/>
          <w:sz w:val="32"/>
          <w:szCs w:val="32"/>
          <w:highlight w:val="none"/>
        </w:rPr>
        <w:t>实现</w:t>
      </w:r>
      <w:r>
        <w:rPr>
          <w:rFonts w:hint="default" w:ascii="Times New Roman" w:hAnsi="Times New Roman" w:eastAsia="方正仿宋_GBK" w:cs="Times New Roman"/>
          <w:color w:val="auto"/>
          <w:spacing w:val="0"/>
          <w:w w:val="100"/>
          <w:kern w:val="21"/>
          <w:sz w:val="32"/>
          <w:szCs w:val="32"/>
          <w:highlight w:val="none"/>
        </w:rPr>
        <w:t>产地检疫率100%</w:t>
      </w:r>
      <w:r>
        <w:rPr>
          <w:rFonts w:hint="default" w:ascii="Times New Roman" w:hAnsi="Times New Roman" w:eastAsia="方正仿宋_GBK" w:cs="Times New Roman"/>
          <w:color w:val="auto"/>
          <w:spacing w:val="0"/>
          <w:w w:val="100"/>
          <w:kern w:val="21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val="en-US" w:eastAsia="zh-CN"/>
        </w:rPr>
        <w:t>森林病虫害成灾率控制在</w:t>
      </w:r>
      <w:r>
        <w:rPr>
          <w:rFonts w:hint="default" w:ascii="Times New Roman" w:hAnsi="Times New Roman" w:eastAsia="方正仿宋_GBK" w:cs="Times New Roman"/>
          <w:bCs/>
          <w:color w:val="auto"/>
          <w:spacing w:val="0"/>
          <w:w w:val="100"/>
          <w:kern w:val="21"/>
          <w:sz w:val="32"/>
          <w:szCs w:val="32"/>
          <w:highlight w:val="none"/>
        </w:rPr>
        <w:t>省下达指标0.51‰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napToGrid w:val="0"/>
          <w:color w:val="auto"/>
          <w:spacing w:val="0"/>
          <w:w w:val="100"/>
          <w:kern w:val="21"/>
          <w:sz w:val="32"/>
          <w:szCs w:val="32"/>
          <w:highlight w:val="none"/>
          <w:shd w:val="clear" w:color="auto" w:fill="FDFDFE"/>
          <w:lang w:val="en-US" w:eastAsia="zh-CN"/>
        </w:rPr>
        <w:t>之内。</w:t>
      </w:r>
      <w:r>
        <w:rPr>
          <w:color w:val="auto"/>
          <w:kern w:val="0"/>
          <w:highlight w:val="none"/>
          <w:shd w:val="clear" w:color="auto" w:fill="FFFFFF"/>
        </w:rPr>
        <w:t>完成情况如下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：</w:t>
      </w:r>
    </w:p>
    <w:p w14:paraId="46A33FF9">
      <w:pPr>
        <w:adjustRightInd w:val="0"/>
        <w:snapToGrid w:val="0"/>
        <w:spacing w:line="578" w:lineRule="exact"/>
        <w:ind w:left="320" w:leftChars="100" w:firstLine="320" w:firstLineChars="100"/>
        <w:contextualSpacing/>
        <w:rPr>
          <w:rFonts w:hint="eastAsia"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项目完成个数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≥14个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；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州本级预算项目个数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≥14个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；造林</w:t>
      </w:r>
    </w:p>
    <w:p w14:paraId="45D60E0A">
      <w:pPr>
        <w:adjustRightInd w:val="0"/>
        <w:snapToGrid w:val="0"/>
        <w:spacing w:line="578" w:lineRule="exact"/>
        <w:contextualSpacing/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地苗木合格率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100%；年度任务完成时间于年底较好完成。</w:t>
      </w:r>
    </w:p>
    <w:p w14:paraId="42BADD8A">
      <w:pPr>
        <w:adjustRightInd w:val="0"/>
        <w:snapToGrid w:val="0"/>
        <w:spacing w:line="578" w:lineRule="exact"/>
        <w:ind w:firstLine="640" w:firstLineChars="200"/>
        <w:contextualSpacing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综上，根据评分标准，该项指标不扣分，得15分。</w:t>
      </w:r>
    </w:p>
    <w:p w14:paraId="2DA242C0">
      <w:pPr>
        <w:adjustRightInd w:val="0"/>
        <w:snapToGrid w:val="0"/>
        <w:spacing w:line="578" w:lineRule="exact"/>
        <w:ind w:firstLine="640" w:firstLineChars="200"/>
        <w:contextualSpacing/>
        <w:jc w:val="left"/>
        <w:outlineLvl w:val="2"/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  <w:t>2</w:t>
      </w:r>
      <w:r>
        <w:rPr>
          <w:rFonts w:hint="eastAsia" w:eastAsia="楷体_GB2312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预算管理。</w:t>
      </w:r>
    </w:p>
    <w:p w14:paraId="1D69E1A0">
      <w:pPr>
        <w:adjustRightInd w:val="0"/>
        <w:snapToGrid w:val="0"/>
        <w:spacing w:line="578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rFonts w:eastAsia="楷体_GB2312"/>
          <w:color w:val="auto"/>
          <w:kern w:val="0"/>
          <w:highlight w:val="none"/>
          <w:shd w:val="clear" w:color="auto" w:fill="FFFFFF"/>
        </w:rPr>
        <w:t>1</w:t>
      </w:r>
      <w:r>
        <w:rPr>
          <w:rFonts w:eastAsia="楷体_GB2312"/>
          <w:color w:val="auto"/>
          <w:kern w:val="0"/>
          <w:highlight w:val="none"/>
          <w:shd w:val="clear" w:color="auto" w:fill="FFFFFF"/>
          <w:lang w:val="zh-CN"/>
        </w:rPr>
        <w:t>）</w:t>
      </w:r>
      <w:r>
        <w:rPr>
          <w:color w:val="auto"/>
          <w:kern w:val="0"/>
          <w:highlight w:val="none"/>
          <w:shd w:val="clear" w:color="auto" w:fill="FFFFFF"/>
          <w:lang w:val="zh-CN"/>
        </w:rPr>
        <w:t>预算编制质量</w:t>
      </w:r>
    </w:p>
    <w:p w14:paraId="70AA6559">
      <w:pPr>
        <w:adjustRightInd w:val="0"/>
        <w:snapToGrid w:val="0"/>
        <w:spacing w:line="578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根据预算报表和决算报表，本部门财政拨款年初预算数为</w:t>
      </w:r>
    </w:p>
    <w:p w14:paraId="197E55A4">
      <w:pPr>
        <w:adjustRightInd w:val="0"/>
        <w:snapToGrid w:val="0"/>
        <w:spacing w:line="578" w:lineRule="exact"/>
        <w:rPr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color w:val="auto"/>
          <w:highlight w:val="none"/>
          <w:lang w:val="en-US" w:eastAsia="zh-CN"/>
        </w:rPr>
        <w:t>73.42</w:t>
      </w:r>
      <w:r>
        <w:rPr>
          <w:color w:val="auto"/>
          <w:kern w:val="0"/>
          <w:highlight w:val="none"/>
          <w:shd w:val="clear" w:color="auto" w:fill="FFFFFF"/>
        </w:rPr>
        <w:t>万元，财政拨款预算执行数为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40.15</w:t>
      </w:r>
      <w:r>
        <w:rPr>
          <w:color w:val="auto"/>
          <w:kern w:val="0"/>
          <w:highlight w:val="none"/>
          <w:shd w:val="clear" w:color="auto" w:fill="FFFFFF"/>
        </w:rPr>
        <w:t>万元，财政拨款预算偏离度=（</w:t>
      </w:r>
      <w:r>
        <w:rPr>
          <w:rFonts w:hint="eastAsia"/>
          <w:color w:val="auto"/>
          <w:highlight w:val="none"/>
          <w:lang w:val="en-US" w:eastAsia="zh-CN"/>
        </w:rPr>
        <w:t>73.42</w:t>
      </w:r>
      <w:r>
        <w:rPr>
          <w:color w:val="auto"/>
          <w:kern w:val="0"/>
          <w:highlight w:val="none"/>
          <w:shd w:val="clear" w:color="auto" w:fill="FFFFFF"/>
        </w:rPr>
        <w:t>-</w:t>
      </w:r>
      <w:r>
        <w:rPr>
          <w:rFonts w:hint="eastAsia"/>
          <w:color w:val="auto"/>
          <w:highlight w:val="none"/>
          <w:lang w:val="en-US" w:eastAsia="zh-CN"/>
        </w:rPr>
        <w:t>40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.15</w:t>
      </w:r>
      <w:r>
        <w:rPr>
          <w:color w:val="auto"/>
          <w:kern w:val="0"/>
          <w:highlight w:val="none"/>
          <w:shd w:val="clear" w:color="auto" w:fill="FFFFFF"/>
        </w:rPr>
        <w:t>）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÷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40.15</w:t>
      </w:r>
      <w:r>
        <w:rPr>
          <w:color w:val="auto"/>
          <w:kern w:val="0"/>
          <w:highlight w:val="none"/>
          <w:shd w:val="clear" w:color="auto" w:fill="FFFFFF"/>
        </w:rPr>
        <w:t>=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0.83</w:t>
      </w:r>
      <w:r>
        <w:rPr>
          <w:color w:val="auto"/>
          <w:kern w:val="0"/>
          <w:highlight w:val="none"/>
          <w:shd w:val="clear" w:color="auto" w:fill="FFFFFF"/>
        </w:rPr>
        <w:t>。</w:t>
      </w:r>
    </w:p>
    <w:p w14:paraId="5CC0DD77">
      <w:pPr>
        <w:adjustRightInd w:val="0"/>
        <w:snapToGrid w:val="0"/>
        <w:spacing w:line="580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根据202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4</w:t>
      </w:r>
      <w:r>
        <w:rPr>
          <w:color w:val="auto"/>
          <w:kern w:val="0"/>
          <w:highlight w:val="none"/>
          <w:shd w:val="clear" w:color="auto" w:fill="FFFFFF"/>
        </w:rPr>
        <w:t>年资产配置全年执行表，本部门资产配置预算执</w:t>
      </w:r>
    </w:p>
    <w:p w14:paraId="2C98793C">
      <w:pPr>
        <w:adjustRightInd w:val="0"/>
        <w:snapToGrid w:val="0"/>
        <w:spacing w:line="580" w:lineRule="exact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行数为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highlight w:val="none"/>
          <w:shd w:val="clear" w:color="auto" w:fill="FFFFFF"/>
        </w:rPr>
        <w:t>万元，剔除结转因素，资产配置年初预算数为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highlight w:val="none"/>
          <w:shd w:val="clear" w:color="auto" w:fill="FFFFFF"/>
        </w:rPr>
        <w:t>万元，资产配置预算偏离度=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0.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00</w:t>
      </w:r>
      <w:r>
        <w:rPr>
          <w:color w:val="auto"/>
          <w:kern w:val="0"/>
          <w:highlight w:val="none"/>
          <w:shd w:val="clear" w:color="auto" w:fill="FFFFFF"/>
        </w:rPr>
        <w:t>。</w:t>
      </w:r>
    </w:p>
    <w:p w14:paraId="66ECEC8E">
      <w:pPr>
        <w:adjustRightInd w:val="0"/>
        <w:snapToGrid w:val="0"/>
        <w:spacing w:line="580" w:lineRule="exact"/>
        <w:ind w:left="320" w:leftChars="100" w:firstLine="320" w:firstLineChars="100"/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</w:pPr>
      <w:r>
        <w:rPr>
          <w:color w:val="auto"/>
          <w:kern w:val="0"/>
          <w:highlight w:val="none"/>
          <w:shd w:val="clear" w:color="auto" w:fill="FFFFFF"/>
        </w:rPr>
        <w:t>根据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本部门</w:t>
      </w:r>
      <w:r>
        <w:rPr>
          <w:color w:val="auto"/>
          <w:kern w:val="0"/>
          <w:highlight w:val="none"/>
          <w:shd w:val="clear" w:color="auto" w:fill="FFFFFF"/>
        </w:rPr>
        <w:t>决算报表，本部门政府采购预算执行数为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894.35</w:t>
      </w:r>
    </w:p>
    <w:p w14:paraId="634F7CF2">
      <w:pPr>
        <w:adjustRightInd w:val="0"/>
        <w:snapToGrid w:val="0"/>
        <w:spacing w:line="580" w:lineRule="exact"/>
        <w:rPr>
          <w:rFonts w:hint="default" w:eastAsia="仿宋_GB2312"/>
          <w:color w:val="auto"/>
          <w:kern w:val="0"/>
          <w:highlight w:val="none"/>
          <w:shd w:val="clear" w:color="auto" w:fill="FFFFFF"/>
          <w:lang w:val="en-US" w:eastAsia="zh-CN"/>
        </w:rPr>
      </w:pPr>
      <w:r>
        <w:rPr>
          <w:color w:val="auto"/>
          <w:kern w:val="0"/>
          <w:highlight w:val="none"/>
          <w:shd w:val="clear" w:color="auto" w:fill="FFFFFF"/>
        </w:rPr>
        <w:t>万元，202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4</w:t>
      </w:r>
      <w:r>
        <w:rPr>
          <w:color w:val="auto"/>
          <w:kern w:val="0"/>
          <w:highlight w:val="none"/>
          <w:shd w:val="clear" w:color="auto" w:fill="FFFFFF"/>
        </w:rPr>
        <w:t>年政府采购年初预算数为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color w:val="auto"/>
          <w:kern w:val="0"/>
          <w:highlight w:val="none"/>
          <w:shd w:val="clear" w:color="auto" w:fill="FFFFFF"/>
        </w:rPr>
        <w:t>万元。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偏离度=1</w:t>
      </w:r>
    </w:p>
    <w:p w14:paraId="66517ABB">
      <w:pPr>
        <w:pStyle w:val="29"/>
        <w:adjustRightInd w:val="0"/>
        <w:snapToGrid w:val="0"/>
        <w:spacing w:line="580" w:lineRule="exact"/>
        <w:ind w:left="320" w:leftChars="100" w:firstLine="320" w:firstLineChars="100"/>
        <w:rPr>
          <w:rFonts w:hint="eastAsia"/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该项指标得分=（1-财政拨款预算偏</w:t>
      </w:r>
    </w:p>
    <w:p w14:paraId="109D5839">
      <w:pPr>
        <w:pStyle w:val="29"/>
        <w:adjustRightInd w:val="0"/>
        <w:snapToGrid w:val="0"/>
        <w:spacing w:line="580" w:lineRule="exact"/>
        <w:ind w:left="0" w:leftChars="0" w:firstLine="0" w:firstLineChars="0"/>
        <w:rPr>
          <w:color w:val="auto"/>
          <w:highlight w:val="none"/>
        </w:rPr>
      </w:pPr>
      <w:r>
        <w:rPr>
          <w:rFonts w:hint="eastAsia"/>
          <w:color w:val="auto"/>
          <w:kern w:val="0"/>
          <w:highlight w:val="none"/>
          <w:shd w:val="clear" w:color="auto" w:fill="FFFFFF"/>
        </w:rPr>
        <w:t>离度）×100%×4+（1-资产配置预算偏离度）×100%×2+（1-政府采购预算偏离度）×100%×2。偏离度=|预算执行数-年初预算数|÷年初预算数=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4.68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。</w:t>
      </w:r>
      <w:r>
        <w:rPr>
          <w:color w:val="auto"/>
          <w:kern w:val="0"/>
          <w:highlight w:val="none"/>
          <w:shd w:val="clear" w:color="auto" w:fill="FFFFFF"/>
        </w:rPr>
        <w:t>该项指标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扣4.68分</w:t>
      </w:r>
      <w:r>
        <w:rPr>
          <w:color w:val="auto"/>
          <w:kern w:val="0"/>
          <w:highlight w:val="none"/>
          <w:shd w:val="clear" w:color="auto" w:fill="FFFFFF"/>
        </w:rPr>
        <w:t>，得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3.32</w:t>
      </w:r>
      <w:r>
        <w:rPr>
          <w:color w:val="auto"/>
          <w:kern w:val="0"/>
          <w:highlight w:val="none"/>
          <w:shd w:val="clear" w:color="auto" w:fill="FFFFFF"/>
        </w:rPr>
        <w:t>分。</w:t>
      </w:r>
    </w:p>
    <w:p w14:paraId="51B7FFD6">
      <w:pPr>
        <w:adjustRightInd w:val="0"/>
        <w:snapToGrid w:val="0"/>
        <w:spacing w:line="580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color w:val="auto"/>
          <w:kern w:val="0"/>
          <w:highlight w:val="none"/>
          <w:shd w:val="clear" w:color="auto" w:fill="FFFFFF"/>
        </w:rPr>
        <w:t>2</w:t>
      </w:r>
      <w:r>
        <w:rPr>
          <w:color w:val="auto"/>
          <w:kern w:val="0"/>
          <w:highlight w:val="none"/>
          <w:shd w:val="clear" w:color="auto" w:fill="FFFFFF"/>
          <w:lang w:val="zh-CN"/>
        </w:rPr>
        <w:t>）单位收入统筹</w:t>
      </w:r>
    </w:p>
    <w:p w14:paraId="1376FDE3">
      <w:pPr>
        <w:pStyle w:val="29"/>
        <w:adjustRightInd w:val="0"/>
        <w:snapToGrid w:val="0"/>
        <w:spacing w:line="580" w:lineRule="exact"/>
        <w:ind w:left="320" w:leftChars="100" w:firstLine="640" w:firstLineChars="200"/>
        <w:rPr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本部门实行财政全额拨款，不涉及自有收入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。</w:t>
      </w:r>
      <w:r>
        <w:rPr>
          <w:color w:val="auto"/>
          <w:kern w:val="0"/>
          <w:highlight w:val="none"/>
          <w:shd w:val="clear" w:color="auto" w:fill="FFFFFF"/>
        </w:rPr>
        <w:t>该项指标</w:t>
      </w:r>
    </w:p>
    <w:p w14:paraId="14531203">
      <w:pPr>
        <w:pStyle w:val="29"/>
        <w:adjustRightInd w:val="0"/>
        <w:snapToGrid w:val="0"/>
        <w:spacing w:line="580" w:lineRule="exact"/>
        <w:ind w:left="0" w:leftChars="0" w:firstLine="640" w:firstLineChars="200"/>
        <w:rPr>
          <w:color w:val="auto"/>
          <w:highlight w:val="none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不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扣分，</w:t>
      </w:r>
      <w:r>
        <w:rPr>
          <w:color w:val="auto"/>
          <w:kern w:val="0"/>
          <w:highlight w:val="none"/>
          <w:shd w:val="clear" w:color="auto" w:fill="FFFFFF"/>
        </w:rPr>
        <w:t>得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4.00</w:t>
      </w:r>
      <w:r>
        <w:rPr>
          <w:color w:val="auto"/>
          <w:kern w:val="0"/>
          <w:highlight w:val="none"/>
          <w:shd w:val="clear" w:color="auto" w:fill="FFFFFF"/>
        </w:rPr>
        <w:t>分。</w:t>
      </w:r>
    </w:p>
    <w:p w14:paraId="329FB189">
      <w:pPr>
        <w:adjustRightInd w:val="0"/>
        <w:snapToGrid w:val="0"/>
        <w:spacing w:line="580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color w:val="auto"/>
          <w:kern w:val="0"/>
          <w:highlight w:val="none"/>
          <w:shd w:val="clear" w:color="auto" w:fill="FFFFFF"/>
        </w:rPr>
        <w:t>3</w:t>
      </w:r>
      <w:r>
        <w:rPr>
          <w:color w:val="auto"/>
          <w:kern w:val="0"/>
          <w:highlight w:val="none"/>
          <w:shd w:val="clear" w:color="auto" w:fill="FFFFFF"/>
          <w:lang w:val="zh-CN"/>
        </w:rPr>
        <w:t>）支出执行进度</w:t>
      </w:r>
    </w:p>
    <w:p w14:paraId="73FA49CA">
      <w:pPr>
        <w:pStyle w:val="29"/>
        <w:adjustRightInd w:val="0"/>
        <w:snapToGrid w:val="0"/>
        <w:spacing w:line="580" w:lineRule="exact"/>
        <w:ind w:left="0" w:leftChars="0" w:firstLine="0" w:firstLineChars="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根据可执行情况表，本部门1至10月无支出违规金额。</w:t>
      </w:r>
    </w:p>
    <w:p w14:paraId="04191A8D">
      <w:pPr>
        <w:pStyle w:val="29"/>
        <w:adjustRightInd w:val="0"/>
        <w:snapToGrid w:val="0"/>
        <w:spacing w:line="580" w:lineRule="exact"/>
        <w:ind w:left="0" w:leftChars="0" w:firstLine="640" w:firstLineChars="200"/>
        <w:rPr>
          <w:color w:val="auto"/>
          <w:highlight w:val="none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不扣</w:t>
      </w:r>
      <w:r>
        <w:rPr>
          <w:color w:val="auto"/>
          <w:kern w:val="0"/>
          <w:highlight w:val="none"/>
          <w:shd w:val="clear" w:color="auto" w:fill="FFFFFF"/>
        </w:rPr>
        <w:t>分，得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6</w:t>
      </w:r>
      <w:r>
        <w:rPr>
          <w:color w:val="auto"/>
          <w:kern w:val="0"/>
          <w:highlight w:val="none"/>
          <w:shd w:val="clear" w:color="auto" w:fill="FFFFFF"/>
        </w:rPr>
        <w:t>分。</w:t>
      </w:r>
    </w:p>
    <w:p w14:paraId="1ECFA6E3">
      <w:pPr>
        <w:adjustRightInd w:val="0"/>
        <w:snapToGrid w:val="0"/>
        <w:spacing w:line="580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color w:val="auto"/>
          <w:kern w:val="0"/>
          <w:highlight w:val="none"/>
          <w:shd w:val="clear" w:color="auto" w:fill="FFFFFF"/>
        </w:rPr>
        <w:t>4</w:t>
      </w:r>
      <w:r>
        <w:rPr>
          <w:color w:val="auto"/>
          <w:kern w:val="0"/>
          <w:highlight w:val="none"/>
          <w:shd w:val="clear" w:color="auto" w:fill="FFFFFF"/>
          <w:lang w:val="zh-CN"/>
        </w:rPr>
        <w:t>）预算年终结余</w:t>
      </w:r>
    </w:p>
    <w:p w14:paraId="202759DF">
      <w:pPr>
        <w:adjustRightInd w:val="0"/>
        <w:snapToGrid w:val="0"/>
        <w:spacing w:line="580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根据决算报表，本部门预算总金额为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highlight w:val="none"/>
          <w:shd w:val="clear" w:color="auto" w:fill="FFFFFF"/>
        </w:rPr>
        <w:t>万元，年终部门</w:t>
      </w:r>
    </w:p>
    <w:p w14:paraId="749E28BA">
      <w:pPr>
        <w:adjustRightInd w:val="0"/>
        <w:snapToGrid w:val="0"/>
        <w:spacing w:line="580" w:lineRule="exact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预算注销金额为0.00万元，结转金额为</w:t>
      </w:r>
      <w:r>
        <w:rPr>
          <w:rFonts w:hint="eastAsia"/>
          <w:color w:val="auto"/>
          <w:highlight w:val="none"/>
          <w:lang w:val="en-US" w:eastAsia="zh-CN"/>
        </w:rPr>
        <w:t>0.00</w:t>
      </w:r>
      <w:r>
        <w:rPr>
          <w:color w:val="auto"/>
          <w:highlight w:val="none"/>
        </w:rPr>
        <w:t>万元</w:t>
      </w:r>
      <w:r>
        <w:rPr>
          <w:color w:val="auto"/>
          <w:kern w:val="0"/>
          <w:highlight w:val="none"/>
          <w:shd w:val="clear" w:color="auto" w:fill="FFFFFF"/>
        </w:rPr>
        <w:t>，合计</w:t>
      </w:r>
      <w:r>
        <w:rPr>
          <w:rFonts w:hint="eastAsia"/>
          <w:color w:val="auto"/>
          <w:highlight w:val="none"/>
          <w:lang w:val="en-US" w:eastAsia="zh-CN"/>
        </w:rPr>
        <w:t>0.00</w:t>
      </w:r>
      <w:r>
        <w:rPr>
          <w:color w:val="auto"/>
          <w:kern w:val="0"/>
          <w:highlight w:val="none"/>
          <w:shd w:val="clear" w:color="auto" w:fill="FFFFFF"/>
        </w:rPr>
        <w:t>万元，占比为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highlight w:val="none"/>
          <w:shd w:val="clear" w:color="auto" w:fill="FFFFFF"/>
        </w:rPr>
        <w:t>%。</w:t>
      </w:r>
    </w:p>
    <w:p w14:paraId="5EBED543">
      <w:pPr>
        <w:pStyle w:val="29"/>
        <w:adjustRightInd w:val="0"/>
        <w:snapToGrid w:val="0"/>
        <w:spacing w:line="580" w:lineRule="exact"/>
        <w:ind w:left="0" w:leftChars="0" w:firstLine="640" w:firstLineChars="200"/>
        <w:rPr>
          <w:color w:val="auto"/>
          <w:highlight w:val="none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不扣</w:t>
      </w:r>
      <w:r>
        <w:rPr>
          <w:color w:val="auto"/>
          <w:kern w:val="0"/>
          <w:highlight w:val="none"/>
          <w:shd w:val="clear" w:color="auto" w:fill="FFFFFF"/>
        </w:rPr>
        <w:t>分，得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2</w:t>
      </w:r>
      <w:r>
        <w:rPr>
          <w:color w:val="auto"/>
          <w:kern w:val="0"/>
          <w:highlight w:val="none"/>
          <w:shd w:val="clear" w:color="auto" w:fill="FFFFFF"/>
        </w:rPr>
        <w:t>分。</w:t>
      </w:r>
    </w:p>
    <w:p w14:paraId="6F818BA7">
      <w:pPr>
        <w:adjustRightInd w:val="0"/>
        <w:snapToGrid w:val="0"/>
        <w:spacing w:line="580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color w:val="auto"/>
          <w:kern w:val="0"/>
          <w:highlight w:val="none"/>
          <w:shd w:val="clear" w:color="auto" w:fill="FFFFFF"/>
        </w:rPr>
        <w:t>5</w:t>
      </w:r>
      <w:r>
        <w:rPr>
          <w:color w:val="auto"/>
          <w:kern w:val="0"/>
          <w:highlight w:val="none"/>
          <w:shd w:val="clear" w:color="auto" w:fill="FFFFFF"/>
          <w:lang w:val="zh-CN"/>
        </w:rPr>
        <w:t>）严控一般性支出</w:t>
      </w:r>
    </w:p>
    <w:p w14:paraId="13B71DA1">
      <w:pPr>
        <w:adjustRightInd w:val="0"/>
        <w:snapToGrid w:val="0"/>
        <w:spacing w:line="580" w:lineRule="exact"/>
        <w:ind w:left="320" w:leftChars="100" w:firstLine="320" w:firstLineChars="100"/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</w:rPr>
        <w:t>本</w:t>
      </w:r>
      <w:r>
        <w:rPr>
          <w:color w:val="auto"/>
          <w:kern w:val="0"/>
          <w:highlight w:val="none"/>
          <w:shd w:val="clear" w:color="auto" w:fill="FFFFFF"/>
          <w:lang w:val="zh-CN"/>
        </w:rPr>
        <w:t>部门“三公”经费、会议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、培训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、差旅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、办节办展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经</w:t>
      </w:r>
    </w:p>
    <w:p w14:paraId="71E817FE">
      <w:pPr>
        <w:adjustRightInd w:val="0"/>
        <w:snapToGrid w:val="0"/>
        <w:spacing w:line="580" w:lineRule="exact"/>
        <w:rPr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、办公设备购置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、信息网络及软件购置更新</w:t>
      </w:r>
      <w:r>
        <w:rPr>
          <w:rFonts w:hint="eastAsia"/>
          <w:color w:val="auto"/>
          <w:kern w:val="0"/>
          <w:highlight w:val="none"/>
          <w:shd w:val="clear" w:color="auto" w:fill="FFFFFF"/>
          <w:lang w:val="zh-CN"/>
        </w:rPr>
        <w:t>经费</w:t>
      </w:r>
      <w:r>
        <w:rPr>
          <w:color w:val="auto"/>
          <w:kern w:val="0"/>
          <w:highlight w:val="none"/>
          <w:shd w:val="clear" w:color="auto" w:fill="FFFFFF"/>
          <w:lang w:val="zh-CN"/>
        </w:rPr>
        <w:t>、课题费等8项一般性支出情况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如下：</w:t>
      </w:r>
    </w:p>
    <w:p w14:paraId="35738321">
      <w:pPr>
        <w:pStyle w:val="29"/>
        <w:spacing w:line="560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2024年</w:t>
      </w:r>
      <w:r>
        <w:rPr>
          <w:color w:val="auto"/>
          <w:kern w:val="0"/>
          <w:highlight w:val="none"/>
          <w:shd w:val="clear" w:color="auto" w:fill="FFFFFF"/>
        </w:rPr>
        <w:t>本部门“三公”经费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95.87万元</w:t>
      </w:r>
      <w:r>
        <w:rPr>
          <w:color w:val="auto"/>
          <w:kern w:val="0"/>
          <w:highlight w:val="none"/>
          <w:shd w:val="clear" w:color="auto" w:fill="FFFFFF"/>
        </w:rPr>
        <w:t>、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会议费4.15万元、</w:t>
      </w:r>
      <w:r>
        <w:rPr>
          <w:color w:val="auto"/>
          <w:kern w:val="0"/>
          <w:highlight w:val="none"/>
          <w:shd w:val="clear" w:color="auto" w:fill="FFFFFF"/>
        </w:rPr>
        <w:t>培</w:t>
      </w:r>
    </w:p>
    <w:p w14:paraId="540872B0">
      <w:pPr>
        <w:pStyle w:val="29"/>
        <w:spacing w:line="560" w:lineRule="exact"/>
        <w:ind w:left="0" w:leftChars="0" w:firstLine="0" w:firstLineChars="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训费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15.96万元</w:t>
      </w:r>
      <w:r>
        <w:rPr>
          <w:color w:val="auto"/>
          <w:kern w:val="0"/>
          <w:highlight w:val="none"/>
          <w:shd w:val="clear" w:color="auto" w:fill="FFFFFF"/>
        </w:rPr>
        <w:t>、差旅费</w:t>
      </w:r>
      <w:r>
        <w:rPr>
          <w:rFonts w:hint="eastAsia"/>
          <w:color w:val="auto"/>
          <w:kern w:val="0"/>
          <w:highlight w:val="none"/>
          <w:shd w:val="clear" w:color="auto" w:fill="FFFFFF"/>
          <w:lang w:val="en-US" w:eastAsia="zh-CN"/>
        </w:rPr>
        <w:t>80.69万元。</w:t>
      </w:r>
      <w:r>
        <w:rPr>
          <w:color w:val="auto"/>
          <w:kern w:val="0"/>
          <w:highlight w:val="none"/>
          <w:shd w:val="clear" w:color="auto" w:fill="FFFFFF"/>
        </w:rPr>
        <w:t>202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4</w:t>
      </w:r>
      <w:r>
        <w:rPr>
          <w:color w:val="auto"/>
          <w:kern w:val="0"/>
          <w:highlight w:val="none"/>
          <w:shd w:val="clear" w:color="auto" w:fill="FFFFFF"/>
        </w:rPr>
        <w:t>年度财政拨款预算执行数较202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3</w:t>
      </w:r>
      <w:r>
        <w:rPr>
          <w:color w:val="auto"/>
          <w:kern w:val="0"/>
          <w:highlight w:val="none"/>
          <w:shd w:val="clear" w:color="auto" w:fill="FFFFFF"/>
        </w:rPr>
        <w:t>年度财政拨款预算执行数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减少</w:t>
      </w:r>
      <w:r>
        <w:rPr>
          <w:color w:val="auto"/>
          <w:kern w:val="0"/>
          <w:highlight w:val="none"/>
          <w:shd w:val="clear" w:color="auto" w:fill="FFFFFF"/>
        </w:rPr>
        <w:t>的主要原因为：坚持厉行节约、勤俭办一切事业，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深入贯彻国务院关于落实政府过“紧日子”的要求，</w:t>
      </w:r>
      <w:r>
        <w:rPr>
          <w:color w:val="auto"/>
          <w:kern w:val="0"/>
          <w:highlight w:val="none"/>
          <w:shd w:val="clear" w:color="auto" w:fill="FFFFFF"/>
        </w:rPr>
        <w:t>从数量、规模、形式等方面压缩公务活动支出，严格执行会议费、培训费、差旅费等支出标准</w:t>
      </w:r>
      <w:r>
        <w:rPr>
          <w:rFonts w:hint="eastAsia"/>
          <w:color w:val="auto"/>
          <w:kern w:val="0"/>
          <w:highlight w:val="none"/>
          <w:shd w:val="clear" w:color="auto" w:fill="FFFFFF"/>
        </w:rPr>
        <w:t>，严格控制和压减一般性支出</w:t>
      </w:r>
      <w:r>
        <w:rPr>
          <w:color w:val="auto"/>
          <w:highlight w:val="none"/>
        </w:rPr>
        <w:t>。</w:t>
      </w:r>
    </w:p>
    <w:p w14:paraId="5222D5F1">
      <w:pPr>
        <w:pStyle w:val="29"/>
        <w:spacing w:line="578" w:lineRule="exact"/>
        <w:ind w:left="0" w:leftChars="0" w:firstLine="640" w:firstLineChars="200"/>
        <w:rPr>
          <w:rFonts w:eastAsia="楷体_GB2312"/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综上，根据评分标准，该项指标不扣分，得5分。</w:t>
      </w:r>
    </w:p>
    <w:p w14:paraId="0EDF00FB">
      <w:pPr>
        <w:adjustRightInd w:val="0"/>
        <w:snapToGrid w:val="0"/>
        <w:spacing w:line="578" w:lineRule="exact"/>
        <w:ind w:firstLine="640" w:firstLineChars="200"/>
        <w:contextualSpacing/>
        <w:jc w:val="left"/>
        <w:outlineLvl w:val="2"/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  <w:t>3</w:t>
      </w:r>
      <w:r>
        <w:rPr>
          <w:rFonts w:hint="eastAsia" w:eastAsia="楷体_GB2312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财务管理。</w:t>
      </w:r>
    </w:p>
    <w:p w14:paraId="10CF1720">
      <w:pPr>
        <w:adjustRightInd w:val="0"/>
        <w:snapToGrid w:val="0"/>
        <w:spacing w:line="578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（1）财务管理制度</w:t>
      </w:r>
    </w:p>
    <w:p w14:paraId="497DB4A3">
      <w:pPr>
        <w:adjustRightInd w:val="0"/>
        <w:snapToGrid w:val="0"/>
        <w:spacing w:line="578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本部门已建立《财务管理办法》《重大经济事项决策管理办</w:t>
      </w:r>
    </w:p>
    <w:p w14:paraId="6A6DD570">
      <w:pPr>
        <w:adjustRightInd w:val="0"/>
        <w:snapToGrid w:val="0"/>
        <w:spacing w:line="578" w:lineRule="exact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法》《政府采购管理办法》等财务管理制度，并将制度严格落到实处。</w:t>
      </w:r>
    </w:p>
    <w:p w14:paraId="579B4DC7">
      <w:pPr>
        <w:adjustRightInd w:val="0"/>
        <w:snapToGrid w:val="0"/>
        <w:spacing w:line="578" w:lineRule="exact"/>
        <w:ind w:firstLine="640" w:firstLineChars="200"/>
        <w:rPr>
          <w:rFonts w:eastAsia="楷体_GB2312"/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565D384B">
      <w:pPr>
        <w:numPr>
          <w:ilvl w:val="0"/>
          <w:numId w:val="1"/>
        </w:numPr>
        <w:adjustRightInd w:val="0"/>
        <w:snapToGrid w:val="0"/>
        <w:spacing w:line="578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财务岗位设置</w:t>
      </w:r>
    </w:p>
    <w:p w14:paraId="3199EC8B">
      <w:pPr>
        <w:adjustRightInd w:val="0"/>
        <w:snapToGrid w:val="0"/>
        <w:spacing w:line="578" w:lineRule="exact"/>
        <w:ind w:left="320" w:leftChars="100" w:firstLine="320" w:firstLineChars="100"/>
        <w:jc w:val="left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本部门已合理设置财务工作岗位，明确职责权限，并严格实</w:t>
      </w:r>
    </w:p>
    <w:p w14:paraId="6329F5B1">
      <w:pPr>
        <w:adjustRightInd w:val="0"/>
        <w:snapToGrid w:val="0"/>
        <w:spacing w:line="578" w:lineRule="exact"/>
        <w:jc w:val="left"/>
        <w:rPr>
          <w:color w:val="auto"/>
          <w:kern w:val="0"/>
          <w:sz w:val="28"/>
          <w:szCs w:val="28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行不相容岗位分离，岗位间职责清晰，各岗位按照工作流程有序进行。</w:t>
      </w:r>
    </w:p>
    <w:p w14:paraId="73B99C99">
      <w:pPr>
        <w:adjustRightInd w:val="0"/>
        <w:snapToGrid w:val="0"/>
        <w:spacing w:line="578" w:lineRule="exact"/>
        <w:ind w:firstLine="640" w:firstLineChars="2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综上，根据评分标准，该项指标不扣分，得2分。</w:t>
      </w:r>
    </w:p>
    <w:p w14:paraId="49984099">
      <w:pPr>
        <w:adjustRightInd w:val="0"/>
        <w:snapToGrid w:val="0"/>
        <w:spacing w:line="578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（3）资金使用规范</w:t>
      </w:r>
    </w:p>
    <w:p w14:paraId="6755A7EC">
      <w:pPr>
        <w:adjustRightInd w:val="0"/>
        <w:snapToGrid w:val="0"/>
        <w:spacing w:line="578" w:lineRule="exact"/>
        <w:ind w:left="320" w:leftChars="100" w:firstLine="320" w:firstLineChars="1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本部门资金严格按照《财务管理办法》《重大经济事项决策</w:t>
      </w:r>
    </w:p>
    <w:p w14:paraId="01BD85B6">
      <w:pPr>
        <w:adjustRightInd w:val="0"/>
        <w:snapToGrid w:val="0"/>
        <w:spacing w:line="578" w:lineRule="exact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管理办法》《项目预算绩效管理办法》等相关办法进行使用，坚持量入为出、确保重点、厉行节约、注重实效、重大经济事项支出由集体决策研究决定的原则，保证资金使用合法合规。</w:t>
      </w:r>
    </w:p>
    <w:p w14:paraId="15261B72">
      <w:pPr>
        <w:adjustRightInd w:val="0"/>
        <w:snapToGrid w:val="0"/>
        <w:spacing w:line="578" w:lineRule="exact"/>
        <w:ind w:firstLine="640" w:firstLineChars="200"/>
        <w:rPr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722CEB23">
      <w:pPr>
        <w:adjustRightInd w:val="0"/>
        <w:snapToGrid w:val="0"/>
        <w:spacing w:line="578" w:lineRule="exact"/>
        <w:ind w:firstLine="640" w:firstLineChars="200"/>
        <w:contextualSpacing/>
        <w:jc w:val="left"/>
        <w:outlineLvl w:val="2"/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  <w:t>4</w:t>
      </w:r>
      <w:r>
        <w:rPr>
          <w:rFonts w:hint="eastAsia" w:eastAsia="楷体_GB2312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资产管理。</w:t>
      </w:r>
    </w:p>
    <w:p w14:paraId="1ED47FB7">
      <w:pPr>
        <w:adjustRightInd w:val="0"/>
        <w:snapToGrid w:val="0"/>
        <w:spacing w:line="578" w:lineRule="exact"/>
        <w:ind w:firstLine="640" w:firstLineChars="200"/>
        <w:outlineLvl w:val="3"/>
        <w:rPr>
          <w:color w:val="auto"/>
          <w:kern w:val="0"/>
          <w:highlight w:val="none"/>
          <w:shd w:val="clear" w:color="auto" w:fill="FFFFFF"/>
          <w:lang w:val="zh-CN"/>
        </w:rPr>
      </w:pPr>
      <w:r>
        <w:rPr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color w:val="auto"/>
          <w:kern w:val="0"/>
          <w:highlight w:val="none"/>
          <w:shd w:val="clear" w:color="auto" w:fill="FFFFFF"/>
        </w:rPr>
        <w:t>1</w:t>
      </w:r>
      <w:r>
        <w:rPr>
          <w:color w:val="auto"/>
          <w:kern w:val="0"/>
          <w:highlight w:val="none"/>
          <w:shd w:val="clear" w:color="auto" w:fill="FFFFFF"/>
          <w:lang w:val="zh-CN"/>
        </w:rPr>
        <w:t>）人均资产变化率</w:t>
      </w:r>
    </w:p>
    <w:p w14:paraId="698A0E87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color w:val="auto"/>
          <w:kern w:val="0"/>
          <w:highlight w:val="none"/>
          <w:shd w:val="clear" w:color="auto" w:fill="FFFFFF"/>
        </w:rPr>
        <w:t>根据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决算报表和国有资产年报表，本部门202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年末实有人</w:t>
      </w:r>
    </w:p>
    <w:p w14:paraId="58CAEF53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116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人，固定资产和无形资产净值合计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万元。202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4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年末实有人数为</w:t>
      </w:r>
      <w:r>
        <w:rPr>
          <w:rFonts w:hint="eastAsia"/>
          <w:color w:val="auto"/>
          <w:szCs w:val="32"/>
          <w:highlight w:val="none"/>
          <w:lang w:val="en-US" w:eastAsia="zh-CN"/>
        </w:rPr>
        <w:t>106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人，固定资产和无形资产净值合计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455.07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万元。</w:t>
      </w:r>
    </w:p>
    <w:p w14:paraId="6847A4D6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）资产利用率</w:t>
      </w:r>
    </w:p>
    <w:p w14:paraId="41FD1CF8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根据资产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卡片账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，本部门超最低使用年限的办公家具账面价</w:t>
      </w:r>
    </w:p>
    <w:p w14:paraId="79EDCE7B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万元，办公家具账面价值为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56.07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万元，办公家具超最低使用年限资产利用率为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%。</w:t>
      </w:r>
    </w:p>
    <w:p w14:paraId="747D3C90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根据资产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卡片账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，本部门202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4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年办公设备超最低使用年限</w:t>
      </w:r>
    </w:p>
    <w:p w14:paraId="2B6BAE91">
      <w:pPr>
        <w:adjustRightInd w:val="0"/>
        <w:snapToGrid w:val="0"/>
        <w:spacing w:line="576" w:lineRule="exact"/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账面价值为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9.51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万元，办公设备账面价值为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538.73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  <w:t>。</w:t>
      </w:r>
    </w:p>
    <w:p w14:paraId="107FF5AB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综上，根据评分标准，该项指标得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+1.5=1.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5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分。</w:t>
      </w:r>
    </w:p>
    <w:p w14:paraId="7266F3F9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）资产盘活率</w:t>
      </w:r>
    </w:p>
    <w:p w14:paraId="65E97225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根据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资产卡片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，本部门本年闲置资产账面价值为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</w:t>
      </w:r>
    </w:p>
    <w:p w14:paraId="1DB2D5ED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本年总资产账面价值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2214.81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万元，上一年度闲置资产账面价值为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万元。</w:t>
      </w:r>
    </w:p>
    <w:p w14:paraId="42B79D17">
      <w:pPr>
        <w:adjustRightInd w:val="0"/>
        <w:snapToGrid w:val="0"/>
        <w:spacing w:line="576" w:lineRule="exact"/>
        <w:ind w:firstLine="640" w:firstLineChars="200"/>
        <w:rPr>
          <w:rFonts w:eastAsia="楷体_GB2312"/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综上，根据评分标准，该项指标不扣分，得3分。</w:t>
      </w:r>
    </w:p>
    <w:p w14:paraId="73A7A3AD">
      <w:pPr>
        <w:adjustRightInd w:val="0"/>
        <w:snapToGrid w:val="0"/>
        <w:spacing w:line="578" w:lineRule="exact"/>
        <w:ind w:firstLine="640" w:firstLineChars="200"/>
        <w:contextualSpacing/>
        <w:jc w:val="left"/>
        <w:outlineLvl w:val="2"/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  <w:t>5</w:t>
      </w:r>
      <w:r>
        <w:rPr>
          <w:rFonts w:hint="eastAsia" w:eastAsia="楷体_GB2312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采购管理。</w:t>
      </w:r>
    </w:p>
    <w:p w14:paraId="023B5B19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）支持中小企业发展</w:t>
      </w:r>
    </w:p>
    <w:p w14:paraId="51768339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本部门已预留采购份额专门面向中小企业采购，并在采购预</w:t>
      </w:r>
    </w:p>
    <w:p w14:paraId="28BEEFB4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算中单独列示，根据决算报表，政府采购授予中小企业合同金额为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万元。</w:t>
      </w:r>
    </w:p>
    <w:p w14:paraId="54558FC0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综上，根据评分标准，该项指标不扣分，得3分。</w:t>
      </w:r>
    </w:p>
    <w:p w14:paraId="0791FE72">
      <w:pPr>
        <w:widowControl/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）采购执行率</w:t>
      </w:r>
    </w:p>
    <w:p w14:paraId="6E0AE1B1">
      <w:pPr>
        <w:tabs>
          <w:tab w:val="left" w:pos="1100"/>
        </w:tabs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</w:rPr>
        <w:t>本部门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当年政府采购实际支付总金额为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894.35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万元，当年</w:t>
      </w:r>
    </w:p>
    <w:p w14:paraId="5DE68577">
      <w:pPr>
        <w:tabs>
          <w:tab w:val="left" w:pos="1100"/>
        </w:tabs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政府采购总预算数为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894.35</w:t>
      </w:r>
      <w:r>
        <w:rPr>
          <w:snapToGrid w:val="0"/>
          <w:color w:val="auto"/>
          <w:kern w:val="0"/>
          <w:highlight w:val="none"/>
        </w:rPr>
        <w:t>万元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，当年已完成采购项目节约金额为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万元。</w:t>
      </w:r>
    </w:p>
    <w:p w14:paraId="38149560">
      <w:pPr>
        <w:adjustRightInd w:val="0"/>
        <w:snapToGrid w:val="0"/>
        <w:spacing w:line="576" w:lineRule="exact"/>
        <w:ind w:firstLine="640" w:firstLineChars="200"/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综上，根据评分标准，该项指标得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3.00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分。</w:t>
      </w:r>
    </w:p>
    <w:p w14:paraId="0F695708">
      <w:pPr>
        <w:widowControl/>
        <w:adjustRightInd w:val="0"/>
        <w:snapToGrid w:val="0"/>
        <w:spacing w:line="578" w:lineRule="exact"/>
        <w:ind w:firstLine="643" w:firstLineChars="200"/>
        <w:contextualSpacing/>
        <w:jc w:val="left"/>
        <w:outlineLvl w:val="1"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（二）部门预算项目绩效分析。</w:t>
      </w:r>
    </w:p>
    <w:p w14:paraId="61E1090E">
      <w:pPr>
        <w:adjustRightInd w:val="0"/>
        <w:snapToGrid w:val="0"/>
        <w:spacing w:line="578" w:lineRule="exact"/>
        <w:ind w:firstLine="640" w:firstLineChars="200"/>
        <w:contextualSpacing/>
        <w:jc w:val="left"/>
        <w:rPr>
          <w:rFonts w:hint="eastAsia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1．</w:t>
      </w:r>
      <w:r>
        <w:rPr>
          <w:rFonts w:eastAsia="楷体_GB2312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zh-CN"/>
        </w:rPr>
        <w:t>预算项目绩效分析</w:t>
      </w:r>
    </w:p>
    <w:p w14:paraId="385F3E8E">
      <w:pPr>
        <w:adjustRightInd w:val="0"/>
        <w:snapToGrid w:val="0"/>
        <w:spacing w:line="578" w:lineRule="exact"/>
        <w:ind w:left="320" w:leftChars="100" w:firstLine="320" w:firstLineChars="100"/>
        <w:contextualSpacing/>
        <w:jc w:val="left"/>
        <w:rPr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常年项目绩效分析。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该类项目总数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56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个，涉及预算总金额</w:t>
      </w:r>
    </w:p>
    <w:p w14:paraId="59DFA0FC">
      <w:pPr>
        <w:adjustRightInd w:val="0"/>
        <w:snapToGrid w:val="0"/>
        <w:spacing w:line="578" w:lineRule="exact"/>
        <w:contextualSpacing/>
        <w:jc w:val="left"/>
        <w:rPr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39933.44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万元，1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zh-CN"/>
        </w:rPr>
        <w:t>—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1</w:t>
      </w:r>
      <w:r>
        <w:rPr>
          <w:color w:val="auto"/>
          <w:kern w:val="0"/>
          <w:szCs w:val="32"/>
          <w:highlight w:val="none"/>
          <w:shd w:val="clear" w:color="auto" w:fill="FFFFFF"/>
        </w:rPr>
        <w:t>2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月预算执行总体进度为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100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%，其中：预算结余率大于</w:t>
      </w:r>
      <w:r>
        <w:rPr>
          <w:color w:val="auto"/>
          <w:kern w:val="0"/>
          <w:szCs w:val="32"/>
          <w:highlight w:val="none"/>
          <w:shd w:val="clear" w:color="auto" w:fill="FFFFFF"/>
        </w:rPr>
        <w:t>10%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的项目共计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个。</w:t>
      </w:r>
    </w:p>
    <w:p w14:paraId="63CA7BC3">
      <w:pPr>
        <w:adjustRightInd w:val="0"/>
        <w:snapToGrid w:val="0"/>
        <w:spacing w:line="578" w:lineRule="exact"/>
        <w:ind w:left="320" w:leftChars="100" w:firstLine="320" w:firstLineChars="100"/>
        <w:contextualSpacing/>
        <w:rPr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阶段（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含</w:t>
      </w:r>
      <w:r>
        <w:rPr>
          <w:color w:val="auto"/>
          <w:kern w:val="0"/>
          <w:szCs w:val="32"/>
          <w:highlight w:val="none"/>
          <w:shd w:val="clear" w:color="auto" w:fill="FFFFFF"/>
        </w:rPr>
        <w:t>一次性）项目绩效分析。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该类项目总数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2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个，涉及</w:t>
      </w:r>
    </w:p>
    <w:p w14:paraId="26A94BD0">
      <w:pPr>
        <w:adjustRightInd w:val="0"/>
        <w:snapToGrid w:val="0"/>
        <w:spacing w:line="578" w:lineRule="exact"/>
        <w:contextualSpacing/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预算总金额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213.12</w:t>
      </w:r>
      <w:r>
        <w:rPr>
          <w:color w:val="auto"/>
          <w:kern w:val="0"/>
          <w:szCs w:val="32"/>
          <w:highlight w:val="none"/>
          <w:shd w:val="clear" w:color="auto" w:fill="FFFFFF"/>
          <w:lang w:val="zh-CN"/>
        </w:rPr>
        <w:t>万元。</w:t>
      </w:r>
    </w:p>
    <w:p w14:paraId="032F9FEE">
      <w:pPr>
        <w:adjustRightInd w:val="0"/>
        <w:snapToGrid w:val="0"/>
        <w:spacing w:line="600" w:lineRule="exact"/>
        <w:ind w:firstLine="640" w:firstLineChars="200"/>
        <w:contextualSpacing/>
        <w:rPr>
          <w:rFonts w:eastAsia="楷体_GB2312"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eastAsia="楷体_GB2312"/>
          <w:color w:val="auto"/>
          <w:kern w:val="0"/>
          <w:szCs w:val="32"/>
          <w:highlight w:val="none"/>
          <w:shd w:val="clear" w:color="auto" w:fill="FFFFFF"/>
          <w:lang w:val="zh-CN"/>
        </w:rPr>
        <w:t>具体项目完成情况如下：</w:t>
      </w:r>
    </w:p>
    <w:p w14:paraId="1ADE6984">
      <w:pPr>
        <w:numPr>
          <w:ilvl w:val="0"/>
          <w:numId w:val="2"/>
        </w:numPr>
        <w:adjustRightInd w:val="0"/>
        <w:snapToGrid w:val="0"/>
        <w:spacing w:line="600" w:lineRule="exact"/>
        <w:ind w:left="320" w:leftChars="100" w:firstLine="320" w:firstLineChars="100"/>
        <w:contextualSpacing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人员类项目。包含工资性支出、其他人员支出、单位</w:t>
      </w:r>
    </w:p>
    <w:p w14:paraId="2AAF34D4">
      <w:pPr>
        <w:numPr>
          <w:ilvl w:val="0"/>
          <w:numId w:val="0"/>
        </w:numPr>
        <w:adjustRightInd w:val="0"/>
        <w:snapToGrid w:val="0"/>
        <w:spacing w:line="600" w:lineRule="exact"/>
        <w:contextualSpacing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缴费、离退休费支出、其他补助支出等，绩效目标根据预算一体化自动生成，主要涉及科目调整次数、足额保障率、发放（缴纳）覆盖率、按时发放率、结余率等指标，绩效目标编制科学合理、规范完整、细化量化并与预算安排相匹配。本年度人员类项目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color w:val="auto"/>
          <w:kern w:val="0"/>
          <w:szCs w:val="32"/>
          <w:highlight w:val="none"/>
          <w:shd w:val="clear" w:color="auto" w:fill="FFFFFF"/>
        </w:rPr>
        <w:t>个，年初预算数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3378.64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万元，调整预算数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3378.64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万元，决算数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3378.64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万元，预算执行率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100</w:t>
      </w:r>
      <w:r>
        <w:rPr>
          <w:color w:val="auto"/>
          <w:kern w:val="0"/>
          <w:szCs w:val="32"/>
          <w:highlight w:val="none"/>
          <w:shd w:val="clear" w:color="auto" w:fill="FFFFFF"/>
        </w:rPr>
        <w:t>%。主要用于工资性支出、单位缴费支出、离退休人员经费支出等。</w:t>
      </w:r>
    </w:p>
    <w:p w14:paraId="752D2FDE">
      <w:pPr>
        <w:numPr>
          <w:ilvl w:val="0"/>
          <w:numId w:val="2"/>
        </w:numPr>
        <w:adjustRightInd w:val="0"/>
        <w:snapToGrid w:val="0"/>
        <w:spacing w:line="600" w:lineRule="exact"/>
        <w:ind w:left="320" w:leftChars="100" w:firstLine="320" w:firstLineChars="100"/>
        <w:contextualSpacing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公用经费项目。包含日常公用经费、非定额公用经费、</w:t>
      </w:r>
    </w:p>
    <w:p w14:paraId="2ABBA3BE">
      <w:pPr>
        <w:numPr>
          <w:ilvl w:val="0"/>
          <w:numId w:val="0"/>
        </w:numPr>
        <w:adjustRightInd w:val="0"/>
        <w:snapToGrid w:val="0"/>
        <w:spacing w:line="600" w:lineRule="exact"/>
        <w:contextualSpacing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离退休公用和其他运转支出。具体用于培训费、差旅费、机关人员日常公用支出、事业单位离退休人员公用经费支出等。本年度运转类公用经费项目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color w:val="auto"/>
          <w:kern w:val="0"/>
          <w:szCs w:val="32"/>
          <w:highlight w:val="none"/>
          <w:shd w:val="clear" w:color="auto" w:fill="FFFFFF"/>
        </w:rPr>
        <w:t>个，年初预算数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2800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万元，调整后预算数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2800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万元，决算数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2800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万元，执行率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100</w:t>
      </w:r>
      <w:r>
        <w:rPr>
          <w:color w:val="auto"/>
          <w:kern w:val="0"/>
          <w:szCs w:val="32"/>
          <w:highlight w:val="none"/>
          <w:shd w:val="clear" w:color="auto" w:fill="FFFFFF"/>
        </w:rPr>
        <w:t>%，保障了机关的正常运转和离退休人员活动的正常开展。</w:t>
      </w:r>
    </w:p>
    <w:p w14:paraId="179E1E8C">
      <w:pPr>
        <w:numPr>
          <w:ilvl w:val="0"/>
          <w:numId w:val="2"/>
        </w:numPr>
        <w:adjustRightInd w:val="0"/>
        <w:snapToGrid w:val="0"/>
        <w:spacing w:line="578" w:lineRule="exact"/>
        <w:ind w:left="320" w:leftChars="100" w:firstLine="320" w:firstLineChars="100"/>
        <w:contextualSpacing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阶段项目（一次性项目）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0个</w:t>
      </w:r>
      <w:r>
        <w:rPr>
          <w:color w:val="auto"/>
          <w:kern w:val="0"/>
          <w:szCs w:val="32"/>
          <w:highlight w:val="none"/>
          <w:shd w:val="clear" w:color="auto" w:fill="FFFFFF"/>
        </w:rPr>
        <w:t>。年初预算数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</w:t>
      </w:r>
    </w:p>
    <w:p w14:paraId="55CE46A9">
      <w:pPr>
        <w:numPr>
          <w:ilvl w:val="0"/>
          <w:numId w:val="0"/>
        </w:numPr>
        <w:adjustRightInd w:val="0"/>
        <w:snapToGrid w:val="0"/>
        <w:spacing w:line="578" w:lineRule="exact"/>
        <w:contextualSpacing/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调整后预算数为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万元，决算数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0.00</w:t>
      </w:r>
      <w:r>
        <w:rPr>
          <w:color w:val="auto"/>
          <w:kern w:val="0"/>
          <w:szCs w:val="32"/>
          <w:highlight w:val="none"/>
          <w:shd w:val="clear" w:color="auto" w:fill="FFFFFF"/>
        </w:rPr>
        <w:t>万元，执行率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0%</w:t>
      </w:r>
      <w:r>
        <w:rPr>
          <w:color w:val="auto"/>
          <w:kern w:val="0"/>
          <w:szCs w:val="32"/>
          <w:highlight w:val="none"/>
          <w:shd w:val="clear" w:color="auto" w:fill="FFFFFF"/>
        </w:rPr>
        <w:t>。</w:t>
      </w:r>
    </w:p>
    <w:p w14:paraId="6C7A981D">
      <w:pPr>
        <w:adjustRightInd w:val="0"/>
        <w:snapToGrid w:val="0"/>
        <w:spacing w:line="576" w:lineRule="exact"/>
        <w:ind w:firstLine="640" w:firstLineChars="200"/>
        <w:outlineLvl w:val="2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2</w:t>
      </w:r>
      <w:r>
        <w:rPr>
          <w:rFonts w:hint="eastAsia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en-US" w:eastAsia="zh-CN"/>
        </w:rPr>
        <w:t>．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项目决策</w:t>
      </w:r>
    </w:p>
    <w:p w14:paraId="5D05B85E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）决策程序</w:t>
      </w:r>
    </w:p>
    <w:p w14:paraId="6712A940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根据可执行情况表，本部门预算阶段项目（含一次性项目）</w:t>
      </w:r>
    </w:p>
    <w:p w14:paraId="729473DE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总数为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个，无未履行事前评估程序的部门预算阶段项目。</w:t>
      </w:r>
    </w:p>
    <w:p w14:paraId="7E201919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5901303C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）目标设置</w:t>
      </w:r>
    </w:p>
    <w:p w14:paraId="1962675E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部门预算阶段项目（含一次性项目）总数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个，无绩效</w:t>
      </w:r>
    </w:p>
    <w:p w14:paraId="2C50CBC3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目标与计划期内的任务量、预算安排不相匹配的部门预算阶段项目（含一次性项目）。</w:t>
      </w:r>
    </w:p>
    <w:p w14:paraId="62E3042C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16C129AE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）项目入库</w:t>
      </w:r>
    </w:p>
    <w:p w14:paraId="2067DA15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部门预算阶段项目（含一次性项目）总数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个，均已在</w:t>
      </w:r>
    </w:p>
    <w:p w14:paraId="5A6001E2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规定时间内入财政库。</w:t>
      </w:r>
    </w:p>
    <w:p w14:paraId="5EF2AC2A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57A084DF">
      <w:pPr>
        <w:adjustRightInd w:val="0"/>
        <w:snapToGrid w:val="0"/>
        <w:spacing w:line="576" w:lineRule="exact"/>
        <w:ind w:firstLine="640" w:firstLineChars="200"/>
        <w:outlineLvl w:val="2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  <w:t>．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项目执行</w:t>
      </w:r>
    </w:p>
    <w:p w14:paraId="0087E928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（1）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资金执行同向</w:t>
      </w:r>
    </w:p>
    <w:p w14:paraId="6CE8DD7D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部门预算阶段项目（含一次性项目）总数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个，无实际</w:t>
      </w:r>
    </w:p>
    <w:p w14:paraId="5D736F1C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列支内容与绩效目标设置方向不相符的部门预算阶段项目（含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 xml:space="preserve"> 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一次性项目）。</w:t>
      </w:r>
    </w:p>
    <w:p w14:paraId="291865DD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1570DE61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）项目调整</w:t>
      </w:r>
    </w:p>
    <w:p w14:paraId="437CCB35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本部门应采取收回预算、调整目标等处置措施的部门预算阶</w:t>
      </w:r>
    </w:p>
    <w:p w14:paraId="1E68C305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段项目（含一次性项目）个数为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个，均按程序进行预算收回和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 xml:space="preserve"> 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目标调整。</w:t>
      </w:r>
    </w:p>
    <w:p w14:paraId="741DF2EB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0D0374CA">
      <w:pPr>
        <w:adjustRightInd w:val="0"/>
        <w:snapToGrid w:val="0"/>
        <w:spacing w:line="576" w:lineRule="exact"/>
        <w:ind w:firstLine="640" w:firstLineChars="200"/>
        <w:outlineLvl w:val="3"/>
        <w:rPr>
          <w:rFonts w:eastAsia="楷体_GB2312"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）执行结果</w:t>
      </w:r>
    </w:p>
    <w:p w14:paraId="6CAF55E3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本部门预算常年项目总数为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个，预算结余率小于10%的常</w:t>
      </w:r>
    </w:p>
    <w:p w14:paraId="40AD8EE1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年项目数量为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个。本部门预算一次性项目和阶段项目总数为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个，预算结余率小于10%的一次性项目和阶段项目数量为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个。</w:t>
      </w:r>
    </w:p>
    <w:p w14:paraId="4BBD1006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不扣分，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得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分。</w:t>
      </w:r>
    </w:p>
    <w:p w14:paraId="2FFE51A7">
      <w:pPr>
        <w:adjustRightInd w:val="0"/>
        <w:snapToGrid w:val="0"/>
        <w:spacing w:line="576" w:lineRule="exact"/>
        <w:ind w:firstLine="640" w:firstLineChars="200"/>
        <w:outlineLvl w:val="2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  <w:t>．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目标实现</w:t>
      </w:r>
    </w:p>
    <w:p w14:paraId="47764A12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）目标完成</w:t>
      </w:r>
    </w:p>
    <w:p w14:paraId="5C360D05">
      <w:pPr>
        <w:adjustRightInd w:val="0"/>
        <w:snapToGrid w:val="0"/>
        <w:spacing w:line="576" w:lineRule="exact"/>
        <w:ind w:left="320" w:leftChars="100" w:firstLine="320" w:firstLineChars="1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部门预算阶段项目（含一次性项目）总数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个，已完成</w:t>
      </w:r>
    </w:p>
    <w:p w14:paraId="400536C7">
      <w:pPr>
        <w:adjustRightInd w:val="0"/>
        <w:snapToGrid w:val="0"/>
        <w:spacing w:line="576" w:lineRule="exact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绩效目标数量指标的部门预算阶段项目（含一次性项目）数量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个。</w:t>
      </w:r>
    </w:p>
    <w:p w14:paraId="6FECC043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综上，根据评分标准，该项指标不扣分，得4分。</w:t>
      </w:r>
    </w:p>
    <w:p w14:paraId="46859F68">
      <w:pPr>
        <w:adjustRightInd w:val="0"/>
        <w:snapToGrid w:val="0"/>
        <w:spacing w:line="576" w:lineRule="exact"/>
        <w:ind w:firstLine="640" w:firstLineChars="200"/>
        <w:outlineLvl w:val="3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2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）目标偏离</w:t>
      </w:r>
    </w:p>
    <w:p w14:paraId="449A164F">
      <w:pPr>
        <w:adjustRightInd w:val="0"/>
        <w:snapToGrid w:val="0"/>
        <w:spacing w:line="576" w:lineRule="exact"/>
        <w:ind w:left="0" w:leftChars="0"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项目中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数量指标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全部完成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。</w:t>
      </w:r>
    </w:p>
    <w:p w14:paraId="48CADE6F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该项指标得分=已完成预期指标值的数量指标中偏离度在30%内的指标个数÷已完成预期指标值的数量指标个数×100%×4。偏离度=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0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（绩效指标实际完成值-设定预期指标值）÷设定预期指标值|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  <w:t>，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该项指标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不扣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分，得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4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分。</w:t>
      </w:r>
    </w:p>
    <w:p w14:paraId="51C1711F">
      <w:pPr>
        <w:adjustRightInd w:val="0"/>
        <w:snapToGrid w:val="0"/>
        <w:spacing w:line="576" w:lineRule="exact"/>
        <w:ind w:firstLine="640" w:firstLineChars="200"/>
        <w:outlineLvl w:val="3"/>
        <w:rPr>
          <w:rFonts w:eastAsia="楷体_GB2312"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（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3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）实现效果</w:t>
      </w:r>
    </w:p>
    <w:p w14:paraId="32A248EF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部门预算阶段项目（含一次性项目）总数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个，完成绩效目标效益指标的部门预算阶段项目（含一次性项目）数量为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1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个，本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部门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预算项目绩效目标效益指标实施效果较好，均已达到设定指标值。</w:t>
      </w:r>
    </w:p>
    <w:p w14:paraId="29F18435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综上，根据评分标准，该项指标不扣分，得3分。</w:t>
      </w:r>
    </w:p>
    <w:p w14:paraId="1BF88989">
      <w:pPr>
        <w:snapToGrid w:val="0"/>
        <w:spacing w:line="600" w:lineRule="exact"/>
        <w:ind w:firstLine="643" w:firstLineChars="200"/>
        <w:outlineLvl w:val="1"/>
        <w:rPr>
          <w:rFonts w:eastAsia="楷体_GB2312"/>
          <w:b/>
          <w:bCs/>
          <w:color w:val="auto"/>
          <w:szCs w:val="32"/>
          <w:highlight w:val="none"/>
          <w:lang w:val="zh-CN"/>
        </w:rPr>
      </w:pPr>
      <w:r>
        <w:rPr>
          <w:rFonts w:eastAsia="楷体_GB2312"/>
          <w:b/>
          <w:bCs/>
          <w:color w:val="auto"/>
          <w:kern w:val="0"/>
          <w:szCs w:val="32"/>
          <w:highlight w:val="none"/>
          <w:shd w:val="clear" w:color="auto" w:fill="FFFFFF"/>
          <w:lang w:val="zh-CN"/>
        </w:rPr>
        <w:t>（三）</w:t>
      </w:r>
      <w:r>
        <w:rPr>
          <w:rFonts w:eastAsia="楷体_GB2312"/>
          <w:b/>
          <w:bCs/>
          <w:color w:val="auto"/>
          <w:szCs w:val="32"/>
          <w:highlight w:val="none"/>
          <w:lang w:val="zh-CN"/>
        </w:rPr>
        <w:t>绩效结果应用情况。</w:t>
      </w:r>
    </w:p>
    <w:p w14:paraId="1CB09D72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本部门严格按照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规定，项目绩效与预算资金安排挂钩；项目实施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未达预期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效果、预算执行进度不符合要求的，进行通报并作为年度评优时的参考依据；对于造成财政资金损失的，按照有关规定追究责任。</w:t>
      </w:r>
    </w:p>
    <w:p w14:paraId="324A1F9C">
      <w:pPr>
        <w:adjustRightInd w:val="0"/>
        <w:snapToGrid w:val="0"/>
        <w:spacing w:line="576" w:lineRule="exact"/>
        <w:ind w:firstLine="640" w:firstLineChars="200"/>
        <w:rPr>
          <w:rFonts w:hint="default" w:eastAsia="仿宋_GB2312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</w:pPr>
      <w:r>
        <w:rPr>
          <w:snapToGrid w:val="0"/>
          <w:color w:val="auto"/>
          <w:kern w:val="0"/>
          <w:highlight w:val="none"/>
          <w:shd w:val="clear" w:color="auto" w:fill="FFFFFF"/>
        </w:rPr>
        <w:t>本部门严格按照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规定，经批复的项目绩效目标、绩效评价结果按规定向社会公开。同时，202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4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年我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部门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在门户网站上公开的202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4</w:t>
      </w:r>
      <w:r>
        <w:rPr>
          <w:snapToGrid w:val="0"/>
          <w:color w:val="auto"/>
          <w:kern w:val="0"/>
          <w:highlight w:val="none"/>
          <w:shd w:val="clear" w:color="auto" w:fill="FFFFFF"/>
          <w:lang w:val="zh-CN"/>
        </w:rPr>
        <w:t>年部门预算编制说明中同步公开绩效目标。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val="en-US" w:eastAsia="zh-CN"/>
        </w:rPr>
        <w:t>2025年3月按照相关要求完成全州林草系统2024年转移支付资金绩效评价，2025年4月完成全州林草系统2024年省级资金绩效评价，并在门户网站上进行了公开。</w:t>
      </w:r>
    </w:p>
    <w:p w14:paraId="11A076A8">
      <w:pPr>
        <w:widowControl/>
        <w:adjustRightInd w:val="0"/>
        <w:snapToGrid w:val="0"/>
        <w:spacing w:line="578" w:lineRule="exact"/>
        <w:ind w:firstLine="640" w:firstLineChars="200"/>
        <w:contextualSpacing/>
        <w:jc w:val="left"/>
        <w:outlineLvl w:val="0"/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eastAsia="黑体"/>
          <w:color w:val="auto"/>
          <w:kern w:val="0"/>
          <w:szCs w:val="32"/>
          <w:highlight w:val="none"/>
          <w:shd w:val="clear" w:color="auto" w:fill="FFFFFF"/>
        </w:rPr>
        <w:t>四、评价结论及建议</w:t>
      </w:r>
    </w:p>
    <w:p w14:paraId="23E4157B">
      <w:pPr>
        <w:adjustRightInd w:val="0"/>
        <w:snapToGrid w:val="0"/>
        <w:spacing w:line="576" w:lineRule="exact"/>
        <w:ind w:firstLine="643" w:firstLineChars="200"/>
        <w:outlineLvl w:val="1"/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  <w:t>（一）评价结论</w:t>
      </w:r>
    </w:p>
    <w:p w14:paraId="1B82B6FC">
      <w:pPr>
        <w:adjustRightInd w:val="0"/>
        <w:snapToGrid w:val="0"/>
        <w:spacing w:line="576" w:lineRule="exact"/>
        <w:ind w:firstLine="640" w:firstLineChars="200"/>
        <w:rPr>
          <w:snapToGrid w:val="0"/>
          <w:color w:val="auto"/>
          <w:kern w:val="0"/>
          <w:highlight w:val="none"/>
          <w:lang w:val="zh-CN"/>
        </w:rPr>
      </w:pPr>
      <w:r>
        <w:rPr>
          <w:snapToGrid w:val="0"/>
          <w:color w:val="auto"/>
          <w:kern w:val="0"/>
          <w:highlight w:val="none"/>
        </w:rPr>
        <w:t>本部门履职效果和预算管理效果较好，财务管理、资产管理、采购管理规范，项目决策程序严格</w:t>
      </w:r>
      <w:r>
        <w:rPr>
          <w:snapToGrid w:val="0"/>
          <w:color w:val="auto"/>
          <w:kern w:val="0"/>
          <w:highlight w:val="none"/>
          <w:lang w:val="zh-CN"/>
        </w:rPr>
        <w:t>，项目执行</w:t>
      </w:r>
      <w:r>
        <w:rPr>
          <w:snapToGrid w:val="0"/>
          <w:color w:val="auto"/>
          <w:kern w:val="0"/>
          <w:highlight w:val="none"/>
        </w:rPr>
        <w:t>进度和绩效目标实现程度良好，严格按照</w:t>
      </w:r>
      <w:r>
        <w:rPr>
          <w:rFonts w:hint="eastAsia"/>
          <w:snapToGrid w:val="0"/>
          <w:color w:val="auto"/>
          <w:kern w:val="0"/>
          <w:highlight w:val="none"/>
        </w:rPr>
        <w:t>《财政厅关于开展省级部门预算绩效自评工作的通知》（川财绩〔2025〕4号）</w:t>
      </w:r>
      <w:r>
        <w:rPr>
          <w:snapToGrid w:val="0"/>
          <w:color w:val="auto"/>
          <w:kern w:val="0"/>
          <w:highlight w:val="none"/>
        </w:rPr>
        <w:t>要求，完成一般公共预算和阶段性（一次性）项目绩效目标自评表的填报，完成专项预算项目（含中央转移支付）自评工作，实现部门预算项目自评全覆盖。</w:t>
      </w:r>
      <w:r>
        <w:rPr>
          <w:snapToGrid w:val="0"/>
          <w:color w:val="auto"/>
          <w:kern w:val="0"/>
          <w:highlight w:val="none"/>
          <w:lang w:val="zh-CN"/>
        </w:rPr>
        <w:t>根据《部门整体支出绩效评价指标体系》，</w:t>
      </w:r>
      <w:r>
        <w:rPr>
          <w:snapToGrid w:val="0"/>
          <w:color w:val="auto"/>
          <w:kern w:val="0"/>
          <w:highlight w:val="none"/>
        </w:rPr>
        <w:t>本部门</w:t>
      </w:r>
      <w:r>
        <w:rPr>
          <w:snapToGrid w:val="0"/>
          <w:color w:val="auto"/>
          <w:kern w:val="0"/>
          <w:highlight w:val="none"/>
          <w:lang w:val="zh-CN"/>
        </w:rPr>
        <w:t>202</w:t>
      </w:r>
      <w:r>
        <w:rPr>
          <w:rFonts w:hint="eastAsia"/>
          <w:snapToGrid w:val="0"/>
          <w:color w:val="auto"/>
          <w:kern w:val="0"/>
          <w:highlight w:val="none"/>
        </w:rPr>
        <w:t>4</w:t>
      </w:r>
      <w:r>
        <w:rPr>
          <w:snapToGrid w:val="0"/>
          <w:color w:val="auto"/>
          <w:kern w:val="0"/>
          <w:highlight w:val="none"/>
          <w:lang w:val="zh-CN"/>
        </w:rPr>
        <w:t>年度自评得分</w:t>
      </w:r>
      <w:r>
        <w:rPr>
          <w:snapToGrid w:val="0"/>
          <w:color w:val="auto"/>
          <w:kern w:val="0"/>
          <w:highlight w:val="none"/>
        </w:rPr>
        <w:t>为</w:t>
      </w:r>
      <w:r>
        <w:rPr>
          <w:rFonts w:hint="eastAsia"/>
          <w:snapToGrid w:val="0"/>
          <w:color w:val="auto"/>
          <w:kern w:val="0"/>
          <w:highlight w:val="none"/>
          <w:lang w:val="en-US" w:eastAsia="zh-CN"/>
        </w:rPr>
        <w:t>95.63</w:t>
      </w:r>
      <w:r>
        <w:rPr>
          <w:snapToGrid w:val="0"/>
          <w:color w:val="auto"/>
          <w:kern w:val="0"/>
          <w:highlight w:val="none"/>
          <w:lang w:val="zh-CN"/>
        </w:rPr>
        <w:t>分。</w:t>
      </w:r>
    </w:p>
    <w:p w14:paraId="222CECDC">
      <w:pPr>
        <w:adjustRightInd w:val="0"/>
        <w:snapToGrid w:val="0"/>
        <w:spacing w:line="576" w:lineRule="exact"/>
        <w:ind w:firstLine="643" w:firstLineChars="200"/>
        <w:outlineLvl w:val="1"/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  <w:t>（二）存在问题</w:t>
      </w:r>
    </w:p>
    <w:p w14:paraId="21158B73">
      <w:pPr>
        <w:adjustRightInd w:val="0"/>
        <w:snapToGrid w:val="0"/>
        <w:spacing w:line="576" w:lineRule="exact"/>
        <w:ind w:firstLine="643" w:firstLineChars="200"/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</w:pPr>
      <w:r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整体支出进度</w:t>
      </w:r>
      <w:r>
        <w:rPr>
          <w:rFonts w:hint="eastAsia"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不均衡</w:t>
      </w:r>
      <w:r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。</w:t>
      </w:r>
      <w:r>
        <w:rPr>
          <w:snapToGrid w:val="0"/>
          <w:color w:val="auto"/>
          <w:kern w:val="0"/>
          <w:highlight w:val="none"/>
        </w:rPr>
        <w:t>本部门整体支出执行进度</w:t>
      </w:r>
      <w:r>
        <w:rPr>
          <w:rFonts w:hint="eastAsia"/>
          <w:snapToGrid w:val="0"/>
          <w:color w:val="auto"/>
          <w:kern w:val="0"/>
          <w:highlight w:val="none"/>
        </w:rPr>
        <w:t>不均衡</w:t>
      </w:r>
      <w:r>
        <w:rPr>
          <w:snapToGrid w:val="0"/>
          <w:color w:val="auto"/>
          <w:kern w:val="0"/>
          <w:highlight w:val="none"/>
        </w:rPr>
        <w:t>，</w:t>
      </w:r>
      <w:r>
        <w:rPr>
          <w:rFonts w:hint="eastAsia"/>
          <w:snapToGrid w:val="0"/>
          <w:color w:val="auto"/>
          <w:kern w:val="0"/>
          <w:highlight w:val="none"/>
          <w:lang w:val="en-US" w:eastAsia="zh-CN"/>
        </w:rPr>
        <w:t>年初预算数为0，项目资金均为中期调整追加，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使得资金执行的进度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</w:rPr>
        <w:t>前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期较缓。</w:t>
      </w:r>
    </w:p>
    <w:p w14:paraId="26F7989A">
      <w:pPr>
        <w:adjustRightInd w:val="0"/>
        <w:snapToGrid w:val="0"/>
        <w:spacing w:line="576" w:lineRule="exact"/>
        <w:ind w:firstLine="643" w:firstLineChars="200"/>
        <w:outlineLvl w:val="1"/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</w:pPr>
      <w:r>
        <w:rPr>
          <w:rFonts w:eastAsia="楷体_GB2312"/>
          <w:b/>
          <w:snapToGrid w:val="0"/>
          <w:color w:val="auto"/>
          <w:kern w:val="0"/>
          <w:highlight w:val="none"/>
          <w:shd w:val="clear" w:color="auto" w:fill="FFFFFF"/>
          <w:lang w:val="zh-CN"/>
        </w:rPr>
        <w:t>（三）改进建议</w:t>
      </w:r>
    </w:p>
    <w:p w14:paraId="7EDB7341">
      <w:pPr>
        <w:adjustRightInd w:val="0"/>
        <w:snapToGrid w:val="0"/>
        <w:spacing w:line="576" w:lineRule="exact"/>
        <w:ind w:firstLine="643" w:firstLineChars="200"/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</w:pPr>
      <w:r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支出进度有待进一步</w:t>
      </w:r>
      <w:r>
        <w:rPr>
          <w:rFonts w:hint="eastAsia"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优化</w:t>
      </w:r>
      <w:r>
        <w:rPr>
          <w:rFonts w:eastAsia="楷体_GB2312"/>
          <w:b/>
          <w:bCs/>
          <w:snapToGrid w:val="0"/>
          <w:color w:val="auto"/>
          <w:kern w:val="0"/>
          <w:highlight w:val="none"/>
          <w:shd w:val="clear" w:color="auto" w:fill="FFFFFF"/>
        </w:rPr>
        <w:t>。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本部门将加强绩效监控工作，梳理各阶段实施内容和预算的执行进度，比较目标实现程度，分析执行过程存在的偏差，及时纠偏整改，定期通报项目执行情况，督促各部门实施项目，保障项目顺利合规</w:t>
      </w:r>
      <w:r>
        <w:rPr>
          <w:rFonts w:hint="eastAsia"/>
          <w:snapToGrid w:val="0"/>
          <w:color w:val="auto"/>
          <w:kern w:val="0"/>
          <w:highlight w:val="none"/>
          <w:shd w:val="clear" w:color="auto" w:fill="FFFFFF"/>
          <w:lang w:eastAsia="zh-CN"/>
        </w:rPr>
        <w:t>地</w:t>
      </w:r>
      <w:r>
        <w:rPr>
          <w:snapToGrid w:val="0"/>
          <w:color w:val="auto"/>
          <w:kern w:val="0"/>
          <w:highlight w:val="none"/>
          <w:shd w:val="clear" w:color="auto" w:fill="FFFFFF"/>
        </w:rPr>
        <w:t>完成支付。</w:t>
      </w:r>
    </w:p>
    <w:p w14:paraId="4A4242FA">
      <w:pPr>
        <w:spacing w:line="578" w:lineRule="exact"/>
        <w:contextualSpacing/>
        <w:rPr>
          <w:rFonts w:eastAsia="黑体"/>
          <w:color w:val="auto"/>
          <w:szCs w:val="32"/>
          <w:highlight w:val="none"/>
        </w:rPr>
      </w:pPr>
    </w:p>
    <w:p w14:paraId="5542EF19">
      <w:pPr>
        <w:spacing w:line="578" w:lineRule="exact"/>
        <w:contextualSpacing/>
        <w:rPr>
          <w:rFonts w:eastAsia="黑体"/>
          <w:color w:val="auto"/>
          <w:szCs w:val="32"/>
          <w:highlight w:val="none"/>
        </w:rPr>
      </w:pPr>
    </w:p>
    <w:p w14:paraId="4A600176">
      <w:pPr>
        <w:spacing w:line="578" w:lineRule="exact"/>
        <w:ind w:firstLine="640" w:firstLineChars="200"/>
        <w:rPr>
          <w:color w:val="auto"/>
          <w:szCs w:val="32"/>
          <w:highlight w:val="none"/>
          <w:lang w:bidi="ar"/>
        </w:rPr>
      </w:pPr>
      <w:r>
        <w:rPr>
          <w:color w:val="auto"/>
          <w:kern w:val="0"/>
          <w:szCs w:val="32"/>
          <w:highlight w:val="none"/>
          <w:shd w:val="clear" w:color="auto" w:fill="FFFFFF"/>
        </w:rPr>
        <w:t>附表：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1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rFonts w:hint="eastAsia"/>
          <w:color w:val="auto"/>
          <w:szCs w:val="32"/>
          <w:highlight w:val="none"/>
          <w:lang w:bidi="ar"/>
        </w:rPr>
        <w:t>部门预算绩效自评打分表</w:t>
      </w:r>
    </w:p>
    <w:p w14:paraId="18B93F5F">
      <w:pPr>
        <w:spacing w:line="578" w:lineRule="exact"/>
        <w:ind w:firstLine="1600" w:firstLineChars="500"/>
        <w:rPr>
          <w:color w:val="auto"/>
          <w:kern w:val="0"/>
          <w:szCs w:val="32"/>
          <w:highlight w:val="none"/>
          <w:shd w:val="clear" w:color="auto" w:fill="FFFFFF"/>
        </w:rPr>
      </w:pPr>
      <w:r>
        <w:rPr>
          <w:rFonts w:hint="eastAsia"/>
          <w:color w:val="auto"/>
          <w:szCs w:val="32"/>
          <w:highlight w:val="none"/>
          <w:lang w:bidi="ar"/>
        </w:rPr>
        <w:t>2</w:t>
      </w:r>
      <w:r>
        <w:rPr>
          <w:rFonts w:hint="eastAsia"/>
          <w:color w:val="auto"/>
          <w:szCs w:val="32"/>
          <w:highlight w:val="none"/>
          <w:lang w:eastAsia="zh-CN" w:bidi="ar"/>
        </w:rPr>
        <w:t>．</w:t>
      </w:r>
      <w:r>
        <w:rPr>
          <w:color w:val="auto"/>
          <w:kern w:val="0"/>
          <w:szCs w:val="32"/>
          <w:highlight w:val="none"/>
          <w:shd w:val="clear" w:color="auto" w:fill="FFFFFF"/>
        </w:rPr>
        <w:t>部门整体绩效目标完成情况自评表</w:t>
      </w:r>
    </w:p>
    <w:p w14:paraId="43397BE2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  <w:r>
        <w:rPr>
          <w:rFonts w:hint="eastAsia"/>
          <w:color w:val="auto"/>
          <w:kern w:val="0"/>
          <w:szCs w:val="32"/>
          <w:highlight w:val="none"/>
          <w:shd w:val="clear" w:color="auto" w:fill="FFFFFF"/>
        </w:rPr>
        <w:t>3</w:t>
      </w:r>
      <w:r>
        <w:rPr>
          <w:rFonts w:hint="eastAsia"/>
          <w:color w:val="auto"/>
          <w:kern w:val="0"/>
          <w:szCs w:val="32"/>
          <w:highlight w:val="none"/>
          <w:shd w:val="clear" w:color="auto" w:fill="FFFFFF"/>
          <w:lang w:eastAsia="zh-CN"/>
        </w:rPr>
        <w:t>．</w:t>
      </w:r>
      <w:r>
        <w:rPr>
          <w:color w:val="auto"/>
          <w:szCs w:val="32"/>
          <w:highlight w:val="none"/>
          <w:lang w:bidi="ar"/>
        </w:rPr>
        <w:t>部门预算项目支出绩效评价表（2024年度）</w:t>
      </w:r>
    </w:p>
    <w:p w14:paraId="44733380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7EEBA2C6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12488F20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153A4EB1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401ABEE8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3E6E2691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0C631981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14A0A85D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1B5F443B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45D34D00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3EC118BF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751AFC49">
      <w:pPr>
        <w:spacing w:line="578" w:lineRule="exact"/>
        <w:ind w:firstLine="1600" w:firstLineChars="500"/>
        <w:rPr>
          <w:color w:val="auto"/>
          <w:szCs w:val="32"/>
          <w:highlight w:val="none"/>
          <w:lang w:bidi="ar"/>
        </w:rPr>
      </w:pPr>
    </w:p>
    <w:p w14:paraId="048F35A9">
      <w:pPr>
        <w:spacing w:line="578" w:lineRule="exact"/>
        <w:jc w:val="left"/>
        <w:rPr>
          <w:rFonts w:eastAsia="黑体"/>
          <w:color w:val="auto"/>
          <w:highlight w:val="none"/>
        </w:rPr>
      </w:pPr>
      <w:r>
        <w:rPr>
          <w:rFonts w:eastAsia="黑体"/>
          <w:color w:val="auto"/>
          <w:highlight w:val="none"/>
        </w:rPr>
        <w:t>附表</w:t>
      </w:r>
      <w:r>
        <w:rPr>
          <w:rFonts w:hint="eastAsia" w:eastAsia="黑体"/>
          <w:color w:val="auto"/>
          <w:highlight w:val="none"/>
        </w:rPr>
        <w:t>1</w:t>
      </w:r>
    </w:p>
    <w:p w14:paraId="7E640ABE">
      <w:pPr>
        <w:widowControl/>
        <w:spacing w:line="600" w:lineRule="exact"/>
        <w:jc w:val="center"/>
        <w:textAlignment w:val="center"/>
        <w:outlineLvl w:val="0"/>
        <w:rPr>
          <w:rFonts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  <w:highlight w:val="none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  <w:highlight w:val="none"/>
          <w:lang w:bidi="ar"/>
        </w:rPr>
        <w:t>部门预算绩效自评打分表</w:t>
      </w:r>
    </w:p>
    <w:tbl>
      <w:tblPr>
        <w:tblStyle w:val="13"/>
        <w:tblW w:w="108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299"/>
        <w:gridCol w:w="1665"/>
        <w:gridCol w:w="684"/>
        <w:gridCol w:w="4819"/>
        <w:gridCol w:w="707"/>
        <w:gridCol w:w="478"/>
      </w:tblGrid>
      <w:tr w14:paraId="7A7FE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C939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绩效评价</w:t>
            </w:r>
            <w:r>
              <w:rPr>
                <w:rFonts w:hint="eastAsia"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指标</w:t>
            </w: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分值</w:t>
            </w:r>
          </w:p>
        </w:tc>
        <w:tc>
          <w:tcPr>
            <w:tcW w:w="4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3C6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指标解释</w:t>
            </w:r>
          </w:p>
        </w:tc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0EF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自评得分</w:t>
            </w:r>
          </w:p>
        </w:tc>
        <w:tc>
          <w:tcPr>
            <w:tcW w:w="4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F6F8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备注</w:t>
            </w:r>
          </w:p>
        </w:tc>
      </w:tr>
      <w:tr w14:paraId="2EBCC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6B353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一级指标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4AD92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二级指标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F9D28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三级指标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466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指标</w:t>
            </w: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分值</w:t>
            </w:r>
          </w:p>
        </w:tc>
        <w:tc>
          <w:tcPr>
            <w:tcW w:w="4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7DA5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8887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FEAE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</w:p>
        </w:tc>
      </w:tr>
      <w:tr w14:paraId="008DC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731C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总体绩效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（65分）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6113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履职效能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（15分）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99D1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履职效果</w:t>
            </w:r>
          </w:p>
        </w:tc>
        <w:tc>
          <w:tcPr>
            <w:tcW w:w="6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E10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AA271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部门整体绩效目标中选定3</w:t>
            </w:r>
            <w:r>
              <w:rPr>
                <w:rFonts w:hint="eastAsia"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  <w:t>—</w:t>
            </w: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5个核心职能目标，反映该项职能目标完成效果情况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74EE6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1183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7299B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7F3A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0A5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预算管理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（25分）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221A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预算编制质量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D27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2A8B3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部门是否严格按要求编制年初部门预算，年初预算编制的科学性和准确性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CDD3">
            <w:pPr>
              <w:widowControl/>
              <w:jc w:val="center"/>
              <w:textAlignment w:val="center"/>
              <w:rPr>
                <w:rFonts w:hint="default" w:eastAsia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6.72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7BB9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40B3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A8EE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FF9F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5BFB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单位收入统筹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EC0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CCD0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部门统筹自有收入程度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4BE1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C3438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6420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C369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87BE0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7A32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支出执行进度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947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ABE23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部门1至6月、1至10月预算执行情况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ED24">
            <w:pPr>
              <w:widowControl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17ED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F5CB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2B10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305C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220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预算年终结余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C2B4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E93C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部门整体年终预算结余情况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7CF6">
            <w:pPr>
              <w:widowControl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7F6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A00A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85463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F247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6A2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严控一般性支出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4447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A36B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部门严控“三公”经费、会议、培训、差旅、办节办展、办公设备购置、信息网络及软件购置更新、课题经费等8项一般性支出情况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8B5C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47C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74C6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DF01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0C72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财务管理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（10分）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D77B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财务管理制度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9925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659E2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部门财务管理制度建立情况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6D4CF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2AE6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F62F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7ED4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90F41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24C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财务岗位设置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5168A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AE7D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部门财务岗位设置是否符合相关财务管理制度要</w:t>
            </w:r>
            <w:r>
              <w:rPr>
                <w:rFonts w:hint="eastAsia"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93975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C0D90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9E7D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F108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02FC0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54F9C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资金使用规范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1A5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C8EA7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部门资金使用是否符合相关财务管理制度规定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72E0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14AB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5906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3653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E8B7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资产管理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（9分）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B1B3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人均资产变化率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8A2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49C7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部门人均资产变化情况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E912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9F812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70E1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CAEBB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9F33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FC51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资产利用率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10D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C1AEF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部门资产超最低使用年限情况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7423">
            <w:pPr>
              <w:widowControl/>
              <w:jc w:val="center"/>
              <w:textAlignment w:val="center"/>
              <w:rPr>
                <w:rFonts w:hint="default" w:eastAsia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1.8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AC6C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E86F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EF6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总体绩效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（65分）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622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资产管理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（9分）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1847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资产盘活率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683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7629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部门闲置一年以上的资产盘活情况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C66C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0D8F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F0FD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6E41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0BC4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采购管理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（6分）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FA7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支持中小企业发展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10B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C4451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部门是否严格执行政府采购促进中小企业发展相关管理办法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DE3B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FAD0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1D4D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6D20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36BC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52A2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采购执行率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CF13B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F685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部门政府采购项目资金支付比例情况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C40F0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A0298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6D0E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0CEA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项目绩效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（35分）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F6FAE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项目决策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（12分）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AEA53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决策程序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3EE7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D2A6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部门预算项目设立是否按规定履行评估论证、申报程序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AD42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1523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057D6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B0574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BB8D49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C394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目标设置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CB3B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1DC2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部门预算项目绩效目标与计划期内的任务量、预算安排的资金量匹配情况，绩效目标设置是否科学合理、规范完整、量化细化、预算匹配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534D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745E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4D44C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F1C8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44A167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2DC7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项目入库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D7E2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8A4CB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部门预算项目是否在规定时间完成项目入库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03AF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9B36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E5C2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76A93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378834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项目执行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（12分）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2CEB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执行同向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5F33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ABEE1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部门预算项目实际列支内容是否与绩效目标设置方向相符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67EB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95F9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5842B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8A067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3D23D8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3183A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项目调整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E7D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D11D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部门预算项目是否采取对应调整措施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55F6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7B30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B4CB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FEC8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C81414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D23D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执行结果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74F3C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F1CF0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部门预算项目预算执行情况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B40C9">
            <w:pPr>
              <w:widowControl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BAB7F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25CF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26CE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7B7E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目标实现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（11分）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D6A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目标完成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21DF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4822D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部门预算项目绩效目标数量指标完成情况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4582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2B22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6EFDE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6149D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1DC1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92EF0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目标偏离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56B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3037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部门预算项目绩效目标数量指标实现程度与预期目标的偏离情况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59EE">
            <w:pPr>
              <w:widowControl/>
              <w:jc w:val="center"/>
              <w:textAlignment w:val="center"/>
              <w:rPr>
                <w:rFonts w:hint="default" w:eastAsia="仿宋_GB2312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3.32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9FA23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3A18C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83310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D0EF8">
            <w:pPr>
              <w:widowControl/>
              <w:spacing w:line="240" w:lineRule="exact"/>
              <w:jc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92F3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实现效果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E869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340F8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部门预算项目绩效目标效益指标实施效果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29E0">
            <w:pPr>
              <w:widowControl/>
              <w:jc w:val="center"/>
              <w:textAlignment w:val="center"/>
              <w:rPr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eastAsia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3FB5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  <w:tr w14:paraId="193E5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10E6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扣分项</w:t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ascii="Times New Roman Regular" w:hAnsi="Times New Roman Regular" w:cs="Times New Roman Regular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（10分）</w:t>
            </w:r>
          </w:p>
        </w:tc>
        <w:tc>
          <w:tcPr>
            <w:tcW w:w="2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9105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被评价部门配合度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4A897">
            <w:pPr>
              <w:widowControl/>
              <w:spacing w:line="240" w:lineRule="exact"/>
              <w:jc w:val="center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-</w:t>
            </w:r>
          </w:p>
        </w:tc>
        <w:tc>
          <w:tcPr>
            <w:tcW w:w="4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83CA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  <w:t>被评价对象工作配合情况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7841">
            <w:pPr>
              <w:widowControl/>
              <w:spacing w:line="240" w:lineRule="exact"/>
              <w:jc w:val="left"/>
              <w:textAlignment w:val="center"/>
              <w:rPr>
                <w:rFonts w:hint="default" w:ascii="Times New Roman Regular" w:hAnsi="Times New Roman Regular" w:eastAsia="仿宋_GB2312" w:cs="Times New Roman Regular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</w:t>
            </w:r>
          </w:p>
        </w:tc>
        <w:tc>
          <w:tcPr>
            <w:tcW w:w="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3328">
            <w:pPr>
              <w:widowControl/>
              <w:spacing w:line="240" w:lineRule="exact"/>
              <w:jc w:val="left"/>
              <w:textAlignment w:val="center"/>
              <w:rPr>
                <w:rFonts w:ascii="Times New Roman Regular" w:hAnsi="Times New Roman Regular" w:cs="Times New Roman Regular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</w:tr>
    </w:tbl>
    <w:p w14:paraId="69B6457D">
      <w:pPr>
        <w:pStyle w:val="19"/>
        <w:spacing w:line="20" w:lineRule="exact"/>
        <w:outlineLvl w:val="9"/>
        <w:rPr>
          <w:color w:val="auto"/>
          <w:highlight w:val="none"/>
        </w:rPr>
      </w:pPr>
    </w:p>
    <w:p w14:paraId="78199AAC">
      <w:pPr>
        <w:rPr>
          <w:rFonts w:eastAsia="黑体"/>
          <w:color w:val="auto"/>
          <w:highlight w:val="none"/>
        </w:rPr>
      </w:pPr>
      <w:r>
        <w:rPr>
          <w:rFonts w:eastAsia="黑体"/>
          <w:color w:val="auto"/>
          <w:highlight w:val="none"/>
        </w:rPr>
        <w:br w:type="page"/>
      </w:r>
    </w:p>
    <w:p w14:paraId="482D90E7">
      <w:pPr>
        <w:spacing w:line="578" w:lineRule="exact"/>
        <w:jc w:val="left"/>
        <w:rPr>
          <w:rFonts w:eastAsia="黑体"/>
          <w:color w:val="auto"/>
          <w:highlight w:val="none"/>
        </w:rPr>
      </w:pPr>
      <w:r>
        <w:rPr>
          <w:rFonts w:eastAsia="黑体"/>
          <w:color w:val="auto"/>
          <w:highlight w:val="none"/>
        </w:rPr>
        <w:t>附表</w:t>
      </w:r>
      <w:r>
        <w:rPr>
          <w:rFonts w:hint="eastAsia" w:eastAsia="黑体"/>
          <w:color w:val="auto"/>
          <w:highlight w:val="none"/>
        </w:rPr>
        <w:t>2</w:t>
      </w:r>
    </w:p>
    <w:tbl>
      <w:tblPr>
        <w:tblStyle w:val="13"/>
        <w:tblpPr w:leftFromText="180" w:rightFromText="180" w:vertAnchor="text" w:horzAnchor="page" w:tblpX="1582" w:tblpY="555"/>
        <w:tblOverlap w:val="never"/>
        <w:tblW w:w="508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981"/>
        <w:gridCol w:w="753"/>
        <w:gridCol w:w="2052"/>
        <w:gridCol w:w="797"/>
        <w:gridCol w:w="785"/>
        <w:gridCol w:w="715"/>
        <w:gridCol w:w="761"/>
        <w:gridCol w:w="1094"/>
        <w:gridCol w:w="144"/>
      </w:tblGrid>
      <w:tr w14:paraId="6CB2E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904" w:hRule="atLeast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2042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黑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highlight w:val="none"/>
                <w:lang w:bidi="ar"/>
              </w:rPr>
              <w:t>部门整体绩效目标完成情况自评表</w:t>
            </w:r>
          </w:p>
        </w:tc>
      </w:tr>
      <w:tr w14:paraId="0EDE9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285" w:hRule="atLeast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9A289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（2024年度）</w:t>
            </w:r>
          </w:p>
        </w:tc>
      </w:tr>
      <w:tr w14:paraId="0996D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285" w:hRule="atLeast"/>
        </w:trPr>
        <w:tc>
          <w:tcPr>
            <w:tcW w:w="492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EEB7E">
            <w:pPr>
              <w:widowControl/>
              <w:spacing w:line="0" w:lineRule="atLeast"/>
              <w:jc w:val="righ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单位：万元</w:t>
            </w:r>
          </w:p>
        </w:tc>
      </w:tr>
      <w:tr w14:paraId="20F2C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570" w:hRule="atLeast"/>
        </w:trPr>
        <w:tc>
          <w:tcPr>
            <w:tcW w:w="1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04576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部门名称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E74A"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州林草局部门</w:t>
            </w:r>
          </w:p>
        </w:tc>
      </w:tr>
      <w:tr w14:paraId="7EEF8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570" w:hRule="atLeast"/>
        </w:trPr>
        <w:tc>
          <w:tcPr>
            <w:tcW w:w="6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18436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年度部门整体支出预算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77BF7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资金总额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47CA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财政拨款</w:t>
            </w:r>
          </w:p>
        </w:tc>
        <w:tc>
          <w:tcPr>
            <w:tcW w:w="18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FBE1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其他资金</w:t>
            </w:r>
          </w:p>
        </w:tc>
      </w:tr>
      <w:tr w14:paraId="394E7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570" w:hRule="atLeast"/>
        </w:trPr>
        <w:tc>
          <w:tcPr>
            <w:tcW w:w="6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ADC2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98F5">
            <w:pPr>
              <w:widowControl/>
              <w:spacing w:line="0" w:lineRule="atLeast"/>
              <w:jc w:val="righ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  <w:t>7341.88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3082">
            <w:pPr>
              <w:widowControl/>
              <w:spacing w:line="0" w:lineRule="atLeast"/>
              <w:jc w:val="righ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  <w:t>7341.88</w:t>
            </w:r>
          </w:p>
        </w:tc>
        <w:tc>
          <w:tcPr>
            <w:tcW w:w="18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FFFE0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</w:tr>
      <w:tr w14:paraId="15057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2895" w:hRule="atLeast"/>
        </w:trPr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709D0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年度总体目标</w:t>
            </w:r>
          </w:p>
        </w:tc>
        <w:tc>
          <w:tcPr>
            <w:tcW w:w="430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77AF">
            <w:pPr>
              <w:widowControl/>
              <w:spacing w:line="0" w:lineRule="atLeast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认真</w:t>
            </w: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学习宣传贯彻党的二十大精神</w:t>
            </w: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，坚决落实全面从严治党政治责任。加快创建若尔盖国家公园，按时按序推进创建工作，确保高质量完成创建任务。严格执行天然林保护修护制度，常年有效管护天然林5580万亩，巩固76.68万亩退耕还林成果。严格落实草原生态保护补助奖励政策，实施草原禁牧2000万亩/年，草畜平衡3765万亩/年，加大退化草原生态修复治理力度；实行湿地面积总量管控、用途监管，积极推进退牧还湿、湿地生态保护修复，严厉打击破坏森林草原湿地资源违法犯罪行为。加强59处自然保护地的保护和监督管理，严格保护野生动植物和湿地资源。抓好森林草原病虫害和外来入侵物种防治，维护生物多样性。</w:t>
            </w:r>
          </w:p>
          <w:p w14:paraId="4312224B">
            <w:pPr>
              <w:widowControl/>
              <w:spacing w:line="0" w:lineRule="atLeast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 xml:space="preserve">有序推进林草生态产品价值实现，加快发展特色林草产业，推进林草碳汇项目开发和交易。毫不放松做好森林草原防灭火工作，坚决防范遏制重特大火灾发生。 </w:t>
            </w:r>
          </w:p>
          <w:p w14:paraId="0A6F993E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</w:tr>
      <w:tr w14:paraId="0E528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570" w:hRule="atLeast"/>
        </w:trPr>
        <w:tc>
          <w:tcPr>
            <w:tcW w:w="6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253A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年度主要任务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F411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任务名称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95399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主要内容</w:t>
            </w:r>
          </w:p>
        </w:tc>
      </w:tr>
      <w:tr w14:paraId="44B29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1635" w:hRule="atLeast"/>
        </w:trPr>
        <w:tc>
          <w:tcPr>
            <w:tcW w:w="6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6A53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1A52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林草科学研究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0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完成2024年阿坝州食用林产品安全监测及风险处置、完成中央财政林草科技项目。</w:t>
            </w:r>
          </w:p>
        </w:tc>
      </w:tr>
      <w:tr w14:paraId="05266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1380" w:hRule="atLeast"/>
        </w:trPr>
        <w:tc>
          <w:tcPr>
            <w:tcW w:w="6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5DF6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DF47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党建工作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8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认真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学习宣传贯彻党的二十大精神，坚决落实全面从严治党政治责任，将党建、党风廉政建设和意识形态工作同业务工作有机结合，确保党建工作与业务工作同安排、同部署、同考核。</w:t>
            </w:r>
          </w:p>
        </w:tc>
      </w:tr>
      <w:tr w14:paraId="2E5ED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2040" w:hRule="atLeast"/>
        </w:trPr>
        <w:tc>
          <w:tcPr>
            <w:tcW w:w="6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5F39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CB1C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生态保护工作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2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严格执行天然林保护修护制度，常年有效管护天然林5580万亩，巩固76.68万亩退耕还林成果。严格落实草原生态保护补助奖励政策，实施草原禁牧2000万亩/年，草畜平衡3765万亩/年，加大退化草原生态修复治理力度；实行湿地面积总量管控、用途监管，积极推进退牧还湿、湿地生态保护修复，严厉打击破坏森林草原湿地资源违法犯罪行为。加强59处自然保护地的保护和监督管理，严格保护野生动植物和湿地资源。抓好森林草原病虫害和外来入侵物种防治，维护生物多样性。</w:t>
            </w:r>
          </w:p>
        </w:tc>
      </w:tr>
      <w:tr w14:paraId="65501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806" w:hRule="atLeast"/>
        </w:trPr>
        <w:tc>
          <w:tcPr>
            <w:tcW w:w="6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5764F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F2B1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防灾减灾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EF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毫不放松做好森林草原防灭火工作，坚决防范遏制重特大火灾发生。</w:t>
            </w:r>
          </w:p>
        </w:tc>
      </w:tr>
      <w:tr w14:paraId="01401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806" w:hRule="atLeast"/>
        </w:trPr>
        <w:tc>
          <w:tcPr>
            <w:tcW w:w="6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DD7C4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CCCE7">
            <w:pPr>
              <w:widowControl/>
              <w:spacing w:line="0" w:lineRule="atLeast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林业产业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C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有序推进林草生态产品价值实现，加快发展特色林草产业，推进林草碳汇项目开发和交易。</w:t>
            </w:r>
          </w:p>
        </w:tc>
      </w:tr>
      <w:tr w14:paraId="55003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pct"/>
          <w:trHeight w:val="806" w:hRule="atLeast"/>
        </w:trPr>
        <w:tc>
          <w:tcPr>
            <w:tcW w:w="6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34506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34A7">
            <w:pPr>
              <w:widowControl/>
              <w:spacing w:line="0" w:lineRule="atLeast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林草种苗工作</w:t>
            </w:r>
          </w:p>
        </w:tc>
        <w:tc>
          <w:tcPr>
            <w:tcW w:w="336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84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加强种质资源保护收集利用、种苗质量监管抽查。</w:t>
            </w:r>
          </w:p>
        </w:tc>
      </w:tr>
      <w:tr w14:paraId="496ED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497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年度绩效指标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9429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一级指标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F1091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二级指标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16D4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三级指标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4559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绩效指标性质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3A93E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绩效指标值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2C7B7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绩效度量单位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8B86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权重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9808">
            <w:pPr>
              <w:widowControl/>
              <w:spacing w:line="0" w:lineRule="atLeast"/>
              <w:jc w:val="center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实际完成指标值</w:t>
            </w:r>
          </w:p>
        </w:tc>
      </w:tr>
      <w:tr w14:paraId="27860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E0C56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C32E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产出指标</w:t>
            </w: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D778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8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常年有效管护天然林面积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D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C6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5580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A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万亩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1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5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5580</w:t>
            </w:r>
          </w:p>
        </w:tc>
      </w:tr>
      <w:tr w14:paraId="43C6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6698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B0B4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4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F4DB8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B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巩固亩退耕还林面积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29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＝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CA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76.68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2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万亩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5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B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76.68</w:t>
            </w:r>
          </w:p>
        </w:tc>
      </w:tr>
      <w:tr w14:paraId="4996F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B869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E5739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4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80F8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E1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食用林产品安全质量监测批次抽查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A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E7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A4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批次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22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6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39651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0945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33B43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E7CA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0B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实施草原禁牧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21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＝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8C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2000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3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万亩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26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99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2000</w:t>
            </w:r>
          </w:p>
        </w:tc>
      </w:tr>
      <w:tr w14:paraId="48ADC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D6253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B1FA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05FB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质量指标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C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完成《若尔盖国家公园创建工作推进方案》牵头任务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3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＝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AB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B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6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5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FB95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5AA0B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CA03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C85C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C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造林地苗木合格率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2E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B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85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2B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2A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3925E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EC4A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23E9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FE30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4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6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＝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EB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FA42A">
            <w:pPr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年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AE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71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  <w:t>1年</w:t>
            </w:r>
          </w:p>
        </w:tc>
      </w:tr>
      <w:tr w14:paraId="77247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FBF45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D273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效益指标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27954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社会效益指标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C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有力有序推进全州林草工作重点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F8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Dialog . plain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4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明显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B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61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3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明显</w:t>
            </w:r>
          </w:p>
        </w:tc>
      </w:tr>
      <w:tr w14:paraId="2A2E1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CCC3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224A1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3187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生态效益指标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4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深入推进国土绿化，持续修复生态脆弱区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B2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81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有力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9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26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2C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有力</w:t>
            </w:r>
          </w:p>
        </w:tc>
      </w:tr>
      <w:tr w14:paraId="7E102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C993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267D6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2A01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可持续发展指标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D9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继续推进陆生野生动物保护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AC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定性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DA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有力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E4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6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65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有力</w:t>
            </w:r>
          </w:p>
        </w:tc>
      </w:tr>
      <w:tr w14:paraId="6B389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47FB8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0491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满意度指标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079C">
            <w:pPr>
              <w:widowControl/>
              <w:spacing w:line="0" w:lineRule="atLeast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  <w:t>服务对象满意度指标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8E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行政审批群众满意率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0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D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1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64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A1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85</w:t>
            </w:r>
          </w:p>
        </w:tc>
      </w:tr>
      <w:tr w14:paraId="1FAB5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1330">
            <w:pPr>
              <w:spacing w:line="0" w:lineRule="atLeast"/>
              <w:jc w:val="center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7823F">
            <w:pPr>
              <w:spacing w:line="0" w:lineRule="atLeast"/>
              <w:jc w:val="left"/>
              <w:rPr>
                <w:rFonts w:hint="default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852EC">
            <w:pPr>
              <w:spacing w:line="0" w:lineRule="atLeast"/>
              <w:jc w:val="left"/>
              <w:rPr>
                <w:rFonts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sz w:val="18"/>
                <w:szCs w:val="18"/>
                <w:highlight w:val="none"/>
              </w:rPr>
              <w:t>经济成本指标</w:t>
            </w:r>
          </w:p>
        </w:tc>
        <w:tc>
          <w:tcPr>
            <w:tcW w:w="1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D9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厉行节约做好成本控制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9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定性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E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有力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B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0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00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有力</w:t>
            </w:r>
          </w:p>
        </w:tc>
      </w:tr>
    </w:tbl>
    <w:p w14:paraId="185035B5">
      <w:pPr>
        <w:rPr>
          <w:rFonts w:eastAsia="黑体"/>
          <w:color w:val="auto"/>
          <w:highlight w:val="none"/>
        </w:rPr>
      </w:pPr>
      <w:r>
        <w:rPr>
          <w:rFonts w:eastAsia="黑体"/>
          <w:color w:val="auto"/>
          <w:highlight w:val="none"/>
        </w:rPr>
        <w:br w:type="page"/>
      </w:r>
    </w:p>
    <w:p w14:paraId="7515B0D9">
      <w:pPr>
        <w:pStyle w:val="19"/>
        <w:spacing w:before="0" w:after="0" w:line="578" w:lineRule="exact"/>
        <w:ind w:firstLine="482" w:firstLineChars="200"/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E0A5854-1EAE-44A9-8932-DBAD02FF0F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13487BE-A81A-42BA-8709-F253A20F95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E6EF562-5298-4133-954C-B5B8787A2EF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7855B93-09D7-43FF-AF27-0234666FCF68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EFD4FDB-7692-495C-A601-24D4B54B3941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  <w:embedRegular r:id="rId6" w:fontKey="{936EDD25-BA75-4937-AEE9-1DCF96C3E58A}"/>
  </w:font>
  <w:font w:name="Dialog . pl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7" w:fontKey="{F648ECE9-9BC0-499E-9D90-4893A1EE16A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4B668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BC0CDF">
                          <w:r>
                            <w:t xml:space="preserve">—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BC0CDF">
                    <w:r>
                      <w:t xml:space="preserve">—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- 1 -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DCAB1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4A8B23"/>
    <w:multiLevelType w:val="singleLevel"/>
    <w:tmpl w:val="534A8B2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F49C82B"/>
    <w:multiLevelType w:val="singleLevel"/>
    <w:tmpl w:val="6F49C82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4Mjg2MWVjODMxZGRlMGNmMjQwOTEyMDA1MTBjNDQ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208A"/>
    <w:rsid w:val="000E037E"/>
    <w:rsid w:val="000F41B1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413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B0AE3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03DA6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7438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55D75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1BF1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4371A"/>
    <w:rsid w:val="00A5432A"/>
    <w:rsid w:val="00A55F8A"/>
    <w:rsid w:val="00A9670E"/>
    <w:rsid w:val="00AA1423"/>
    <w:rsid w:val="00AB7996"/>
    <w:rsid w:val="00AC3312"/>
    <w:rsid w:val="00AC43C3"/>
    <w:rsid w:val="00AE2EAD"/>
    <w:rsid w:val="00AF77BE"/>
    <w:rsid w:val="00B11CEE"/>
    <w:rsid w:val="00B23428"/>
    <w:rsid w:val="00B264BF"/>
    <w:rsid w:val="00B407B0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289F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2212"/>
    <w:rsid w:val="00D872ED"/>
    <w:rsid w:val="00D913C6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4D24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24163"/>
    <w:rsid w:val="00F41F29"/>
    <w:rsid w:val="00F45CFB"/>
    <w:rsid w:val="00F45D52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1616336"/>
    <w:rsid w:val="01D134FA"/>
    <w:rsid w:val="02D371AF"/>
    <w:rsid w:val="041651F4"/>
    <w:rsid w:val="04BA44CE"/>
    <w:rsid w:val="05246D3C"/>
    <w:rsid w:val="057E5747"/>
    <w:rsid w:val="05E11832"/>
    <w:rsid w:val="06654211"/>
    <w:rsid w:val="06C673A5"/>
    <w:rsid w:val="06EA5ACB"/>
    <w:rsid w:val="07746E01"/>
    <w:rsid w:val="07E31891"/>
    <w:rsid w:val="08253C58"/>
    <w:rsid w:val="08E65ADD"/>
    <w:rsid w:val="09A6526C"/>
    <w:rsid w:val="0A636CB9"/>
    <w:rsid w:val="0B7849E6"/>
    <w:rsid w:val="0D0429D6"/>
    <w:rsid w:val="0D6E42F3"/>
    <w:rsid w:val="0DC31556"/>
    <w:rsid w:val="0E0F33E0"/>
    <w:rsid w:val="0E5139F9"/>
    <w:rsid w:val="0E990EFC"/>
    <w:rsid w:val="0ED2440E"/>
    <w:rsid w:val="0F476BAA"/>
    <w:rsid w:val="0F4C0664"/>
    <w:rsid w:val="0F566DED"/>
    <w:rsid w:val="0F7B5843"/>
    <w:rsid w:val="0FDA2383"/>
    <w:rsid w:val="104430E9"/>
    <w:rsid w:val="10C636E3"/>
    <w:rsid w:val="117A3266"/>
    <w:rsid w:val="11CB1D14"/>
    <w:rsid w:val="11EC57E6"/>
    <w:rsid w:val="12042516"/>
    <w:rsid w:val="12521AED"/>
    <w:rsid w:val="126D4B79"/>
    <w:rsid w:val="13224BFF"/>
    <w:rsid w:val="136F4921"/>
    <w:rsid w:val="139E0D62"/>
    <w:rsid w:val="13B862C8"/>
    <w:rsid w:val="14B52853"/>
    <w:rsid w:val="153674A4"/>
    <w:rsid w:val="164D719B"/>
    <w:rsid w:val="16B9038D"/>
    <w:rsid w:val="176A1687"/>
    <w:rsid w:val="17E94CA2"/>
    <w:rsid w:val="181E508A"/>
    <w:rsid w:val="183D3240"/>
    <w:rsid w:val="185C1918"/>
    <w:rsid w:val="186407CC"/>
    <w:rsid w:val="186E33F9"/>
    <w:rsid w:val="18D72D4C"/>
    <w:rsid w:val="18D92F68"/>
    <w:rsid w:val="19257F5C"/>
    <w:rsid w:val="193C7053"/>
    <w:rsid w:val="19536948"/>
    <w:rsid w:val="1A3D6143"/>
    <w:rsid w:val="1A4411C8"/>
    <w:rsid w:val="1A820AD9"/>
    <w:rsid w:val="1BB05AD7"/>
    <w:rsid w:val="1C013801"/>
    <w:rsid w:val="1C093B64"/>
    <w:rsid w:val="1C6963B1"/>
    <w:rsid w:val="1D2F75FB"/>
    <w:rsid w:val="1DFD8D3B"/>
    <w:rsid w:val="1E262080"/>
    <w:rsid w:val="1E873E8D"/>
    <w:rsid w:val="1FA83694"/>
    <w:rsid w:val="1FB042F7"/>
    <w:rsid w:val="1FB79DC9"/>
    <w:rsid w:val="1FBFC3F2"/>
    <w:rsid w:val="1FFFE033"/>
    <w:rsid w:val="206D411E"/>
    <w:rsid w:val="21260DE0"/>
    <w:rsid w:val="217952E8"/>
    <w:rsid w:val="23531B69"/>
    <w:rsid w:val="24EA51F3"/>
    <w:rsid w:val="24EC5DD1"/>
    <w:rsid w:val="25184E18"/>
    <w:rsid w:val="254479BB"/>
    <w:rsid w:val="25E116AE"/>
    <w:rsid w:val="25FE211B"/>
    <w:rsid w:val="26822B98"/>
    <w:rsid w:val="268D7140"/>
    <w:rsid w:val="26D7660D"/>
    <w:rsid w:val="273E668C"/>
    <w:rsid w:val="278D571F"/>
    <w:rsid w:val="27B2055E"/>
    <w:rsid w:val="27F352A6"/>
    <w:rsid w:val="280258B0"/>
    <w:rsid w:val="280276BA"/>
    <w:rsid w:val="285A5748"/>
    <w:rsid w:val="28FE4B45"/>
    <w:rsid w:val="292D2840"/>
    <w:rsid w:val="29ED6C5C"/>
    <w:rsid w:val="29F64FFC"/>
    <w:rsid w:val="2B1716CE"/>
    <w:rsid w:val="2B751832"/>
    <w:rsid w:val="2B8F74B6"/>
    <w:rsid w:val="2BF67BCF"/>
    <w:rsid w:val="2C0A4AEB"/>
    <w:rsid w:val="2C22032B"/>
    <w:rsid w:val="2CDE6947"/>
    <w:rsid w:val="2D527252"/>
    <w:rsid w:val="2DDC1740"/>
    <w:rsid w:val="2E0B376C"/>
    <w:rsid w:val="2EAE55F2"/>
    <w:rsid w:val="2EDF4302"/>
    <w:rsid w:val="2EFE1A04"/>
    <w:rsid w:val="2F6649D2"/>
    <w:rsid w:val="2F8F3F29"/>
    <w:rsid w:val="2FCA4F61"/>
    <w:rsid w:val="2FFF3854"/>
    <w:rsid w:val="30510BE9"/>
    <w:rsid w:val="30C91FC8"/>
    <w:rsid w:val="31F76F8C"/>
    <w:rsid w:val="31FC664A"/>
    <w:rsid w:val="323C02EE"/>
    <w:rsid w:val="32AB72CC"/>
    <w:rsid w:val="32E20814"/>
    <w:rsid w:val="334D3EDF"/>
    <w:rsid w:val="33E24D19"/>
    <w:rsid w:val="34311A53"/>
    <w:rsid w:val="34A36369"/>
    <w:rsid w:val="34A51AF9"/>
    <w:rsid w:val="34BE6D5E"/>
    <w:rsid w:val="35B446E9"/>
    <w:rsid w:val="35BBF80F"/>
    <w:rsid w:val="365E6403"/>
    <w:rsid w:val="367F4CF7"/>
    <w:rsid w:val="36D73200"/>
    <w:rsid w:val="36E0506A"/>
    <w:rsid w:val="37B22EAA"/>
    <w:rsid w:val="37C91FA2"/>
    <w:rsid w:val="38212966"/>
    <w:rsid w:val="3821593A"/>
    <w:rsid w:val="3834566E"/>
    <w:rsid w:val="38B30C88"/>
    <w:rsid w:val="3A7BD164"/>
    <w:rsid w:val="3A810912"/>
    <w:rsid w:val="3AB900AC"/>
    <w:rsid w:val="3B0B3937"/>
    <w:rsid w:val="3B736F08"/>
    <w:rsid w:val="3B820DE6"/>
    <w:rsid w:val="3B83709F"/>
    <w:rsid w:val="3BA743A8"/>
    <w:rsid w:val="3BCE1845"/>
    <w:rsid w:val="3BE3D531"/>
    <w:rsid w:val="3C4F0405"/>
    <w:rsid w:val="3C636521"/>
    <w:rsid w:val="3D2757A1"/>
    <w:rsid w:val="3D431A40"/>
    <w:rsid w:val="3D981F8A"/>
    <w:rsid w:val="3ED90D1D"/>
    <w:rsid w:val="3EF30DD2"/>
    <w:rsid w:val="3EFF42CA"/>
    <w:rsid w:val="3F4F5483"/>
    <w:rsid w:val="3F6FCA38"/>
    <w:rsid w:val="3FA72BC9"/>
    <w:rsid w:val="3FD5AF3D"/>
    <w:rsid w:val="3FFED8BE"/>
    <w:rsid w:val="3FFF43BB"/>
    <w:rsid w:val="3FFFFC14"/>
    <w:rsid w:val="412A5860"/>
    <w:rsid w:val="414A7CB0"/>
    <w:rsid w:val="41DF1378"/>
    <w:rsid w:val="42240501"/>
    <w:rsid w:val="423F17DF"/>
    <w:rsid w:val="42447A1F"/>
    <w:rsid w:val="42587FCC"/>
    <w:rsid w:val="42A72EE0"/>
    <w:rsid w:val="42E10D3E"/>
    <w:rsid w:val="433DCF8E"/>
    <w:rsid w:val="44A21BB1"/>
    <w:rsid w:val="44DD0E3B"/>
    <w:rsid w:val="45CE5353"/>
    <w:rsid w:val="45FF973D"/>
    <w:rsid w:val="4672653A"/>
    <w:rsid w:val="46780E1B"/>
    <w:rsid w:val="471F1BDF"/>
    <w:rsid w:val="47550EBA"/>
    <w:rsid w:val="47C167F2"/>
    <w:rsid w:val="47C66004"/>
    <w:rsid w:val="481E59F2"/>
    <w:rsid w:val="48623B31"/>
    <w:rsid w:val="48DD58AD"/>
    <w:rsid w:val="49407E05"/>
    <w:rsid w:val="495B713C"/>
    <w:rsid w:val="49B26D3A"/>
    <w:rsid w:val="49E30CA1"/>
    <w:rsid w:val="4A3E05CE"/>
    <w:rsid w:val="4AD36F68"/>
    <w:rsid w:val="4BE418B5"/>
    <w:rsid w:val="4BE551A5"/>
    <w:rsid w:val="4BF52F0E"/>
    <w:rsid w:val="4BF7E09D"/>
    <w:rsid w:val="4C5E73D9"/>
    <w:rsid w:val="4C9702F9"/>
    <w:rsid w:val="4D627A0C"/>
    <w:rsid w:val="4D9E1AAF"/>
    <w:rsid w:val="4E142C1E"/>
    <w:rsid w:val="4F147FCE"/>
    <w:rsid w:val="4F477F24"/>
    <w:rsid w:val="50EA73C4"/>
    <w:rsid w:val="50FC089B"/>
    <w:rsid w:val="51D62632"/>
    <w:rsid w:val="51D830B6"/>
    <w:rsid w:val="52A0174F"/>
    <w:rsid w:val="53BB74FC"/>
    <w:rsid w:val="55081F04"/>
    <w:rsid w:val="55344AA7"/>
    <w:rsid w:val="55FDDF92"/>
    <w:rsid w:val="55FFBC03"/>
    <w:rsid w:val="564F65B2"/>
    <w:rsid w:val="565847C5"/>
    <w:rsid w:val="56C500AD"/>
    <w:rsid w:val="56CDA72E"/>
    <w:rsid w:val="576F5916"/>
    <w:rsid w:val="577FDAE2"/>
    <w:rsid w:val="57AD6991"/>
    <w:rsid w:val="57FBE2C7"/>
    <w:rsid w:val="581D7A74"/>
    <w:rsid w:val="584D616C"/>
    <w:rsid w:val="589668C2"/>
    <w:rsid w:val="58C919AA"/>
    <w:rsid w:val="59975605"/>
    <w:rsid w:val="59A87812"/>
    <w:rsid w:val="59F5EDF3"/>
    <w:rsid w:val="5A20384C"/>
    <w:rsid w:val="5AD71099"/>
    <w:rsid w:val="5B152C85"/>
    <w:rsid w:val="5B335734"/>
    <w:rsid w:val="5B7F322F"/>
    <w:rsid w:val="5BCAB023"/>
    <w:rsid w:val="5BEACB58"/>
    <w:rsid w:val="5C335AB8"/>
    <w:rsid w:val="5D8649C7"/>
    <w:rsid w:val="5DAF433F"/>
    <w:rsid w:val="5DB669A1"/>
    <w:rsid w:val="5DC664B8"/>
    <w:rsid w:val="5DDA9B94"/>
    <w:rsid w:val="5E912F6A"/>
    <w:rsid w:val="5EAB810D"/>
    <w:rsid w:val="5EDD4CF4"/>
    <w:rsid w:val="5EFA9846"/>
    <w:rsid w:val="5EFF9DA6"/>
    <w:rsid w:val="5F0D6D14"/>
    <w:rsid w:val="5F7751B9"/>
    <w:rsid w:val="5F9F7232"/>
    <w:rsid w:val="5F9F9588"/>
    <w:rsid w:val="5FBD32D2"/>
    <w:rsid w:val="5FBE7D8F"/>
    <w:rsid w:val="5FD450B0"/>
    <w:rsid w:val="5FEF60CD"/>
    <w:rsid w:val="5FFB203D"/>
    <w:rsid w:val="5FFB8CF9"/>
    <w:rsid w:val="600339F4"/>
    <w:rsid w:val="608027CF"/>
    <w:rsid w:val="610712C2"/>
    <w:rsid w:val="615D5386"/>
    <w:rsid w:val="61842912"/>
    <w:rsid w:val="61A46B11"/>
    <w:rsid w:val="62464CCF"/>
    <w:rsid w:val="62C84A81"/>
    <w:rsid w:val="63494F2E"/>
    <w:rsid w:val="63DBAF21"/>
    <w:rsid w:val="64A15589"/>
    <w:rsid w:val="64E77440"/>
    <w:rsid w:val="65472E61"/>
    <w:rsid w:val="65962C14"/>
    <w:rsid w:val="662445B5"/>
    <w:rsid w:val="6636451A"/>
    <w:rsid w:val="666C5D09"/>
    <w:rsid w:val="67A0496B"/>
    <w:rsid w:val="67DE80AA"/>
    <w:rsid w:val="680E4411"/>
    <w:rsid w:val="68103152"/>
    <w:rsid w:val="68120C78"/>
    <w:rsid w:val="68C91CB5"/>
    <w:rsid w:val="692C7B17"/>
    <w:rsid w:val="69676DA1"/>
    <w:rsid w:val="697E3B47"/>
    <w:rsid w:val="69BF132E"/>
    <w:rsid w:val="69C41C8D"/>
    <w:rsid w:val="69DB32EB"/>
    <w:rsid w:val="69E4001D"/>
    <w:rsid w:val="6A1D1062"/>
    <w:rsid w:val="6A464C09"/>
    <w:rsid w:val="6A4E7F61"/>
    <w:rsid w:val="6AA95198"/>
    <w:rsid w:val="6B7F84D8"/>
    <w:rsid w:val="6B851761"/>
    <w:rsid w:val="6BFEE5F3"/>
    <w:rsid w:val="6CAFF34E"/>
    <w:rsid w:val="6CFFCF4F"/>
    <w:rsid w:val="6D855A48"/>
    <w:rsid w:val="6DFFF8B6"/>
    <w:rsid w:val="6E2D0758"/>
    <w:rsid w:val="6E9FE641"/>
    <w:rsid w:val="6EEDE807"/>
    <w:rsid w:val="6EEE4BE4"/>
    <w:rsid w:val="6EF65E9C"/>
    <w:rsid w:val="6F3D9197"/>
    <w:rsid w:val="6F6F75B6"/>
    <w:rsid w:val="6F8C7562"/>
    <w:rsid w:val="6FA128E1"/>
    <w:rsid w:val="6FAB3EC4"/>
    <w:rsid w:val="6FB6AF41"/>
    <w:rsid w:val="6FD52DA7"/>
    <w:rsid w:val="6FD894C8"/>
    <w:rsid w:val="6FE36A9E"/>
    <w:rsid w:val="6FEFB2D1"/>
    <w:rsid w:val="6FFF97E6"/>
    <w:rsid w:val="703419A7"/>
    <w:rsid w:val="71397E03"/>
    <w:rsid w:val="71584194"/>
    <w:rsid w:val="71FB5B08"/>
    <w:rsid w:val="72CA4374"/>
    <w:rsid w:val="730C2768"/>
    <w:rsid w:val="73392235"/>
    <w:rsid w:val="73555EBD"/>
    <w:rsid w:val="73993FFB"/>
    <w:rsid w:val="73C117A4"/>
    <w:rsid w:val="73F61526"/>
    <w:rsid w:val="73FB87D9"/>
    <w:rsid w:val="744C3764"/>
    <w:rsid w:val="749149EA"/>
    <w:rsid w:val="74DC4AE7"/>
    <w:rsid w:val="74F71921"/>
    <w:rsid w:val="752C0E9F"/>
    <w:rsid w:val="75680129"/>
    <w:rsid w:val="75792336"/>
    <w:rsid w:val="75EF0FBA"/>
    <w:rsid w:val="7607C293"/>
    <w:rsid w:val="76321DDD"/>
    <w:rsid w:val="764B64E0"/>
    <w:rsid w:val="76793C4E"/>
    <w:rsid w:val="767B0EE7"/>
    <w:rsid w:val="76DF783A"/>
    <w:rsid w:val="76DFA4E8"/>
    <w:rsid w:val="778720BD"/>
    <w:rsid w:val="77A7D615"/>
    <w:rsid w:val="77B53F72"/>
    <w:rsid w:val="77B5517C"/>
    <w:rsid w:val="77FF366A"/>
    <w:rsid w:val="77FF8C96"/>
    <w:rsid w:val="77FFA8F9"/>
    <w:rsid w:val="795F53B0"/>
    <w:rsid w:val="79690419"/>
    <w:rsid w:val="7976604B"/>
    <w:rsid w:val="79F3BC78"/>
    <w:rsid w:val="7A5B6CAA"/>
    <w:rsid w:val="7A9314AC"/>
    <w:rsid w:val="7B22521E"/>
    <w:rsid w:val="7B3D7927"/>
    <w:rsid w:val="7B4F6850"/>
    <w:rsid w:val="7BABD5C4"/>
    <w:rsid w:val="7BB12055"/>
    <w:rsid w:val="7BBFADBA"/>
    <w:rsid w:val="7BC02341"/>
    <w:rsid w:val="7BF7F9C6"/>
    <w:rsid w:val="7BFF492D"/>
    <w:rsid w:val="7C4D0079"/>
    <w:rsid w:val="7C5B09E8"/>
    <w:rsid w:val="7C631402"/>
    <w:rsid w:val="7C978C63"/>
    <w:rsid w:val="7CA35AD0"/>
    <w:rsid w:val="7CAD4FBB"/>
    <w:rsid w:val="7CDF8BC3"/>
    <w:rsid w:val="7CEB72A5"/>
    <w:rsid w:val="7D083FA0"/>
    <w:rsid w:val="7D18750B"/>
    <w:rsid w:val="7D3B4375"/>
    <w:rsid w:val="7DAA49A0"/>
    <w:rsid w:val="7DDFDC39"/>
    <w:rsid w:val="7DFDEECD"/>
    <w:rsid w:val="7E140770"/>
    <w:rsid w:val="7E5D92FB"/>
    <w:rsid w:val="7E635AE7"/>
    <w:rsid w:val="7EF51D64"/>
    <w:rsid w:val="7EFFF488"/>
    <w:rsid w:val="7F1F799D"/>
    <w:rsid w:val="7F574612"/>
    <w:rsid w:val="7F7F4920"/>
    <w:rsid w:val="7FB7C299"/>
    <w:rsid w:val="7FBFFB92"/>
    <w:rsid w:val="7FD76ACB"/>
    <w:rsid w:val="7FD89DA2"/>
    <w:rsid w:val="7FDBD805"/>
    <w:rsid w:val="7FDEC14D"/>
    <w:rsid w:val="7FDF8B76"/>
    <w:rsid w:val="7FDFE693"/>
    <w:rsid w:val="7FEFB5DD"/>
    <w:rsid w:val="7FEFBBD9"/>
    <w:rsid w:val="7FFD6A57"/>
    <w:rsid w:val="7FFDA7EC"/>
    <w:rsid w:val="7FFDEA1E"/>
    <w:rsid w:val="7FFEC1F6"/>
    <w:rsid w:val="7FFF0917"/>
    <w:rsid w:val="7FFF2F52"/>
    <w:rsid w:val="8F7B4EC8"/>
    <w:rsid w:val="8FBD4480"/>
    <w:rsid w:val="8FF7AE96"/>
    <w:rsid w:val="955F5184"/>
    <w:rsid w:val="9F6311D7"/>
    <w:rsid w:val="9FF54399"/>
    <w:rsid w:val="A46D76C1"/>
    <w:rsid w:val="A7FF43C2"/>
    <w:rsid w:val="ABF66286"/>
    <w:rsid w:val="AD9E3F04"/>
    <w:rsid w:val="ADA70464"/>
    <w:rsid w:val="AFE97CD3"/>
    <w:rsid w:val="B1BF5C63"/>
    <w:rsid w:val="B1FF3A18"/>
    <w:rsid w:val="B3CDF284"/>
    <w:rsid w:val="B3E8107B"/>
    <w:rsid w:val="B579A608"/>
    <w:rsid w:val="B5F66F24"/>
    <w:rsid w:val="B77FD1C4"/>
    <w:rsid w:val="B7F5200A"/>
    <w:rsid w:val="B9DF0BF0"/>
    <w:rsid w:val="BABDA1AA"/>
    <w:rsid w:val="BB1B4BF1"/>
    <w:rsid w:val="BBE5FE68"/>
    <w:rsid w:val="BBFEB9C1"/>
    <w:rsid w:val="BDF7406A"/>
    <w:rsid w:val="BE6FD8DB"/>
    <w:rsid w:val="BEEF57C2"/>
    <w:rsid w:val="BF370E7B"/>
    <w:rsid w:val="BF6CD6FF"/>
    <w:rsid w:val="BF6D5596"/>
    <w:rsid w:val="BFBEBB2C"/>
    <w:rsid w:val="BFC68935"/>
    <w:rsid w:val="BFDD0F1D"/>
    <w:rsid w:val="BFDDD096"/>
    <w:rsid w:val="BFF7A343"/>
    <w:rsid w:val="C5B3F496"/>
    <w:rsid w:val="C96F3E49"/>
    <w:rsid w:val="CA7FCD79"/>
    <w:rsid w:val="CBBF14F3"/>
    <w:rsid w:val="CBE5DCF2"/>
    <w:rsid w:val="CCFCC735"/>
    <w:rsid w:val="CEEB8A74"/>
    <w:rsid w:val="CF7F939B"/>
    <w:rsid w:val="D37FB642"/>
    <w:rsid w:val="D7F99798"/>
    <w:rsid w:val="D7FA16EF"/>
    <w:rsid w:val="D7FF400C"/>
    <w:rsid w:val="D9DB2628"/>
    <w:rsid w:val="DBED1CD4"/>
    <w:rsid w:val="DBFBB328"/>
    <w:rsid w:val="DDD7453A"/>
    <w:rsid w:val="DE3E1FD7"/>
    <w:rsid w:val="DEBFCF8E"/>
    <w:rsid w:val="DFBE1B79"/>
    <w:rsid w:val="DFCF1FEC"/>
    <w:rsid w:val="DFE75A3D"/>
    <w:rsid w:val="DFED2117"/>
    <w:rsid w:val="DFEF594B"/>
    <w:rsid w:val="DFF3F960"/>
    <w:rsid w:val="DFFE0D61"/>
    <w:rsid w:val="E35C4B3C"/>
    <w:rsid w:val="E3A781CA"/>
    <w:rsid w:val="E5DFAB50"/>
    <w:rsid w:val="E6FC647F"/>
    <w:rsid w:val="EAE6D6D4"/>
    <w:rsid w:val="EBFBC8F1"/>
    <w:rsid w:val="EBFDF757"/>
    <w:rsid w:val="ED758B5D"/>
    <w:rsid w:val="ED76A08D"/>
    <w:rsid w:val="EDBDD81F"/>
    <w:rsid w:val="EDFDB542"/>
    <w:rsid w:val="EF0FCF96"/>
    <w:rsid w:val="EF95E20F"/>
    <w:rsid w:val="EFAF7DFF"/>
    <w:rsid w:val="EFAFB283"/>
    <w:rsid w:val="EFBDA38B"/>
    <w:rsid w:val="EFEE9A76"/>
    <w:rsid w:val="F1BF6FBC"/>
    <w:rsid w:val="F1F9A9B5"/>
    <w:rsid w:val="F3779FC2"/>
    <w:rsid w:val="F3D5C239"/>
    <w:rsid w:val="F3F37DF4"/>
    <w:rsid w:val="F3F96DE6"/>
    <w:rsid w:val="F3FBC54A"/>
    <w:rsid w:val="F47BB68A"/>
    <w:rsid w:val="F47F523E"/>
    <w:rsid w:val="F69FD6B0"/>
    <w:rsid w:val="F7E7F921"/>
    <w:rsid w:val="F7ED0210"/>
    <w:rsid w:val="F7F7AC6A"/>
    <w:rsid w:val="F7FD93B9"/>
    <w:rsid w:val="F8D9A400"/>
    <w:rsid w:val="FA8E99DE"/>
    <w:rsid w:val="FABF64A5"/>
    <w:rsid w:val="FABF7411"/>
    <w:rsid w:val="FB9B54B7"/>
    <w:rsid w:val="FBA53981"/>
    <w:rsid w:val="FBE4457E"/>
    <w:rsid w:val="FBFC558A"/>
    <w:rsid w:val="FBFF71AC"/>
    <w:rsid w:val="FBFFEA2B"/>
    <w:rsid w:val="FCCB27AA"/>
    <w:rsid w:val="FCFF8F4B"/>
    <w:rsid w:val="FD9595AD"/>
    <w:rsid w:val="FDDF4F05"/>
    <w:rsid w:val="FDF9DD9A"/>
    <w:rsid w:val="FDFF2821"/>
    <w:rsid w:val="FDFFA696"/>
    <w:rsid w:val="FE7FB02B"/>
    <w:rsid w:val="FEBD0232"/>
    <w:rsid w:val="FED5A77F"/>
    <w:rsid w:val="FEDFD193"/>
    <w:rsid w:val="FEE7097E"/>
    <w:rsid w:val="FEEF8230"/>
    <w:rsid w:val="FEF1F1BE"/>
    <w:rsid w:val="FEF99316"/>
    <w:rsid w:val="FEFB20CB"/>
    <w:rsid w:val="FEFD95B3"/>
    <w:rsid w:val="FEFE4E93"/>
    <w:rsid w:val="FEFFA483"/>
    <w:rsid w:val="FF29B32D"/>
    <w:rsid w:val="FF2E6944"/>
    <w:rsid w:val="FF4EB782"/>
    <w:rsid w:val="FF5F9D52"/>
    <w:rsid w:val="FF7A0B6A"/>
    <w:rsid w:val="FF7B6DC2"/>
    <w:rsid w:val="FF7FFF75"/>
    <w:rsid w:val="FF921F59"/>
    <w:rsid w:val="FFB75E44"/>
    <w:rsid w:val="FFBB1E09"/>
    <w:rsid w:val="FFBB6A0C"/>
    <w:rsid w:val="FFBD894B"/>
    <w:rsid w:val="FFBF33B3"/>
    <w:rsid w:val="FFD09362"/>
    <w:rsid w:val="FFD1DA08"/>
    <w:rsid w:val="FFD7DEDD"/>
    <w:rsid w:val="FFDE369F"/>
    <w:rsid w:val="FFDE92E4"/>
    <w:rsid w:val="FFEF98C9"/>
    <w:rsid w:val="FFEFCE62"/>
    <w:rsid w:val="FFF973B0"/>
    <w:rsid w:val="FFFB4F05"/>
    <w:rsid w:val="FFFEC8F5"/>
    <w:rsid w:val="FFFEF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before="156" w:beforeLines="50" w:line="360" w:lineRule="auto"/>
      <w:ind w:firstLine="480" w:firstLineChars="200"/>
    </w:pPr>
    <w:rPr>
      <w:rFonts w:eastAsia="仿宋"/>
      <w:sz w:val="24"/>
      <w:szCs w:val="23"/>
      <w:lang w:eastAsia="ar-SA"/>
    </w:rPr>
  </w:style>
  <w:style w:type="paragraph" w:styleId="3">
    <w:name w:val="Document Map"/>
    <w:basedOn w:val="1"/>
    <w:link w:val="22"/>
    <w:qFormat/>
    <w:uiPriority w:val="0"/>
    <w:rPr>
      <w:rFonts w:ascii="宋体" w:eastAsia="宋体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6"/>
    <w:qFormat/>
    <w:uiPriority w:val="0"/>
    <w:pPr>
      <w:spacing w:after="120"/>
      <w:ind w:left="200" w:leftChars="200"/>
    </w:pPr>
    <w:rPr>
      <w:rFonts w:ascii="仿宋_GB2312"/>
      <w:szCs w:val="32"/>
    </w:rPr>
  </w:style>
  <w:style w:type="paragraph" w:styleId="6">
    <w:name w:val="Body Text First Indent 2"/>
    <w:basedOn w:val="5"/>
    <w:unhideWhenUsed/>
    <w:qFormat/>
    <w:uiPriority w:val="99"/>
    <w:pPr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footnote text"/>
    <w:basedOn w:val="1"/>
    <w:next w:val="6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basedOn w:val="15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paragraph" w:customStyle="1" w:styleId="19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customStyle="1" w:styleId="20">
    <w:name w:val="四号正文"/>
    <w:basedOn w:val="1"/>
    <w:link w:val="21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21">
    <w:name w:val="四号正文 Char"/>
    <w:basedOn w:val="15"/>
    <w:link w:val="20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22">
    <w:name w:val="文档结构图 字符"/>
    <w:basedOn w:val="15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23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24">
    <w:name w:val="页脚 字符"/>
    <w:basedOn w:val="15"/>
    <w:link w:val="8"/>
    <w:qFormat/>
    <w:uiPriority w:val="99"/>
    <w:rPr>
      <w:kern w:val="2"/>
      <w:sz w:val="18"/>
      <w:szCs w:val="18"/>
    </w:rPr>
  </w:style>
  <w:style w:type="character" w:customStyle="1" w:styleId="25">
    <w:name w:val="font3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51"/>
    <w:basedOn w:val="15"/>
    <w:qFormat/>
    <w:uiPriority w:val="0"/>
    <w:rPr>
      <w:rFonts w:hint="default" w:ascii="Wingdings 2" w:hAnsi="Wingdings 2" w:eastAsia="Wingdings 2" w:cs="Wingdings 2"/>
      <w:color w:val="000000"/>
      <w:sz w:val="18"/>
      <w:szCs w:val="18"/>
      <w:u w:val="none"/>
    </w:rPr>
  </w:style>
  <w:style w:type="character" w:customStyle="1" w:styleId="27">
    <w:name w:val="font01"/>
    <w:basedOn w:val="15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28">
    <w:name w:val="font41"/>
    <w:basedOn w:val="15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图表目录1"/>
    <w:basedOn w:val="1"/>
    <w:next w:val="1"/>
    <w:qFormat/>
    <w:uiPriority w:val="99"/>
    <w:pPr>
      <w:ind w:left="200" w:leftChars="200" w:hanging="200" w:hangingChars="200"/>
    </w:pPr>
  </w:style>
  <w:style w:type="paragraph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17</Pages>
  <Words>6168</Words>
  <Characters>6648</Characters>
  <Lines>115</Lines>
  <Paragraphs>32</Paragraphs>
  <TotalTime>32</TotalTime>
  <ScaleCrop>false</ScaleCrop>
  <LinksUpToDate>false</LinksUpToDate>
  <CharactersWithSpaces>6652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2019-06-01T11:06:00Z</dcterms:created>
  <dc:creator>陈萍</dc:creator>
  <cp:lastModifiedBy>是小星星呀！</cp:lastModifiedBy>
  <cp:lastPrinted>2025-03-05T19:05:00Z</cp:lastPrinted>
  <dcterms:modified xsi:type="dcterms:W3CDTF">2026-04-17T06:03:10Z</dcterms:modified>
  <dc:title>区域性就业培训基地建设项目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KSOTemplateDocerSaveRecord">
    <vt:lpwstr>eyJoZGlkIjoiM2JlNDBkMDM3ZDAzOTI2ZDM4MDExYTdiNzRhNzlhMTMiLCJ1c2VySWQiOiIxMjgwMTgyMjE2In0=</vt:lpwstr>
  </property>
  <property fmtid="{D5CDD505-2E9C-101B-9397-08002B2CF9AE}" pid="4" name="ICV">
    <vt:lpwstr>4915FD137B1A49F3A3EDE913A6C41F96_13</vt:lpwstr>
  </property>
</Properties>
</file>