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03AF3A0">
      <w:pPr>
        <w:pStyle w:val="2"/>
        <w:spacing w:before="93"/>
        <w:jc w:val="center"/>
        <w:rPr>
          <w:rFonts w:hint="eastAsia" w:ascii="Times New Roman" w:eastAsia="方正小标宋简体"/>
          <w:kern w:val="2"/>
          <w:sz w:val="36"/>
          <w:szCs w:val="36"/>
          <w:lang w:eastAsia="zh-CN"/>
        </w:rPr>
      </w:pPr>
      <w:bookmarkStart w:id="0" w:name="_Toc15377426"/>
      <w:bookmarkStart w:id="1" w:name="_Toc15396476"/>
      <w:bookmarkStart w:id="2" w:name="_Toc15378442"/>
      <w:bookmarkStart w:id="3" w:name="_Toc15396598"/>
      <w:bookmarkStart w:id="4" w:name="_Toc15377194"/>
      <w:bookmarkStart w:id="5" w:name="_Toc15377193"/>
      <w:bookmarkStart w:id="6" w:name="_Toc15396597"/>
      <w:bookmarkStart w:id="7" w:name="_Toc15378441"/>
      <w:bookmarkStart w:id="8" w:name="_Toc15306267"/>
      <w:bookmarkStart w:id="9" w:name="_Toc15377425"/>
      <w:bookmarkStart w:id="10" w:name="_Toc15396475"/>
      <w:r>
        <w:rPr>
          <w:rFonts w:hint="eastAsia" w:ascii="Times New Roman" w:eastAsia="方正小标宋简体"/>
          <w:kern w:val="2"/>
          <w:sz w:val="36"/>
          <w:szCs w:val="36"/>
        </w:rPr>
        <w:t>2024年度</w:t>
      </w:r>
      <w:bookmarkStart w:id="11" w:name="_Toc15306268"/>
      <w:r>
        <w:rPr>
          <w:rFonts w:hint="eastAsia" w:ascii="Times New Roman" w:eastAsia="方正小标宋简体"/>
          <w:kern w:val="2"/>
          <w:sz w:val="36"/>
          <w:szCs w:val="36"/>
        </w:rPr>
        <w:t>阿坝州</w:t>
      </w:r>
      <w:r>
        <w:rPr>
          <w:rFonts w:hint="eastAsia" w:ascii="Times New Roman" w:eastAsia="方正小标宋简体"/>
          <w:kern w:val="2"/>
          <w:sz w:val="36"/>
          <w:szCs w:val="36"/>
          <w:lang w:eastAsia="zh-CN"/>
        </w:rPr>
        <w:t>林业和草原科学技术研究所</w:t>
      </w:r>
    </w:p>
    <w:p w14:paraId="0DACC3AD">
      <w:pPr>
        <w:pStyle w:val="2"/>
        <w:spacing w:before="93"/>
        <w:jc w:val="center"/>
        <w:rPr>
          <w:rFonts w:ascii="Times New Roman" w:eastAsia="方正小标宋简体"/>
          <w:kern w:val="2"/>
          <w:sz w:val="36"/>
          <w:szCs w:val="36"/>
        </w:rPr>
      </w:pPr>
      <w:r>
        <w:rPr>
          <w:rFonts w:hint="eastAsia" w:ascii="Times New Roman" w:eastAsia="方正小标宋简体"/>
          <w:kern w:val="2"/>
          <w:sz w:val="36"/>
          <w:szCs w:val="36"/>
        </w:rPr>
        <w:t>部门决算</w:t>
      </w:r>
      <w:bookmarkEnd w:id="0"/>
      <w:bookmarkEnd w:id="1"/>
      <w:bookmarkEnd w:id="2"/>
      <w:bookmarkEnd w:id="3"/>
      <w:bookmarkEnd w:id="4"/>
      <w:bookmarkEnd w:id="11"/>
    </w:p>
    <w:p w14:paraId="38FEDFAC">
      <w:pPr>
        <w:pStyle w:val="21"/>
        <w:rPr>
          <w:rFonts w:ascii="Times New Roman" w:hAnsi="Times New Roman"/>
        </w:rPr>
        <w:sectPr>
          <w:footerReference r:id="rId5" w:type="first"/>
          <w:headerReference r:id="rId3" w:type="default"/>
          <w:footerReference r:id="rId4" w:type="default"/>
          <w:pgSz w:w="11906" w:h="16838"/>
          <w:pgMar w:top="1440" w:right="1800" w:bottom="1440" w:left="1800" w:header="851" w:footer="992" w:gutter="0"/>
          <w:pgNumType w:fmt="decimal" w:start="1"/>
          <w:cols w:space="425" w:num="1"/>
          <w:titlePg/>
          <w:docGrid w:type="lines" w:linePitch="312" w:charSpace="0"/>
        </w:sectPr>
      </w:pPr>
      <w:r>
        <w:rPr>
          <w:rFonts w:eastAsia="方正小标宋简体"/>
          <w:sz w:val="36"/>
          <w:szCs w:val="36"/>
        </w:rPr>
        <w:br w:type="page"/>
      </w:r>
    </w:p>
    <w:bookmarkEnd w:id="5"/>
    <w:bookmarkEnd w:id="6"/>
    <w:bookmarkEnd w:id="7"/>
    <w:bookmarkEnd w:id="8"/>
    <w:bookmarkEnd w:id="9"/>
    <w:bookmarkEnd w:id="10"/>
    <w:sdt>
      <w:sdtPr>
        <w:rPr>
          <w:rFonts w:hint="eastAsia" w:eastAsia="黑体"/>
          <w:sz w:val="48"/>
          <w:szCs w:val="48"/>
          <w:lang w:val="en-US" w:eastAsia="zh-CN"/>
        </w:rPr>
        <w:id w:val="147470390"/>
        <w15:color w:val="DBDBDB"/>
        <w:docPartObj>
          <w:docPartGallery w:val="Table of Contents"/>
          <w:docPartUnique/>
        </w:docPartObj>
      </w:sdtPr>
      <w:sdtEndPr>
        <w:rPr>
          <w:rFonts w:hint="eastAsia" w:ascii="Times New Roman" w:hAnsi="Times New Roman" w:eastAsia="黑体" w:cs="Times New Roman"/>
          <w:kern w:val="2"/>
          <w:sz w:val="21"/>
          <w:szCs w:val="48"/>
          <w:lang w:val="en-US" w:eastAsia="zh-CN" w:bidi="ar-SA"/>
        </w:rPr>
      </w:sdtEndPr>
      <w:sdtContent>
        <w:p w14:paraId="5276EC1D">
          <w:pPr>
            <w:widowControl/>
            <w:jc w:val="center"/>
            <w:rPr>
              <w:rFonts w:hint="eastAsia"/>
            </w:rPr>
          </w:pPr>
          <w:r>
            <w:rPr>
              <w:rFonts w:hint="eastAsia" w:eastAsia="黑体"/>
              <w:sz w:val="48"/>
              <w:szCs w:val="48"/>
            </w:rPr>
            <w:t>目录</w:t>
          </w:r>
        </w:p>
        <w:p w14:paraId="30BCB972">
          <w:pPr>
            <w:pStyle w:val="12"/>
            <w:jc w:val="center"/>
            <w:rPr>
              <w:rFonts w:hint="eastAsia" w:ascii="Times New Roman" w:hAnsi="Times New Roman" w:eastAsia="仿宋_GB2312" w:cs="仿宋_GB2312"/>
              <w:sz w:val="32"/>
              <w:szCs w:val="32"/>
            </w:rPr>
          </w:pPr>
        </w:p>
        <w:p w14:paraId="0CF0A5EF">
          <w:pPr>
            <w:pStyle w:val="12"/>
            <w:jc w:val="center"/>
          </w:pPr>
          <w:r>
            <w:rPr>
              <w:rFonts w:hint="eastAsia" w:ascii="Times New Roman" w:hAnsi="Times New Roman" w:eastAsia="仿宋_GB2312" w:cs="仿宋_GB2312"/>
              <w:sz w:val="32"/>
              <w:szCs w:val="32"/>
            </w:rPr>
            <w:t>公开时间：202</w:t>
          </w:r>
          <w:r>
            <w:rPr>
              <w:rFonts w:hint="eastAsia" w:ascii="Times New Roman" w:hAnsi="Times New Roman" w:eastAsia="仿宋_GB2312" w:cs="仿宋_GB2312"/>
              <w:sz w:val="32"/>
              <w:szCs w:val="32"/>
              <w:lang w:val="en-US" w:eastAsia="zh-CN"/>
            </w:rPr>
            <w:t>5</w:t>
          </w:r>
          <w:r>
            <w:rPr>
              <w:rFonts w:hint="eastAsia" w:ascii="Times New Roman" w:hAnsi="Times New Roman" w:eastAsia="仿宋_GB2312" w:cs="仿宋_GB2312"/>
              <w:sz w:val="32"/>
              <w:szCs w:val="32"/>
            </w:rPr>
            <w:t xml:space="preserve">年 </w:t>
          </w:r>
          <w:r>
            <w:rPr>
              <w:rFonts w:hint="eastAsia" w:ascii="Times New Roman" w:hAnsi="Times New Roman" w:eastAsia="仿宋_GB2312" w:cs="仿宋_GB2312"/>
              <w:sz w:val="32"/>
              <w:szCs w:val="32"/>
              <w:lang w:val="en-US" w:eastAsia="zh-CN"/>
            </w:rPr>
            <w:t>9</w:t>
          </w:r>
          <w:r>
            <w:rPr>
              <w:rFonts w:hint="eastAsia" w:ascii="Times New Roman" w:hAnsi="Times New Roman" w:eastAsia="仿宋_GB2312" w:cs="仿宋_GB2312"/>
              <w:sz w:val="32"/>
              <w:szCs w:val="32"/>
            </w:rPr>
            <w:t xml:space="preserve"> 月  日</w:t>
          </w:r>
        </w:p>
        <w:p w14:paraId="7E1167BC">
          <w:pPr>
            <w:pStyle w:val="12"/>
            <w:tabs>
              <w:tab w:val="right" w:leader="dot" w:pos="8306"/>
              <w:tab w:val="clear" w:pos="8296"/>
            </w:tabs>
          </w:pPr>
          <w:r>
            <w:rPr>
              <w:rFonts w:hint="eastAsia" w:eastAsia="黑体"/>
              <w:sz w:val="48"/>
              <w:szCs w:val="48"/>
            </w:rPr>
            <w:fldChar w:fldCharType="begin"/>
          </w:r>
          <w:r>
            <w:rPr>
              <w:rFonts w:hint="eastAsia" w:eastAsia="黑体"/>
              <w:sz w:val="48"/>
              <w:szCs w:val="48"/>
            </w:rPr>
            <w:instrText xml:space="preserve">TOC \o "1-2" \h \u </w:instrText>
          </w:r>
          <w:r>
            <w:rPr>
              <w:rFonts w:hint="eastAsia" w:eastAsia="黑体"/>
              <w:sz w:val="48"/>
              <w:szCs w:val="48"/>
            </w:rPr>
            <w:fldChar w:fldCharType="separate"/>
          </w:r>
          <w:r>
            <w:rPr>
              <w:rFonts w:hint="eastAsia" w:eastAsia="黑体"/>
              <w:szCs w:val="48"/>
            </w:rPr>
            <w:fldChar w:fldCharType="begin"/>
          </w:r>
          <w:r>
            <w:rPr>
              <w:rFonts w:hint="eastAsia" w:eastAsia="黑体"/>
              <w:szCs w:val="48"/>
            </w:rPr>
            <w:instrText xml:space="preserve"> HYPERLINK \l _Toc25062 </w:instrText>
          </w:r>
          <w:r>
            <w:rPr>
              <w:rFonts w:hint="eastAsia" w:eastAsia="黑体"/>
              <w:szCs w:val="48"/>
            </w:rPr>
            <w:fldChar w:fldCharType="separate"/>
          </w:r>
          <w:r>
            <w:rPr>
              <w:rFonts w:hint="eastAsia" w:eastAsia="方正小标宋简体" w:cs="方正小标宋简体"/>
            </w:rPr>
            <w:t xml:space="preserve">第一部分  </w:t>
          </w:r>
          <w:r>
            <w:rPr>
              <w:rFonts w:hint="eastAsia" w:eastAsia="方正小标宋简体" w:cs="方正小标宋简体"/>
              <w:bCs w:val="0"/>
            </w:rPr>
            <w:t>部门概况</w:t>
          </w:r>
          <w:r>
            <w:tab/>
          </w:r>
          <w:r>
            <w:fldChar w:fldCharType="begin"/>
          </w:r>
          <w:r>
            <w:instrText xml:space="preserve"> PAGEREF _Toc25062 \h </w:instrText>
          </w:r>
          <w:r>
            <w:fldChar w:fldCharType="separate"/>
          </w:r>
          <w:r>
            <w:t>2</w:t>
          </w:r>
          <w:r>
            <w:fldChar w:fldCharType="end"/>
          </w:r>
          <w:r>
            <w:rPr>
              <w:rFonts w:hint="eastAsia" w:eastAsia="黑体"/>
              <w:szCs w:val="48"/>
            </w:rPr>
            <w:fldChar w:fldCharType="end"/>
          </w:r>
        </w:p>
        <w:p w14:paraId="228824BF">
          <w:pPr>
            <w:pStyle w:val="15"/>
            <w:tabs>
              <w:tab w:val="right" w:leader="dot" w:pos="8306"/>
              <w:tab w:val="clear" w:pos="8296"/>
            </w:tabs>
          </w:pPr>
          <w:r>
            <w:rPr>
              <w:rFonts w:hint="eastAsia" w:eastAsia="黑体"/>
              <w:szCs w:val="48"/>
            </w:rPr>
            <w:fldChar w:fldCharType="begin"/>
          </w:r>
          <w:r>
            <w:rPr>
              <w:rFonts w:hint="eastAsia" w:eastAsia="黑体"/>
              <w:szCs w:val="48"/>
            </w:rPr>
            <w:instrText xml:space="preserve"> HYPERLINK \l _Toc4624 </w:instrText>
          </w:r>
          <w:r>
            <w:rPr>
              <w:rFonts w:hint="eastAsia" w:eastAsia="黑体"/>
              <w:szCs w:val="48"/>
            </w:rPr>
            <w:fldChar w:fldCharType="separate"/>
          </w:r>
          <w:r>
            <w:rPr>
              <w:rFonts w:hint="eastAsia"/>
            </w:rPr>
            <w:t>一、</w:t>
          </w:r>
          <w:r>
            <w:rPr>
              <w:rFonts w:hint="eastAsia" w:ascii="Times New Roman" w:hAnsi="Times New Roman" w:eastAsia="黑体"/>
            </w:rPr>
            <w:t>部门职责</w:t>
          </w:r>
          <w:r>
            <w:tab/>
          </w:r>
          <w:r>
            <w:fldChar w:fldCharType="begin"/>
          </w:r>
          <w:r>
            <w:instrText xml:space="preserve"> PAGEREF _Toc4624 \h </w:instrText>
          </w:r>
          <w:r>
            <w:fldChar w:fldCharType="separate"/>
          </w:r>
          <w:r>
            <w:t>2</w:t>
          </w:r>
          <w:r>
            <w:fldChar w:fldCharType="end"/>
          </w:r>
          <w:r>
            <w:rPr>
              <w:rFonts w:hint="eastAsia" w:eastAsia="黑体"/>
              <w:szCs w:val="48"/>
            </w:rPr>
            <w:fldChar w:fldCharType="end"/>
          </w:r>
        </w:p>
        <w:p w14:paraId="34C45903">
          <w:pPr>
            <w:pStyle w:val="15"/>
            <w:tabs>
              <w:tab w:val="right" w:leader="dot" w:pos="8306"/>
              <w:tab w:val="clear" w:pos="8296"/>
            </w:tabs>
          </w:pPr>
          <w:r>
            <w:rPr>
              <w:rFonts w:hint="eastAsia" w:eastAsia="黑体"/>
              <w:szCs w:val="48"/>
            </w:rPr>
            <w:fldChar w:fldCharType="begin"/>
          </w:r>
          <w:r>
            <w:rPr>
              <w:rFonts w:hint="eastAsia" w:eastAsia="黑体"/>
              <w:szCs w:val="48"/>
            </w:rPr>
            <w:instrText xml:space="preserve"> HYPERLINK \l _Toc26740 </w:instrText>
          </w:r>
          <w:r>
            <w:rPr>
              <w:rFonts w:hint="eastAsia" w:eastAsia="黑体"/>
              <w:szCs w:val="48"/>
            </w:rPr>
            <w:fldChar w:fldCharType="separate"/>
          </w:r>
          <w:r>
            <w:rPr>
              <w:rFonts w:hint="eastAsia" w:ascii="Times New Roman" w:hAnsi="Times New Roman" w:eastAsia="黑体"/>
            </w:rPr>
            <w:t>二、机</w:t>
          </w:r>
          <w:r>
            <w:rPr>
              <w:rFonts w:hint="eastAsia" w:ascii="Times New Roman" w:hAnsi="Times New Roman" w:eastAsia="黑体"/>
              <w:bCs w:val="0"/>
            </w:rPr>
            <w:t>构设置</w:t>
          </w:r>
          <w:r>
            <w:tab/>
          </w:r>
          <w:r>
            <w:fldChar w:fldCharType="begin"/>
          </w:r>
          <w:r>
            <w:instrText xml:space="preserve"> PAGEREF _Toc26740 \h </w:instrText>
          </w:r>
          <w:r>
            <w:fldChar w:fldCharType="separate"/>
          </w:r>
          <w:r>
            <w:t>2</w:t>
          </w:r>
          <w:r>
            <w:fldChar w:fldCharType="end"/>
          </w:r>
          <w:r>
            <w:rPr>
              <w:rFonts w:hint="eastAsia" w:eastAsia="黑体"/>
              <w:szCs w:val="48"/>
            </w:rPr>
            <w:fldChar w:fldCharType="end"/>
          </w:r>
        </w:p>
        <w:p w14:paraId="175549EE">
          <w:pPr>
            <w:pStyle w:val="12"/>
            <w:tabs>
              <w:tab w:val="right" w:leader="dot" w:pos="8306"/>
              <w:tab w:val="clear" w:pos="8296"/>
            </w:tabs>
          </w:pPr>
          <w:r>
            <w:rPr>
              <w:rFonts w:hint="eastAsia" w:eastAsia="黑体"/>
              <w:szCs w:val="48"/>
            </w:rPr>
            <w:fldChar w:fldCharType="begin"/>
          </w:r>
          <w:r>
            <w:rPr>
              <w:rFonts w:hint="eastAsia" w:eastAsia="黑体"/>
              <w:szCs w:val="48"/>
            </w:rPr>
            <w:instrText xml:space="preserve"> HYPERLINK \l _Toc32589 </w:instrText>
          </w:r>
          <w:r>
            <w:rPr>
              <w:rFonts w:hint="eastAsia" w:eastAsia="黑体"/>
              <w:szCs w:val="48"/>
            </w:rPr>
            <w:fldChar w:fldCharType="separate"/>
          </w:r>
          <w:r>
            <w:rPr>
              <w:rFonts w:hint="eastAsia" w:eastAsia="方正小标宋简体" w:cs="方正小标宋简体"/>
            </w:rPr>
            <w:t>第二部分  2024年度部门决算情况说明</w:t>
          </w:r>
          <w:r>
            <w:tab/>
          </w:r>
          <w:r>
            <w:fldChar w:fldCharType="begin"/>
          </w:r>
          <w:r>
            <w:instrText xml:space="preserve"> PAGEREF _Toc32589 \h </w:instrText>
          </w:r>
          <w:r>
            <w:fldChar w:fldCharType="separate"/>
          </w:r>
          <w:r>
            <w:t>2</w:t>
          </w:r>
          <w:r>
            <w:fldChar w:fldCharType="end"/>
          </w:r>
          <w:r>
            <w:rPr>
              <w:rFonts w:hint="eastAsia" w:eastAsia="黑体"/>
              <w:szCs w:val="48"/>
            </w:rPr>
            <w:fldChar w:fldCharType="end"/>
          </w:r>
        </w:p>
        <w:p w14:paraId="2783127E">
          <w:pPr>
            <w:pStyle w:val="15"/>
            <w:tabs>
              <w:tab w:val="right" w:leader="dot" w:pos="8306"/>
              <w:tab w:val="clear" w:pos="8296"/>
            </w:tabs>
          </w:pPr>
          <w:r>
            <w:rPr>
              <w:rFonts w:hint="eastAsia" w:eastAsia="黑体"/>
              <w:szCs w:val="48"/>
            </w:rPr>
            <w:fldChar w:fldCharType="begin"/>
          </w:r>
          <w:r>
            <w:rPr>
              <w:rFonts w:hint="eastAsia" w:eastAsia="黑体"/>
              <w:szCs w:val="48"/>
            </w:rPr>
            <w:instrText xml:space="preserve"> HYPERLINK \l _Toc16550 </w:instrText>
          </w:r>
          <w:r>
            <w:rPr>
              <w:rFonts w:hint="eastAsia" w:eastAsia="黑体"/>
              <w:szCs w:val="48"/>
            </w:rPr>
            <w:fldChar w:fldCharType="separate"/>
          </w:r>
          <w:r>
            <w:rPr>
              <w:rFonts w:hint="eastAsia" w:eastAsia="黑体"/>
              <w:szCs w:val="32"/>
            </w:rPr>
            <w:t>一、收</w:t>
          </w:r>
          <w:r>
            <w:rPr>
              <w:rFonts w:hint="eastAsia" w:ascii="Times New Roman" w:hAnsi="Times New Roman" w:eastAsia="黑体"/>
            </w:rPr>
            <w:t>入支出决算总体情况说明</w:t>
          </w:r>
          <w:r>
            <w:tab/>
          </w:r>
          <w:r>
            <w:fldChar w:fldCharType="begin"/>
          </w:r>
          <w:r>
            <w:instrText xml:space="preserve"> PAGEREF _Toc16550 \h </w:instrText>
          </w:r>
          <w:r>
            <w:fldChar w:fldCharType="separate"/>
          </w:r>
          <w:r>
            <w:t>2</w:t>
          </w:r>
          <w:r>
            <w:fldChar w:fldCharType="end"/>
          </w:r>
          <w:r>
            <w:rPr>
              <w:rFonts w:hint="eastAsia" w:eastAsia="黑体"/>
              <w:szCs w:val="48"/>
            </w:rPr>
            <w:fldChar w:fldCharType="end"/>
          </w:r>
        </w:p>
        <w:p w14:paraId="29650A11">
          <w:pPr>
            <w:pStyle w:val="15"/>
            <w:tabs>
              <w:tab w:val="right" w:leader="dot" w:pos="8306"/>
              <w:tab w:val="clear" w:pos="8296"/>
            </w:tabs>
          </w:pPr>
          <w:r>
            <w:rPr>
              <w:rFonts w:hint="eastAsia" w:eastAsia="黑体"/>
              <w:szCs w:val="48"/>
            </w:rPr>
            <w:fldChar w:fldCharType="begin"/>
          </w:r>
          <w:r>
            <w:rPr>
              <w:rFonts w:hint="eastAsia" w:eastAsia="黑体"/>
              <w:szCs w:val="48"/>
            </w:rPr>
            <w:instrText xml:space="preserve"> HYPERLINK \l _Toc12064 </w:instrText>
          </w:r>
          <w:r>
            <w:rPr>
              <w:rFonts w:hint="eastAsia" w:eastAsia="黑体"/>
              <w:szCs w:val="48"/>
            </w:rPr>
            <w:fldChar w:fldCharType="separate"/>
          </w:r>
          <w:r>
            <w:rPr>
              <w:rFonts w:hint="eastAsia" w:eastAsia="黑体"/>
              <w:szCs w:val="32"/>
            </w:rPr>
            <w:t>二、收入决算情况说明</w:t>
          </w:r>
          <w:r>
            <w:tab/>
          </w:r>
          <w:r>
            <w:fldChar w:fldCharType="begin"/>
          </w:r>
          <w:r>
            <w:instrText xml:space="preserve"> PAGEREF _Toc12064 \h </w:instrText>
          </w:r>
          <w:r>
            <w:fldChar w:fldCharType="separate"/>
          </w:r>
          <w:r>
            <w:t>3</w:t>
          </w:r>
          <w:r>
            <w:fldChar w:fldCharType="end"/>
          </w:r>
          <w:r>
            <w:rPr>
              <w:rFonts w:hint="eastAsia" w:eastAsia="黑体"/>
              <w:szCs w:val="48"/>
            </w:rPr>
            <w:fldChar w:fldCharType="end"/>
          </w:r>
        </w:p>
        <w:p w14:paraId="756D6A64">
          <w:pPr>
            <w:pStyle w:val="15"/>
            <w:tabs>
              <w:tab w:val="right" w:leader="dot" w:pos="8306"/>
              <w:tab w:val="clear" w:pos="8296"/>
            </w:tabs>
          </w:pPr>
          <w:r>
            <w:rPr>
              <w:rFonts w:hint="eastAsia" w:eastAsia="黑体"/>
              <w:szCs w:val="48"/>
            </w:rPr>
            <w:fldChar w:fldCharType="begin"/>
          </w:r>
          <w:r>
            <w:rPr>
              <w:rFonts w:hint="eastAsia" w:eastAsia="黑体"/>
              <w:szCs w:val="48"/>
            </w:rPr>
            <w:instrText xml:space="preserve"> HYPERLINK \l _Toc16271 </w:instrText>
          </w:r>
          <w:r>
            <w:rPr>
              <w:rFonts w:hint="eastAsia" w:eastAsia="黑体"/>
              <w:szCs w:val="48"/>
            </w:rPr>
            <w:fldChar w:fldCharType="separate"/>
          </w:r>
          <w:r>
            <w:rPr>
              <w:rFonts w:hint="eastAsia" w:eastAsia="黑体"/>
              <w:szCs w:val="32"/>
            </w:rPr>
            <w:t>三、支</w:t>
          </w:r>
          <w:r>
            <w:rPr>
              <w:rFonts w:hint="eastAsia" w:ascii="Times New Roman" w:hAnsi="Times New Roman" w:eastAsia="黑体"/>
            </w:rPr>
            <w:t>出决算情况说明</w:t>
          </w:r>
          <w:r>
            <w:tab/>
          </w:r>
          <w:r>
            <w:fldChar w:fldCharType="begin"/>
          </w:r>
          <w:r>
            <w:instrText xml:space="preserve"> PAGEREF _Toc16271 \h </w:instrText>
          </w:r>
          <w:r>
            <w:fldChar w:fldCharType="separate"/>
          </w:r>
          <w:r>
            <w:t>4</w:t>
          </w:r>
          <w:r>
            <w:fldChar w:fldCharType="end"/>
          </w:r>
          <w:r>
            <w:rPr>
              <w:rFonts w:hint="eastAsia" w:eastAsia="黑体"/>
              <w:szCs w:val="48"/>
            </w:rPr>
            <w:fldChar w:fldCharType="end"/>
          </w:r>
        </w:p>
        <w:p w14:paraId="27B09694">
          <w:pPr>
            <w:pStyle w:val="15"/>
            <w:tabs>
              <w:tab w:val="right" w:leader="dot" w:pos="8306"/>
              <w:tab w:val="clear" w:pos="8296"/>
            </w:tabs>
          </w:pPr>
          <w:r>
            <w:rPr>
              <w:rFonts w:hint="eastAsia" w:eastAsia="黑体"/>
              <w:szCs w:val="48"/>
            </w:rPr>
            <w:fldChar w:fldCharType="begin"/>
          </w:r>
          <w:r>
            <w:rPr>
              <w:rFonts w:hint="eastAsia" w:eastAsia="黑体"/>
              <w:szCs w:val="48"/>
            </w:rPr>
            <w:instrText xml:space="preserve"> HYPERLINK \l _Toc24665 </w:instrText>
          </w:r>
          <w:r>
            <w:rPr>
              <w:rFonts w:hint="eastAsia" w:eastAsia="黑体"/>
              <w:szCs w:val="48"/>
            </w:rPr>
            <w:fldChar w:fldCharType="separate"/>
          </w:r>
          <w:r>
            <w:rPr>
              <w:rFonts w:hint="eastAsia" w:eastAsia="黑体"/>
              <w:szCs w:val="32"/>
            </w:rPr>
            <w:t>四、财</w:t>
          </w:r>
          <w:r>
            <w:rPr>
              <w:rFonts w:hint="eastAsia" w:ascii="Times New Roman" w:hAnsi="Times New Roman" w:eastAsia="黑体"/>
            </w:rPr>
            <w:t>政拨款收入支出决算总体情况说明</w:t>
          </w:r>
          <w:r>
            <w:tab/>
          </w:r>
          <w:r>
            <w:fldChar w:fldCharType="begin"/>
          </w:r>
          <w:r>
            <w:instrText xml:space="preserve"> PAGEREF _Toc24665 \h </w:instrText>
          </w:r>
          <w:r>
            <w:fldChar w:fldCharType="separate"/>
          </w:r>
          <w:r>
            <w:t>4</w:t>
          </w:r>
          <w:r>
            <w:fldChar w:fldCharType="end"/>
          </w:r>
          <w:r>
            <w:rPr>
              <w:rFonts w:hint="eastAsia" w:eastAsia="黑体"/>
              <w:szCs w:val="48"/>
            </w:rPr>
            <w:fldChar w:fldCharType="end"/>
          </w:r>
        </w:p>
        <w:p w14:paraId="1EC1A5CB">
          <w:pPr>
            <w:pStyle w:val="15"/>
            <w:tabs>
              <w:tab w:val="right" w:leader="dot" w:pos="8306"/>
              <w:tab w:val="clear" w:pos="8296"/>
            </w:tabs>
          </w:pPr>
          <w:r>
            <w:rPr>
              <w:rFonts w:hint="eastAsia" w:eastAsia="黑体"/>
              <w:szCs w:val="48"/>
            </w:rPr>
            <w:fldChar w:fldCharType="begin"/>
          </w:r>
          <w:r>
            <w:rPr>
              <w:rFonts w:hint="eastAsia" w:eastAsia="黑体"/>
              <w:szCs w:val="48"/>
            </w:rPr>
            <w:instrText xml:space="preserve"> HYPERLINK \l _Toc5800 </w:instrText>
          </w:r>
          <w:r>
            <w:rPr>
              <w:rFonts w:hint="eastAsia" w:eastAsia="黑体"/>
              <w:szCs w:val="48"/>
            </w:rPr>
            <w:fldChar w:fldCharType="separate"/>
          </w:r>
          <w:r>
            <w:rPr>
              <w:rFonts w:hint="eastAsia" w:eastAsia="黑体"/>
              <w:szCs w:val="32"/>
            </w:rPr>
            <w:t>五、一</w:t>
          </w:r>
          <w:r>
            <w:rPr>
              <w:rFonts w:hint="eastAsia" w:ascii="Times New Roman" w:hAnsi="Times New Roman" w:eastAsia="黑体"/>
            </w:rPr>
            <w:t>般公共预算财政拨款支出决算情况说明</w:t>
          </w:r>
          <w:r>
            <w:tab/>
          </w:r>
          <w:r>
            <w:fldChar w:fldCharType="begin"/>
          </w:r>
          <w:r>
            <w:instrText xml:space="preserve"> PAGEREF _Toc5800 \h </w:instrText>
          </w:r>
          <w:r>
            <w:fldChar w:fldCharType="separate"/>
          </w:r>
          <w:r>
            <w:t>5</w:t>
          </w:r>
          <w:r>
            <w:fldChar w:fldCharType="end"/>
          </w:r>
          <w:r>
            <w:rPr>
              <w:rFonts w:hint="eastAsia" w:eastAsia="黑体"/>
              <w:szCs w:val="48"/>
            </w:rPr>
            <w:fldChar w:fldCharType="end"/>
          </w:r>
        </w:p>
        <w:p w14:paraId="67FFA1E4">
          <w:pPr>
            <w:pStyle w:val="15"/>
            <w:tabs>
              <w:tab w:val="right" w:leader="dot" w:pos="8306"/>
              <w:tab w:val="clear" w:pos="8296"/>
            </w:tabs>
          </w:pPr>
          <w:r>
            <w:rPr>
              <w:rFonts w:hint="eastAsia" w:eastAsia="黑体"/>
              <w:szCs w:val="48"/>
            </w:rPr>
            <w:fldChar w:fldCharType="begin"/>
          </w:r>
          <w:r>
            <w:rPr>
              <w:rFonts w:hint="eastAsia" w:eastAsia="黑体"/>
              <w:szCs w:val="48"/>
            </w:rPr>
            <w:instrText xml:space="preserve"> HYPERLINK \l _Toc15593 </w:instrText>
          </w:r>
          <w:r>
            <w:rPr>
              <w:rFonts w:hint="eastAsia" w:eastAsia="黑体"/>
              <w:szCs w:val="48"/>
            </w:rPr>
            <w:fldChar w:fldCharType="separate"/>
          </w:r>
          <w:r>
            <w:rPr>
              <w:rFonts w:hint="eastAsia" w:eastAsia="黑体"/>
              <w:szCs w:val="32"/>
            </w:rPr>
            <w:t>六、一</w:t>
          </w:r>
          <w:r>
            <w:rPr>
              <w:rFonts w:hint="eastAsia" w:ascii="Times New Roman" w:hAnsi="Times New Roman" w:eastAsia="黑体"/>
            </w:rPr>
            <w:t>般公共预算财政拨款基本支出决算情况说明</w:t>
          </w:r>
          <w:r>
            <w:tab/>
          </w:r>
          <w:r>
            <w:fldChar w:fldCharType="begin"/>
          </w:r>
          <w:r>
            <w:instrText xml:space="preserve"> PAGEREF _Toc15593 \h </w:instrText>
          </w:r>
          <w:r>
            <w:fldChar w:fldCharType="separate"/>
          </w:r>
          <w:r>
            <w:t>8</w:t>
          </w:r>
          <w:r>
            <w:fldChar w:fldCharType="end"/>
          </w:r>
          <w:r>
            <w:rPr>
              <w:rFonts w:hint="eastAsia" w:eastAsia="黑体"/>
              <w:szCs w:val="48"/>
            </w:rPr>
            <w:fldChar w:fldCharType="end"/>
          </w:r>
        </w:p>
        <w:p w14:paraId="46601ABF">
          <w:pPr>
            <w:pStyle w:val="15"/>
            <w:tabs>
              <w:tab w:val="right" w:leader="dot" w:pos="8306"/>
              <w:tab w:val="clear" w:pos="8296"/>
            </w:tabs>
          </w:pPr>
          <w:r>
            <w:rPr>
              <w:rFonts w:hint="eastAsia" w:eastAsia="黑体"/>
              <w:szCs w:val="48"/>
            </w:rPr>
            <w:fldChar w:fldCharType="begin"/>
          </w:r>
          <w:r>
            <w:rPr>
              <w:rFonts w:hint="eastAsia" w:eastAsia="黑体"/>
              <w:szCs w:val="48"/>
            </w:rPr>
            <w:instrText xml:space="preserve"> HYPERLINK \l _Toc29962 </w:instrText>
          </w:r>
          <w:r>
            <w:rPr>
              <w:rFonts w:hint="eastAsia" w:eastAsia="黑体"/>
              <w:szCs w:val="48"/>
            </w:rPr>
            <w:fldChar w:fldCharType="separate"/>
          </w:r>
          <w:r>
            <w:rPr>
              <w:rFonts w:hint="eastAsia" w:eastAsia="黑体"/>
              <w:szCs w:val="32"/>
            </w:rPr>
            <w:t>七、</w:t>
          </w:r>
          <w:r>
            <w:rPr>
              <w:rFonts w:hint="eastAsia" w:ascii="Times New Roman" w:hAnsi="Times New Roman" w:eastAsia="黑体"/>
            </w:rPr>
            <w:t>财政拨款“三公”经费支出决算情况说明</w:t>
          </w:r>
          <w:r>
            <w:tab/>
          </w:r>
          <w:r>
            <w:fldChar w:fldCharType="begin"/>
          </w:r>
          <w:r>
            <w:instrText xml:space="preserve"> PAGEREF _Toc29962 \h </w:instrText>
          </w:r>
          <w:r>
            <w:fldChar w:fldCharType="separate"/>
          </w:r>
          <w:r>
            <w:t>8</w:t>
          </w:r>
          <w:r>
            <w:fldChar w:fldCharType="end"/>
          </w:r>
          <w:r>
            <w:rPr>
              <w:rFonts w:hint="eastAsia" w:eastAsia="黑体"/>
              <w:szCs w:val="48"/>
            </w:rPr>
            <w:fldChar w:fldCharType="end"/>
          </w:r>
        </w:p>
        <w:p w14:paraId="4F347DEB">
          <w:pPr>
            <w:pStyle w:val="15"/>
            <w:tabs>
              <w:tab w:val="right" w:leader="dot" w:pos="8306"/>
              <w:tab w:val="clear" w:pos="8296"/>
            </w:tabs>
          </w:pPr>
          <w:r>
            <w:rPr>
              <w:rFonts w:hint="eastAsia" w:eastAsia="黑体"/>
              <w:szCs w:val="48"/>
            </w:rPr>
            <w:fldChar w:fldCharType="begin"/>
          </w:r>
          <w:r>
            <w:rPr>
              <w:rFonts w:hint="eastAsia" w:eastAsia="黑体"/>
              <w:szCs w:val="48"/>
            </w:rPr>
            <w:instrText xml:space="preserve"> HYPERLINK \l _Toc30892 </w:instrText>
          </w:r>
          <w:r>
            <w:rPr>
              <w:rFonts w:hint="eastAsia" w:eastAsia="黑体"/>
              <w:szCs w:val="48"/>
            </w:rPr>
            <w:fldChar w:fldCharType="separate"/>
          </w:r>
          <w:r>
            <w:rPr>
              <w:rFonts w:hint="eastAsia" w:eastAsia="黑体"/>
              <w:szCs w:val="32"/>
            </w:rPr>
            <w:t>八、</w:t>
          </w:r>
          <w:r>
            <w:rPr>
              <w:rFonts w:hint="eastAsia" w:ascii="Times New Roman" w:hAnsi="Times New Roman" w:eastAsia="黑体"/>
            </w:rPr>
            <w:t>政府性基金预算支出决算情况说明</w:t>
          </w:r>
          <w:r>
            <w:tab/>
          </w:r>
          <w:r>
            <w:fldChar w:fldCharType="begin"/>
          </w:r>
          <w:r>
            <w:instrText xml:space="preserve"> PAGEREF _Toc30892 \h </w:instrText>
          </w:r>
          <w:r>
            <w:fldChar w:fldCharType="separate"/>
          </w:r>
          <w:r>
            <w:t>10</w:t>
          </w:r>
          <w:r>
            <w:fldChar w:fldCharType="end"/>
          </w:r>
          <w:r>
            <w:rPr>
              <w:rFonts w:hint="eastAsia" w:eastAsia="黑体"/>
              <w:szCs w:val="48"/>
            </w:rPr>
            <w:fldChar w:fldCharType="end"/>
          </w:r>
        </w:p>
        <w:p w14:paraId="1BE3036C">
          <w:pPr>
            <w:pStyle w:val="15"/>
            <w:tabs>
              <w:tab w:val="right" w:leader="dot" w:pos="8306"/>
              <w:tab w:val="clear" w:pos="8296"/>
            </w:tabs>
          </w:pPr>
          <w:r>
            <w:rPr>
              <w:rFonts w:hint="eastAsia" w:eastAsia="黑体"/>
              <w:szCs w:val="48"/>
            </w:rPr>
            <w:fldChar w:fldCharType="begin"/>
          </w:r>
          <w:r>
            <w:rPr>
              <w:rFonts w:hint="eastAsia" w:eastAsia="黑体"/>
              <w:szCs w:val="48"/>
            </w:rPr>
            <w:instrText xml:space="preserve"> HYPERLINK \l _Toc9126 </w:instrText>
          </w:r>
          <w:r>
            <w:rPr>
              <w:rFonts w:hint="eastAsia" w:eastAsia="黑体"/>
              <w:szCs w:val="48"/>
            </w:rPr>
            <w:fldChar w:fldCharType="separate"/>
          </w:r>
          <w:r>
            <w:rPr>
              <w:rFonts w:hint="eastAsia" w:ascii="Times New Roman" w:hAnsi="Times New Roman" w:eastAsia="黑体"/>
            </w:rPr>
            <w:t>九、国有资本经营预算支出决算情况说明</w:t>
          </w:r>
          <w:r>
            <w:tab/>
          </w:r>
          <w:r>
            <w:fldChar w:fldCharType="begin"/>
          </w:r>
          <w:r>
            <w:instrText xml:space="preserve"> PAGEREF _Toc9126 \h </w:instrText>
          </w:r>
          <w:r>
            <w:fldChar w:fldCharType="separate"/>
          </w:r>
          <w:r>
            <w:t>10</w:t>
          </w:r>
          <w:r>
            <w:fldChar w:fldCharType="end"/>
          </w:r>
          <w:r>
            <w:rPr>
              <w:rFonts w:hint="eastAsia" w:eastAsia="黑体"/>
              <w:szCs w:val="48"/>
            </w:rPr>
            <w:fldChar w:fldCharType="end"/>
          </w:r>
        </w:p>
        <w:p w14:paraId="7EBB1F65">
          <w:pPr>
            <w:pStyle w:val="15"/>
            <w:tabs>
              <w:tab w:val="right" w:leader="dot" w:pos="8306"/>
              <w:tab w:val="clear" w:pos="8296"/>
            </w:tabs>
          </w:pPr>
          <w:r>
            <w:rPr>
              <w:rFonts w:hint="eastAsia" w:eastAsia="黑体"/>
              <w:szCs w:val="48"/>
            </w:rPr>
            <w:fldChar w:fldCharType="begin"/>
          </w:r>
          <w:r>
            <w:rPr>
              <w:rFonts w:hint="eastAsia" w:eastAsia="黑体"/>
              <w:szCs w:val="48"/>
            </w:rPr>
            <w:instrText xml:space="preserve"> HYPERLINK \l _Toc4938 </w:instrText>
          </w:r>
          <w:r>
            <w:rPr>
              <w:rFonts w:hint="eastAsia" w:eastAsia="黑体"/>
              <w:szCs w:val="48"/>
            </w:rPr>
            <w:fldChar w:fldCharType="separate"/>
          </w:r>
          <w:r>
            <w:rPr>
              <w:rFonts w:hint="eastAsia" w:ascii="Times New Roman" w:hAnsi="Times New Roman" w:eastAsia="黑体"/>
            </w:rPr>
            <w:t>十、其他重要事项的情况说明</w:t>
          </w:r>
          <w:r>
            <w:tab/>
          </w:r>
          <w:r>
            <w:fldChar w:fldCharType="begin"/>
          </w:r>
          <w:r>
            <w:instrText xml:space="preserve"> PAGEREF _Toc4938 \h </w:instrText>
          </w:r>
          <w:r>
            <w:fldChar w:fldCharType="separate"/>
          </w:r>
          <w:r>
            <w:t>11</w:t>
          </w:r>
          <w:r>
            <w:fldChar w:fldCharType="end"/>
          </w:r>
          <w:r>
            <w:rPr>
              <w:rFonts w:hint="eastAsia" w:eastAsia="黑体"/>
              <w:szCs w:val="48"/>
            </w:rPr>
            <w:fldChar w:fldCharType="end"/>
          </w:r>
        </w:p>
        <w:p w14:paraId="2DF4E352">
          <w:pPr>
            <w:pStyle w:val="12"/>
            <w:tabs>
              <w:tab w:val="right" w:leader="dot" w:pos="8306"/>
              <w:tab w:val="clear" w:pos="8296"/>
            </w:tabs>
          </w:pPr>
          <w:r>
            <w:rPr>
              <w:rFonts w:hint="eastAsia" w:eastAsia="黑体"/>
              <w:szCs w:val="48"/>
            </w:rPr>
            <w:fldChar w:fldCharType="begin"/>
          </w:r>
          <w:r>
            <w:rPr>
              <w:rFonts w:hint="eastAsia" w:eastAsia="黑体"/>
              <w:szCs w:val="48"/>
            </w:rPr>
            <w:instrText xml:space="preserve"> HYPERLINK \l _Toc31763 </w:instrText>
          </w:r>
          <w:r>
            <w:rPr>
              <w:rFonts w:hint="eastAsia" w:eastAsia="黑体"/>
              <w:szCs w:val="48"/>
            </w:rPr>
            <w:fldChar w:fldCharType="separate"/>
          </w:r>
          <w:r>
            <w:rPr>
              <w:rFonts w:hint="eastAsia" w:eastAsia="黑体"/>
              <w:szCs w:val="44"/>
            </w:rPr>
            <w:t>第三部分  名词解释</w:t>
          </w:r>
          <w:r>
            <w:tab/>
          </w:r>
          <w:r>
            <w:fldChar w:fldCharType="begin"/>
          </w:r>
          <w:r>
            <w:instrText xml:space="preserve"> PAGEREF _Toc31763 \h </w:instrText>
          </w:r>
          <w:r>
            <w:fldChar w:fldCharType="separate"/>
          </w:r>
          <w:r>
            <w:t>12</w:t>
          </w:r>
          <w:r>
            <w:fldChar w:fldCharType="end"/>
          </w:r>
          <w:r>
            <w:rPr>
              <w:rFonts w:hint="eastAsia" w:eastAsia="黑体"/>
              <w:szCs w:val="48"/>
            </w:rPr>
            <w:fldChar w:fldCharType="end"/>
          </w:r>
        </w:p>
        <w:p w14:paraId="31BDF215">
          <w:pPr>
            <w:pStyle w:val="12"/>
            <w:tabs>
              <w:tab w:val="right" w:leader="dot" w:pos="8306"/>
              <w:tab w:val="clear" w:pos="8296"/>
            </w:tabs>
          </w:pPr>
          <w:r>
            <w:rPr>
              <w:rFonts w:hint="eastAsia" w:eastAsia="黑体"/>
              <w:szCs w:val="48"/>
            </w:rPr>
            <w:fldChar w:fldCharType="begin"/>
          </w:r>
          <w:r>
            <w:rPr>
              <w:rFonts w:hint="eastAsia" w:eastAsia="黑体"/>
              <w:szCs w:val="48"/>
            </w:rPr>
            <w:instrText xml:space="preserve"> HYPERLINK \l _Toc15946 </w:instrText>
          </w:r>
          <w:r>
            <w:rPr>
              <w:rFonts w:hint="eastAsia" w:eastAsia="黑体"/>
              <w:szCs w:val="48"/>
            </w:rPr>
            <w:fldChar w:fldCharType="separate"/>
          </w:r>
          <w:r>
            <w:rPr>
              <w:rFonts w:hint="eastAsia" w:eastAsia="黑体"/>
              <w:szCs w:val="44"/>
            </w:rPr>
            <w:t>第四部分  附件</w:t>
          </w:r>
          <w:r>
            <w:tab/>
          </w:r>
          <w:r>
            <w:fldChar w:fldCharType="begin"/>
          </w:r>
          <w:r>
            <w:instrText xml:space="preserve"> PAGEREF _Toc15946 \h </w:instrText>
          </w:r>
          <w:r>
            <w:fldChar w:fldCharType="separate"/>
          </w:r>
          <w:r>
            <w:t>17</w:t>
          </w:r>
          <w:r>
            <w:fldChar w:fldCharType="end"/>
          </w:r>
          <w:r>
            <w:rPr>
              <w:rFonts w:hint="eastAsia" w:eastAsia="黑体"/>
              <w:szCs w:val="48"/>
            </w:rPr>
            <w:fldChar w:fldCharType="end"/>
          </w:r>
        </w:p>
        <w:p w14:paraId="6C519403">
          <w:pPr>
            <w:pStyle w:val="12"/>
            <w:tabs>
              <w:tab w:val="right" w:leader="dot" w:pos="8306"/>
              <w:tab w:val="clear" w:pos="8296"/>
            </w:tabs>
          </w:pPr>
          <w:r>
            <w:rPr>
              <w:rFonts w:hint="eastAsia" w:eastAsia="黑体"/>
              <w:szCs w:val="48"/>
            </w:rPr>
            <w:fldChar w:fldCharType="begin"/>
          </w:r>
          <w:r>
            <w:rPr>
              <w:rFonts w:hint="eastAsia" w:eastAsia="黑体"/>
              <w:szCs w:val="48"/>
            </w:rPr>
            <w:instrText xml:space="preserve"> HYPERLINK \l _Toc22244 </w:instrText>
          </w:r>
          <w:r>
            <w:rPr>
              <w:rFonts w:hint="eastAsia" w:eastAsia="黑体"/>
              <w:szCs w:val="48"/>
            </w:rPr>
            <w:fldChar w:fldCharType="separate"/>
          </w:r>
          <w:r>
            <w:rPr>
              <w:rFonts w:hint="eastAsia" w:eastAsia="黑体"/>
              <w:szCs w:val="44"/>
            </w:rPr>
            <w:t>第</w:t>
          </w:r>
          <w:r>
            <w:rPr>
              <w:rFonts w:hint="eastAsia" w:eastAsia="黑体"/>
            </w:rPr>
            <w:t>五部分 附表</w:t>
          </w:r>
          <w:r>
            <w:tab/>
          </w:r>
          <w:r>
            <w:fldChar w:fldCharType="begin"/>
          </w:r>
          <w:r>
            <w:instrText xml:space="preserve"> PAGEREF _Toc22244 \h </w:instrText>
          </w:r>
          <w:r>
            <w:fldChar w:fldCharType="separate"/>
          </w:r>
          <w:r>
            <w:t>30</w:t>
          </w:r>
          <w:r>
            <w:fldChar w:fldCharType="end"/>
          </w:r>
          <w:r>
            <w:rPr>
              <w:rFonts w:hint="eastAsia" w:eastAsia="黑体"/>
              <w:szCs w:val="48"/>
            </w:rPr>
            <w:fldChar w:fldCharType="end"/>
          </w:r>
        </w:p>
        <w:p w14:paraId="0E89CCED">
          <w:pPr>
            <w:widowControl/>
            <w:jc w:val="center"/>
            <w:rPr>
              <w:rFonts w:hint="eastAsia" w:ascii="Times New Roman" w:hAnsi="Times New Roman" w:eastAsia="黑体" w:cs="Times New Roman"/>
              <w:kern w:val="2"/>
              <w:sz w:val="21"/>
              <w:szCs w:val="48"/>
              <w:lang w:val="en-US" w:eastAsia="zh-CN" w:bidi="ar-SA"/>
            </w:rPr>
          </w:pPr>
          <w:r>
            <w:rPr>
              <w:rFonts w:hint="eastAsia" w:eastAsia="黑体"/>
              <w:szCs w:val="48"/>
            </w:rPr>
            <w:fldChar w:fldCharType="end"/>
          </w:r>
        </w:p>
      </w:sdtContent>
    </w:sdt>
    <w:p w14:paraId="567212E0">
      <w:pPr>
        <w:pStyle w:val="3"/>
        <w:jc w:val="both"/>
        <w:rPr>
          <w:rFonts w:hint="eastAsia" w:eastAsia="方正小标宋简体" w:cs="方正小标宋简体"/>
          <w:b w:val="0"/>
        </w:rPr>
      </w:pPr>
      <w:bookmarkStart w:id="12" w:name="_Toc25062"/>
      <w:bookmarkStart w:id="13" w:name="_Toc15396599"/>
      <w:bookmarkStart w:id="14" w:name="_Toc15377196"/>
    </w:p>
    <w:p w14:paraId="7DAF5AFF">
      <w:pPr>
        <w:rPr>
          <w:rFonts w:hint="eastAsia" w:eastAsia="方正小标宋简体" w:cs="方正小标宋简体"/>
          <w:b w:val="0"/>
        </w:rPr>
      </w:pPr>
    </w:p>
    <w:p w14:paraId="681DCFAD">
      <w:pPr>
        <w:pStyle w:val="2"/>
        <w:rPr>
          <w:rFonts w:hint="eastAsia"/>
        </w:rPr>
      </w:pPr>
    </w:p>
    <w:p w14:paraId="343B8FB1">
      <w:pPr>
        <w:pStyle w:val="3"/>
        <w:jc w:val="center"/>
        <w:rPr>
          <w:rFonts w:eastAsia="黑体"/>
          <w:sz w:val="32"/>
          <w:szCs w:val="32"/>
        </w:rPr>
      </w:pPr>
      <w:r>
        <w:rPr>
          <w:rFonts w:hint="eastAsia" w:eastAsia="方正小标宋简体" w:cs="方正小标宋简体"/>
          <w:b w:val="0"/>
        </w:rPr>
        <w:t xml:space="preserve">第一部分  </w:t>
      </w:r>
      <w:r>
        <w:rPr>
          <w:rStyle w:val="30"/>
          <w:rFonts w:hint="eastAsia" w:eastAsia="方正小标宋简体" w:cs="方正小标宋简体"/>
          <w:b w:val="0"/>
          <w:bCs w:val="0"/>
        </w:rPr>
        <w:t>部门概况</w:t>
      </w:r>
      <w:bookmarkEnd w:id="12"/>
      <w:bookmarkEnd w:id="13"/>
      <w:bookmarkEnd w:id="14"/>
    </w:p>
    <w:p w14:paraId="1A46BD97">
      <w:pPr>
        <w:pStyle w:val="4"/>
        <w:pageBreakBefore w:val="0"/>
        <w:widowControl w:val="0"/>
        <w:numPr>
          <w:ilvl w:val="0"/>
          <w:numId w:val="1"/>
        </w:numPr>
        <w:kinsoku/>
        <w:wordWrap/>
        <w:overflowPunct/>
        <w:topLinePunct w:val="0"/>
        <w:autoSpaceDE/>
        <w:autoSpaceDN/>
        <w:bidi w:val="0"/>
        <w:adjustRightInd/>
        <w:snapToGrid/>
        <w:spacing w:line="240" w:lineRule="auto"/>
        <w:textAlignment w:val="auto"/>
      </w:pPr>
      <w:bookmarkStart w:id="15" w:name="_Toc4624"/>
      <w:r>
        <w:rPr>
          <w:rFonts w:hint="eastAsia" w:ascii="Times New Roman" w:hAnsi="Times New Roman" w:eastAsia="黑体"/>
          <w:b w:val="0"/>
        </w:rPr>
        <w:t>部门职责</w:t>
      </w:r>
      <w:bookmarkEnd w:id="15"/>
    </w:p>
    <w:p w14:paraId="5D36CEC6">
      <w:pPr>
        <w:keepNext w:val="0"/>
        <w:keepLines w:val="0"/>
        <w:pageBreakBefore w:val="0"/>
        <w:widowControl w:val="0"/>
        <w:kinsoku/>
        <w:wordWrap/>
        <w:overflowPunct/>
        <w:topLinePunct w:val="0"/>
        <w:autoSpaceDE/>
        <w:autoSpaceDN/>
        <w:bidi w:val="0"/>
        <w:adjustRightInd/>
        <w:snapToGrid/>
        <w:spacing w:beforeAutospacing="0" w:afterAutospacing="0" w:line="240" w:lineRule="auto"/>
        <w:ind w:firstLine="640" w:firstLineChars="200"/>
        <w:textAlignment w:val="auto"/>
        <w:rPr>
          <w:rFonts w:hint="eastAsia" w:ascii="仿宋_GB2312" w:hAnsi="仿宋" w:eastAsia="仿宋_GB2312"/>
          <w:sz w:val="32"/>
          <w:szCs w:val="32"/>
        </w:rPr>
      </w:pPr>
      <w:r>
        <w:rPr>
          <w:rFonts w:hint="eastAsia" w:ascii="仿宋_GB2312" w:hAnsi="仿宋_GB2312" w:eastAsia="仿宋_GB2312" w:cs="仿宋_GB2312"/>
          <w:color w:val="000000"/>
          <w:sz w:val="32"/>
          <w:szCs w:val="32"/>
        </w:rPr>
        <w:t>主要工作是围绕全州林草业生产和产业发展对科学技术的需要，大力引进、消化、吸收、推广应用先进科技和实用技术，加强对新品种、新技术的引进和先进技术集成，开展林草产品和相关土壤环境质量安全检验检测，为全州林草业生产和产业发展提供科技服务。单位宗旨是林草科研、检验检测、科技培训与技术推广，促进林草业发展。</w:t>
      </w:r>
    </w:p>
    <w:p w14:paraId="263D5460">
      <w:pPr>
        <w:pStyle w:val="4"/>
        <w:rPr>
          <w:rStyle w:val="31"/>
          <w:rFonts w:ascii="Times New Roman" w:hAnsi="Times New Roman"/>
          <w:b w:val="0"/>
          <w:bCs w:val="0"/>
        </w:rPr>
      </w:pPr>
      <w:bookmarkStart w:id="16" w:name="_Toc26740"/>
      <w:bookmarkStart w:id="17" w:name="_Toc15377200"/>
      <w:bookmarkStart w:id="18" w:name="_Toc15396601"/>
      <w:r>
        <w:rPr>
          <w:rFonts w:hint="eastAsia" w:ascii="Times New Roman" w:hAnsi="Times New Roman" w:eastAsia="黑体"/>
          <w:b w:val="0"/>
        </w:rPr>
        <w:t>二、机</w:t>
      </w:r>
      <w:r>
        <w:rPr>
          <w:rStyle w:val="31"/>
          <w:rFonts w:hint="eastAsia" w:ascii="Times New Roman" w:hAnsi="Times New Roman" w:eastAsia="黑体"/>
          <w:b w:val="0"/>
          <w:bCs w:val="0"/>
        </w:rPr>
        <w:t>构设置</w:t>
      </w:r>
      <w:bookmarkEnd w:id="16"/>
      <w:bookmarkEnd w:id="17"/>
      <w:bookmarkEnd w:id="18"/>
    </w:p>
    <w:p w14:paraId="5208242D">
      <w:pPr>
        <w:pStyle w:val="2"/>
        <w:adjustRightInd w:val="0"/>
        <w:snapToGrid w:val="0"/>
        <w:spacing w:before="93" w:line="600" w:lineRule="exact"/>
        <w:ind w:firstLine="1085" w:firstLineChars="350"/>
        <w:rPr>
          <w:rFonts w:ascii="Times New Roman" w:cs="仿宋_GB2312"/>
          <w:sz w:val="32"/>
          <w:szCs w:val="32"/>
        </w:rPr>
      </w:pPr>
      <w:r>
        <w:rPr>
          <w:rFonts w:hint="eastAsia" w:ascii="仿宋_GB2312" w:hAnsi="宋体" w:eastAsia="仿宋_GB2312" w:cs="仿宋_GB2312"/>
          <w:color w:val="000000"/>
          <w:kern w:val="0"/>
          <w:sz w:val="31"/>
          <w:szCs w:val="31"/>
          <w:lang w:val="en-US" w:eastAsia="zh-CN" w:bidi="ar"/>
        </w:rPr>
        <w:t>根据阿编发〔2019〕66号文件精神，阿坝州林业和草原科学技术研究所属于阿坝州林草局下属独立核算的二级预算单位</w:t>
      </w:r>
      <w:r>
        <w:rPr>
          <w:rFonts w:hint="eastAsia" w:hAnsi="宋体" w:cs="仿宋_GB2312"/>
          <w:color w:val="000000"/>
          <w:kern w:val="0"/>
          <w:sz w:val="31"/>
          <w:szCs w:val="31"/>
          <w:lang w:val="en-US" w:eastAsia="zh-CN" w:bidi="ar"/>
        </w:rPr>
        <w:t>，属于全额拨款公益一类事业单位。</w:t>
      </w:r>
    </w:p>
    <w:p w14:paraId="5994519F">
      <w:pPr>
        <w:pStyle w:val="3"/>
        <w:jc w:val="center"/>
        <w:rPr>
          <w:rFonts w:eastAsia="方正小标宋简体" w:cs="方正小标宋简体"/>
          <w:b w:val="0"/>
        </w:rPr>
      </w:pPr>
      <w:bookmarkStart w:id="19" w:name="_Toc32589"/>
      <w:bookmarkStart w:id="20" w:name="_Toc15377204"/>
      <w:bookmarkStart w:id="21" w:name="_Toc15396602"/>
      <w:r>
        <w:rPr>
          <w:rFonts w:hint="eastAsia" w:eastAsia="方正小标宋简体" w:cs="方正小标宋简体"/>
          <w:b w:val="0"/>
        </w:rPr>
        <w:t>第二部分  2024年度部门决算情况说明</w:t>
      </w:r>
      <w:bookmarkEnd w:id="19"/>
      <w:bookmarkEnd w:id="20"/>
      <w:bookmarkEnd w:id="21"/>
    </w:p>
    <w:p w14:paraId="52685EE6"/>
    <w:p w14:paraId="0A7A22E9">
      <w:pPr>
        <w:pStyle w:val="29"/>
        <w:spacing w:line="600" w:lineRule="exact"/>
        <w:ind w:firstLine="640"/>
        <w:outlineLvl w:val="1"/>
        <w:rPr>
          <w:rStyle w:val="31"/>
          <w:rFonts w:ascii="Times New Roman" w:hAnsi="Times New Roman" w:eastAsia="黑体"/>
          <w:b w:val="0"/>
        </w:rPr>
      </w:pPr>
      <w:bookmarkStart w:id="22" w:name="_Toc15377205"/>
      <w:bookmarkStart w:id="23" w:name="_Toc16550"/>
      <w:bookmarkStart w:id="24" w:name="_Toc15396603"/>
      <w:r>
        <w:rPr>
          <w:rFonts w:hint="eastAsia" w:eastAsia="黑体"/>
          <w:sz w:val="32"/>
          <w:szCs w:val="32"/>
        </w:rPr>
        <w:t>一、收</w:t>
      </w:r>
      <w:r>
        <w:rPr>
          <w:rStyle w:val="31"/>
          <w:rFonts w:hint="eastAsia" w:ascii="Times New Roman" w:hAnsi="Times New Roman" w:eastAsia="黑体"/>
          <w:b w:val="0"/>
        </w:rPr>
        <w:t>入支出决算总体情况说明</w:t>
      </w:r>
      <w:bookmarkEnd w:id="22"/>
      <w:bookmarkEnd w:id="23"/>
      <w:bookmarkEnd w:id="24"/>
    </w:p>
    <w:p w14:paraId="256191FB">
      <w:pPr>
        <w:pStyle w:val="29"/>
        <w:spacing w:line="600" w:lineRule="exact"/>
        <w:ind w:firstLine="640"/>
        <w:outlineLvl w:val="9"/>
        <w:rPr>
          <w:rFonts w:hint="eastAsia" w:eastAsia="仿宋_GB2312" w:cs="仿宋_GB2312"/>
          <w:sz w:val="32"/>
          <w:szCs w:val="32"/>
          <w:lang w:val="en-US" w:eastAsia="zh-CN"/>
        </w:rPr>
      </w:pPr>
      <w:r>
        <w:rPr>
          <w:rFonts w:hint="eastAsia" w:eastAsia="仿宋_GB2312" w:cs="仿宋_GB2312"/>
          <w:sz w:val="32"/>
          <w:szCs w:val="32"/>
        </w:rPr>
        <w:t>2024年度收入640.96</w:t>
      </w:r>
      <w:r>
        <w:rPr>
          <w:rFonts w:hint="eastAsia" w:eastAsia="仿宋_GB2312" w:cs="仿宋_GB2312"/>
          <w:sz w:val="32"/>
          <w:szCs w:val="32"/>
          <w:lang w:eastAsia="zh-CN"/>
        </w:rPr>
        <w:t>万元</w:t>
      </w:r>
      <w:r>
        <w:rPr>
          <w:rFonts w:hint="eastAsia" w:eastAsia="仿宋_GB2312" w:cs="仿宋_GB2312"/>
          <w:sz w:val="32"/>
          <w:szCs w:val="32"/>
        </w:rPr>
        <w:t>、支出629.20万元。与2023年度相比，收入</w:t>
      </w:r>
      <w:r>
        <w:rPr>
          <w:rFonts w:hint="eastAsia" w:eastAsia="仿宋_GB2312" w:cs="仿宋_GB2312"/>
          <w:sz w:val="32"/>
          <w:szCs w:val="32"/>
          <w:lang w:eastAsia="zh-CN"/>
        </w:rPr>
        <w:t>增加</w:t>
      </w:r>
      <w:r>
        <w:rPr>
          <w:rFonts w:hint="eastAsia" w:eastAsia="仿宋_GB2312" w:cs="仿宋_GB2312"/>
          <w:sz w:val="32"/>
          <w:szCs w:val="32"/>
          <w:lang w:val="en-US" w:eastAsia="zh-CN"/>
        </w:rPr>
        <w:t>34.43万元，增长5.7%；</w:t>
      </w:r>
      <w:r>
        <w:rPr>
          <w:rFonts w:hint="eastAsia" w:eastAsia="仿宋_GB2312" w:cs="仿宋_GB2312"/>
          <w:sz w:val="32"/>
          <w:szCs w:val="32"/>
        </w:rPr>
        <w:t>支出</w:t>
      </w:r>
      <w:r>
        <w:rPr>
          <w:rFonts w:hint="eastAsia" w:eastAsia="仿宋_GB2312" w:cs="仿宋_GB2312"/>
          <w:sz w:val="32"/>
          <w:szCs w:val="32"/>
          <w:lang w:eastAsia="zh-CN"/>
        </w:rPr>
        <w:t>增加</w:t>
      </w:r>
      <w:r>
        <w:rPr>
          <w:rFonts w:hint="eastAsia" w:eastAsia="仿宋_GB2312" w:cs="仿宋_GB2312"/>
          <w:sz w:val="32"/>
          <w:szCs w:val="32"/>
          <w:lang w:val="en-US" w:eastAsia="zh-CN"/>
        </w:rPr>
        <w:t>22.67万元，</w:t>
      </w:r>
      <w:r>
        <w:rPr>
          <w:rFonts w:hint="eastAsia" w:eastAsia="仿宋_GB2312" w:cs="仿宋_GB2312"/>
          <w:sz w:val="32"/>
          <w:szCs w:val="32"/>
        </w:rPr>
        <w:t>增长</w:t>
      </w:r>
      <w:r>
        <w:rPr>
          <w:rFonts w:hint="eastAsia" w:eastAsia="仿宋_GB2312" w:cs="仿宋_GB2312"/>
          <w:sz w:val="32"/>
          <w:szCs w:val="32"/>
          <w:lang w:val="en-US" w:eastAsia="zh-CN"/>
        </w:rPr>
        <w:t>3.7</w:t>
      </w:r>
      <w:r>
        <w:rPr>
          <w:rFonts w:hint="eastAsia" w:eastAsia="仿宋_GB2312" w:cs="仿宋_GB2312"/>
          <w:sz w:val="32"/>
          <w:szCs w:val="32"/>
        </w:rPr>
        <w:t>%。主要变动原因是</w:t>
      </w:r>
      <w:r>
        <w:rPr>
          <w:rFonts w:hint="eastAsia" w:eastAsia="仿宋_GB2312" w:cs="仿宋_GB2312"/>
          <w:sz w:val="32"/>
          <w:szCs w:val="32"/>
          <w:lang w:val="en-US" w:eastAsia="zh-CN"/>
        </w:rPr>
        <w:t>2024年较2023年多非财政拨款收入23.75万元，2024年较2023年多非财政拨款支出11.99万元。</w:t>
      </w:r>
    </w:p>
    <w:p w14:paraId="466B811F">
      <w:pPr>
        <w:ind w:firstLine="640" w:firstLineChars="200"/>
        <w:outlineLvl w:val="9"/>
        <w:rPr>
          <w:rFonts w:eastAsia="仿宋_GB2312" w:cs="仿宋_GB2312"/>
          <w:sz w:val="32"/>
          <w:szCs w:val="32"/>
        </w:rPr>
      </w:pPr>
      <w:r>
        <w:rPr>
          <w:rFonts w:hint="eastAsia" w:eastAsia="仿宋_GB2312" w:cs="仿宋_GB2312"/>
          <w:sz w:val="32"/>
          <w:szCs w:val="32"/>
        </w:rPr>
        <w:t>（图1：收入、支出决算总计变动情况图）（柱状图）</w:t>
      </w:r>
    </w:p>
    <w:p w14:paraId="3ED3A6BA">
      <w:pPr>
        <w:pStyle w:val="8"/>
        <w:outlineLvl w:val="9"/>
        <w:rPr>
          <w:rFonts w:eastAsia="仿宋_GB2312" w:cs="仿宋_GB2312"/>
          <w:sz w:val="32"/>
          <w:szCs w:val="32"/>
        </w:rPr>
      </w:pPr>
      <w:r>
        <w:drawing>
          <wp:inline distT="0" distB="0" distL="114300" distR="114300">
            <wp:extent cx="4826000" cy="2743200"/>
            <wp:effectExtent l="4445" t="4445" r="8255" b="14605"/>
            <wp:docPr id="1030"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1C3C6D14">
      <w:pPr>
        <w:pStyle w:val="29"/>
        <w:spacing w:line="600" w:lineRule="exact"/>
        <w:ind w:firstLine="640"/>
        <w:outlineLvl w:val="1"/>
        <w:rPr>
          <w:rFonts w:eastAsia="黑体"/>
          <w:sz w:val="32"/>
          <w:szCs w:val="32"/>
        </w:rPr>
      </w:pPr>
      <w:bookmarkStart w:id="25" w:name="_Toc12064"/>
      <w:bookmarkStart w:id="26" w:name="_Toc15377206"/>
      <w:bookmarkStart w:id="27" w:name="_Toc15396604"/>
      <w:r>
        <w:rPr>
          <w:rFonts w:hint="eastAsia" w:eastAsia="黑体"/>
          <w:sz w:val="32"/>
          <w:szCs w:val="32"/>
        </w:rPr>
        <w:t>二、收入决算情况说明</w:t>
      </w:r>
      <w:bookmarkEnd w:id="25"/>
      <w:bookmarkEnd w:id="26"/>
      <w:bookmarkEnd w:id="27"/>
    </w:p>
    <w:p w14:paraId="4BB188FF">
      <w:pPr>
        <w:pStyle w:val="29"/>
        <w:spacing w:line="600" w:lineRule="exact"/>
        <w:ind w:firstLine="640"/>
        <w:jc w:val="left"/>
        <w:outlineLvl w:val="9"/>
        <w:rPr>
          <w:rFonts w:eastAsia="仿宋_GB2312" w:cs="仿宋_GB2312"/>
          <w:b/>
          <w:bCs/>
          <w:sz w:val="32"/>
          <w:szCs w:val="32"/>
        </w:rPr>
      </w:pPr>
      <w:r>
        <w:rPr>
          <w:rFonts w:hint="eastAsia" w:ascii="仿宋_GB2312" w:hAnsi="仿宋_GB2312" w:eastAsia="仿宋_GB2312" w:cs="仿宋_GB2312"/>
          <w:sz w:val="32"/>
          <w:szCs w:val="32"/>
        </w:rPr>
        <w:t>2024年度本年收入合计640.96万元，其中：一般公共预算财政拨款收入617.21万元，占</w:t>
      </w:r>
      <w:r>
        <w:rPr>
          <w:rFonts w:hint="eastAsia" w:ascii="仿宋_GB2312" w:hAnsi="仿宋_GB2312" w:eastAsia="仿宋_GB2312" w:cs="仿宋_GB2312"/>
          <w:sz w:val="32"/>
          <w:szCs w:val="32"/>
          <w:lang w:val="en-US" w:eastAsia="zh-CN"/>
        </w:rPr>
        <w:t>96.3</w:t>
      </w:r>
      <w:r>
        <w:rPr>
          <w:rFonts w:hint="eastAsia" w:ascii="仿宋_GB2312" w:hAnsi="仿宋_GB2312" w:eastAsia="仿宋_GB2312" w:cs="仿宋_GB2312"/>
          <w:sz w:val="32"/>
          <w:szCs w:val="32"/>
        </w:rPr>
        <w:t>%；政府性基金预算财政拨款收入</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%；国有资本经营预算财政拨款收入</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%；上级补助收入</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%；事业收入</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%；经营收入</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%；附属单位上缴收入</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%；其他收入23.75万元，占</w:t>
      </w:r>
      <w:r>
        <w:rPr>
          <w:rFonts w:hint="eastAsia" w:ascii="仿宋_GB2312" w:hAnsi="仿宋_GB2312" w:eastAsia="仿宋_GB2312" w:cs="仿宋_GB2312"/>
          <w:sz w:val="32"/>
          <w:szCs w:val="32"/>
          <w:lang w:val="en-US" w:eastAsia="zh-CN"/>
        </w:rPr>
        <w:t>3.7</w:t>
      </w:r>
      <w:r>
        <w:rPr>
          <w:rFonts w:hint="eastAsia" w:ascii="仿宋_GB2312" w:hAnsi="仿宋_GB2312" w:eastAsia="仿宋_GB2312" w:cs="仿宋_GB2312"/>
          <w:sz w:val="32"/>
          <w:szCs w:val="32"/>
        </w:rPr>
        <w:t>%。</w:t>
      </w:r>
      <w:r>
        <w:rPr>
          <w:rFonts w:hint="eastAsia" w:eastAsia="仿宋_GB2312" w:cs="仿宋_GB2312"/>
          <w:b/>
          <w:bCs/>
          <w:sz w:val="32"/>
          <w:szCs w:val="32"/>
        </w:rPr>
        <w:t>（注：仅罗列本部门涉及的收入）</w:t>
      </w:r>
    </w:p>
    <w:p w14:paraId="3B001795">
      <w:pPr>
        <w:ind w:firstLine="800" w:firstLineChars="250"/>
        <w:outlineLvl w:val="9"/>
        <w:rPr>
          <w:rFonts w:eastAsia="仿宋_GB2312" w:cs="仿宋_GB2312"/>
          <w:sz w:val="32"/>
          <w:szCs w:val="32"/>
        </w:rPr>
      </w:pPr>
      <w:r>
        <w:rPr>
          <w:rFonts w:hint="eastAsia" w:eastAsia="仿宋_GB2312" w:cs="仿宋_GB2312"/>
          <w:sz w:val="32"/>
          <w:szCs w:val="32"/>
        </w:rPr>
        <w:t>（图2：收入决算结构图）（饼状图）</w:t>
      </w:r>
    </w:p>
    <w:p w14:paraId="69BF8665">
      <w:pPr>
        <w:pStyle w:val="8"/>
        <w:outlineLvl w:val="9"/>
        <w:rPr>
          <w:rFonts w:eastAsia="仿宋_GB2312" w:cs="仿宋_GB2312"/>
          <w:sz w:val="32"/>
          <w:szCs w:val="32"/>
        </w:rPr>
      </w:pPr>
      <w:r>
        <w:drawing>
          <wp:inline distT="0" distB="0" distL="114300" distR="114300">
            <wp:extent cx="4855210" cy="2336800"/>
            <wp:effectExtent l="4445" t="4445" r="17145" b="20955"/>
            <wp:docPr id="2054"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7DBDF62B">
      <w:pPr>
        <w:pStyle w:val="29"/>
        <w:spacing w:line="600" w:lineRule="exact"/>
        <w:ind w:firstLine="640"/>
        <w:outlineLvl w:val="1"/>
        <w:rPr>
          <w:rStyle w:val="31"/>
          <w:rFonts w:ascii="Times New Roman" w:hAnsi="Times New Roman" w:eastAsia="黑体"/>
          <w:b w:val="0"/>
        </w:rPr>
      </w:pPr>
      <w:bookmarkStart w:id="28" w:name="_Toc16271"/>
      <w:bookmarkStart w:id="29" w:name="_Toc15377207"/>
      <w:bookmarkStart w:id="30" w:name="_Toc15396605"/>
      <w:r>
        <w:rPr>
          <w:rFonts w:hint="eastAsia" w:eastAsia="黑体"/>
          <w:sz w:val="32"/>
          <w:szCs w:val="32"/>
        </w:rPr>
        <w:t>三、支</w:t>
      </w:r>
      <w:r>
        <w:rPr>
          <w:rStyle w:val="31"/>
          <w:rFonts w:hint="eastAsia" w:ascii="Times New Roman" w:hAnsi="Times New Roman" w:eastAsia="黑体"/>
          <w:b w:val="0"/>
        </w:rPr>
        <w:t>出决算情况说明</w:t>
      </w:r>
      <w:bookmarkEnd w:id="28"/>
      <w:bookmarkEnd w:id="29"/>
      <w:bookmarkEnd w:id="30"/>
    </w:p>
    <w:p w14:paraId="01324D92">
      <w:pPr>
        <w:pStyle w:val="29"/>
        <w:spacing w:line="600" w:lineRule="exact"/>
        <w:ind w:firstLine="640"/>
        <w:jc w:val="left"/>
        <w:outlineLvl w:val="9"/>
        <w:rPr>
          <w:rFonts w:eastAsia="仿宋_GB2312" w:cs="仿宋_GB2312"/>
          <w:sz w:val="32"/>
          <w:szCs w:val="32"/>
        </w:rPr>
      </w:pPr>
      <w:r>
        <w:rPr>
          <w:rFonts w:hint="eastAsia" w:ascii="仿宋_GB2312" w:hAnsi="仿宋_GB2312" w:eastAsia="仿宋_GB2312" w:cs="仿宋_GB2312"/>
          <w:sz w:val="32"/>
          <w:szCs w:val="32"/>
        </w:rPr>
        <w:t>2024年度本年支出合计629.2万元，其中：基本支出442.03万元，占</w:t>
      </w:r>
      <w:r>
        <w:rPr>
          <w:rFonts w:hint="eastAsia" w:ascii="仿宋_GB2312" w:hAnsi="仿宋_GB2312" w:eastAsia="仿宋_GB2312" w:cs="仿宋_GB2312"/>
          <w:sz w:val="32"/>
          <w:szCs w:val="32"/>
          <w:lang w:val="en-US" w:eastAsia="zh-CN"/>
        </w:rPr>
        <w:t>70.3</w:t>
      </w:r>
      <w:r>
        <w:rPr>
          <w:rFonts w:hint="eastAsia" w:ascii="仿宋_GB2312" w:hAnsi="仿宋_GB2312" w:eastAsia="仿宋_GB2312" w:cs="仿宋_GB2312"/>
          <w:sz w:val="32"/>
          <w:szCs w:val="32"/>
        </w:rPr>
        <w:t>%；项目支出187.17万元，占</w:t>
      </w:r>
      <w:r>
        <w:rPr>
          <w:rFonts w:hint="eastAsia" w:ascii="仿宋_GB2312" w:hAnsi="仿宋_GB2312" w:eastAsia="仿宋_GB2312" w:cs="仿宋_GB2312"/>
          <w:sz w:val="32"/>
          <w:szCs w:val="32"/>
          <w:lang w:val="en-US" w:eastAsia="zh-CN"/>
        </w:rPr>
        <w:t>29.7</w:t>
      </w:r>
      <w:r>
        <w:rPr>
          <w:rFonts w:hint="eastAsia" w:ascii="仿宋_GB2312" w:hAnsi="仿宋_GB2312" w:eastAsia="仿宋_GB2312" w:cs="仿宋_GB2312"/>
          <w:sz w:val="32"/>
          <w:szCs w:val="32"/>
        </w:rPr>
        <w:t>%；上缴上级支出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%；经营支出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%；对附属单位补助支出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w:t>
      </w:r>
      <w:r>
        <w:rPr>
          <w:rFonts w:hint="eastAsia" w:eastAsia="仿宋_GB2312" w:cs="仿宋_GB2312"/>
          <w:b/>
          <w:bCs/>
          <w:sz w:val="32"/>
          <w:szCs w:val="32"/>
        </w:rPr>
        <w:t>（注：仅罗列本部门涉及的支出）</w:t>
      </w:r>
    </w:p>
    <w:p w14:paraId="39A1939D">
      <w:pPr>
        <w:ind w:firstLine="800" w:firstLineChars="250"/>
        <w:outlineLvl w:val="9"/>
        <w:rPr>
          <w:rFonts w:hint="eastAsia" w:eastAsia="仿宋_GB2312" w:cs="仿宋_GB2312"/>
          <w:sz w:val="32"/>
          <w:szCs w:val="32"/>
          <w:lang w:eastAsia="zh-CN"/>
        </w:rPr>
      </w:pPr>
      <w:r>
        <w:rPr>
          <w:rFonts w:hint="eastAsia" w:eastAsia="仿宋_GB2312" w:cs="仿宋_GB2312"/>
          <w:sz w:val="32"/>
          <w:szCs w:val="32"/>
        </w:rPr>
        <w:t>（图3：支出决算结构图）（饼状</w:t>
      </w:r>
      <w:r>
        <w:rPr>
          <w:rFonts w:hint="eastAsia" w:eastAsia="仿宋_GB2312" w:cs="仿宋_GB2312"/>
          <w:sz w:val="32"/>
          <w:szCs w:val="32"/>
          <w:lang w:eastAsia="zh-CN"/>
        </w:rPr>
        <w:t>图）</w:t>
      </w:r>
    </w:p>
    <w:p w14:paraId="2E553242">
      <w:pPr>
        <w:ind w:firstLine="525" w:firstLineChars="250"/>
        <w:outlineLvl w:val="9"/>
        <w:rPr>
          <w:rFonts w:eastAsia="仿宋_GB2312" w:cs="仿宋_GB2312"/>
          <w:sz w:val="32"/>
          <w:szCs w:val="32"/>
        </w:rPr>
      </w:pPr>
      <w:r>
        <w:drawing>
          <wp:inline distT="0" distB="0" distL="114300" distR="114300">
            <wp:extent cx="5149215" cy="2251710"/>
            <wp:effectExtent l="4445" t="4445" r="8890" b="10795"/>
            <wp:docPr id="3076"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60E213FD">
      <w:pPr>
        <w:spacing w:line="600" w:lineRule="exact"/>
        <w:ind w:firstLine="640" w:firstLineChars="200"/>
        <w:outlineLvl w:val="1"/>
        <w:rPr>
          <w:rStyle w:val="31"/>
          <w:rFonts w:ascii="Times New Roman" w:hAnsi="Times New Roman" w:eastAsia="黑体"/>
          <w:b w:val="0"/>
        </w:rPr>
      </w:pPr>
      <w:bookmarkStart w:id="31" w:name="_Toc15396606"/>
      <w:bookmarkStart w:id="32" w:name="_Toc15377208"/>
      <w:bookmarkStart w:id="33" w:name="_Toc24665"/>
      <w:r>
        <w:rPr>
          <w:rFonts w:hint="eastAsia" w:eastAsia="黑体"/>
          <w:sz w:val="32"/>
          <w:szCs w:val="32"/>
        </w:rPr>
        <w:t>四、财</w:t>
      </w:r>
      <w:r>
        <w:rPr>
          <w:rStyle w:val="31"/>
          <w:rFonts w:hint="eastAsia" w:ascii="Times New Roman" w:hAnsi="Times New Roman" w:eastAsia="黑体"/>
          <w:b w:val="0"/>
        </w:rPr>
        <w:t>政拨款收入支出决算总体情况说明</w:t>
      </w:r>
      <w:bookmarkEnd w:id="31"/>
      <w:bookmarkEnd w:id="32"/>
      <w:bookmarkEnd w:id="33"/>
    </w:p>
    <w:p w14:paraId="4C055968">
      <w:pPr>
        <w:spacing w:line="600" w:lineRule="exact"/>
        <w:ind w:firstLine="640"/>
        <w:rPr>
          <w:rFonts w:hint="default" w:eastAsia="仿宋_GB2312" w:cs="仿宋_GB2312"/>
          <w:sz w:val="32"/>
          <w:szCs w:val="32"/>
          <w:lang w:val="en-US" w:eastAsia="zh-CN"/>
        </w:rPr>
      </w:pPr>
      <w:r>
        <w:rPr>
          <w:rFonts w:hint="eastAsia" w:eastAsia="仿宋_GB2312" w:cs="仿宋_GB2312"/>
          <w:sz w:val="32"/>
          <w:szCs w:val="32"/>
        </w:rPr>
        <w:t>2024年度财政拨款收入、支出总计均为</w:t>
      </w:r>
      <w:r>
        <w:rPr>
          <w:rFonts w:hint="eastAsia" w:ascii="仿宋_GB2312" w:hAnsi="仿宋_GB2312" w:eastAsia="仿宋_GB2312" w:cs="仿宋_GB2312"/>
          <w:sz w:val="32"/>
          <w:szCs w:val="32"/>
        </w:rPr>
        <w:t>617.21</w:t>
      </w:r>
      <w:r>
        <w:rPr>
          <w:rFonts w:hint="eastAsia" w:eastAsia="仿宋_GB2312" w:cs="仿宋_GB2312"/>
          <w:sz w:val="32"/>
          <w:szCs w:val="32"/>
        </w:rPr>
        <w:t>万元。与2023年度相比，财政拨款收入总计、支出总计各增加</w:t>
      </w:r>
      <w:r>
        <w:rPr>
          <w:rFonts w:hint="eastAsia" w:eastAsia="仿宋_GB2312" w:cs="仿宋_GB2312"/>
          <w:sz w:val="32"/>
          <w:szCs w:val="32"/>
          <w:lang w:val="en-US" w:eastAsia="zh-CN"/>
        </w:rPr>
        <w:t>10.68</w:t>
      </w:r>
      <w:r>
        <w:rPr>
          <w:rFonts w:hint="eastAsia" w:eastAsia="仿宋_GB2312" w:cs="仿宋_GB2312"/>
          <w:sz w:val="32"/>
          <w:szCs w:val="32"/>
        </w:rPr>
        <w:t>万元，增长</w:t>
      </w:r>
      <w:r>
        <w:rPr>
          <w:rFonts w:hint="eastAsia" w:eastAsia="仿宋_GB2312" w:cs="仿宋_GB2312"/>
          <w:sz w:val="32"/>
          <w:szCs w:val="32"/>
          <w:lang w:val="en-US" w:eastAsia="zh-CN"/>
        </w:rPr>
        <w:t>1.8</w:t>
      </w:r>
      <w:r>
        <w:rPr>
          <w:rFonts w:hint="eastAsia" w:eastAsia="仿宋_GB2312" w:cs="仿宋_GB2312"/>
          <w:sz w:val="32"/>
          <w:szCs w:val="32"/>
        </w:rPr>
        <w:t>%。主要变动原因是农林水支出</w:t>
      </w:r>
      <w:r>
        <w:rPr>
          <w:rFonts w:hint="eastAsia" w:eastAsia="仿宋_GB2312" w:cs="仿宋_GB2312"/>
          <w:sz w:val="32"/>
          <w:szCs w:val="32"/>
          <w:lang w:eastAsia="zh-CN"/>
        </w:rPr>
        <w:t>项目较</w:t>
      </w:r>
      <w:r>
        <w:rPr>
          <w:rFonts w:hint="eastAsia" w:eastAsia="仿宋_GB2312" w:cs="仿宋_GB2312"/>
          <w:sz w:val="32"/>
          <w:szCs w:val="32"/>
          <w:lang w:val="en-US" w:eastAsia="zh-CN"/>
        </w:rPr>
        <w:t>2023年增加43.11万元。</w:t>
      </w:r>
    </w:p>
    <w:p w14:paraId="7F40AE78">
      <w:pPr>
        <w:spacing w:line="600" w:lineRule="exact"/>
        <w:ind w:firstLine="640" w:firstLineChars="200"/>
        <w:rPr>
          <w:rFonts w:eastAsia="仿宋_GB2312" w:cs="仿宋_GB2312"/>
          <w:sz w:val="32"/>
          <w:szCs w:val="32"/>
        </w:rPr>
      </w:pPr>
      <w:r>
        <w:rPr>
          <w:rFonts w:hint="eastAsia" w:eastAsia="仿宋_GB2312" w:cs="仿宋_GB2312"/>
          <w:sz w:val="32"/>
          <w:szCs w:val="32"/>
        </w:rPr>
        <w:t>（图4：财政拨款收、支决算总计变动情况）（柱状图）</w:t>
      </w:r>
    </w:p>
    <w:p w14:paraId="069E658E">
      <w:pPr>
        <w:pStyle w:val="8"/>
        <w:rPr>
          <w:rFonts w:eastAsia="仿宋_GB2312" w:cs="仿宋_GB2312"/>
          <w:sz w:val="32"/>
          <w:szCs w:val="32"/>
        </w:rPr>
      </w:pPr>
      <w:r>
        <w:drawing>
          <wp:inline distT="0" distB="0" distL="114300" distR="114300">
            <wp:extent cx="5615940" cy="2457450"/>
            <wp:effectExtent l="4445" t="4445" r="18415" b="14605"/>
            <wp:docPr id="5123"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36400A13">
      <w:pPr>
        <w:spacing w:line="600" w:lineRule="exact"/>
        <w:ind w:firstLine="640" w:firstLineChars="200"/>
        <w:outlineLvl w:val="1"/>
        <w:rPr>
          <w:rStyle w:val="31"/>
          <w:rFonts w:ascii="Times New Roman" w:hAnsi="Times New Roman" w:eastAsia="黑体"/>
          <w:b w:val="0"/>
        </w:rPr>
      </w:pPr>
      <w:bookmarkStart w:id="34" w:name="_Toc15377209"/>
      <w:bookmarkStart w:id="35" w:name="_Toc15396607"/>
      <w:bookmarkStart w:id="36" w:name="_Toc5800"/>
      <w:r>
        <w:rPr>
          <w:rFonts w:hint="eastAsia" w:eastAsia="黑体"/>
          <w:sz w:val="32"/>
          <w:szCs w:val="32"/>
        </w:rPr>
        <w:t>五、</w:t>
      </w:r>
      <w:r>
        <w:rPr>
          <w:rFonts w:hint="eastAsia" w:eastAsia="黑体"/>
          <w:b/>
          <w:sz w:val="32"/>
          <w:szCs w:val="32"/>
        </w:rPr>
        <w:t>一</w:t>
      </w:r>
      <w:r>
        <w:rPr>
          <w:rStyle w:val="31"/>
          <w:rFonts w:hint="eastAsia" w:ascii="Times New Roman" w:hAnsi="Times New Roman" w:eastAsia="黑体"/>
          <w:b w:val="0"/>
        </w:rPr>
        <w:t>般公共预算财政拨款支出决算情况说明</w:t>
      </w:r>
      <w:bookmarkEnd w:id="34"/>
      <w:bookmarkEnd w:id="35"/>
      <w:bookmarkEnd w:id="36"/>
    </w:p>
    <w:p w14:paraId="2866BC32">
      <w:pPr>
        <w:spacing w:line="600" w:lineRule="exact"/>
        <w:ind w:firstLine="643" w:firstLineChars="200"/>
        <w:outlineLvl w:val="9"/>
        <w:rPr>
          <w:rFonts w:eastAsia="楷体_GB2312" w:cs="楷体_GB2312"/>
          <w:b/>
          <w:sz w:val="32"/>
          <w:szCs w:val="32"/>
        </w:rPr>
      </w:pPr>
      <w:bookmarkStart w:id="37" w:name="_Toc15377210"/>
      <w:r>
        <w:rPr>
          <w:rFonts w:hint="eastAsia" w:eastAsia="楷体_GB2312" w:cs="楷体_GB2312"/>
          <w:b/>
          <w:sz w:val="32"/>
          <w:szCs w:val="32"/>
        </w:rPr>
        <w:t>（一）一般公共预算财政拨款支出决算总体情况</w:t>
      </w:r>
      <w:bookmarkEnd w:id="37"/>
    </w:p>
    <w:p w14:paraId="23BBC59A">
      <w:pPr>
        <w:spacing w:line="600" w:lineRule="exact"/>
        <w:ind w:firstLine="640"/>
        <w:outlineLvl w:val="9"/>
        <w:rPr>
          <w:rFonts w:hint="default" w:eastAsia="仿宋_GB2312" w:cs="仿宋_GB2312"/>
          <w:sz w:val="32"/>
          <w:szCs w:val="32"/>
          <w:lang w:val="en-US" w:eastAsia="zh-CN"/>
        </w:rPr>
      </w:pPr>
      <w:r>
        <w:rPr>
          <w:rFonts w:hint="eastAsia" w:ascii="仿宋_GB2312" w:hAnsi="仿宋_GB2312" w:eastAsia="仿宋_GB2312" w:cs="仿宋_GB2312"/>
          <w:sz w:val="32"/>
          <w:szCs w:val="32"/>
        </w:rPr>
        <w:t>2024年度一般公共预算财政拨款支出617.21万元，占本年支出合计的</w:t>
      </w:r>
      <w:r>
        <w:rPr>
          <w:rFonts w:hint="eastAsia" w:ascii="仿宋_GB2312" w:hAnsi="仿宋_GB2312" w:eastAsia="仿宋_GB2312" w:cs="仿宋_GB2312"/>
          <w:sz w:val="32"/>
          <w:szCs w:val="32"/>
          <w:lang w:val="en-US" w:eastAsia="zh-CN"/>
        </w:rPr>
        <w:t>98.1</w:t>
      </w:r>
      <w:r>
        <w:rPr>
          <w:rFonts w:hint="eastAsia" w:ascii="仿宋_GB2312" w:hAnsi="仿宋_GB2312" w:eastAsia="仿宋_GB2312" w:cs="仿宋_GB2312"/>
          <w:sz w:val="32"/>
          <w:szCs w:val="32"/>
        </w:rPr>
        <w:t>%。与2023年度相比，一般公共预算财政拨款支出增加</w:t>
      </w:r>
      <w:r>
        <w:rPr>
          <w:rFonts w:hint="eastAsia" w:ascii="仿宋_GB2312" w:hAnsi="仿宋_GB2312" w:eastAsia="仿宋_GB2312" w:cs="仿宋_GB2312"/>
          <w:sz w:val="32"/>
          <w:szCs w:val="32"/>
          <w:lang w:val="en-US" w:eastAsia="zh-CN"/>
        </w:rPr>
        <w:t>10.68</w:t>
      </w:r>
      <w:r>
        <w:rPr>
          <w:rFonts w:hint="eastAsia" w:ascii="仿宋_GB2312" w:hAnsi="仿宋_GB2312" w:eastAsia="仿宋_GB2312" w:cs="仿宋_GB2312"/>
          <w:sz w:val="32"/>
          <w:szCs w:val="32"/>
        </w:rPr>
        <w:t>万元，增长</w:t>
      </w:r>
      <w:r>
        <w:rPr>
          <w:rFonts w:hint="eastAsia" w:ascii="仿宋_GB2312" w:hAnsi="仿宋_GB2312" w:eastAsia="仿宋_GB2312" w:cs="仿宋_GB2312"/>
          <w:sz w:val="32"/>
          <w:szCs w:val="32"/>
          <w:lang w:val="en-US" w:eastAsia="zh-CN"/>
        </w:rPr>
        <w:t>1.8</w:t>
      </w:r>
      <w:r>
        <w:rPr>
          <w:rFonts w:hint="eastAsia" w:ascii="仿宋_GB2312" w:hAnsi="仿宋_GB2312" w:eastAsia="仿宋_GB2312" w:cs="仿宋_GB2312"/>
          <w:sz w:val="32"/>
          <w:szCs w:val="32"/>
        </w:rPr>
        <w:t>%。主要变动原因是</w:t>
      </w:r>
      <w:r>
        <w:rPr>
          <w:rFonts w:hint="eastAsia" w:eastAsia="仿宋_GB2312" w:cs="仿宋_GB2312"/>
          <w:sz w:val="32"/>
          <w:szCs w:val="32"/>
        </w:rPr>
        <w:t>农林水支出</w:t>
      </w:r>
      <w:r>
        <w:rPr>
          <w:rFonts w:hint="eastAsia" w:eastAsia="仿宋_GB2312" w:cs="仿宋_GB2312"/>
          <w:sz w:val="32"/>
          <w:szCs w:val="32"/>
          <w:lang w:eastAsia="zh-CN"/>
        </w:rPr>
        <w:t>项目较</w:t>
      </w:r>
      <w:r>
        <w:rPr>
          <w:rFonts w:hint="eastAsia" w:eastAsia="仿宋_GB2312" w:cs="仿宋_GB2312"/>
          <w:sz w:val="32"/>
          <w:szCs w:val="32"/>
          <w:lang w:val="en-US" w:eastAsia="zh-CN"/>
        </w:rPr>
        <w:t>2023年增加43.11万元。</w:t>
      </w:r>
    </w:p>
    <w:p w14:paraId="2C71CDE7">
      <w:pPr>
        <w:spacing w:line="600" w:lineRule="exact"/>
        <w:ind w:firstLine="640"/>
        <w:outlineLvl w:val="9"/>
        <w:rPr>
          <w:rFonts w:hint="eastAsia" w:eastAsia="仿宋_GB2312" w:cs="仿宋_GB2312"/>
          <w:sz w:val="32"/>
          <w:szCs w:val="32"/>
        </w:rPr>
      </w:pPr>
      <w:r>
        <w:rPr>
          <w:rFonts w:hint="eastAsia" w:eastAsia="仿宋_GB2312" w:cs="仿宋_GB2312"/>
          <w:sz w:val="32"/>
          <w:szCs w:val="32"/>
        </w:rPr>
        <w:t>（图5：一般公共预算财政拨款支出决算变动情况）（柱状图）</w:t>
      </w:r>
    </w:p>
    <w:p w14:paraId="6AC09B78">
      <w:pPr>
        <w:pStyle w:val="8"/>
        <w:outlineLvl w:val="9"/>
        <w:rPr>
          <w:rFonts w:eastAsia="仿宋_GB2312" w:cs="仿宋_GB2312"/>
          <w:sz w:val="32"/>
          <w:szCs w:val="32"/>
        </w:rPr>
      </w:pPr>
      <w:r>
        <w:drawing>
          <wp:inline distT="0" distB="0" distL="114300" distR="114300">
            <wp:extent cx="5133340" cy="2282190"/>
            <wp:effectExtent l="4445" t="4445" r="5715" b="18415"/>
            <wp:docPr id="2"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18C0A806">
      <w:pPr>
        <w:spacing w:line="600" w:lineRule="exact"/>
        <w:ind w:firstLine="643" w:firstLineChars="200"/>
        <w:outlineLvl w:val="9"/>
        <w:rPr>
          <w:rFonts w:eastAsia="楷体_GB2312" w:cs="楷体_GB2312"/>
          <w:b/>
          <w:sz w:val="32"/>
          <w:szCs w:val="32"/>
        </w:rPr>
      </w:pPr>
      <w:bookmarkStart w:id="38" w:name="_Toc15377211"/>
      <w:r>
        <w:rPr>
          <w:rFonts w:hint="eastAsia" w:eastAsia="楷体_GB2312" w:cs="楷体_GB2312"/>
          <w:b/>
          <w:sz w:val="32"/>
          <w:szCs w:val="32"/>
        </w:rPr>
        <w:t>（二）一般公共预算财政拨款支出决算结构情况</w:t>
      </w:r>
      <w:bookmarkEnd w:id="38"/>
    </w:p>
    <w:p w14:paraId="0FC620C1">
      <w:pPr>
        <w:spacing w:line="600" w:lineRule="exact"/>
        <w:ind w:firstLine="640"/>
        <w:rPr>
          <w:rFonts w:eastAsia="仿宋_GB2312" w:cs="仿宋_GB2312"/>
          <w:sz w:val="32"/>
          <w:szCs w:val="32"/>
        </w:rPr>
      </w:pPr>
      <w:r>
        <w:rPr>
          <w:rFonts w:hint="eastAsia" w:eastAsia="仿宋_GB2312" w:cs="仿宋_GB2312"/>
          <w:sz w:val="32"/>
          <w:szCs w:val="32"/>
        </w:rPr>
        <w:t>2024年度一般公共预算财政拨款支出</w:t>
      </w:r>
      <w:r>
        <w:rPr>
          <w:rFonts w:hint="eastAsia" w:ascii="仿宋_GB2312" w:hAnsi="仿宋_GB2312" w:eastAsia="仿宋_GB2312" w:cs="仿宋_GB2312"/>
          <w:sz w:val="32"/>
          <w:szCs w:val="32"/>
        </w:rPr>
        <w:t>617.21万元</w:t>
      </w:r>
      <w:r>
        <w:rPr>
          <w:rFonts w:hint="eastAsia" w:eastAsia="仿宋_GB2312" w:cs="仿宋_GB2312"/>
          <w:sz w:val="32"/>
          <w:szCs w:val="32"/>
        </w:rPr>
        <w:t>，主要用于以下方面：一般公共服务支出</w:t>
      </w:r>
      <w:r>
        <w:rPr>
          <w:rFonts w:hint="eastAsia" w:eastAsia="仿宋_GB2312" w:cs="仿宋_GB2312"/>
          <w:sz w:val="32"/>
          <w:szCs w:val="32"/>
          <w:lang w:val="en-US" w:eastAsia="zh-CN"/>
        </w:rPr>
        <w:t>0</w:t>
      </w:r>
      <w:r>
        <w:rPr>
          <w:rFonts w:hint="eastAsia" w:eastAsia="仿宋_GB2312" w:cs="仿宋_GB2312"/>
          <w:sz w:val="32"/>
          <w:szCs w:val="32"/>
        </w:rPr>
        <w:t>万元，占</w:t>
      </w:r>
      <w:r>
        <w:rPr>
          <w:rFonts w:hint="eastAsia" w:eastAsia="仿宋_GB2312" w:cs="仿宋_GB2312"/>
          <w:sz w:val="32"/>
          <w:szCs w:val="32"/>
          <w:lang w:val="en-US" w:eastAsia="zh-CN"/>
        </w:rPr>
        <w:t>0</w:t>
      </w:r>
      <w:r>
        <w:rPr>
          <w:rFonts w:hint="eastAsia" w:eastAsia="仿宋_GB2312" w:cs="仿宋_GB2312"/>
          <w:sz w:val="32"/>
          <w:szCs w:val="32"/>
        </w:rPr>
        <w:t>%；教育支出</w:t>
      </w:r>
      <w:r>
        <w:rPr>
          <w:rFonts w:hint="eastAsia" w:eastAsia="仿宋_GB2312" w:cs="仿宋_GB2312"/>
          <w:sz w:val="32"/>
          <w:szCs w:val="32"/>
          <w:lang w:val="en-US" w:eastAsia="zh-CN"/>
        </w:rPr>
        <w:t>0</w:t>
      </w:r>
      <w:r>
        <w:rPr>
          <w:rFonts w:hint="eastAsia" w:eastAsia="仿宋_GB2312" w:cs="仿宋_GB2312"/>
          <w:sz w:val="32"/>
          <w:szCs w:val="32"/>
        </w:rPr>
        <w:t>万元，占</w:t>
      </w:r>
      <w:r>
        <w:rPr>
          <w:rFonts w:hint="eastAsia" w:eastAsia="仿宋_GB2312" w:cs="仿宋_GB2312"/>
          <w:sz w:val="32"/>
          <w:szCs w:val="32"/>
          <w:lang w:val="en-US" w:eastAsia="zh-CN"/>
        </w:rPr>
        <w:t>0</w:t>
      </w:r>
      <w:r>
        <w:rPr>
          <w:rFonts w:hint="eastAsia" w:eastAsia="仿宋_GB2312" w:cs="仿宋_GB2312"/>
          <w:sz w:val="32"/>
          <w:szCs w:val="32"/>
        </w:rPr>
        <w:t>%；科学技术支出23.65万元，占</w:t>
      </w:r>
      <w:r>
        <w:rPr>
          <w:rFonts w:hint="eastAsia" w:eastAsia="仿宋_GB2312" w:cs="仿宋_GB2312"/>
          <w:sz w:val="32"/>
          <w:szCs w:val="32"/>
          <w:lang w:val="en-US" w:eastAsia="zh-CN"/>
        </w:rPr>
        <w:t>3.83</w:t>
      </w:r>
      <w:r>
        <w:rPr>
          <w:rFonts w:hint="eastAsia" w:eastAsia="仿宋_GB2312" w:cs="仿宋_GB2312"/>
          <w:sz w:val="32"/>
          <w:szCs w:val="32"/>
        </w:rPr>
        <w:t>%；文化旅游体育与传媒支出</w:t>
      </w:r>
      <w:r>
        <w:rPr>
          <w:rFonts w:hint="eastAsia" w:eastAsia="仿宋_GB2312" w:cs="仿宋_GB2312"/>
          <w:sz w:val="32"/>
          <w:szCs w:val="32"/>
          <w:lang w:val="en-US" w:eastAsia="zh-CN"/>
        </w:rPr>
        <w:t>0</w:t>
      </w:r>
      <w:r>
        <w:rPr>
          <w:rFonts w:hint="eastAsia" w:eastAsia="仿宋_GB2312" w:cs="仿宋_GB2312"/>
          <w:sz w:val="32"/>
          <w:szCs w:val="32"/>
        </w:rPr>
        <w:t>万元，占</w:t>
      </w:r>
      <w:r>
        <w:rPr>
          <w:rFonts w:hint="eastAsia" w:eastAsia="仿宋_GB2312" w:cs="仿宋_GB2312"/>
          <w:sz w:val="32"/>
          <w:szCs w:val="32"/>
          <w:lang w:val="en-US" w:eastAsia="zh-CN"/>
        </w:rPr>
        <w:t>0</w:t>
      </w:r>
      <w:r>
        <w:rPr>
          <w:rFonts w:hint="eastAsia" w:eastAsia="仿宋_GB2312" w:cs="仿宋_GB2312"/>
          <w:sz w:val="32"/>
          <w:szCs w:val="32"/>
        </w:rPr>
        <w:t>%；社会保障和就业支出48.26万元，占</w:t>
      </w:r>
      <w:r>
        <w:rPr>
          <w:rFonts w:hint="eastAsia" w:eastAsia="仿宋_GB2312" w:cs="仿宋_GB2312"/>
          <w:sz w:val="32"/>
          <w:szCs w:val="32"/>
          <w:lang w:val="en-US" w:eastAsia="zh-CN"/>
        </w:rPr>
        <w:t>7.8</w:t>
      </w:r>
      <w:r>
        <w:rPr>
          <w:rFonts w:hint="eastAsia" w:eastAsia="仿宋_GB2312" w:cs="仿宋_GB2312"/>
          <w:sz w:val="32"/>
          <w:szCs w:val="32"/>
        </w:rPr>
        <w:t>%；卫生健康支出23.85万元，占</w:t>
      </w:r>
      <w:r>
        <w:rPr>
          <w:rFonts w:hint="eastAsia" w:eastAsia="仿宋_GB2312" w:cs="仿宋_GB2312"/>
          <w:sz w:val="32"/>
          <w:szCs w:val="32"/>
          <w:lang w:val="en-US" w:eastAsia="zh-CN"/>
        </w:rPr>
        <w:t>3.8</w:t>
      </w:r>
      <w:r>
        <w:rPr>
          <w:rFonts w:hint="eastAsia" w:eastAsia="仿宋_GB2312" w:cs="仿宋_GB2312"/>
          <w:sz w:val="32"/>
          <w:szCs w:val="32"/>
        </w:rPr>
        <w:t>%</w:t>
      </w:r>
      <w:r>
        <w:rPr>
          <w:rFonts w:hint="eastAsia" w:eastAsia="仿宋_GB2312" w:cs="仿宋_GB2312"/>
          <w:sz w:val="32"/>
          <w:szCs w:val="32"/>
          <w:lang w:eastAsia="zh-CN"/>
        </w:rPr>
        <w:t>，</w:t>
      </w:r>
      <w:r>
        <w:rPr>
          <w:rFonts w:hint="eastAsia" w:eastAsia="仿宋_GB2312" w:cs="仿宋_GB2312"/>
          <w:sz w:val="32"/>
          <w:szCs w:val="32"/>
        </w:rPr>
        <w:t>农林水支出492.77</w:t>
      </w:r>
      <w:r>
        <w:rPr>
          <w:rFonts w:hint="eastAsia" w:eastAsia="仿宋_GB2312" w:cs="仿宋_GB2312"/>
          <w:sz w:val="32"/>
          <w:szCs w:val="32"/>
          <w:lang w:eastAsia="zh-CN"/>
        </w:rPr>
        <w:t>万元，</w:t>
      </w:r>
      <w:r>
        <w:rPr>
          <w:rFonts w:hint="eastAsia" w:eastAsia="仿宋_GB2312" w:cs="仿宋_GB2312"/>
          <w:sz w:val="32"/>
          <w:szCs w:val="32"/>
        </w:rPr>
        <w:t>占</w:t>
      </w:r>
      <w:r>
        <w:rPr>
          <w:rFonts w:hint="eastAsia" w:eastAsia="仿宋_GB2312" w:cs="仿宋_GB2312"/>
          <w:sz w:val="32"/>
          <w:szCs w:val="32"/>
          <w:lang w:val="en-US" w:eastAsia="zh-CN"/>
        </w:rPr>
        <w:t>79.8</w:t>
      </w:r>
      <w:r>
        <w:rPr>
          <w:rFonts w:hint="eastAsia" w:eastAsia="仿宋_GB2312" w:cs="仿宋_GB2312"/>
          <w:sz w:val="32"/>
          <w:szCs w:val="32"/>
        </w:rPr>
        <w:t>%；住房保障支出28.68万元，占</w:t>
      </w:r>
      <w:r>
        <w:rPr>
          <w:rFonts w:hint="eastAsia" w:eastAsia="仿宋_GB2312" w:cs="仿宋_GB2312"/>
          <w:sz w:val="32"/>
          <w:szCs w:val="32"/>
          <w:lang w:val="en-US" w:eastAsia="zh-CN"/>
        </w:rPr>
        <w:t>4.6</w:t>
      </w:r>
      <w:r>
        <w:rPr>
          <w:rFonts w:hint="eastAsia" w:eastAsia="仿宋_GB2312" w:cs="仿宋_GB2312"/>
          <w:sz w:val="32"/>
          <w:szCs w:val="32"/>
        </w:rPr>
        <w:t>%</w:t>
      </w:r>
      <w:r>
        <w:rPr>
          <w:rFonts w:hint="eastAsia" w:eastAsia="仿宋_GB2312" w:cs="仿宋_GB2312"/>
          <w:sz w:val="32"/>
          <w:szCs w:val="32"/>
          <w:lang w:eastAsia="zh-CN"/>
        </w:rPr>
        <w:t>。</w:t>
      </w:r>
      <w:r>
        <w:rPr>
          <w:rFonts w:hint="eastAsia" w:eastAsia="仿宋_GB2312" w:cs="仿宋_GB2312"/>
          <w:sz w:val="32"/>
          <w:szCs w:val="32"/>
        </w:rPr>
        <w:t>（图6：一般公共预算财政拨款支出决算结构）</w:t>
      </w:r>
    </w:p>
    <w:p w14:paraId="403CB19A">
      <w:pPr>
        <w:pStyle w:val="8"/>
        <w:ind w:left="0" w:leftChars="0" w:firstLine="0" w:firstLineChars="0"/>
        <w:rPr>
          <w:rFonts w:eastAsia="仿宋_GB2312" w:cs="仿宋_GB2312"/>
          <w:sz w:val="32"/>
          <w:szCs w:val="32"/>
        </w:rPr>
      </w:pPr>
      <w:r>
        <w:drawing>
          <wp:inline distT="0" distB="0" distL="114300" distR="114300">
            <wp:extent cx="5360035" cy="3028315"/>
            <wp:effectExtent l="4445" t="4445" r="7620" b="15240"/>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45A45BD3">
      <w:pPr>
        <w:spacing w:line="600" w:lineRule="exact"/>
        <w:ind w:firstLine="643" w:firstLineChars="200"/>
        <w:outlineLvl w:val="9"/>
        <w:rPr>
          <w:rFonts w:eastAsia="楷体_GB2312" w:cs="楷体_GB2312"/>
          <w:b/>
          <w:sz w:val="32"/>
          <w:szCs w:val="32"/>
        </w:rPr>
      </w:pPr>
      <w:bookmarkStart w:id="39" w:name="_Toc15377212"/>
      <w:r>
        <w:rPr>
          <w:rFonts w:hint="eastAsia" w:eastAsia="楷体_GB2312" w:cs="楷体_GB2312"/>
          <w:b/>
          <w:sz w:val="32"/>
          <w:szCs w:val="32"/>
        </w:rPr>
        <w:t>（三）一般公共预算财政拨款支出决算具体情况</w:t>
      </w:r>
      <w:bookmarkEnd w:id="39"/>
    </w:p>
    <w:p w14:paraId="0329A9EE">
      <w:pPr>
        <w:spacing w:line="600" w:lineRule="exact"/>
        <w:ind w:firstLine="640"/>
        <w:rPr>
          <w:rFonts w:eastAsia="仿宋_GB2312" w:cs="仿宋_GB2312"/>
          <w:sz w:val="32"/>
          <w:szCs w:val="32"/>
        </w:rPr>
      </w:pPr>
      <w:bookmarkStart w:id="40" w:name="_Toc15377213"/>
      <w:bookmarkStart w:id="41" w:name="_Toc15377444"/>
      <w:bookmarkStart w:id="42" w:name="_Toc15378460"/>
      <w:r>
        <w:rPr>
          <w:rFonts w:hint="eastAsia" w:eastAsia="仿宋_GB2312" w:cs="仿宋_GB2312"/>
          <w:sz w:val="32"/>
          <w:szCs w:val="32"/>
        </w:rPr>
        <w:t>2024年度一般公共预算财政拨款支出决算数为</w:t>
      </w:r>
      <w:r>
        <w:rPr>
          <w:rFonts w:hint="eastAsia" w:ascii="仿宋_GB2312" w:hAnsi="仿宋_GB2312" w:eastAsia="仿宋_GB2312" w:cs="仿宋_GB2312"/>
          <w:sz w:val="32"/>
          <w:szCs w:val="32"/>
        </w:rPr>
        <w:t>617.21，</w:t>
      </w:r>
      <w:r>
        <w:rPr>
          <w:rFonts w:hint="eastAsia" w:eastAsia="仿宋_GB2312" w:cs="仿宋_GB2312"/>
          <w:sz w:val="32"/>
          <w:szCs w:val="32"/>
        </w:rPr>
        <w:t>完成预算</w:t>
      </w:r>
      <w:r>
        <w:rPr>
          <w:rFonts w:hint="eastAsia" w:eastAsia="仿宋_GB2312" w:cs="仿宋_GB2312"/>
          <w:sz w:val="32"/>
          <w:szCs w:val="32"/>
          <w:lang w:val="en-US" w:eastAsia="zh-CN"/>
        </w:rPr>
        <w:t>100</w:t>
      </w:r>
      <w:r>
        <w:rPr>
          <w:rFonts w:hint="eastAsia" w:eastAsia="仿宋_GB2312" w:cs="仿宋_GB2312"/>
          <w:sz w:val="32"/>
          <w:szCs w:val="32"/>
        </w:rPr>
        <w:t>%。其中：</w:t>
      </w:r>
      <w:bookmarkEnd w:id="40"/>
      <w:bookmarkEnd w:id="41"/>
      <w:bookmarkEnd w:id="42"/>
    </w:p>
    <w:p w14:paraId="272A3E34">
      <w:pPr>
        <w:spacing w:line="600" w:lineRule="exact"/>
        <w:ind w:firstLine="640"/>
        <w:rPr>
          <w:rFonts w:hint="eastAsia" w:ascii="Times New Roman" w:hAnsi="Times New Roman" w:eastAsia="仿宋_GB2312" w:cs="仿宋_GB2312"/>
          <w:sz w:val="32"/>
          <w:szCs w:val="32"/>
          <w:lang w:val="en-US" w:eastAsia="zh-CN"/>
        </w:rPr>
      </w:pPr>
      <w:r>
        <w:rPr>
          <w:rFonts w:hint="eastAsia" w:ascii="Times New Roman" w:hAnsi="Times New Roman" w:eastAsia="仿宋_GB2312" w:cs="仿宋_GB2312"/>
          <w:sz w:val="32"/>
          <w:szCs w:val="32"/>
          <w:lang w:val="en-US" w:eastAsia="zh-CN"/>
        </w:rPr>
        <w:t>1.</w:t>
      </w:r>
      <w:r>
        <w:rPr>
          <w:rFonts w:hint="eastAsia" w:ascii="Times New Roman" w:hAnsi="Times New Roman" w:eastAsia="仿宋_GB2312" w:cs="仿宋_GB2312"/>
          <w:sz w:val="32"/>
          <w:szCs w:val="32"/>
        </w:rPr>
        <w:t>科学技术</w:t>
      </w:r>
      <w:r>
        <w:rPr>
          <w:rFonts w:hint="eastAsia" w:ascii="Times New Roman" w:hAnsi="Times New Roman" w:eastAsia="仿宋_GB2312" w:cs="仿宋_GB2312"/>
          <w:sz w:val="32"/>
          <w:szCs w:val="32"/>
          <w:lang w:eastAsia="zh-CN"/>
        </w:rPr>
        <w:t>支出</w:t>
      </w:r>
      <w:r>
        <w:rPr>
          <w:rFonts w:hint="eastAsia" w:ascii="Times New Roman" w:hAnsi="Times New Roman" w:eastAsia="仿宋_GB2312" w:cs="仿宋_GB2312"/>
          <w:sz w:val="32"/>
          <w:szCs w:val="32"/>
          <w:lang w:val="en-US" w:eastAsia="zh-CN"/>
        </w:rPr>
        <w:t>23.65万元，</w:t>
      </w:r>
      <w:r>
        <w:rPr>
          <w:rFonts w:hint="eastAsia" w:ascii="Times New Roman" w:hAnsi="Times New Roman" w:eastAsia="仿宋_GB2312" w:cs="仿宋_GB2312"/>
          <w:sz w:val="32"/>
          <w:szCs w:val="32"/>
        </w:rPr>
        <w:t>科学技术（类）科技重大项目（款）重点研发计划（项）</w:t>
      </w:r>
      <w:bookmarkStart w:id="43" w:name="OLE_LINK17"/>
      <w:r>
        <w:rPr>
          <w:rFonts w:hint="eastAsia" w:ascii="Times New Roman" w:hAnsi="Times New Roman" w:eastAsia="仿宋_GB2312" w:cs="仿宋_GB2312"/>
          <w:sz w:val="32"/>
          <w:szCs w:val="32"/>
        </w:rPr>
        <w:t>（科目代码</w:t>
      </w:r>
      <w:r>
        <w:rPr>
          <w:rFonts w:hint="eastAsia" w:ascii="Times New Roman" w:hAnsi="Times New Roman" w:eastAsia="仿宋_GB2312" w:cs="仿宋_GB2312"/>
          <w:sz w:val="32"/>
          <w:szCs w:val="32"/>
          <w:lang w:eastAsia="zh-CN"/>
        </w:rPr>
        <w:t>：</w:t>
      </w:r>
      <w:r>
        <w:rPr>
          <w:rFonts w:hint="eastAsia" w:ascii="Times New Roman" w:hAnsi="Times New Roman" w:eastAsia="仿宋_GB2312" w:cs="仿宋_GB2312"/>
          <w:sz w:val="32"/>
          <w:szCs w:val="32"/>
        </w:rPr>
        <w:t>2060902</w:t>
      </w:r>
      <w:r>
        <w:rPr>
          <w:rFonts w:hint="eastAsia" w:ascii="Times New Roman" w:hAnsi="Times New Roman" w:eastAsia="仿宋_GB2312" w:cs="仿宋_GB2312"/>
          <w:sz w:val="32"/>
          <w:szCs w:val="32"/>
          <w:lang w:eastAsia="zh-CN"/>
        </w:rPr>
        <w:t>）</w:t>
      </w:r>
      <w:bookmarkEnd w:id="43"/>
      <w:r>
        <w:rPr>
          <w:rFonts w:hint="eastAsia" w:ascii="Times New Roman" w:hAnsi="Times New Roman" w:eastAsia="仿宋_GB2312" w:cs="仿宋_GB2312"/>
          <w:sz w:val="32"/>
          <w:szCs w:val="32"/>
        </w:rPr>
        <w:t>：支出决算为</w:t>
      </w:r>
      <w:r>
        <w:rPr>
          <w:rFonts w:hint="eastAsia" w:ascii="Times New Roman" w:hAnsi="Times New Roman" w:eastAsia="仿宋_GB2312" w:cs="仿宋_GB2312"/>
          <w:sz w:val="32"/>
          <w:szCs w:val="32"/>
          <w:lang w:val="en-US" w:eastAsia="zh-CN"/>
        </w:rPr>
        <w:t>20.25</w:t>
      </w:r>
      <w:r>
        <w:rPr>
          <w:rFonts w:hint="eastAsia" w:ascii="Times New Roman" w:hAnsi="Times New Roman" w:eastAsia="仿宋_GB2312" w:cs="仿宋_GB2312"/>
          <w:sz w:val="32"/>
          <w:szCs w:val="32"/>
        </w:rPr>
        <w:t>万元，完成预算</w:t>
      </w:r>
      <w:r>
        <w:rPr>
          <w:rFonts w:hint="eastAsia" w:ascii="Times New Roman" w:hAnsi="Times New Roman" w:eastAsia="仿宋_GB2312" w:cs="仿宋_GB2312"/>
          <w:sz w:val="32"/>
          <w:szCs w:val="32"/>
          <w:lang w:val="en-US" w:eastAsia="zh-CN"/>
        </w:rPr>
        <w:t>100</w:t>
      </w:r>
      <w:r>
        <w:rPr>
          <w:rFonts w:hint="eastAsia" w:ascii="Times New Roman" w:hAnsi="Times New Roman" w:eastAsia="仿宋_GB2312" w:cs="仿宋_GB2312"/>
          <w:sz w:val="32"/>
          <w:szCs w:val="32"/>
        </w:rPr>
        <w:t>%</w:t>
      </w:r>
      <w:r>
        <w:rPr>
          <w:rFonts w:hint="eastAsia" w:ascii="Times New Roman" w:hAnsi="Times New Roman" w:eastAsia="仿宋_GB2312" w:cs="仿宋_GB2312"/>
          <w:sz w:val="32"/>
          <w:szCs w:val="32"/>
          <w:lang w:eastAsia="zh-CN"/>
        </w:rPr>
        <w:t>；</w:t>
      </w:r>
      <w:r>
        <w:rPr>
          <w:rFonts w:hint="eastAsia" w:ascii="Times New Roman" w:hAnsi="Times New Roman" w:eastAsia="仿宋_GB2312" w:cs="仿宋_GB2312"/>
          <w:sz w:val="32"/>
          <w:szCs w:val="32"/>
        </w:rPr>
        <w:t>科学技术（类）其他科学技术支出（款）其他科学技术支出（项）（科目代码</w:t>
      </w:r>
      <w:r>
        <w:rPr>
          <w:rFonts w:hint="eastAsia" w:ascii="Times New Roman" w:hAnsi="Times New Roman" w:eastAsia="仿宋_GB2312" w:cs="仿宋_GB2312"/>
          <w:sz w:val="32"/>
          <w:szCs w:val="32"/>
          <w:lang w:eastAsia="zh-CN"/>
        </w:rPr>
        <w:t>：</w:t>
      </w:r>
      <w:r>
        <w:rPr>
          <w:rFonts w:hint="eastAsia" w:ascii="Times New Roman" w:hAnsi="Times New Roman" w:eastAsia="仿宋_GB2312" w:cs="仿宋_GB2312"/>
          <w:sz w:val="32"/>
          <w:szCs w:val="32"/>
        </w:rPr>
        <w:t>2069999</w:t>
      </w:r>
      <w:r>
        <w:rPr>
          <w:rFonts w:hint="eastAsia" w:ascii="Times New Roman" w:hAnsi="Times New Roman" w:eastAsia="仿宋_GB2312" w:cs="仿宋_GB2312"/>
          <w:sz w:val="32"/>
          <w:szCs w:val="32"/>
          <w:lang w:eastAsia="zh-CN"/>
        </w:rPr>
        <w:t>）：</w:t>
      </w:r>
      <w:r>
        <w:rPr>
          <w:rFonts w:hint="eastAsia" w:ascii="Times New Roman" w:hAnsi="Times New Roman" w:eastAsia="仿宋_GB2312" w:cs="仿宋_GB2312"/>
          <w:sz w:val="32"/>
          <w:szCs w:val="32"/>
        </w:rPr>
        <w:t>支出决算为</w:t>
      </w:r>
      <w:r>
        <w:rPr>
          <w:rFonts w:hint="eastAsia" w:ascii="Times New Roman" w:hAnsi="Times New Roman" w:eastAsia="仿宋_GB2312" w:cs="仿宋_GB2312"/>
          <w:sz w:val="32"/>
          <w:szCs w:val="32"/>
          <w:lang w:val="en-US" w:eastAsia="zh-CN"/>
        </w:rPr>
        <w:t>3.4</w:t>
      </w:r>
      <w:r>
        <w:rPr>
          <w:rFonts w:hint="eastAsia" w:ascii="Times New Roman" w:hAnsi="Times New Roman" w:eastAsia="仿宋_GB2312" w:cs="仿宋_GB2312"/>
          <w:sz w:val="32"/>
          <w:szCs w:val="32"/>
        </w:rPr>
        <w:t>万元，完成预算</w:t>
      </w:r>
      <w:r>
        <w:rPr>
          <w:rFonts w:hint="eastAsia" w:ascii="Times New Roman" w:hAnsi="Times New Roman" w:eastAsia="仿宋_GB2312" w:cs="仿宋_GB2312"/>
          <w:sz w:val="32"/>
          <w:szCs w:val="32"/>
          <w:lang w:val="en-US" w:eastAsia="zh-CN"/>
        </w:rPr>
        <w:t>100</w:t>
      </w:r>
      <w:r>
        <w:rPr>
          <w:rFonts w:hint="eastAsia" w:ascii="Times New Roman" w:hAnsi="Times New Roman" w:eastAsia="仿宋_GB2312" w:cs="仿宋_GB2312"/>
          <w:sz w:val="32"/>
          <w:szCs w:val="32"/>
        </w:rPr>
        <w:t>%</w:t>
      </w:r>
      <w:r>
        <w:rPr>
          <w:rFonts w:hint="eastAsia" w:ascii="Times New Roman" w:hAnsi="Times New Roman" w:eastAsia="仿宋_GB2312" w:cs="仿宋_GB2312"/>
          <w:sz w:val="32"/>
          <w:szCs w:val="32"/>
          <w:lang w:eastAsia="zh-CN"/>
        </w:rPr>
        <w:t>。</w:t>
      </w:r>
    </w:p>
    <w:p w14:paraId="483D2669">
      <w:pPr>
        <w:spacing w:line="600" w:lineRule="exact"/>
        <w:ind w:firstLine="640"/>
        <w:rPr>
          <w:rFonts w:hint="eastAsia" w:ascii="仿宋" w:hAnsi="仿宋" w:eastAsia="仿宋"/>
          <w:sz w:val="32"/>
          <w:szCs w:val="32"/>
          <w:lang w:eastAsia="zh-CN"/>
        </w:rPr>
      </w:pPr>
      <w:r>
        <w:rPr>
          <w:rFonts w:hint="eastAsia" w:ascii="仿宋" w:hAnsi="仿宋" w:eastAsia="仿宋"/>
          <w:sz w:val="32"/>
          <w:szCs w:val="32"/>
          <w:lang w:val="en-US" w:eastAsia="zh-CN"/>
        </w:rPr>
        <w:t>2.</w:t>
      </w:r>
      <w:r>
        <w:rPr>
          <w:rFonts w:hint="eastAsia" w:ascii="仿宋" w:hAnsi="仿宋" w:eastAsia="仿宋"/>
          <w:sz w:val="32"/>
          <w:szCs w:val="32"/>
        </w:rPr>
        <w:t>社会保障和就业支出</w:t>
      </w:r>
      <w:r>
        <w:rPr>
          <w:rFonts w:hint="eastAsia" w:ascii="仿宋" w:hAnsi="仿宋" w:eastAsia="仿宋"/>
          <w:sz w:val="32"/>
          <w:szCs w:val="32"/>
          <w:lang w:val="en-US" w:eastAsia="zh-CN"/>
        </w:rPr>
        <w:t>48.26万元，其中</w:t>
      </w:r>
      <w:r>
        <w:rPr>
          <w:rFonts w:hint="eastAsia" w:ascii="仿宋" w:hAnsi="仿宋" w:eastAsia="仿宋"/>
          <w:sz w:val="32"/>
          <w:szCs w:val="32"/>
        </w:rPr>
        <w:t xml:space="preserve">社会保障和就业（类）行政事业单位养老支出（款）机关事业单位基本养老保险缴费支出（项）（科目代码：2080505）: </w:t>
      </w:r>
      <w:bookmarkStart w:id="44" w:name="OLE_LINK18"/>
      <w:r>
        <w:rPr>
          <w:rFonts w:hint="eastAsia" w:ascii="仿宋" w:hAnsi="仿宋" w:eastAsia="仿宋"/>
          <w:sz w:val="32"/>
          <w:szCs w:val="32"/>
        </w:rPr>
        <w:t>支出决算为</w:t>
      </w:r>
      <w:r>
        <w:rPr>
          <w:rFonts w:hint="eastAsia" w:ascii="仿宋" w:hAnsi="仿宋" w:eastAsia="仿宋"/>
          <w:sz w:val="32"/>
          <w:szCs w:val="32"/>
          <w:lang w:val="en-US" w:eastAsia="zh-CN"/>
        </w:rPr>
        <w:t>32.17</w:t>
      </w:r>
      <w:r>
        <w:rPr>
          <w:rFonts w:hint="eastAsia" w:ascii="仿宋" w:hAnsi="仿宋" w:eastAsia="仿宋"/>
          <w:sz w:val="32"/>
          <w:szCs w:val="32"/>
        </w:rPr>
        <w:t>万元</w:t>
      </w:r>
      <w:bookmarkEnd w:id="44"/>
      <w:r>
        <w:rPr>
          <w:rFonts w:hint="eastAsia" w:ascii="仿宋" w:hAnsi="仿宋" w:eastAsia="仿宋"/>
          <w:sz w:val="32"/>
          <w:szCs w:val="32"/>
          <w:lang w:eastAsia="zh-CN"/>
        </w:rPr>
        <w:t>，</w:t>
      </w:r>
      <w:r>
        <w:rPr>
          <w:rFonts w:hint="eastAsia" w:ascii="仿宋" w:hAnsi="仿宋" w:eastAsia="仿宋"/>
          <w:sz w:val="32"/>
          <w:szCs w:val="32"/>
        </w:rPr>
        <w:t>完成预算</w:t>
      </w:r>
      <w:r>
        <w:rPr>
          <w:rFonts w:hint="eastAsia" w:ascii="仿宋" w:hAnsi="仿宋" w:eastAsia="仿宋"/>
          <w:sz w:val="32"/>
          <w:szCs w:val="32"/>
          <w:lang w:val="en-US" w:eastAsia="zh-CN"/>
        </w:rPr>
        <w:t>100</w:t>
      </w:r>
      <w:r>
        <w:rPr>
          <w:rFonts w:hint="eastAsia" w:ascii="仿宋" w:hAnsi="仿宋" w:eastAsia="仿宋"/>
          <w:sz w:val="32"/>
          <w:szCs w:val="32"/>
        </w:rPr>
        <w:t>%</w:t>
      </w:r>
      <w:r>
        <w:rPr>
          <w:rFonts w:hint="eastAsia" w:ascii="仿宋" w:hAnsi="仿宋" w:eastAsia="仿宋"/>
          <w:sz w:val="32"/>
          <w:szCs w:val="32"/>
          <w:lang w:eastAsia="zh-CN"/>
        </w:rPr>
        <w:t>；</w:t>
      </w:r>
      <w:r>
        <w:rPr>
          <w:rFonts w:hint="eastAsia" w:ascii="仿宋" w:hAnsi="仿宋" w:eastAsia="仿宋"/>
          <w:sz w:val="32"/>
          <w:szCs w:val="32"/>
        </w:rPr>
        <w:t>社会保障和就业支出（类）行政事业单位养老支出（款）机关事业单位职业年金缴费支出（项）（科目代码：2080506）</w:t>
      </w:r>
      <w:r>
        <w:rPr>
          <w:rFonts w:hint="eastAsia" w:ascii="仿宋" w:hAnsi="仿宋" w:eastAsia="仿宋"/>
          <w:sz w:val="32"/>
          <w:szCs w:val="32"/>
          <w:lang w:eastAsia="zh-CN"/>
        </w:rPr>
        <w:t>：</w:t>
      </w:r>
      <w:r>
        <w:rPr>
          <w:rFonts w:hint="eastAsia" w:ascii="仿宋" w:hAnsi="仿宋" w:eastAsia="仿宋"/>
          <w:sz w:val="32"/>
          <w:szCs w:val="32"/>
        </w:rPr>
        <w:t>支出决算为</w:t>
      </w:r>
      <w:r>
        <w:rPr>
          <w:rFonts w:hint="eastAsia" w:ascii="仿宋" w:hAnsi="仿宋" w:eastAsia="仿宋"/>
          <w:sz w:val="32"/>
          <w:szCs w:val="32"/>
          <w:lang w:val="en-US" w:eastAsia="zh-CN"/>
        </w:rPr>
        <w:t>16.09</w:t>
      </w:r>
      <w:r>
        <w:rPr>
          <w:rFonts w:hint="eastAsia" w:ascii="仿宋" w:hAnsi="仿宋" w:eastAsia="仿宋"/>
          <w:sz w:val="32"/>
          <w:szCs w:val="32"/>
        </w:rPr>
        <w:t>万元</w:t>
      </w:r>
      <w:r>
        <w:rPr>
          <w:rFonts w:hint="eastAsia" w:ascii="仿宋" w:hAnsi="仿宋" w:eastAsia="仿宋"/>
          <w:sz w:val="32"/>
          <w:szCs w:val="32"/>
          <w:lang w:eastAsia="zh-CN"/>
        </w:rPr>
        <w:t>，</w:t>
      </w:r>
      <w:r>
        <w:rPr>
          <w:rFonts w:hint="eastAsia" w:ascii="仿宋" w:hAnsi="仿宋" w:eastAsia="仿宋"/>
          <w:sz w:val="32"/>
          <w:szCs w:val="32"/>
        </w:rPr>
        <w:t>完成预算</w:t>
      </w:r>
      <w:r>
        <w:rPr>
          <w:rFonts w:hint="eastAsia" w:ascii="仿宋" w:hAnsi="仿宋" w:eastAsia="仿宋"/>
          <w:sz w:val="32"/>
          <w:szCs w:val="32"/>
          <w:lang w:val="en-US" w:eastAsia="zh-CN"/>
        </w:rPr>
        <w:t>100</w:t>
      </w:r>
      <w:r>
        <w:rPr>
          <w:rFonts w:hint="eastAsia" w:ascii="仿宋" w:hAnsi="仿宋" w:eastAsia="仿宋"/>
          <w:sz w:val="32"/>
          <w:szCs w:val="32"/>
        </w:rPr>
        <w:t>%</w:t>
      </w:r>
      <w:r>
        <w:rPr>
          <w:rFonts w:hint="eastAsia" w:ascii="仿宋" w:hAnsi="仿宋" w:eastAsia="仿宋"/>
          <w:sz w:val="32"/>
          <w:szCs w:val="32"/>
          <w:lang w:eastAsia="zh-CN"/>
        </w:rPr>
        <w:t>。</w:t>
      </w:r>
    </w:p>
    <w:p w14:paraId="516EF052">
      <w:pPr>
        <w:spacing w:line="600" w:lineRule="exact"/>
        <w:ind w:firstLine="640"/>
        <w:rPr>
          <w:rFonts w:hint="eastAsia" w:ascii="仿宋" w:hAnsi="仿宋" w:eastAsia="仿宋" w:cs="仿宋"/>
          <w:kern w:val="0"/>
          <w:sz w:val="32"/>
          <w:szCs w:val="32"/>
          <w:shd w:val="clear" w:color="auto" w:fill="FFFFFF"/>
          <w:lang w:eastAsia="zh-CN"/>
        </w:rPr>
      </w:pPr>
      <w:r>
        <w:rPr>
          <w:rFonts w:hint="eastAsia" w:eastAsia="仿宋_GB2312" w:cs="仿宋_GB2312"/>
          <w:sz w:val="32"/>
          <w:szCs w:val="32"/>
          <w:lang w:val="en-US" w:eastAsia="zh-CN"/>
        </w:rPr>
        <w:t>3</w:t>
      </w:r>
      <w:r>
        <w:rPr>
          <w:rFonts w:hint="eastAsia" w:eastAsia="仿宋_GB2312" w:cs="仿宋_GB2312"/>
          <w:sz w:val="32"/>
          <w:szCs w:val="32"/>
        </w:rPr>
        <w:t>.</w:t>
      </w:r>
      <w:r>
        <w:rPr>
          <w:rFonts w:hint="eastAsia" w:ascii="仿宋" w:hAnsi="仿宋" w:eastAsia="仿宋"/>
          <w:sz w:val="32"/>
          <w:szCs w:val="32"/>
        </w:rPr>
        <w:t>卫生健康支出</w:t>
      </w:r>
      <w:r>
        <w:rPr>
          <w:rFonts w:hint="eastAsia" w:ascii="仿宋" w:hAnsi="仿宋" w:eastAsia="仿宋"/>
          <w:sz w:val="32"/>
          <w:szCs w:val="32"/>
          <w:lang w:val="en-US" w:eastAsia="zh-CN"/>
        </w:rPr>
        <w:t>23.85</w:t>
      </w:r>
      <w:r>
        <w:rPr>
          <w:rFonts w:hint="eastAsia" w:ascii="仿宋" w:hAnsi="仿宋" w:eastAsia="仿宋"/>
          <w:sz w:val="32"/>
          <w:szCs w:val="32"/>
        </w:rPr>
        <w:t>万元，其中卫生健康支出（类）行政事业单位医疗（款）事业单位医疗（项）（科目代码：2101102）:支出决算为</w:t>
      </w:r>
      <w:r>
        <w:rPr>
          <w:rFonts w:hint="eastAsia" w:ascii="仿宋" w:hAnsi="仿宋" w:eastAsia="仿宋"/>
          <w:sz w:val="32"/>
          <w:szCs w:val="32"/>
          <w:lang w:val="en-US" w:eastAsia="zh-CN"/>
        </w:rPr>
        <w:t>15.67</w:t>
      </w:r>
      <w:r>
        <w:rPr>
          <w:rFonts w:hint="eastAsia" w:ascii="仿宋" w:hAnsi="仿宋" w:eastAsia="仿宋"/>
          <w:sz w:val="32"/>
          <w:szCs w:val="32"/>
        </w:rPr>
        <w:t>万元，完成预算</w:t>
      </w:r>
      <w:r>
        <w:rPr>
          <w:rFonts w:hint="eastAsia" w:ascii="仿宋" w:hAnsi="仿宋" w:eastAsia="仿宋"/>
          <w:sz w:val="32"/>
          <w:szCs w:val="32"/>
          <w:lang w:val="en-US" w:eastAsia="zh-CN"/>
        </w:rPr>
        <w:t>100</w:t>
      </w:r>
      <w:r>
        <w:rPr>
          <w:rFonts w:hint="eastAsia" w:ascii="仿宋" w:hAnsi="仿宋" w:eastAsia="仿宋" w:cs="仿宋"/>
          <w:kern w:val="0"/>
          <w:sz w:val="32"/>
          <w:szCs w:val="32"/>
          <w:shd w:val="clear" w:color="auto" w:fill="FFFFFF"/>
        </w:rPr>
        <w:t>%</w:t>
      </w:r>
      <w:r>
        <w:rPr>
          <w:rFonts w:hint="eastAsia" w:ascii="仿宋" w:hAnsi="仿宋" w:eastAsia="仿宋" w:cs="仿宋"/>
          <w:kern w:val="0"/>
          <w:sz w:val="32"/>
          <w:szCs w:val="32"/>
          <w:shd w:val="clear" w:color="auto" w:fill="FFFFFF"/>
          <w:lang w:eastAsia="zh-CN"/>
        </w:rPr>
        <w:t>；</w:t>
      </w:r>
      <w:r>
        <w:rPr>
          <w:rFonts w:hint="eastAsia" w:ascii="仿宋" w:hAnsi="仿宋" w:eastAsia="仿宋"/>
          <w:sz w:val="32"/>
          <w:szCs w:val="32"/>
        </w:rPr>
        <w:t>卫生健康支出（类）行政事业单位医疗（款）其他行政事业单位医疗支出（项）（科目代码：2101199）:支出决算为</w:t>
      </w:r>
      <w:r>
        <w:rPr>
          <w:rFonts w:hint="eastAsia" w:ascii="仿宋" w:hAnsi="仿宋" w:eastAsia="仿宋"/>
          <w:sz w:val="32"/>
          <w:szCs w:val="32"/>
          <w:lang w:val="en-US" w:eastAsia="zh-CN"/>
        </w:rPr>
        <w:t>8.18</w:t>
      </w:r>
      <w:r>
        <w:rPr>
          <w:rFonts w:hint="eastAsia" w:ascii="仿宋" w:hAnsi="仿宋" w:eastAsia="仿宋"/>
          <w:sz w:val="32"/>
          <w:szCs w:val="32"/>
        </w:rPr>
        <w:t>万元</w:t>
      </w:r>
      <w:r>
        <w:rPr>
          <w:rFonts w:hint="eastAsia" w:ascii="仿宋" w:hAnsi="仿宋" w:eastAsia="仿宋"/>
          <w:sz w:val="32"/>
          <w:szCs w:val="32"/>
          <w:lang w:eastAsia="zh-CN"/>
        </w:rPr>
        <w:t>，</w:t>
      </w:r>
      <w:r>
        <w:rPr>
          <w:rFonts w:hint="eastAsia" w:ascii="仿宋" w:hAnsi="仿宋" w:eastAsia="仿宋"/>
          <w:sz w:val="32"/>
          <w:szCs w:val="32"/>
        </w:rPr>
        <w:t>完成预算</w:t>
      </w:r>
      <w:r>
        <w:rPr>
          <w:rFonts w:hint="eastAsia" w:ascii="仿宋" w:hAnsi="仿宋" w:eastAsia="仿宋"/>
          <w:sz w:val="32"/>
          <w:szCs w:val="32"/>
          <w:lang w:val="en-US" w:eastAsia="zh-CN"/>
        </w:rPr>
        <w:t>100</w:t>
      </w:r>
      <w:r>
        <w:rPr>
          <w:rFonts w:hint="eastAsia" w:ascii="仿宋" w:hAnsi="仿宋" w:eastAsia="仿宋" w:cs="仿宋"/>
          <w:kern w:val="0"/>
          <w:sz w:val="32"/>
          <w:szCs w:val="32"/>
          <w:shd w:val="clear" w:color="auto" w:fill="FFFFFF"/>
        </w:rPr>
        <w:t>%</w:t>
      </w:r>
      <w:r>
        <w:rPr>
          <w:rFonts w:hint="eastAsia" w:ascii="仿宋" w:hAnsi="仿宋" w:eastAsia="仿宋" w:cs="仿宋"/>
          <w:kern w:val="0"/>
          <w:sz w:val="32"/>
          <w:szCs w:val="32"/>
          <w:shd w:val="clear" w:color="auto" w:fill="FFFFFF"/>
          <w:lang w:eastAsia="zh-CN"/>
        </w:rPr>
        <w:t>。</w:t>
      </w:r>
    </w:p>
    <w:p w14:paraId="3D0CB3FF">
      <w:pPr>
        <w:keepNext w:val="0"/>
        <w:keepLines w:val="0"/>
        <w:widowControl w:val="0"/>
        <w:numPr>
          <w:ilvl w:val="0"/>
          <w:numId w:val="0"/>
        </w:numPr>
        <w:suppressLineNumbers w:val="0"/>
        <w:tabs>
          <w:tab w:val="left" w:pos="0"/>
        </w:tabs>
        <w:autoSpaceDE w:val="0"/>
        <w:autoSpaceDN/>
        <w:ind w:firstLine="640" w:firstLineChars="200"/>
        <w:rPr>
          <w:rStyle w:val="37"/>
          <w:rFonts w:hint="eastAsia" w:ascii="仿宋" w:hAnsi="仿宋" w:eastAsia="仿宋" w:cs="仿宋"/>
          <w:b w:val="0"/>
          <w:bCs/>
          <w:color w:val="000000"/>
          <w:sz w:val="32"/>
          <w:szCs w:val="32"/>
          <w:lang w:val="en-US" w:eastAsia="zh-CN"/>
        </w:rPr>
      </w:pPr>
      <w:r>
        <w:rPr>
          <w:rFonts w:hint="eastAsia" w:eastAsia="仿宋_GB2312" w:cs="仿宋_GB2312"/>
          <w:sz w:val="32"/>
          <w:szCs w:val="32"/>
          <w:lang w:val="en-US" w:eastAsia="zh-CN"/>
        </w:rPr>
        <w:t>4.</w:t>
      </w:r>
      <w:r>
        <w:rPr>
          <w:rStyle w:val="37"/>
          <w:rFonts w:hint="eastAsia" w:ascii="仿宋" w:hAnsi="仿宋" w:eastAsia="仿宋" w:cs="仿宋"/>
          <w:b w:val="0"/>
          <w:bCs/>
          <w:color w:val="000000"/>
          <w:sz w:val="32"/>
          <w:szCs w:val="32"/>
        </w:rPr>
        <w:t>住房保障支出</w:t>
      </w:r>
      <w:r>
        <w:rPr>
          <w:rStyle w:val="37"/>
          <w:rFonts w:hint="eastAsia" w:ascii="仿宋" w:hAnsi="仿宋" w:eastAsia="仿宋" w:cs="仿宋"/>
          <w:b w:val="0"/>
          <w:bCs/>
          <w:color w:val="000000"/>
          <w:sz w:val="32"/>
          <w:szCs w:val="32"/>
          <w:lang w:val="en-US" w:eastAsia="zh-CN"/>
        </w:rPr>
        <w:t>28.68万元，其中</w:t>
      </w:r>
      <w:bookmarkStart w:id="45" w:name="OLE_LINK19"/>
      <w:bookmarkStart w:id="46" w:name="OLE_LINK20"/>
      <w:r>
        <w:rPr>
          <w:rStyle w:val="37"/>
          <w:rFonts w:hint="eastAsia" w:ascii="仿宋" w:hAnsi="仿宋" w:eastAsia="仿宋" w:cs="仿宋"/>
          <w:b w:val="0"/>
          <w:bCs/>
          <w:color w:val="000000"/>
          <w:sz w:val="32"/>
          <w:szCs w:val="32"/>
        </w:rPr>
        <w:t>住房保障支出</w:t>
      </w:r>
      <w:bookmarkEnd w:id="45"/>
      <w:r>
        <w:rPr>
          <w:rStyle w:val="37"/>
          <w:rFonts w:hint="eastAsia" w:ascii="仿宋" w:hAnsi="仿宋" w:eastAsia="仿宋" w:cs="仿宋"/>
          <w:b w:val="0"/>
          <w:bCs/>
          <w:color w:val="000000"/>
          <w:sz w:val="32"/>
          <w:szCs w:val="32"/>
        </w:rPr>
        <w:t>（类）住房改革支出（款）</w:t>
      </w:r>
      <w:bookmarkEnd w:id="46"/>
      <w:r>
        <w:rPr>
          <w:rStyle w:val="37"/>
          <w:rFonts w:hint="eastAsia" w:ascii="仿宋" w:hAnsi="仿宋" w:eastAsia="仿宋" w:cs="仿宋"/>
          <w:b w:val="0"/>
          <w:bCs/>
          <w:color w:val="000000"/>
          <w:sz w:val="32"/>
          <w:szCs w:val="32"/>
        </w:rPr>
        <w:t>住房公积金</w:t>
      </w:r>
      <w:bookmarkStart w:id="47" w:name="OLE_LINK21"/>
      <w:r>
        <w:rPr>
          <w:rStyle w:val="37"/>
          <w:rFonts w:hint="eastAsia" w:ascii="仿宋" w:hAnsi="仿宋" w:eastAsia="仿宋" w:cs="仿宋"/>
          <w:b w:val="0"/>
          <w:bCs/>
          <w:color w:val="000000"/>
          <w:sz w:val="32"/>
          <w:szCs w:val="32"/>
        </w:rPr>
        <w:t>（项）（科目代码：</w:t>
      </w:r>
      <w:bookmarkEnd w:id="47"/>
      <w:r>
        <w:rPr>
          <w:rStyle w:val="37"/>
          <w:rFonts w:hint="eastAsia" w:ascii="仿宋" w:hAnsi="仿宋" w:eastAsia="仿宋" w:cs="仿宋"/>
          <w:b w:val="0"/>
          <w:bCs/>
          <w:color w:val="000000"/>
          <w:sz w:val="32"/>
          <w:szCs w:val="32"/>
        </w:rPr>
        <w:t>2210201）:</w:t>
      </w:r>
      <w:bookmarkStart w:id="48" w:name="OLE_LINK22"/>
      <w:r>
        <w:rPr>
          <w:rStyle w:val="37"/>
          <w:rFonts w:hint="eastAsia" w:ascii="仿宋" w:hAnsi="仿宋" w:eastAsia="仿宋" w:cs="仿宋"/>
          <w:b w:val="0"/>
          <w:bCs/>
          <w:color w:val="000000"/>
          <w:sz w:val="32"/>
          <w:szCs w:val="32"/>
        </w:rPr>
        <w:t>支出决算为</w:t>
      </w:r>
      <w:r>
        <w:rPr>
          <w:rStyle w:val="37"/>
          <w:rFonts w:hint="eastAsia" w:ascii="仿宋" w:hAnsi="仿宋" w:eastAsia="仿宋" w:cs="仿宋"/>
          <w:b w:val="0"/>
          <w:bCs/>
          <w:color w:val="000000"/>
          <w:sz w:val="32"/>
          <w:szCs w:val="32"/>
          <w:lang w:val="en-US" w:eastAsia="zh-CN"/>
        </w:rPr>
        <w:t>27.48</w:t>
      </w:r>
      <w:r>
        <w:rPr>
          <w:rStyle w:val="37"/>
          <w:rFonts w:hint="eastAsia" w:ascii="仿宋" w:hAnsi="仿宋" w:eastAsia="仿宋" w:cs="仿宋"/>
          <w:b w:val="0"/>
          <w:bCs/>
          <w:color w:val="000000"/>
          <w:sz w:val="32"/>
          <w:szCs w:val="32"/>
        </w:rPr>
        <w:t>万元</w:t>
      </w:r>
      <w:bookmarkEnd w:id="48"/>
      <w:r>
        <w:rPr>
          <w:rStyle w:val="37"/>
          <w:rFonts w:hint="eastAsia" w:ascii="仿宋" w:hAnsi="仿宋" w:eastAsia="仿宋" w:cs="仿宋"/>
          <w:b w:val="0"/>
          <w:bCs/>
          <w:color w:val="000000"/>
          <w:sz w:val="32"/>
          <w:szCs w:val="32"/>
          <w:lang w:eastAsia="zh-CN"/>
        </w:rPr>
        <w:t>，</w:t>
      </w:r>
      <w:r>
        <w:rPr>
          <w:rStyle w:val="37"/>
          <w:rFonts w:hint="eastAsia" w:ascii="仿宋" w:hAnsi="仿宋" w:eastAsia="仿宋" w:cs="仿宋"/>
          <w:b w:val="0"/>
          <w:bCs/>
          <w:color w:val="000000"/>
          <w:sz w:val="32"/>
          <w:szCs w:val="32"/>
        </w:rPr>
        <w:t>完成预算</w:t>
      </w:r>
      <w:r>
        <w:rPr>
          <w:rStyle w:val="37"/>
          <w:rFonts w:hint="eastAsia" w:ascii="仿宋" w:hAnsi="仿宋" w:eastAsia="仿宋" w:cs="仿宋"/>
          <w:b w:val="0"/>
          <w:bCs/>
          <w:color w:val="000000"/>
          <w:sz w:val="32"/>
          <w:szCs w:val="32"/>
          <w:lang w:val="en-US" w:eastAsia="zh-CN"/>
        </w:rPr>
        <w:t>100</w:t>
      </w:r>
      <w:r>
        <w:rPr>
          <w:rStyle w:val="37"/>
          <w:rFonts w:hint="eastAsia" w:ascii="仿宋" w:hAnsi="仿宋" w:eastAsia="仿宋" w:cs="仿宋"/>
          <w:b w:val="0"/>
          <w:bCs/>
          <w:color w:val="000000"/>
          <w:sz w:val="32"/>
          <w:szCs w:val="32"/>
        </w:rPr>
        <w:t>%</w:t>
      </w:r>
      <w:r>
        <w:rPr>
          <w:rStyle w:val="37"/>
          <w:rFonts w:hint="eastAsia" w:ascii="仿宋" w:hAnsi="仿宋" w:eastAsia="仿宋" w:cs="仿宋"/>
          <w:b w:val="0"/>
          <w:bCs/>
          <w:color w:val="000000"/>
          <w:sz w:val="32"/>
          <w:szCs w:val="32"/>
          <w:lang w:eastAsia="zh-CN"/>
        </w:rPr>
        <w:t>；</w:t>
      </w:r>
      <w:r>
        <w:rPr>
          <w:rStyle w:val="37"/>
          <w:rFonts w:hint="eastAsia" w:ascii="仿宋" w:hAnsi="仿宋" w:eastAsia="仿宋" w:cs="仿宋"/>
          <w:b w:val="0"/>
          <w:bCs/>
          <w:color w:val="000000"/>
          <w:sz w:val="32"/>
          <w:szCs w:val="32"/>
        </w:rPr>
        <w:t>住房保障支出（类）住房改革支出（款）</w:t>
      </w:r>
      <w:r>
        <w:rPr>
          <w:rStyle w:val="37"/>
          <w:rFonts w:hint="eastAsia" w:ascii="仿宋" w:hAnsi="仿宋" w:eastAsia="仿宋" w:cs="仿宋"/>
          <w:b w:val="0"/>
          <w:bCs/>
          <w:color w:val="000000"/>
          <w:sz w:val="32"/>
          <w:szCs w:val="32"/>
          <w:lang w:eastAsia="zh-CN"/>
        </w:rPr>
        <w:t>购房补贴</w:t>
      </w:r>
      <w:r>
        <w:rPr>
          <w:rStyle w:val="37"/>
          <w:rFonts w:hint="eastAsia" w:ascii="仿宋" w:hAnsi="仿宋" w:eastAsia="仿宋" w:cs="仿宋"/>
          <w:b w:val="0"/>
          <w:bCs/>
          <w:color w:val="000000"/>
          <w:sz w:val="32"/>
          <w:szCs w:val="32"/>
        </w:rPr>
        <w:t>（项）</w:t>
      </w:r>
      <w:r>
        <w:rPr>
          <w:rStyle w:val="37"/>
          <w:rFonts w:hint="eastAsia" w:ascii="仿宋" w:hAnsi="仿宋" w:eastAsia="仿宋" w:cs="仿宋"/>
          <w:b w:val="0"/>
          <w:bCs/>
          <w:color w:val="000000"/>
          <w:sz w:val="32"/>
          <w:szCs w:val="32"/>
          <w:lang w:eastAsia="zh-CN"/>
        </w:rPr>
        <w:t>（</w:t>
      </w:r>
      <w:r>
        <w:rPr>
          <w:rStyle w:val="37"/>
          <w:rFonts w:hint="eastAsia" w:ascii="仿宋" w:hAnsi="仿宋" w:eastAsia="仿宋" w:cs="仿宋"/>
          <w:b w:val="0"/>
          <w:bCs/>
          <w:color w:val="000000"/>
          <w:sz w:val="32"/>
          <w:szCs w:val="32"/>
        </w:rPr>
        <w:t>科目代码</w:t>
      </w:r>
      <w:r>
        <w:rPr>
          <w:rStyle w:val="37"/>
          <w:rFonts w:hint="eastAsia" w:ascii="仿宋" w:hAnsi="仿宋" w:eastAsia="仿宋" w:cs="仿宋"/>
          <w:b w:val="0"/>
          <w:bCs/>
          <w:color w:val="000000"/>
          <w:sz w:val="32"/>
          <w:szCs w:val="32"/>
          <w:lang w:eastAsia="zh-CN"/>
        </w:rPr>
        <w:t>：</w:t>
      </w:r>
      <w:r>
        <w:rPr>
          <w:rStyle w:val="37"/>
          <w:rFonts w:hint="eastAsia" w:ascii="仿宋" w:hAnsi="仿宋" w:eastAsia="仿宋" w:cs="仿宋"/>
          <w:b w:val="0"/>
          <w:bCs/>
          <w:color w:val="000000"/>
          <w:sz w:val="32"/>
          <w:szCs w:val="32"/>
          <w:lang w:val="en-US" w:eastAsia="zh-CN"/>
        </w:rPr>
        <w:t>2210203</w:t>
      </w:r>
      <w:r>
        <w:rPr>
          <w:rStyle w:val="37"/>
          <w:rFonts w:hint="eastAsia" w:ascii="仿宋" w:hAnsi="仿宋" w:eastAsia="仿宋" w:cs="仿宋"/>
          <w:b w:val="0"/>
          <w:bCs/>
          <w:color w:val="000000"/>
          <w:sz w:val="32"/>
          <w:szCs w:val="32"/>
          <w:lang w:eastAsia="zh-CN"/>
        </w:rPr>
        <w:t>）。</w:t>
      </w:r>
    </w:p>
    <w:p w14:paraId="1797B57B">
      <w:pPr>
        <w:spacing w:line="600" w:lineRule="exact"/>
        <w:ind w:firstLine="640"/>
        <w:rPr>
          <w:rFonts w:eastAsia="仿宋_GB2312" w:cs="仿宋_GB2312"/>
          <w:sz w:val="32"/>
          <w:szCs w:val="32"/>
        </w:rPr>
      </w:pPr>
      <w:r>
        <w:rPr>
          <w:rFonts w:hint="eastAsia" w:eastAsia="仿宋_GB2312" w:cs="仿宋_GB2312"/>
          <w:sz w:val="32"/>
          <w:szCs w:val="32"/>
          <w:lang w:val="en-US" w:eastAsia="zh-CN"/>
        </w:rPr>
        <w:t>5.</w:t>
      </w:r>
      <w:r>
        <w:rPr>
          <w:rFonts w:hint="eastAsia" w:eastAsia="仿宋_GB2312" w:cs="仿宋_GB2312"/>
          <w:sz w:val="32"/>
          <w:szCs w:val="32"/>
        </w:rPr>
        <w:t>农林水支出</w:t>
      </w:r>
      <w:r>
        <w:rPr>
          <w:rFonts w:hint="eastAsia" w:eastAsia="仿宋_GB2312" w:cs="仿宋_GB2312"/>
          <w:sz w:val="32"/>
          <w:szCs w:val="32"/>
          <w:lang w:val="en-US" w:eastAsia="zh-CN"/>
        </w:rPr>
        <w:t>497.77万元，其中</w:t>
      </w:r>
      <w:r>
        <w:rPr>
          <w:rFonts w:hint="eastAsia" w:eastAsia="仿宋_GB2312" w:cs="仿宋_GB2312"/>
          <w:sz w:val="32"/>
          <w:szCs w:val="32"/>
        </w:rPr>
        <w:t>农林水支出</w:t>
      </w:r>
      <w:r>
        <w:rPr>
          <w:rStyle w:val="37"/>
          <w:rFonts w:hint="eastAsia" w:ascii="仿宋" w:hAnsi="仿宋" w:eastAsia="仿宋" w:cs="仿宋"/>
          <w:b w:val="0"/>
          <w:bCs/>
          <w:color w:val="000000"/>
          <w:sz w:val="32"/>
          <w:szCs w:val="32"/>
        </w:rPr>
        <w:t>（类）林业和草原（款）事业机构（项）</w:t>
      </w:r>
      <w:r>
        <w:rPr>
          <w:rStyle w:val="37"/>
          <w:rFonts w:hint="eastAsia" w:ascii="仿宋" w:hAnsi="仿宋" w:eastAsia="仿宋" w:cs="仿宋"/>
          <w:b w:val="0"/>
          <w:bCs/>
          <w:color w:val="000000"/>
          <w:sz w:val="32"/>
          <w:szCs w:val="32"/>
          <w:lang w:eastAsia="zh-CN"/>
        </w:rPr>
        <w:t>（</w:t>
      </w:r>
      <w:r>
        <w:rPr>
          <w:rStyle w:val="37"/>
          <w:rFonts w:hint="eastAsia" w:ascii="仿宋" w:hAnsi="仿宋" w:eastAsia="仿宋" w:cs="仿宋"/>
          <w:b w:val="0"/>
          <w:bCs/>
          <w:color w:val="000000"/>
          <w:sz w:val="32"/>
          <w:szCs w:val="32"/>
        </w:rPr>
        <w:t>科目代码</w:t>
      </w:r>
      <w:r>
        <w:rPr>
          <w:rStyle w:val="37"/>
          <w:rFonts w:hint="eastAsia" w:ascii="仿宋" w:hAnsi="仿宋" w:eastAsia="仿宋" w:cs="仿宋"/>
          <w:b w:val="0"/>
          <w:bCs/>
          <w:color w:val="000000"/>
          <w:sz w:val="32"/>
          <w:szCs w:val="32"/>
          <w:lang w:eastAsia="zh-CN"/>
        </w:rPr>
        <w:t>：2130204）：</w:t>
      </w:r>
      <w:r>
        <w:rPr>
          <w:rStyle w:val="37"/>
          <w:rFonts w:hint="eastAsia" w:ascii="仿宋" w:hAnsi="仿宋" w:eastAsia="仿宋" w:cs="仿宋"/>
          <w:b w:val="0"/>
          <w:bCs/>
          <w:color w:val="000000"/>
          <w:sz w:val="32"/>
          <w:szCs w:val="32"/>
          <w:lang w:val="en-US" w:eastAsia="zh-CN"/>
        </w:rPr>
        <w:t>341.24万元，</w:t>
      </w:r>
      <w:r>
        <w:rPr>
          <w:rStyle w:val="37"/>
          <w:rFonts w:hint="eastAsia" w:ascii="仿宋" w:hAnsi="仿宋" w:eastAsia="仿宋" w:cs="仿宋"/>
          <w:b w:val="0"/>
          <w:bCs/>
          <w:color w:val="000000"/>
          <w:sz w:val="32"/>
          <w:szCs w:val="32"/>
        </w:rPr>
        <w:t>完成预算</w:t>
      </w:r>
      <w:r>
        <w:rPr>
          <w:rStyle w:val="37"/>
          <w:rFonts w:hint="eastAsia" w:ascii="仿宋" w:hAnsi="仿宋" w:eastAsia="仿宋" w:cs="仿宋"/>
          <w:b w:val="0"/>
          <w:bCs/>
          <w:color w:val="000000"/>
          <w:sz w:val="32"/>
          <w:szCs w:val="32"/>
          <w:lang w:val="en-US" w:eastAsia="zh-CN"/>
        </w:rPr>
        <w:t>100</w:t>
      </w:r>
      <w:r>
        <w:rPr>
          <w:rStyle w:val="37"/>
          <w:rFonts w:hint="eastAsia" w:ascii="仿宋" w:hAnsi="仿宋" w:eastAsia="仿宋" w:cs="仿宋"/>
          <w:b w:val="0"/>
          <w:bCs/>
          <w:color w:val="000000"/>
          <w:sz w:val="32"/>
          <w:szCs w:val="32"/>
        </w:rPr>
        <w:t>%</w:t>
      </w:r>
      <w:r>
        <w:rPr>
          <w:rStyle w:val="37"/>
          <w:rFonts w:hint="eastAsia" w:ascii="仿宋" w:hAnsi="仿宋" w:eastAsia="仿宋" w:cs="仿宋"/>
          <w:b w:val="0"/>
          <w:bCs/>
          <w:color w:val="000000"/>
          <w:sz w:val="32"/>
          <w:szCs w:val="32"/>
          <w:lang w:val="en-US" w:eastAsia="zh-CN"/>
        </w:rPr>
        <w:t>；</w:t>
      </w:r>
      <w:r>
        <w:rPr>
          <w:rFonts w:hint="eastAsia" w:eastAsia="仿宋_GB2312" w:cs="仿宋_GB2312"/>
          <w:sz w:val="32"/>
          <w:szCs w:val="32"/>
        </w:rPr>
        <w:t>农林水支出</w:t>
      </w:r>
      <w:r>
        <w:rPr>
          <w:rStyle w:val="37"/>
          <w:rFonts w:hint="eastAsia" w:ascii="仿宋" w:hAnsi="仿宋" w:eastAsia="仿宋" w:cs="仿宋"/>
          <w:b w:val="0"/>
          <w:bCs/>
          <w:color w:val="000000"/>
          <w:sz w:val="32"/>
          <w:szCs w:val="32"/>
        </w:rPr>
        <w:t>（类）林业和草原（款）技术推广与转化（项）</w:t>
      </w:r>
      <w:r>
        <w:rPr>
          <w:rStyle w:val="37"/>
          <w:rFonts w:hint="eastAsia" w:ascii="仿宋" w:hAnsi="仿宋" w:eastAsia="仿宋" w:cs="仿宋"/>
          <w:b w:val="0"/>
          <w:bCs/>
          <w:color w:val="000000"/>
          <w:sz w:val="32"/>
          <w:szCs w:val="32"/>
          <w:lang w:eastAsia="zh-CN"/>
        </w:rPr>
        <w:t>（</w:t>
      </w:r>
      <w:r>
        <w:rPr>
          <w:rStyle w:val="37"/>
          <w:rFonts w:hint="eastAsia" w:ascii="仿宋" w:hAnsi="仿宋" w:eastAsia="仿宋" w:cs="仿宋"/>
          <w:b w:val="0"/>
          <w:bCs/>
          <w:color w:val="000000"/>
          <w:sz w:val="32"/>
          <w:szCs w:val="32"/>
        </w:rPr>
        <w:t>科目代码</w:t>
      </w:r>
      <w:r>
        <w:rPr>
          <w:rStyle w:val="37"/>
          <w:rFonts w:hint="eastAsia" w:ascii="仿宋" w:hAnsi="仿宋" w:eastAsia="仿宋" w:cs="仿宋"/>
          <w:b w:val="0"/>
          <w:bCs/>
          <w:color w:val="000000"/>
          <w:sz w:val="32"/>
          <w:szCs w:val="32"/>
          <w:lang w:eastAsia="zh-CN"/>
        </w:rPr>
        <w:t>：2130206）：</w:t>
      </w:r>
      <w:r>
        <w:rPr>
          <w:rStyle w:val="37"/>
          <w:rFonts w:hint="eastAsia" w:ascii="仿宋" w:hAnsi="仿宋" w:eastAsia="仿宋" w:cs="仿宋"/>
          <w:b w:val="0"/>
          <w:bCs/>
          <w:color w:val="000000"/>
          <w:sz w:val="32"/>
          <w:szCs w:val="32"/>
          <w:lang w:val="en-US" w:eastAsia="zh-CN"/>
        </w:rPr>
        <w:t>105.54万元，</w:t>
      </w:r>
      <w:r>
        <w:rPr>
          <w:rStyle w:val="37"/>
          <w:rFonts w:hint="eastAsia" w:ascii="仿宋" w:hAnsi="仿宋" w:eastAsia="仿宋" w:cs="仿宋"/>
          <w:b w:val="0"/>
          <w:bCs/>
          <w:color w:val="000000"/>
          <w:sz w:val="32"/>
          <w:szCs w:val="32"/>
        </w:rPr>
        <w:t>完成预算</w:t>
      </w:r>
      <w:r>
        <w:rPr>
          <w:rStyle w:val="37"/>
          <w:rFonts w:hint="eastAsia" w:ascii="仿宋" w:hAnsi="仿宋" w:eastAsia="仿宋" w:cs="仿宋"/>
          <w:b w:val="0"/>
          <w:bCs/>
          <w:color w:val="000000"/>
          <w:sz w:val="32"/>
          <w:szCs w:val="32"/>
          <w:lang w:val="en-US" w:eastAsia="zh-CN"/>
        </w:rPr>
        <w:t>100</w:t>
      </w:r>
      <w:r>
        <w:rPr>
          <w:rStyle w:val="37"/>
          <w:rFonts w:hint="eastAsia" w:ascii="仿宋" w:hAnsi="仿宋" w:eastAsia="仿宋" w:cs="仿宋"/>
          <w:b w:val="0"/>
          <w:bCs/>
          <w:color w:val="000000"/>
          <w:sz w:val="32"/>
          <w:szCs w:val="32"/>
        </w:rPr>
        <w:t>%</w:t>
      </w:r>
      <w:r>
        <w:rPr>
          <w:rStyle w:val="37"/>
          <w:rFonts w:hint="eastAsia" w:ascii="仿宋" w:hAnsi="仿宋" w:eastAsia="仿宋" w:cs="仿宋"/>
          <w:b w:val="0"/>
          <w:bCs/>
          <w:color w:val="000000"/>
          <w:sz w:val="32"/>
          <w:szCs w:val="32"/>
          <w:lang w:val="en-US" w:eastAsia="zh-CN"/>
        </w:rPr>
        <w:t>；</w:t>
      </w:r>
      <w:r>
        <w:rPr>
          <w:rFonts w:hint="eastAsia" w:eastAsia="仿宋_GB2312" w:cs="仿宋_GB2312"/>
          <w:sz w:val="32"/>
          <w:szCs w:val="32"/>
        </w:rPr>
        <w:t>农林水支出</w:t>
      </w:r>
      <w:r>
        <w:rPr>
          <w:rStyle w:val="37"/>
          <w:rFonts w:hint="eastAsia" w:ascii="仿宋" w:hAnsi="仿宋" w:eastAsia="仿宋" w:cs="仿宋"/>
          <w:b w:val="0"/>
          <w:bCs/>
          <w:color w:val="000000"/>
          <w:sz w:val="32"/>
          <w:szCs w:val="32"/>
        </w:rPr>
        <w:t>（类）林业和草原（款）行业业务管理（项）</w:t>
      </w:r>
      <w:r>
        <w:rPr>
          <w:rStyle w:val="37"/>
          <w:rFonts w:hint="eastAsia" w:ascii="仿宋" w:hAnsi="仿宋" w:eastAsia="仿宋" w:cs="仿宋"/>
          <w:b w:val="0"/>
          <w:bCs/>
          <w:color w:val="000000"/>
          <w:sz w:val="32"/>
          <w:szCs w:val="32"/>
          <w:lang w:eastAsia="zh-CN"/>
        </w:rPr>
        <w:t>（</w:t>
      </w:r>
      <w:r>
        <w:rPr>
          <w:rStyle w:val="37"/>
          <w:rFonts w:hint="eastAsia" w:ascii="仿宋" w:hAnsi="仿宋" w:eastAsia="仿宋" w:cs="仿宋"/>
          <w:b w:val="0"/>
          <w:bCs/>
          <w:color w:val="000000"/>
          <w:sz w:val="32"/>
          <w:szCs w:val="32"/>
        </w:rPr>
        <w:t>科目代码</w:t>
      </w:r>
      <w:r>
        <w:rPr>
          <w:rStyle w:val="37"/>
          <w:rFonts w:hint="eastAsia" w:ascii="仿宋" w:hAnsi="仿宋" w:eastAsia="仿宋" w:cs="仿宋"/>
          <w:b w:val="0"/>
          <w:bCs/>
          <w:color w:val="000000"/>
          <w:sz w:val="32"/>
          <w:szCs w:val="32"/>
          <w:lang w:eastAsia="zh-CN"/>
        </w:rPr>
        <w:t>：2130237）：</w:t>
      </w:r>
      <w:r>
        <w:rPr>
          <w:rStyle w:val="37"/>
          <w:rFonts w:hint="eastAsia" w:ascii="仿宋" w:hAnsi="仿宋" w:eastAsia="仿宋" w:cs="仿宋"/>
          <w:b w:val="0"/>
          <w:bCs/>
          <w:color w:val="000000"/>
          <w:sz w:val="32"/>
          <w:szCs w:val="32"/>
          <w:lang w:val="en-US" w:eastAsia="zh-CN"/>
        </w:rPr>
        <w:t>45.99万元</w:t>
      </w:r>
      <w:r>
        <w:rPr>
          <w:rStyle w:val="37"/>
          <w:rFonts w:hint="eastAsia" w:ascii="仿宋" w:hAnsi="仿宋" w:eastAsia="仿宋" w:cs="仿宋"/>
          <w:b w:val="0"/>
          <w:bCs/>
          <w:color w:val="000000"/>
          <w:sz w:val="32"/>
          <w:szCs w:val="32"/>
        </w:rPr>
        <w:t>完成预算</w:t>
      </w:r>
      <w:r>
        <w:rPr>
          <w:rStyle w:val="37"/>
          <w:rFonts w:hint="eastAsia" w:ascii="仿宋" w:hAnsi="仿宋" w:eastAsia="仿宋" w:cs="仿宋"/>
          <w:b w:val="0"/>
          <w:bCs/>
          <w:color w:val="000000"/>
          <w:sz w:val="32"/>
          <w:szCs w:val="32"/>
          <w:lang w:val="en-US" w:eastAsia="zh-CN"/>
        </w:rPr>
        <w:t>100</w:t>
      </w:r>
      <w:r>
        <w:rPr>
          <w:rStyle w:val="37"/>
          <w:rFonts w:hint="eastAsia" w:ascii="仿宋" w:hAnsi="仿宋" w:eastAsia="仿宋" w:cs="仿宋"/>
          <w:b w:val="0"/>
          <w:bCs/>
          <w:color w:val="000000"/>
          <w:sz w:val="32"/>
          <w:szCs w:val="32"/>
        </w:rPr>
        <w:t>%</w:t>
      </w:r>
      <w:r>
        <w:rPr>
          <w:rStyle w:val="37"/>
          <w:rFonts w:hint="eastAsia" w:ascii="仿宋" w:hAnsi="仿宋" w:eastAsia="仿宋" w:cs="仿宋"/>
          <w:b w:val="0"/>
          <w:bCs/>
          <w:color w:val="000000"/>
          <w:sz w:val="32"/>
          <w:szCs w:val="32"/>
          <w:lang w:eastAsia="zh-CN"/>
        </w:rPr>
        <w:t>。</w:t>
      </w:r>
    </w:p>
    <w:p w14:paraId="3898338A">
      <w:pPr>
        <w:tabs>
          <w:tab w:val="right" w:pos="8306"/>
        </w:tabs>
        <w:spacing w:line="600" w:lineRule="exact"/>
        <w:ind w:firstLine="640"/>
        <w:outlineLvl w:val="1"/>
        <w:rPr>
          <w:rStyle w:val="31"/>
          <w:rFonts w:ascii="Times New Roman" w:hAnsi="Times New Roman"/>
        </w:rPr>
      </w:pPr>
      <w:bookmarkStart w:id="49" w:name="_Toc15396608"/>
      <w:bookmarkStart w:id="50" w:name="_Toc15593"/>
      <w:bookmarkStart w:id="51" w:name="_Toc15377214"/>
      <w:r>
        <w:rPr>
          <w:rFonts w:hint="eastAsia" w:eastAsia="黑体"/>
          <w:sz w:val="32"/>
          <w:szCs w:val="32"/>
        </w:rPr>
        <w:t>六</w:t>
      </w:r>
      <w:r>
        <w:rPr>
          <w:rFonts w:hint="eastAsia" w:eastAsia="黑体"/>
          <w:b/>
          <w:sz w:val="32"/>
          <w:szCs w:val="32"/>
        </w:rPr>
        <w:t>、一</w:t>
      </w:r>
      <w:r>
        <w:rPr>
          <w:rStyle w:val="31"/>
          <w:rFonts w:hint="eastAsia" w:ascii="Times New Roman" w:hAnsi="Times New Roman" w:eastAsia="黑体"/>
          <w:b w:val="0"/>
        </w:rPr>
        <w:t>般公共预算财政拨款基本支出决算情况说明</w:t>
      </w:r>
      <w:bookmarkEnd w:id="49"/>
      <w:bookmarkEnd w:id="50"/>
      <w:bookmarkEnd w:id="51"/>
      <w:r>
        <w:rPr>
          <w:rStyle w:val="31"/>
          <w:rFonts w:ascii="Times New Roman" w:hAnsi="Times New Roman" w:eastAsia="黑体"/>
          <w:b w:val="0"/>
        </w:rPr>
        <w:tab/>
      </w:r>
    </w:p>
    <w:p w14:paraId="78FCF0B6">
      <w:pPr>
        <w:spacing w:line="600" w:lineRule="exact"/>
        <w:ind w:firstLine="640"/>
        <w:rPr>
          <w:rFonts w:eastAsia="仿宋_GB2312" w:cs="仿宋_GB2312"/>
          <w:sz w:val="32"/>
          <w:szCs w:val="32"/>
        </w:rPr>
      </w:pPr>
      <w:r>
        <w:rPr>
          <w:rFonts w:hint="eastAsia" w:eastAsia="仿宋_GB2312" w:cs="仿宋_GB2312"/>
          <w:sz w:val="32"/>
          <w:szCs w:val="32"/>
        </w:rPr>
        <w:t>2024年度一般公共预算财政拨款基本支出</w:t>
      </w:r>
      <w:r>
        <w:rPr>
          <w:rFonts w:hint="eastAsia" w:ascii="仿宋_GB2312" w:hAnsi="仿宋_GB2312" w:eastAsia="仿宋_GB2312" w:cs="仿宋_GB2312"/>
          <w:sz w:val="32"/>
          <w:szCs w:val="32"/>
        </w:rPr>
        <w:t>442.03万</w:t>
      </w:r>
      <w:r>
        <w:rPr>
          <w:rFonts w:hint="eastAsia" w:eastAsia="仿宋_GB2312" w:cs="仿宋_GB2312"/>
          <w:sz w:val="32"/>
          <w:szCs w:val="32"/>
        </w:rPr>
        <w:t>元，其中：</w:t>
      </w:r>
    </w:p>
    <w:p w14:paraId="6B465E02">
      <w:pPr>
        <w:spacing w:line="600" w:lineRule="exact"/>
        <w:ind w:firstLine="640"/>
        <w:rPr>
          <w:rFonts w:eastAsia="仿宋_GB2312" w:cs="仿宋_GB2312"/>
          <w:sz w:val="32"/>
          <w:szCs w:val="32"/>
        </w:rPr>
      </w:pPr>
      <w:r>
        <w:rPr>
          <w:rFonts w:hint="eastAsia" w:eastAsia="仿宋_GB2312" w:cs="仿宋_GB2312"/>
          <w:sz w:val="32"/>
          <w:szCs w:val="32"/>
        </w:rPr>
        <w:t>人员经费</w:t>
      </w:r>
      <w:r>
        <w:rPr>
          <w:rFonts w:hint="eastAsia" w:ascii="仿宋_GB2312" w:hAnsi="仿宋_GB2312" w:eastAsia="仿宋_GB2312" w:cs="仿宋_GB2312"/>
          <w:sz w:val="32"/>
          <w:szCs w:val="32"/>
        </w:rPr>
        <w:t>411.35万</w:t>
      </w:r>
      <w:r>
        <w:rPr>
          <w:rFonts w:hint="eastAsia" w:eastAsia="仿宋_GB2312" w:cs="仿宋_GB2312"/>
          <w:sz w:val="32"/>
          <w:szCs w:val="32"/>
        </w:rPr>
        <w:t>元，主要包括：基本工资、津贴补贴、奖金、伙食补助费、绩效工资、机关事业单位基本养老保险缴费、职业年金缴费、其他社会保障缴费、其他工资福利支出、生活补助、奖励金等。</w:t>
      </w:r>
      <w:r>
        <w:rPr>
          <w:rFonts w:hint="eastAsia" w:eastAsia="仿宋_GB2312" w:cs="仿宋_GB2312"/>
          <w:sz w:val="32"/>
          <w:szCs w:val="32"/>
        </w:rPr>
        <w:br w:type="textWrapping"/>
      </w:r>
      <w:r>
        <w:rPr>
          <w:rFonts w:hint="eastAsia" w:eastAsia="仿宋_GB2312" w:cs="仿宋_GB2312"/>
          <w:sz w:val="32"/>
          <w:szCs w:val="32"/>
        </w:rPr>
        <w:t>　　公用经费</w:t>
      </w:r>
      <w:r>
        <w:rPr>
          <w:rFonts w:hint="eastAsia" w:ascii="仿宋_GB2312" w:hAnsi="仿宋_GB2312" w:eastAsia="仿宋_GB2312" w:cs="仿宋_GB2312"/>
          <w:sz w:val="32"/>
          <w:szCs w:val="32"/>
        </w:rPr>
        <w:t>30.68万</w:t>
      </w:r>
      <w:r>
        <w:rPr>
          <w:rFonts w:hint="eastAsia" w:eastAsia="仿宋_GB2312" w:cs="仿宋_GB2312"/>
          <w:sz w:val="32"/>
          <w:szCs w:val="32"/>
        </w:rPr>
        <w:t>元，主要包括：办公费、手续费、水费、邮电费、物业管理费、差旅费、维修（护）费、租赁费、培训费、公务接待费、劳务费、委托业务费、福利费、公务用车运行维护费、其他商品和服务支出等。</w:t>
      </w:r>
    </w:p>
    <w:p w14:paraId="69BE6792">
      <w:pPr>
        <w:spacing w:line="600" w:lineRule="exact"/>
        <w:ind w:firstLine="640"/>
        <w:outlineLvl w:val="1"/>
        <w:rPr>
          <w:rStyle w:val="31"/>
          <w:rFonts w:ascii="Times New Roman" w:hAnsi="Times New Roman" w:eastAsia="黑体"/>
          <w:b w:val="0"/>
        </w:rPr>
      </w:pPr>
      <w:bookmarkStart w:id="52" w:name="_Toc15396609"/>
      <w:bookmarkStart w:id="53" w:name="_Toc29962"/>
      <w:bookmarkStart w:id="54" w:name="_Toc15377215"/>
      <w:r>
        <w:rPr>
          <w:rFonts w:hint="eastAsia" w:eastAsia="黑体"/>
          <w:sz w:val="32"/>
          <w:szCs w:val="32"/>
        </w:rPr>
        <w:t>七、</w:t>
      </w:r>
      <w:r>
        <w:rPr>
          <w:rStyle w:val="31"/>
          <w:rFonts w:hint="eastAsia" w:ascii="Times New Roman" w:hAnsi="Times New Roman" w:eastAsia="黑体"/>
          <w:b w:val="0"/>
        </w:rPr>
        <w:t>财政拨款</w:t>
      </w:r>
      <w:r>
        <w:rPr>
          <w:rStyle w:val="31"/>
          <w:rFonts w:hint="eastAsia" w:ascii="Times New Roman" w:hAnsi="Times New Roman" w:eastAsia="黑体"/>
        </w:rPr>
        <w:t>“</w:t>
      </w:r>
      <w:r>
        <w:rPr>
          <w:rStyle w:val="31"/>
          <w:rFonts w:hint="eastAsia" w:ascii="Times New Roman" w:hAnsi="Times New Roman" w:eastAsia="黑体"/>
          <w:b w:val="0"/>
        </w:rPr>
        <w:t>三公”经费支出决算情况说明</w:t>
      </w:r>
      <w:bookmarkEnd w:id="52"/>
      <w:bookmarkEnd w:id="53"/>
      <w:bookmarkEnd w:id="54"/>
    </w:p>
    <w:p w14:paraId="1A3E93D9">
      <w:pPr>
        <w:spacing w:line="600" w:lineRule="exact"/>
        <w:ind w:firstLine="643" w:firstLineChars="200"/>
        <w:outlineLvl w:val="9"/>
        <w:rPr>
          <w:rFonts w:eastAsia="楷体_GB2312" w:cs="楷体_GB2312"/>
          <w:b/>
          <w:sz w:val="32"/>
          <w:szCs w:val="32"/>
        </w:rPr>
      </w:pPr>
      <w:bookmarkStart w:id="55" w:name="_Toc15377216"/>
      <w:r>
        <w:rPr>
          <w:rFonts w:hint="eastAsia" w:eastAsia="楷体_GB2312" w:cs="楷体_GB2312"/>
          <w:b/>
          <w:sz w:val="32"/>
          <w:szCs w:val="32"/>
        </w:rPr>
        <w:t>（一）“三公”经费财政拨款支出决算总体情况说明</w:t>
      </w:r>
      <w:bookmarkEnd w:id="55"/>
    </w:p>
    <w:p w14:paraId="68A73174">
      <w:pPr>
        <w:spacing w:line="600" w:lineRule="exact"/>
        <w:ind w:firstLine="640"/>
        <w:rPr>
          <w:rFonts w:eastAsia="仿宋_GB2312" w:cs="仿宋_GB2312"/>
          <w:b/>
          <w:bCs/>
          <w:sz w:val="32"/>
          <w:szCs w:val="32"/>
        </w:rPr>
      </w:pPr>
      <w:r>
        <w:rPr>
          <w:rFonts w:hint="eastAsia" w:eastAsia="仿宋_GB2312" w:cs="仿宋_GB2312"/>
          <w:sz w:val="32"/>
          <w:szCs w:val="32"/>
        </w:rPr>
        <w:t>2024年度“三公”经费财政拨款支出决算为</w:t>
      </w:r>
      <w:r>
        <w:rPr>
          <w:rFonts w:hint="eastAsia" w:ascii="仿宋_GB2312" w:hAnsi="仿宋_GB2312" w:eastAsia="仿宋_GB2312" w:cs="仿宋_GB2312"/>
          <w:sz w:val="32"/>
          <w:szCs w:val="32"/>
          <w:lang w:val="en-US" w:eastAsia="zh-CN"/>
        </w:rPr>
        <w:t>2.14</w:t>
      </w:r>
      <w:r>
        <w:rPr>
          <w:rFonts w:hint="eastAsia" w:ascii="仿宋_GB2312" w:hAnsi="仿宋_GB2312" w:eastAsia="仿宋_GB2312" w:cs="仿宋_GB2312"/>
          <w:sz w:val="32"/>
          <w:szCs w:val="32"/>
        </w:rPr>
        <w:t>万元，完成预算</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w:t>
      </w:r>
      <w:r>
        <w:rPr>
          <w:rFonts w:hint="eastAsia" w:eastAsia="仿宋_GB2312" w:cs="仿宋_GB2312"/>
          <w:sz w:val="32"/>
          <w:szCs w:val="32"/>
        </w:rPr>
        <w:t>较上年度减少</w:t>
      </w:r>
      <w:r>
        <w:rPr>
          <w:rFonts w:hint="eastAsia" w:eastAsia="仿宋_GB2312" w:cs="仿宋_GB2312"/>
          <w:sz w:val="32"/>
          <w:szCs w:val="32"/>
          <w:lang w:val="en-US" w:eastAsia="zh-CN"/>
        </w:rPr>
        <w:t>1.24</w:t>
      </w:r>
      <w:r>
        <w:rPr>
          <w:rFonts w:hint="eastAsia" w:eastAsia="仿宋_GB2312" w:cs="仿宋_GB2312"/>
          <w:sz w:val="32"/>
          <w:szCs w:val="32"/>
        </w:rPr>
        <w:t>万元，下降</w:t>
      </w:r>
      <w:r>
        <w:rPr>
          <w:rFonts w:hint="eastAsia" w:eastAsia="仿宋_GB2312" w:cs="仿宋_GB2312"/>
          <w:sz w:val="32"/>
          <w:szCs w:val="32"/>
          <w:lang w:val="en-US" w:eastAsia="zh-CN"/>
        </w:rPr>
        <w:t>36.7</w:t>
      </w:r>
      <w:r>
        <w:rPr>
          <w:rFonts w:hint="eastAsia" w:eastAsia="仿宋_GB2312" w:cs="仿宋_GB2312"/>
          <w:sz w:val="32"/>
          <w:szCs w:val="32"/>
        </w:rPr>
        <w:t>%。决算数与预算数持平</w:t>
      </w:r>
      <w:r>
        <w:rPr>
          <w:rFonts w:hint="eastAsia" w:eastAsia="仿宋_GB2312" w:cs="仿宋_GB2312"/>
          <w:sz w:val="32"/>
          <w:szCs w:val="32"/>
          <w:lang w:eastAsia="zh-CN"/>
        </w:rPr>
        <w:t>。</w:t>
      </w:r>
    </w:p>
    <w:p w14:paraId="66DF17C7">
      <w:pPr>
        <w:spacing w:line="600" w:lineRule="exact"/>
        <w:ind w:firstLine="643" w:firstLineChars="200"/>
        <w:outlineLvl w:val="9"/>
        <w:rPr>
          <w:rFonts w:eastAsia="楷体_GB2312" w:cs="楷体_GB2312"/>
          <w:b/>
          <w:sz w:val="32"/>
          <w:szCs w:val="32"/>
        </w:rPr>
      </w:pPr>
      <w:bookmarkStart w:id="56" w:name="_Toc15377217"/>
      <w:r>
        <w:rPr>
          <w:rFonts w:hint="eastAsia" w:eastAsia="楷体_GB2312" w:cs="楷体_GB2312"/>
          <w:b/>
          <w:sz w:val="32"/>
          <w:szCs w:val="32"/>
        </w:rPr>
        <w:t>（二）“三公”经费财政拨款支出决算具体情况说明</w:t>
      </w:r>
      <w:bookmarkEnd w:id="56"/>
    </w:p>
    <w:p w14:paraId="3DAD8A28">
      <w:pPr>
        <w:spacing w:line="60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2024年度“三公”经费财政拨款支出决算中，因公出国（境）费支出决算</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%；公务用车购置及运行维护费支出决算</w:t>
      </w:r>
      <w:r>
        <w:rPr>
          <w:rFonts w:hint="eastAsia" w:ascii="仿宋_GB2312" w:hAnsi="仿宋_GB2312" w:eastAsia="仿宋_GB2312" w:cs="仿宋_GB2312"/>
          <w:sz w:val="32"/>
          <w:szCs w:val="32"/>
          <w:lang w:val="en-US" w:eastAsia="zh-CN"/>
        </w:rPr>
        <w:t>2.1</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98.1</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，其中</w:t>
      </w:r>
      <w:r>
        <w:rPr>
          <w:rFonts w:hint="eastAsia" w:ascii="仿宋_GB2312" w:hAnsi="仿宋_GB2312" w:eastAsia="仿宋_GB2312" w:cs="仿宋_GB2312"/>
          <w:sz w:val="32"/>
          <w:szCs w:val="32"/>
        </w:rPr>
        <w:t>运行维护费支出</w:t>
      </w:r>
      <w:r>
        <w:rPr>
          <w:rFonts w:hint="eastAsia" w:ascii="仿宋_GB2312" w:hAnsi="仿宋_GB2312" w:eastAsia="仿宋_GB2312" w:cs="仿宋_GB2312"/>
          <w:sz w:val="32"/>
          <w:szCs w:val="32"/>
          <w:lang w:val="en-US" w:eastAsia="zh-CN"/>
        </w:rPr>
        <w:t>2.1万元，</w:t>
      </w:r>
      <w:r>
        <w:rPr>
          <w:rFonts w:hint="eastAsia" w:ascii="仿宋_GB2312" w:hAnsi="仿宋_GB2312" w:eastAsia="仿宋_GB2312" w:cs="仿宋_GB2312"/>
          <w:sz w:val="32"/>
          <w:szCs w:val="32"/>
        </w:rPr>
        <w:t>公务用车购置</w:t>
      </w:r>
      <w:r>
        <w:rPr>
          <w:rFonts w:hint="eastAsia" w:ascii="仿宋_GB2312" w:hAnsi="仿宋_GB2312" w:eastAsia="仿宋_GB2312" w:cs="仿宋_GB2312"/>
          <w:sz w:val="32"/>
          <w:szCs w:val="32"/>
          <w:lang w:val="en-US" w:eastAsia="zh-CN"/>
        </w:rPr>
        <w:t>0万元</w:t>
      </w:r>
      <w:r>
        <w:rPr>
          <w:rFonts w:hint="eastAsia" w:ascii="仿宋_GB2312" w:hAnsi="仿宋_GB2312" w:eastAsia="仿宋_GB2312" w:cs="仿宋_GB2312"/>
          <w:sz w:val="32"/>
          <w:szCs w:val="32"/>
        </w:rPr>
        <w:t>；公务接待费支出决算</w:t>
      </w:r>
      <w:r>
        <w:rPr>
          <w:rFonts w:hint="eastAsia" w:ascii="仿宋_GB2312" w:hAnsi="仿宋_GB2312" w:eastAsia="仿宋_GB2312" w:cs="仿宋_GB2312"/>
          <w:sz w:val="32"/>
          <w:szCs w:val="32"/>
          <w:lang w:val="en-US" w:eastAsia="zh-CN"/>
        </w:rPr>
        <w:t>0.04</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1.9</w:t>
      </w:r>
      <w:r>
        <w:rPr>
          <w:rFonts w:hint="eastAsia" w:ascii="仿宋_GB2312" w:hAnsi="仿宋_GB2312" w:eastAsia="仿宋_GB2312" w:cs="仿宋_GB2312"/>
          <w:sz w:val="32"/>
          <w:szCs w:val="32"/>
        </w:rPr>
        <w:t>%。具体情况如下：</w:t>
      </w:r>
    </w:p>
    <w:p w14:paraId="47B18308">
      <w:pPr>
        <w:spacing w:line="600" w:lineRule="exact"/>
        <w:ind w:firstLine="640"/>
        <w:rPr>
          <w:rFonts w:hint="eastAsia" w:eastAsia="仿宋_GB2312" w:cs="仿宋_GB2312"/>
          <w:sz w:val="32"/>
          <w:szCs w:val="32"/>
        </w:rPr>
      </w:pPr>
      <w:r>
        <w:rPr>
          <w:rFonts w:hint="eastAsia" w:eastAsia="仿宋_GB2312" w:cs="仿宋_GB2312"/>
          <w:sz w:val="32"/>
          <w:szCs w:val="32"/>
        </w:rPr>
        <w:t>（图7：“三公”经费财政拨款支出结构）（饼状图）</w:t>
      </w:r>
    </w:p>
    <w:p w14:paraId="5A84F251">
      <w:pPr>
        <w:keepNext w:val="0"/>
        <w:keepLines w:val="0"/>
        <w:pageBreakBefore w:val="0"/>
        <w:widowControl w:val="0"/>
        <w:kinsoku/>
        <w:wordWrap/>
        <w:overflowPunct/>
        <w:topLinePunct w:val="0"/>
        <w:autoSpaceDE/>
        <w:autoSpaceDN/>
        <w:bidi w:val="0"/>
        <w:adjustRightInd/>
        <w:snapToGrid/>
        <w:spacing w:line="240" w:lineRule="atLeast"/>
        <w:ind w:firstLine="641"/>
        <w:textAlignment w:val="auto"/>
        <w:rPr>
          <w:rFonts w:hint="eastAsia" w:eastAsia="仿宋_GB2312" w:cs="仿宋_GB2312"/>
          <w:sz w:val="32"/>
          <w:szCs w:val="32"/>
        </w:rPr>
      </w:pPr>
      <w:r>
        <w:drawing>
          <wp:inline distT="0" distB="0" distL="114300" distR="114300">
            <wp:extent cx="4826000" cy="2743200"/>
            <wp:effectExtent l="4445" t="4445" r="8255" b="14605"/>
            <wp:docPr id="8"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0838EBC2">
      <w:pPr>
        <w:spacing w:line="600" w:lineRule="exact"/>
        <w:ind w:firstLine="640"/>
        <w:rPr>
          <w:rFonts w:eastAsia="仿宋_GB2312" w:cs="仿宋_GB2312"/>
          <w:sz w:val="32"/>
          <w:szCs w:val="32"/>
        </w:rPr>
      </w:pPr>
      <w:r>
        <w:rPr>
          <w:rFonts w:hint="eastAsia" w:eastAsia="仿宋_GB2312" w:cs="仿宋_GB2312"/>
          <w:b/>
          <w:bCs/>
          <w:sz w:val="32"/>
          <w:szCs w:val="32"/>
        </w:rPr>
        <w:t>1.因公出国（境）经费支出</w:t>
      </w:r>
      <w:r>
        <w:rPr>
          <w:rFonts w:hint="eastAsia" w:eastAsia="仿宋_GB2312" w:cs="仿宋_GB2312"/>
          <w:b/>
          <w:bCs/>
          <w:sz w:val="32"/>
          <w:szCs w:val="32"/>
          <w:lang w:val="en-US" w:eastAsia="zh-CN"/>
        </w:rPr>
        <w:t>0</w:t>
      </w:r>
      <w:r>
        <w:rPr>
          <w:rFonts w:hint="eastAsia" w:eastAsia="仿宋_GB2312" w:cs="仿宋_GB2312"/>
          <w:b/>
          <w:bCs/>
          <w:sz w:val="32"/>
          <w:szCs w:val="32"/>
        </w:rPr>
        <w:t>万元，完成预算</w:t>
      </w:r>
      <w:r>
        <w:rPr>
          <w:rFonts w:hint="eastAsia" w:eastAsia="仿宋_GB2312" w:cs="仿宋_GB2312"/>
          <w:b/>
          <w:bCs/>
          <w:sz w:val="32"/>
          <w:szCs w:val="32"/>
          <w:lang w:val="en-US" w:eastAsia="zh-CN"/>
        </w:rPr>
        <w:t>0</w:t>
      </w:r>
      <w:r>
        <w:rPr>
          <w:rFonts w:hint="eastAsia" w:eastAsia="仿宋_GB2312" w:cs="仿宋_GB2312"/>
          <w:b/>
          <w:bCs/>
          <w:sz w:val="32"/>
          <w:szCs w:val="32"/>
        </w:rPr>
        <w:t>%。</w:t>
      </w:r>
    </w:p>
    <w:p w14:paraId="6FFC7893">
      <w:pPr>
        <w:spacing w:line="600" w:lineRule="exact"/>
        <w:ind w:firstLine="640"/>
        <w:rPr>
          <w:rFonts w:eastAsia="仿宋_GB2312" w:cs="仿宋_GB2312"/>
          <w:sz w:val="32"/>
          <w:szCs w:val="32"/>
        </w:rPr>
      </w:pPr>
      <w:r>
        <w:rPr>
          <w:rFonts w:hint="eastAsia" w:eastAsia="仿宋_GB2312" w:cs="仿宋_GB2312"/>
          <w:b/>
          <w:bCs/>
          <w:sz w:val="32"/>
          <w:szCs w:val="32"/>
        </w:rPr>
        <w:t>2.公务用车购置及运行维护费支出</w:t>
      </w:r>
      <w:r>
        <w:rPr>
          <w:rFonts w:hint="eastAsia" w:ascii="仿宋_GB2312" w:hAnsi="仿宋_GB2312" w:eastAsia="仿宋_GB2312" w:cs="仿宋_GB2312"/>
          <w:b/>
          <w:bCs/>
          <w:sz w:val="32"/>
          <w:szCs w:val="32"/>
          <w:lang w:val="en-US" w:eastAsia="zh-CN"/>
        </w:rPr>
        <w:t>2.1</w:t>
      </w:r>
      <w:r>
        <w:rPr>
          <w:rFonts w:hint="eastAsia" w:ascii="仿宋_GB2312" w:hAnsi="仿宋_GB2312" w:eastAsia="仿宋_GB2312" w:cs="仿宋_GB2312"/>
          <w:b/>
          <w:bCs/>
          <w:sz w:val="32"/>
          <w:szCs w:val="32"/>
        </w:rPr>
        <w:t>万</w:t>
      </w:r>
      <w:r>
        <w:rPr>
          <w:rFonts w:hint="eastAsia" w:eastAsia="仿宋_GB2312" w:cs="仿宋_GB2312"/>
          <w:b/>
          <w:bCs/>
          <w:sz w:val="32"/>
          <w:szCs w:val="32"/>
        </w:rPr>
        <w:t>元，完成预算*</w:t>
      </w:r>
      <w:r>
        <w:rPr>
          <w:rFonts w:hint="eastAsia" w:eastAsia="仿宋_GB2312" w:cs="仿宋_GB2312"/>
          <w:b/>
          <w:bCs/>
          <w:sz w:val="32"/>
          <w:szCs w:val="32"/>
          <w:lang w:val="en-US" w:eastAsia="zh-CN"/>
        </w:rPr>
        <w:t>100</w:t>
      </w:r>
      <w:r>
        <w:rPr>
          <w:rFonts w:hint="eastAsia" w:eastAsia="仿宋_GB2312" w:cs="仿宋_GB2312"/>
          <w:b/>
          <w:bCs/>
          <w:sz w:val="32"/>
          <w:szCs w:val="32"/>
        </w:rPr>
        <w:t>%。</w:t>
      </w:r>
      <w:r>
        <w:rPr>
          <w:rFonts w:hint="eastAsia" w:eastAsia="仿宋_GB2312" w:cs="仿宋_GB2312"/>
          <w:sz w:val="32"/>
          <w:szCs w:val="32"/>
        </w:rPr>
        <w:t>公务用车购置及运行维护费支出决算比2023年度减少</w:t>
      </w:r>
      <w:r>
        <w:rPr>
          <w:rFonts w:hint="eastAsia" w:eastAsia="仿宋_GB2312" w:cs="仿宋_GB2312"/>
          <w:sz w:val="32"/>
          <w:szCs w:val="32"/>
          <w:lang w:val="en-US" w:eastAsia="zh-CN"/>
        </w:rPr>
        <w:t>1.14</w:t>
      </w:r>
      <w:r>
        <w:rPr>
          <w:rFonts w:hint="eastAsia" w:eastAsia="仿宋_GB2312" w:cs="仿宋_GB2312"/>
          <w:sz w:val="32"/>
          <w:szCs w:val="32"/>
        </w:rPr>
        <w:t>万元，下降**%。主要原因是</w:t>
      </w:r>
      <w:r>
        <w:rPr>
          <w:rFonts w:hint="eastAsia" w:eastAsia="仿宋_GB2312" w:cs="仿宋_GB2312"/>
          <w:sz w:val="32"/>
          <w:szCs w:val="32"/>
          <w:lang w:eastAsia="zh-CN"/>
        </w:rPr>
        <w:t>公务用车使用年限较久，</w:t>
      </w:r>
      <w:r>
        <w:rPr>
          <w:rFonts w:hint="eastAsia" w:eastAsia="仿宋_GB2312" w:cs="仿宋_GB2312"/>
          <w:sz w:val="32"/>
          <w:szCs w:val="32"/>
          <w:lang w:val="en-US" w:eastAsia="zh-CN"/>
        </w:rPr>
        <w:t>2024年下半年走报废流程，未使用。</w:t>
      </w:r>
      <w:r>
        <w:rPr>
          <w:rFonts w:hint="eastAsia" w:eastAsia="仿宋_GB2312" w:cs="仿宋_GB2312"/>
          <w:sz w:val="32"/>
          <w:szCs w:val="32"/>
        </w:rPr>
        <w:t>其中：公务用车购置支</w:t>
      </w:r>
      <w:r>
        <w:rPr>
          <w:rFonts w:hint="eastAsia" w:ascii="仿宋_GB2312" w:hAnsi="仿宋_GB2312" w:eastAsia="仿宋_GB2312" w:cs="仿宋_GB2312"/>
          <w:sz w:val="32"/>
          <w:szCs w:val="32"/>
        </w:rPr>
        <w:t>出</w:t>
      </w:r>
      <w:r>
        <w:rPr>
          <w:rFonts w:hint="eastAsia" w:ascii="仿宋_GB2312" w:hAnsi="仿宋_GB2312" w:eastAsia="仿宋_GB2312" w:cs="仿宋_GB2312"/>
          <w:sz w:val="32"/>
          <w:szCs w:val="32"/>
          <w:lang w:val="en-US" w:eastAsia="zh-CN"/>
        </w:rPr>
        <w:t>0</w:t>
      </w:r>
      <w:r>
        <w:rPr>
          <w:rFonts w:hint="eastAsia" w:eastAsia="仿宋_GB2312" w:cs="仿宋_GB2312"/>
          <w:sz w:val="32"/>
          <w:szCs w:val="32"/>
        </w:rPr>
        <w:t>万元。全年按规定更新购置公务用车</w:t>
      </w:r>
      <w:r>
        <w:rPr>
          <w:rFonts w:hint="eastAsia" w:eastAsia="仿宋_GB2312" w:cs="仿宋_GB2312"/>
          <w:sz w:val="32"/>
          <w:szCs w:val="32"/>
          <w:lang w:val="en-US" w:eastAsia="zh-CN"/>
        </w:rPr>
        <w:t>0</w:t>
      </w:r>
      <w:r>
        <w:rPr>
          <w:rFonts w:hint="eastAsia" w:eastAsia="仿宋_GB2312" w:cs="仿宋_GB2312"/>
          <w:sz w:val="32"/>
          <w:szCs w:val="32"/>
        </w:rPr>
        <w:t>辆。截至2024年12月31日，单位共有公务用车</w:t>
      </w:r>
      <w:r>
        <w:rPr>
          <w:rFonts w:hint="eastAsia" w:eastAsia="仿宋_GB2312" w:cs="仿宋_GB2312"/>
          <w:sz w:val="32"/>
          <w:szCs w:val="32"/>
          <w:lang w:val="en-US" w:eastAsia="zh-CN"/>
        </w:rPr>
        <w:t>1</w:t>
      </w:r>
      <w:r>
        <w:rPr>
          <w:rFonts w:hint="eastAsia" w:eastAsia="仿宋_GB2312" w:cs="仿宋_GB2312"/>
          <w:sz w:val="32"/>
          <w:szCs w:val="32"/>
        </w:rPr>
        <w:t>辆，其中：轿车</w:t>
      </w:r>
      <w:r>
        <w:rPr>
          <w:rFonts w:hint="eastAsia" w:eastAsia="仿宋_GB2312" w:cs="仿宋_GB2312"/>
          <w:sz w:val="32"/>
          <w:szCs w:val="32"/>
          <w:lang w:val="en-US" w:eastAsia="zh-CN"/>
        </w:rPr>
        <w:t>1</w:t>
      </w:r>
      <w:r>
        <w:rPr>
          <w:rFonts w:hint="eastAsia" w:eastAsia="仿宋_GB2312" w:cs="仿宋_GB2312"/>
          <w:sz w:val="32"/>
          <w:szCs w:val="32"/>
        </w:rPr>
        <w:t>辆、越野车</w:t>
      </w:r>
      <w:r>
        <w:rPr>
          <w:rFonts w:hint="eastAsia" w:eastAsia="仿宋_GB2312" w:cs="仿宋_GB2312"/>
          <w:sz w:val="32"/>
          <w:szCs w:val="32"/>
          <w:lang w:val="en-US" w:eastAsia="zh-CN"/>
        </w:rPr>
        <w:t>0</w:t>
      </w:r>
      <w:r>
        <w:rPr>
          <w:rFonts w:hint="eastAsia" w:eastAsia="仿宋_GB2312" w:cs="仿宋_GB2312"/>
          <w:sz w:val="32"/>
          <w:szCs w:val="32"/>
        </w:rPr>
        <w:t>辆、载客汽车</w:t>
      </w:r>
      <w:r>
        <w:rPr>
          <w:rFonts w:hint="eastAsia" w:eastAsia="仿宋_GB2312" w:cs="仿宋_GB2312"/>
          <w:sz w:val="32"/>
          <w:szCs w:val="32"/>
          <w:lang w:val="en-US" w:eastAsia="zh-CN"/>
        </w:rPr>
        <w:t>0</w:t>
      </w:r>
      <w:r>
        <w:rPr>
          <w:rFonts w:hint="eastAsia" w:eastAsia="仿宋_GB2312" w:cs="仿宋_GB2312"/>
          <w:sz w:val="32"/>
          <w:szCs w:val="32"/>
        </w:rPr>
        <w:t>辆。</w:t>
      </w:r>
    </w:p>
    <w:p w14:paraId="284A8C27">
      <w:pPr>
        <w:spacing w:line="600" w:lineRule="exact"/>
        <w:ind w:firstLine="640"/>
        <w:rPr>
          <w:rFonts w:eastAsia="仿宋_GB2312" w:cs="仿宋_GB2312"/>
          <w:sz w:val="32"/>
          <w:szCs w:val="32"/>
        </w:rPr>
      </w:pPr>
      <w:r>
        <w:rPr>
          <w:rFonts w:hint="eastAsia" w:eastAsia="仿宋_GB2312" w:cs="仿宋_GB2312"/>
          <w:sz w:val="32"/>
          <w:szCs w:val="32"/>
        </w:rPr>
        <w:t>公务用车运行维护费支</w:t>
      </w:r>
      <w:r>
        <w:rPr>
          <w:rFonts w:hint="eastAsia" w:ascii="仿宋_GB2312" w:hAnsi="仿宋_GB2312" w:eastAsia="仿宋_GB2312" w:cs="仿宋_GB2312"/>
          <w:sz w:val="32"/>
          <w:szCs w:val="32"/>
        </w:rPr>
        <w:t>出</w:t>
      </w:r>
      <w:r>
        <w:rPr>
          <w:rFonts w:hint="eastAsia" w:ascii="仿宋_GB2312" w:hAnsi="仿宋_GB2312" w:eastAsia="仿宋_GB2312" w:cs="仿宋_GB2312"/>
          <w:sz w:val="32"/>
          <w:szCs w:val="32"/>
          <w:lang w:val="en-US" w:eastAsia="zh-CN"/>
        </w:rPr>
        <w:t>2.1</w:t>
      </w:r>
      <w:r>
        <w:rPr>
          <w:rFonts w:hint="eastAsia" w:eastAsia="仿宋_GB2312" w:cs="仿宋_GB2312"/>
          <w:sz w:val="32"/>
          <w:szCs w:val="32"/>
        </w:rPr>
        <w:t>万元。主要用于</w:t>
      </w:r>
      <w:r>
        <w:rPr>
          <w:rFonts w:hint="eastAsia" w:ascii="仿宋_GB2312" w:hAnsi="宋体" w:eastAsia="仿宋_GB2312" w:cs="仿宋_GB2312"/>
          <w:kern w:val="0"/>
          <w:sz w:val="32"/>
          <w:szCs w:val="32"/>
        </w:rPr>
        <w:t>单位领导及其他职工公务出差</w:t>
      </w:r>
      <w:r>
        <w:rPr>
          <w:rFonts w:hint="eastAsia" w:eastAsia="仿宋_GB2312" w:cs="仿宋_GB2312"/>
          <w:sz w:val="32"/>
          <w:szCs w:val="32"/>
        </w:rPr>
        <w:t>所需的公务用车燃料费、维修费、过路过桥费、保险费等支出。</w:t>
      </w:r>
    </w:p>
    <w:p w14:paraId="040F9052">
      <w:pPr>
        <w:spacing w:line="600" w:lineRule="exact"/>
        <w:ind w:firstLine="640"/>
        <w:rPr>
          <w:rFonts w:eastAsia="仿宋_GB2312" w:cs="仿宋_GB2312"/>
          <w:sz w:val="32"/>
          <w:szCs w:val="32"/>
        </w:rPr>
      </w:pPr>
      <w:r>
        <w:rPr>
          <w:rFonts w:hint="eastAsia" w:eastAsia="仿宋_GB2312" w:cs="仿宋_GB2312"/>
          <w:b/>
          <w:bCs/>
          <w:sz w:val="32"/>
          <w:szCs w:val="32"/>
        </w:rPr>
        <w:t>3.公务接待费支出</w:t>
      </w:r>
      <w:r>
        <w:rPr>
          <w:rFonts w:hint="eastAsia" w:ascii="仿宋_GB2312" w:hAnsi="仿宋_GB2312" w:eastAsia="仿宋_GB2312" w:cs="仿宋_GB2312"/>
          <w:b/>
          <w:bCs/>
          <w:sz w:val="32"/>
          <w:szCs w:val="32"/>
          <w:lang w:val="en-US" w:eastAsia="zh-CN"/>
        </w:rPr>
        <w:t>0.04</w:t>
      </w:r>
      <w:r>
        <w:rPr>
          <w:rFonts w:hint="eastAsia" w:ascii="仿宋_GB2312" w:hAnsi="仿宋_GB2312" w:eastAsia="仿宋_GB2312" w:cs="仿宋_GB2312"/>
          <w:b/>
          <w:bCs/>
          <w:sz w:val="32"/>
          <w:szCs w:val="32"/>
        </w:rPr>
        <w:t>万</w:t>
      </w:r>
      <w:r>
        <w:rPr>
          <w:rFonts w:hint="eastAsia" w:eastAsia="仿宋_GB2312" w:cs="仿宋_GB2312"/>
          <w:b/>
          <w:bCs/>
          <w:sz w:val="32"/>
          <w:szCs w:val="32"/>
        </w:rPr>
        <w:t>元，完成预算</w:t>
      </w:r>
      <w:r>
        <w:rPr>
          <w:rFonts w:hint="eastAsia" w:eastAsia="仿宋_GB2312" w:cs="仿宋_GB2312"/>
          <w:b/>
          <w:bCs/>
          <w:sz w:val="32"/>
          <w:szCs w:val="32"/>
          <w:lang w:val="en-US" w:eastAsia="zh-CN"/>
        </w:rPr>
        <w:t>100</w:t>
      </w:r>
      <w:r>
        <w:rPr>
          <w:rFonts w:hint="eastAsia" w:eastAsia="仿宋_GB2312" w:cs="仿宋_GB2312"/>
          <w:b/>
          <w:bCs/>
          <w:sz w:val="32"/>
          <w:szCs w:val="32"/>
        </w:rPr>
        <w:t>%。</w:t>
      </w:r>
      <w:r>
        <w:rPr>
          <w:rFonts w:hint="eastAsia" w:eastAsia="仿宋_GB2312" w:cs="仿宋_GB2312"/>
          <w:sz w:val="32"/>
          <w:szCs w:val="32"/>
        </w:rPr>
        <w:t>公务接待费支出决算比2023年度增加</w:t>
      </w:r>
      <w:r>
        <w:rPr>
          <w:rFonts w:hint="eastAsia" w:eastAsia="仿宋_GB2312" w:cs="仿宋_GB2312"/>
          <w:sz w:val="32"/>
          <w:szCs w:val="32"/>
          <w:lang w:val="en-US" w:eastAsia="zh-CN"/>
        </w:rPr>
        <w:t>0.04</w:t>
      </w:r>
      <w:r>
        <w:rPr>
          <w:rFonts w:hint="eastAsia" w:eastAsia="仿宋_GB2312" w:cs="仿宋_GB2312"/>
          <w:sz w:val="32"/>
          <w:szCs w:val="32"/>
        </w:rPr>
        <w:t>万元，增长</w:t>
      </w:r>
      <w:r>
        <w:rPr>
          <w:rFonts w:hint="eastAsia" w:eastAsia="仿宋_GB2312" w:cs="仿宋_GB2312"/>
          <w:sz w:val="32"/>
          <w:szCs w:val="32"/>
          <w:lang w:val="en-US" w:eastAsia="zh-CN"/>
        </w:rPr>
        <w:t>100</w:t>
      </w:r>
      <w:r>
        <w:rPr>
          <w:rFonts w:hint="eastAsia" w:eastAsia="仿宋_GB2312" w:cs="仿宋_GB2312"/>
          <w:sz w:val="32"/>
          <w:szCs w:val="32"/>
        </w:rPr>
        <w:t>%。主要原因是</w:t>
      </w:r>
      <w:r>
        <w:rPr>
          <w:rFonts w:hint="eastAsia" w:eastAsia="仿宋_GB2312" w:cs="仿宋_GB2312"/>
          <w:sz w:val="32"/>
          <w:szCs w:val="32"/>
          <w:lang w:val="en-US" w:eastAsia="zh-CN"/>
        </w:rPr>
        <w:t>2023年未产生</w:t>
      </w:r>
      <w:r>
        <w:rPr>
          <w:rFonts w:hint="eastAsia" w:eastAsia="仿宋_GB2312" w:cs="仿宋_GB2312"/>
          <w:sz w:val="32"/>
          <w:szCs w:val="32"/>
        </w:rPr>
        <w:t>公务接待费。其中：</w:t>
      </w:r>
    </w:p>
    <w:p w14:paraId="07EBF5BF">
      <w:pPr>
        <w:spacing w:line="600" w:lineRule="exact"/>
        <w:ind w:firstLine="640"/>
        <w:rPr>
          <w:rFonts w:hint="eastAsia" w:eastAsia="仿宋_GB2312" w:cs="仿宋_GB2312"/>
          <w:sz w:val="32"/>
          <w:szCs w:val="32"/>
          <w:lang w:val="en-US" w:eastAsia="zh-CN"/>
        </w:rPr>
      </w:pPr>
      <w:r>
        <w:rPr>
          <w:rFonts w:hint="eastAsia" w:eastAsia="仿宋_GB2312" w:cs="仿宋_GB2312"/>
          <w:sz w:val="32"/>
          <w:szCs w:val="32"/>
        </w:rPr>
        <w:t>国内公务接待支</w:t>
      </w:r>
      <w:r>
        <w:rPr>
          <w:rFonts w:hint="eastAsia" w:ascii="仿宋_GB2312" w:hAnsi="仿宋_GB2312" w:eastAsia="仿宋_GB2312" w:cs="仿宋_GB2312"/>
          <w:sz w:val="32"/>
          <w:szCs w:val="32"/>
        </w:rPr>
        <w:t>出</w:t>
      </w:r>
      <w:r>
        <w:rPr>
          <w:rFonts w:hint="eastAsia" w:ascii="仿宋_GB2312" w:hAnsi="仿宋_GB2312" w:eastAsia="仿宋_GB2312" w:cs="仿宋_GB2312"/>
          <w:sz w:val="32"/>
          <w:szCs w:val="32"/>
          <w:lang w:val="en-US" w:eastAsia="zh-CN"/>
        </w:rPr>
        <w:t>0.04</w:t>
      </w:r>
      <w:r>
        <w:rPr>
          <w:rFonts w:hint="eastAsia" w:ascii="仿宋_GB2312" w:hAnsi="仿宋_GB2312" w:eastAsia="仿宋_GB2312" w:cs="仿宋_GB2312"/>
          <w:sz w:val="32"/>
          <w:szCs w:val="32"/>
        </w:rPr>
        <w:t>万</w:t>
      </w:r>
      <w:r>
        <w:rPr>
          <w:rFonts w:hint="eastAsia" w:eastAsia="仿宋_GB2312" w:cs="仿宋_GB2312"/>
          <w:sz w:val="32"/>
          <w:szCs w:val="32"/>
        </w:rPr>
        <w:t>元，主要用于</w:t>
      </w:r>
      <w:r>
        <w:rPr>
          <w:rFonts w:hint="eastAsia" w:eastAsia="仿宋_GB2312" w:cs="仿宋_GB2312"/>
          <w:sz w:val="32"/>
          <w:szCs w:val="32"/>
          <w:lang w:eastAsia="zh-CN"/>
        </w:rPr>
        <w:t>四川省林科院杨靖宇一行</w:t>
      </w:r>
      <w:r>
        <w:rPr>
          <w:rFonts w:hint="eastAsia" w:eastAsia="仿宋_GB2312" w:cs="仿宋_GB2312"/>
          <w:sz w:val="32"/>
          <w:szCs w:val="32"/>
          <w:lang w:val="en-US" w:eastAsia="zh-CN"/>
        </w:rPr>
        <w:t>6人于2024年12月13日到阿坝州调研森林四库工作产生的用餐费</w:t>
      </w:r>
      <w:r>
        <w:rPr>
          <w:rFonts w:hint="eastAsia" w:eastAsia="仿宋_GB2312" w:cs="仿宋_GB2312"/>
          <w:sz w:val="32"/>
          <w:szCs w:val="32"/>
        </w:rPr>
        <w:t>。国内公务接</w:t>
      </w:r>
      <w:r>
        <w:rPr>
          <w:rFonts w:hint="eastAsia" w:ascii="仿宋_GB2312" w:hAnsi="仿宋_GB2312" w:eastAsia="仿宋_GB2312" w:cs="仿宋_GB2312"/>
          <w:sz w:val="32"/>
          <w:szCs w:val="32"/>
        </w:rPr>
        <w:t>待</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批次，</w:t>
      </w:r>
      <w:r>
        <w:rPr>
          <w:rFonts w:hint="eastAsia" w:ascii="仿宋_GB2312" w:hAnsi="仿宋_GB2312" w:eastAsia="仿宋_GB2312" w:cs="仿宋_GB2312"/>
          <w:sz w:val="32"/>
          <w:szCs w:val="32"/>
          <w:lang w:val="en-US" w:eastAsia="zh-CN"/>
        </w:rPr>
        <w:t>6</w:t>
      </w:r>
      <w:r>
        <w:rPr>
          <w:rFonts w:hint="eastAsia" w:eastAsia="仿宋_GB2312" w:cs="仿宋_GB2312"/>
          <w:sz w:val="32"/>
          <w:szCs w:val="32"/>
        </w:rPr>
        <w:t>人次（不包括陪同人员），共计支出</w:t>
      </w:r>
      <w:r>
        <w:rPr>
          <w:rFonts w:hint="eastAsia" w:eastAsia="仿宋_GB2312" w:cs="仿宋_GB2312"/>
          <w:sz w:val="32"/>
          <w:szCs w:val="32"/>
          <w:lang w:val="en-US" w:eastAsia="zh-CN"/>
        </w:rPr>
        <w:t>0.04</w:t>
      </w:r>
      <w:r>
        <w:rPr>
          <w:rFonts w:hint="eastAsia" w:eastAsia="仿宋_GB2312" w:cs="仿宋_GB2312"/>
          <w:sz w:val="32"/>
          <w:szCs w:val="32"/>
        </w:rPr>
        <w:t>万元，具体内容包括：</w:t>
      </w:r>
      <w:r>
        <w:rPr>
          <w:rFonts w:hint="eastAsia" w:eastAsia="仿宋_GB2312" w:cs="仿宋_GB2312"/>
          <w:sz w:val="32"/>
          <w:szCs w:val="32"/>
          <w:lang w:eastAsia="zh-CN"/>
        </w:rPr>
        <w:t>四川省林科院杨靖宇一行</w:t>
      </w:r>
      <w:r>
        <w:rPr>
          <w:rFonts w:hint="eastAsia" w:eastAsia="仿宋_GB2312" w:cs="仿宋_GB2312"/>
          <w:sz w:val="32"/>
          <w:szCs w:val="32"/>
          <w:lang w:val="en-US" w:eastAsia="zh-CN"/>
        </w:rPr>
        <w:t>6人于2024年12月13日到阿坝州调研森林四库工作产生的用餐费0.04万元。</w:t>
      </w:r>
    </w:p>
    <w:p w14:paraId="2630AD53">
      <w:pPr>
        <w:spacing w:line="600" w:lineRule="exact"/>
        <w:ind w:firstLine="640"/>
        <w:rPr>
          <w:rFonts w:hint="eastAsia" w:eastAsia="仿宋_GB2312" w:cs="仿宋_GB2312"/>
          <w:sz w:val="32"/>
          <w:szCs w:val="32"/>
          <w:lang w:eastAsia="zh-CN"/>
        </w:rPr>
      </w:pPr>
      <w:r>
        <w:rPr>
          <w:rFonts w:hint="eastAsia" w:eastAsia="仿宋_GB2312" w:cs="仿宋_GB2312"/>
          <w:sz w:val="32"/>
          <w:szCs w:val="32"/>
        </w:rPr>
        <w:t>外事接待支</w:t>
      </w:r>
      <w:r>
        <w:rPr>
          <w:rFonts w:hint="eastAsia" w:ascii="仿宋_GB2312" w:hAnsi="仿宋_GB2312" w:eastAsia="仿宋_GB2312" w:cs="仿宋_GB2312"/>
          <w:sz w:val="32"/>
          <w:szCs w:val="32"/>
        </w:rPr>
        <w:t>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w:t>
      </w:r>
      <w:bookmarkStart w:id="57" w:name="_Toc15396610"/>
      <w:bookmarkStart w:id="58" w:name="_Toc15377218"/>
      <w:r>
        <w:rPr>
          <w:rFonts w:hint="eastAsia" w:ascii="仿宋_GB2312" w:hAnsi="仿宋_GB2312" w:eastAsia="仿宋_GB2312" w:cs="仿宋_GB2312"/>
          <w:sz w:val="32"/>
          <w:szCs w:val="32"/>
          <w:lang w:eastAsia="zh-CN"/>
        </w:rPr>
        <w:t>。</w:t>
      </w:r>
    </w:p>
    <w:p w14:paraId="26CE5492">
      <w:pPr>
        <w:spacing w:line="600" w:lineRule="exact"/>
        <w:ind w:firstLine="640"/>
        <w:outlineLvl w:val="1"/>
        <w:rPr>
          <w:rStyle w:val="31"/>
          <w:rFonts w:ascii="Times New Roman" w:hAnsi="Times New Roman" w:eastAsia="黑体"/>
        </w:rPr>
      </w:pPr>
      <w:bookmarkStart w:id="59" w:name="_Toc30892"/>
      <w:r>
        <w:rPr>
          <w:rFonts w:hint="eastAsia" w:eastAsia="黑体"/>
          <w:sz w:val="32"/>
          <w:szCs w:val="32"/>
        </w:rPr>
        <w:t>八、</w:t>
      </w:r>
      <w:r>
        <w:rPr>
          <w:rStyle w:val="31"/>
          <w:rFonts w:hint="eastAsia" w:ascii="Times New Roman" w:hAnsi="Times New Roman" w:eastAsia="黑体"/>
          <w:b w:val="0"/>
        </w:rPr>
        <w:t>政府性基金预算支出决算情况说明</w:t>
      </w:r>
      <w:bookmarkEnd w:id="57"/>
      <w:bookmarkEnd w:id="58"/>
      <w:bookmarkEnd w:id="59"/>
    </w:p>
    <w:p w14:paraId="251F8D6E">
      <w:pPr>
        <w:spacing w:line="600" w:lineRule="exact"/>
        <w:ind w:firstLine="640"/>
        <w:rPr>
          <w:rFonts w:hint="eastAsia" w:eastAsia="仿宋_GB2312" w:cs="仿宋_GB2312"/>
          <w:sz w:val="32"/>
          <w:szCs w:val="32"/>
          <w:lang w:val="en-US" w:eastAsia="zh-CN"/>
        </w:rPr>
      </w:pPr>
      <w:r>
        <w:rPr>
          <w:rFonts w:hint="eastAsia" w:ascii="仿宋_GB2312" w:hAnsi="仿宋_GB2312" w:eastAsia="仿宋_GB2312" w:cs="仿宋_GB2312"/>
          <w:sz w:val="32"/>
          <w:szCs w:val="32"/>
        </w:rPr>
        <w:t>2024年度政府性基金预算财政拨款支出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万元，占本年支出合计的</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w:t>
      </w:r>
      <w:r>
        <w:rPr>
          <w:rFonts w:hint="eastAsia" w:eastAsia="仿宋_GB2312" w:cs="仿宋_GB2312"/>
          <w:sz w:val="32"/>
          <w:szCs w:val="32"/>
        </w:rPr>
        <w:t>。</w:t>
      </w: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年度政府性基金预算财政拨款支出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w:t>
      </w:r>
    </w:p>
    <w:p w14:paraId="6AA40CEA">
      <w:pPr>
        <w:spacing w:line="600" w:lineRule="exact"/>
        <w:ind w:left="630"/>
        <w:outlineLvl w:val="1"/>
        <w:rPr>
          <w:rStyle w:val="31"/>
          <w:rFonts w:ascii="Times New Roman" w:hAnsi="Times New Roman" w:eastAsia="黑体"/>
          <w:b w:val="0"/>
        </w:rPr>
      </w:pPr>
      <w:bookmarkStart w:id="60" w:name="_Toc15377219"/>
      <w:bookmarkStart w:id="61" w:name="_Toc15396611"/>
      <w:bookmarkStart w:id="62" w:name="_Toc9126"/>
      <w:r>
        <w:rPr>
          <w:rStyle w:val="31"/>
          <w:rFonts w:hint="eastAsia" w:ascii="Times New Roman" w:hAnsi="Times New Roman" w:eastAsia="黑体"/>
          <w:b w:val="0"/>
        </w:rPr>
        <w:t>九、国有资本经营预算支出决算情况说明</w:t>
      </w:r>
      <w:bookmarkEnd w:id="60"/>
      <w:bookmarkEnd w:id="61"/>
      <w:bookmarkEnd w:id="62"/>
    </w:p>
    <w:p w14:paraId="71FDA808">
      <w:pPr>
        <w:spacing w:line="600" w:lineRule="exact"/>
        <w:ind w:firstLine="640"/>
        <w:rPr>
          <w:rFonts w:hint="eastAsia" w:eastAsia="仿宋_GB2312" w:cs="仿宋_GB2312"/>
          <w:sz w:val="32"/>
          <w:szCs w:val="32"/>
          <w:lang w:val="en-US" w:eastAsia="zh-CN"/>
        </w:rPr>
      </w:pPr>
      <w:r>
        <w:rPr>
          <w:rFonts w:hint="eastAsia" w:eastAsia="仿宋_GB2312" w:cs="仿宋_GB2312"/>
          <w:sz w:val="32"/>
          <w:szCs w:val="32"/>
        </w:rPr>
        <w:t>2024年度国有资本经营预算财政拨款支出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万元，占本年支出合计的</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w:t>
      </w:r>
      <w:r>
        <w:rPr>
          <w:rFonts w:hint="eastAsia" w:eastAsia="仿宋_GB2312" w:cs="仿宋_GB2312"/>
          <w:sz w:val="32"/>
          <w:szCs w:val="32"/>
        </w:rPr>
        <w:t>。202</w:t>
      </w:r>
      <w:r>
        <w:rPr>
          <w:rFonts w:hint="eastAsia" w:eastAsia="仿宋_GB2312" w:cs="仿宋_GB2312"/>
          <w:sz w:val="32"/>
          <w:szCs w:val="32"/>
          <w:lang w:val="en-US" w:eastAsia="zh-CN"/>
        </w:rPr>
        <w:t>3</w:t>
      </w:r>
      <w:r>
        <w:rPr>
          <w:rFonts w:hint="eastAsia" w:eastAsia="仿宋_GB2312" w:cs="仿宋_GB2312"/>
          <w:sz w:val="32"/>
          <w:szCs w:val="32"/>
        </w:rPr>
        <w:t>年度国有资本经营预算财政拨款支出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w:t>
      </w:r>
    </w:p>
    <w:p w14:paraId="42247DE1">
      <w:pPr>
        <w:spacing w:line="600" w:lineRule="exact"/>
        <w:ind w:left="630"/>
        <w:outlineLvl w:val="1"/>
        <w:rPr>
          <w:rStyle w:val="31"/>
          <w:rFonts w:ascii="Times New Roman" w:hAnsi="Times New Roman" w:eastAsia="黑体"/>
          <w:b w:val="0"/>
        </w:rPr>
      </w:pPr>
      <w:bookmarkStart w:id="63" w:name="_Toc15396612"/>
      <w:bookmarkStart w:id="64" w:name="_Toc4938"/>
      <w:bookmarkStart w:id="65" w:name="_Toc15377221"/>
      <w:r>
        <w:rPr>
          <w:rStyle w:val="31"/>
          <w:rFonts w:hint="eastAsia" w:ascii="Times New Roman" w:hAnsi="Times New Roman" w:eastAsia="黑体"/>
          <w:b w:val="0"/>
        </w:rPr>
        <w:t>十、其他重要事项的情况说明</w:t>
      </w:r>
      <w:bookmarkEnd w:id="63"/>
      <w:bookmarkEnd w:id="64"/>
      <w:bookmarkEnd w:id="65"/>
    </w:p>
    <w:p w14:paraId="376B20B3">
      <w:pPr>
        <w:spacing w:line="600" w:lineRule="exact"/>
        <w:ind w:firstLine="643" w:firstLineChars="200"/>
        <w:outlineLvl w:val="9"/>
        <w:rPr>
          <w:rFonts w:eastAsia="楷体_GB2312" w:cs="楷体_GB2312"/>
          <w:b/>
          <w:sz w:val="32"/>
          <w:szCs w:val="32"/>
        </w:rPr>
      </w:pPr>
      <w:bookmarkStart w:id="66" w:name="_Toc15377222"/>
      <w:r>
        <w:rPr>
          <w:rFonts w:hint="eastAsia" w:eastAsia="楷体_GB2312" w:cs="楷体_GB2312"/>
          <w:b/>
          <w:sz w:val="32"/>
          <w:szCs w:val="32"/>
        </w:rPr>
        <w:t>（一）机关运行经费支出情况</w:t>
      </w:r>
      <w:bookmarkEnd w:id="66"/>
    </w:p>
    <w:p w14:paraId="7288A16E">
      <w:pPr>
        <w:spacing w:line="600" w:lineRule="exact"/>
        <w:ind w:firstLine="640"/>
        <w:rPr>
          <w:rFonts w:hint="eastAsia" w:eastAsia="仿宋_GB2312" w:cs="仿宋_GB2312"/>
          <w:sz w:val="32"/>
          <w:szCs w:val="32"/>
          <w:lang w:val="en-US" w:eastAsia="zh-CN"/>
        </w:rPr>
      </w:pPr>
      <w:r>
        <w:rPr>
          <w:rFonts w:hint="eastAsia" w:eastAsia="仿宋_GB2312" w:cs="仿宋_GB2312"/>
          <w:sz w:val="32"/>
          <w:szCs w:val="32"/>
        </w:rPr>
        <w:t>2024年度</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本年单位</w:t>
      </w:r>
      <w:r>
        <w:rPr>
          <w:rFonts w:hint="eastAsia" w:ascii="仿宋_GB2312" w:hAnsi="仿宋_GB2312" w:eastAsia="仿宋_GB2312" w:cs="仿宋_GB2312"/>
          <w:sz w:val="32"/>
          <w:szCs w:val="32"/>
        </w:rPr>
        <w:t>机关运行经费支出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w:t>
      </w:r>
      <w:r>
        <w:rPr>
          <w:rFonts w:hint="eastAsia" w:eastAsia="仿宋_GB2312" w:cs="仿宋_GB2312"/>
          <w:sz w:val="32"/>
          <w:szCs w:val="32"/>
        </w:rPr>
        <w:t>元，202</w:t>
      </w:r>
      <w:r>
        <w:rPr>
          <w:rFonts w:hint="eastAsia" w:eastAsia="仿宋_GB2312" w:cs="仿宋_GB2312"/>
          <w:sz w:val="32"/>
          <w:szCs w:val="32"/>
          <w:lang w:val="en-US" w:eastAsia="zh-CN"/>
        </w:rPr>
        <w:t>3</w:t>
      </w:r>
      <w:r>
        <w:rPr>
          <w:rFonts w:hint="eastAsia" w:eastAsia="仿宋_GB2312" w:cs="仿宋_GB2312"/>
          <w:sz w:val="32"/>
          <w:szCs w:val="32"/>
        </w:rPr>
        <w:t>年度</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本年单位</w:t>
      </w:r>
      <w:r>
        <w:rPr>
          <w:rFonts w:hint="eastAsia" w:ascii="仿宋_GB2312" w:hAnsi="仿宋_GB2312" w:eastAsia="仿宋_GB2312" w:cs="仿宋_GB2312"/>
          <w:sz w:val="32"/>
          <w:szCs w:val="32"/>
        </w:rPr>
        <w:t>机关运行经费支出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w:t>
      </w:r>
      <w:r>
        <w:rPr>
          <w:rFonts w:hint="eastAsia" w:eastAsia="仿宋_GB2312" w:cs="仿宋_GB2312"/>
          <w:sz w:val="32"/>
          <w:szCs w:val="32"/>
        </w:rPr>
        <w:t>元</w:t>
      </w:r>
      <w:r>
        <w:rPr>
          <w:rFonts w:hint="eastAsia" w:eastAsia="仿宋_GB2312" w:cs="仿宋_GB2312"/>
          <w:sz w:val="32"/>
          <w:szCs w:val="32"/>
          <w:lang w:eastAsia="zh-CN"/>
        </w:rPr>
        <w:t>。</w:t>
      </w:r>
    </w:p>
    <w:p w14:paraId="1D004D30">
      <w:pPr>
        <w:spacing w:line="600" w:lineRule="exact"/>
        <w:ind w:firstLine="643" w:firstLineChars="200"/>
        <w:outlineLvl w:val="9"/>
        <w:rPr>
          <w:rFonts w:eastAsia="楷体_GB2312" w:cs="楷体_GB2312"/>
          <w:b/>
          <w:sz w:val="32"/>
          <w:szCs w:val="32"/>
        </w:rPr>
      </w:pPr>
      <w:bookmarkStart w:id="67" w:name="_Toc15377223"/>
      <w:r>
        <w:rPr>
          <w:rFonts w:hint="eastAsia" w:eastAsia="楷体_GB2312" w:cs="楷体_GB2312"/>
          <w:b/>
          <w:sz w:val="32"/>
          <w:szCs w:val="32"/>
        </w:rPr>
        <w:t>（二）政府采购支出情况</w:t>
      </w:r>
      <w:bookmarkEnd w:id="67"/>
    </w:p>
    <w:p w14:paraId="1347B47C">
      <w:pPr>
        <w:spacing w:line="600" w:lineRule="exact"/>
        <w:ind w:firstLine="640"/>
        <w:rPr>
          <w:rFonts w:eastAsia="仿宋_GB2312" w:cs="仿宋_GB2312"/>
          <w:sz w:val="32"/>
          <w:szCs w:val="32"/>
        </w:rPr>
      </w:pPr>
      <w:r>
        <w:rPr>
          <w:rFonts w:hint="eastAsia" w:ascii="仿宋_GB2312" w:hAnsi="仿宋_GB2312" w:eastAsia="仿宋_GB2312" w:cs="仿宋_GB2312"/>
          <w:sz w:val="32"/>
          <w:szCs w:val="32"/>
        </w:rPr>
        <w:t>2024年度，</w:t>
      </w:r>
      <w:r>
        <w:rPr>
          <w:rFonts w:hint="eastAsia" w:ascii="仿宋_GB2312" w:hAnsi="仿宋_GB2312" w:eastAsia="仿宋_GB2312" w:cs="仿宋_GB2312"/>
          <w:sz w:val="32"/>
          <w:szCs w:val="32"/>
          <w:lang w:eastAsia="zh-CN"/>
        </w:rPr>
        <w:t>本年单位</w:t>
      </w:r>
      <w:r>
        <w:rPr>
          <w:rFonts w:hint="eastAsia" w:ascii="仿宋_GB2312" w:hAnsi="仿宋_GB2312" w:eastAsia="仿宋_GB2312" w:cs="仿宋_GB2312"/>
          <w:sz w:val="32"/>
          <w:szCs w:val="32"/>
        </w:rPr>
        <w:t>政府采购支出总额</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万元，其中：政府采购货物支出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万元、政府采购工程支出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万元、政府采购服务支出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w:t>
      </w:r>
    </w:p>
    <w:p w14:paraId="158A72D2">
      <w:pPr>
        <w:spacing w:line="600" w:lineRule="exact"/>
        <w:ind w:firstLine="643" w:firstLineChars="200"/>
        <w:outlineLvl w:val="9"/>
        <w:rPr>
          <w:rFonts w:eastAsia="楷体_GB2312" w:cs="楷体_GB2312"/>
          <w:b/>
          <w:sz w:val="32"/>
          <w:szCs w:val="32"/>
        </w:rPr>
      </w:pPr>
      <w:bookmarkStart w:id="68" w:name="_Toc15377224"/>
      <w:r>
        <w:rPr>
          <w:rFonts w:hint="eastAsia" w:eastAsia="楷体_GB2312" w:cs="楷体_GB2312"/>
          <w:b/>
          <w:sz w:val="32"/>
          <w:szCs w:val="32"/>
        </w:rPr>
        <w:t>（三）国有资产占有使用情况</w:t>
      </w:r>
      <w:bookmarkEnd w:id="68"/>
    </w:p>
    <w:p w14:paraId="5F0843B0">
      <w:pPr>
        <w:spacing w:line="600" w:lineRule="exact"/>
        <w:ind w:firstLine="640"/>
        <w:rPr>
          <w:rFonts w:eastAsia="仿宋_GB2312" w:cs="仿宋_GB2312"/>
          <w:sz w:val="32"/>
          <w:szCs w:val="32"/>
        </w:rPr>
      </w:pPr>
      <w:r>
        <w:rPr>
          <w:rFonts w:hint="eastAsia" w:ascii="仿宋_GB2312" w:hAnsi="仿宋_GB2312" w:eastAsia="仿宋_GB2312" w:cs="仿宋_GB2312"/>
          <w:sz w:val="32"/>
          <w:szCs w:val="32"/>
        </w:rPr>
        <w:t>截至2024年12月31日，</w:t>
      </w:r>
      <w:r>
        <w:rPr>
          <w:rFonts w:hint="eastAsia" w:ascii="仿宋_GB2312" w:hAnsi="仿宋_GB2312" w:eastAsia="仿宋_GB2312" w:cs="仿宋_GB2312"/>
          <w:sz w:val="32"/>
          <w:szCs w:val="32"/>
          <w:lang w:eastAsia="zh-CN"/>
        </w:rPr>
        <w:t>本年单位</w:t>
      </w:r>
      <w:r>
        <w:rPr>
          <w:rFonts w:hint="eastAsia" w:ascii="仿宋_GB2312" w:hAnsi="仿宋_GB2312" w:eastAsia="仿宋_GB2312" w:cs="仿宋_GB2312"/>
          <w:sz w:val="32"/>
          <w:szCs w:val="32"/>
        </w:rPr>
        <w:t>共有车辆</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辆，其中：主要负责人用车</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辆、机要通信用车</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辆、应急保障用车</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辆、其他用车</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辆，其他用车主要是用</w:t>
      </w:r>
      <w:r>
        <w:rPr>
          <w:rFonts w:hint="eastAsia" w:ascii="仿宋_GB2312" w:hAnsi="宋体" w:eastAsia="仿宋_GB2312" w:cs="仿宋_GB2312"/>
          <w:kern w:val="0"/>
          <w:sz w:val="32"/>
          <w:szCs w:val="32"/>
        </w:rPr>
        <w:t>于单位领导及其他职工公务出差</w:t>
      </w:r>
      <w:r>
        <w:rPr>
          <w:rFonts w:hint="eastAsia" w:ascii="仿宋_GB2312" w:hAnsi="仿宋_GB2312" w:eastAsia="仿宋_GB2312" w:cs="仿宋_GB2312"/>
          <w:sz w:val="32"/>
          <w:szCs w:val="32"/>
        </w:rPr>
        <w:t>。单价100万元（含）以上设备（不含车辆）</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台（套）</w:t>
      </w:r>
      <w:r>
        <w:rPr>
          <w:rFonts w:hint="eastAsia" w:eastAsia="仿宋_GB2312" w:cs="仿宋_GB2312"/>
          <w:sz w:val="32"/>
          <w:szCs w:val="32"/>
        </w:rPr>
        <w:t>。</w:t>
      </w:r>
    </w:p>
    <w:p w14:paraId="7797B2A5">
      <w:pPr>
        <w:spacing w:line="600" w:lineRule="exact"/>
        <w:ind w:firstLine="643" w:firstLineChars="200"/>
        <w:outlineLvl w:val="9"/>
        <w:rPr>
          <w:rFonts w:eastAsia="楷体_GB2312" w:cs="楷体_GB2312"/>
          <w:b/>
          <w:sz w:val="32"/>
          <w:szCs w:val="32"/>
        </w:rPr>
      </w:pPr>
      <w:r>
        <w:rPr>
          <w:rFonts w:hint="eastAsia" w:eastAsia="楷体_GB2312" w:cs="楷体_GB2312"/>
          <w:b/>
          <w:sz w:val="32"/>
          <w:szCs w:val="32"/>
        </w:rPr>
        <w:t>（四）预算绩效管理情况</w:t>
      </w:r>
    </w:p>
    <w:p w14:paraId="1B3E632B">
      <w:pPr>
        <w:spacing w:line="600" w:lineRule="exact"/>
        <w:ind w:firstLine="640"/>
        <w:rPr>
          <w:rFonts w:eastAsia="仿宋_GB2312" w:cs="仿宋_GB2312"/>
          <w:sz w:val="32"/>
          <w:szCs w:val="32"/>
        </w:rPr>
      </w:pPr>
      <w:r>
        <w:rPr>
          <w:rFonts w:hint="eastAsia" w:eastAsia="仿宋_GB2312" w:cs="仿宋_GB2312"/>
          <w:sz w:val="32"/>
          <w:szCs w:val="32"/>
        </w:rPr>
        <w:t>根据预算绩效管理要求，</w:t>
      </w:r>
      <w:r>
        <w:rPr>
          <w:rFonts w:hint="eastAsia" w:eastAsia="仿宋_GB2312" w:cs="仿宋_GB2312"/>
          <w:sz w:val="32"/>
          <w:szCs w:val="32"/>
          <w:lang w:eastAsia="zh-CN"/>
        </w:rPr>
        <w:t>本单位</w:t>
      </w:r>
      <w:r>
        <w:rPr>
          <w:rFonts w:hint="eastAsia" w:eastAsia="仿宋_GB2312" w:cs="仿宋_GB2312"/>
          <w:sz w:val="32"/>
          <w:szCs w:val="32"/>
        </w:rPr>
        <w:t>在2024年度预算编制阶段，组织</w:t>
      </w:r>
      <w:r>
        <w:rPr>
          <w:rFonts w:hint="eastAsia" w:ascii="Times New Roman" w:hAnsi="Times New Roman" w:eastAsia="仿宋_GB2312" w:cs="仿宋_GB2312"/>
          <w:sz w:val="32"/>
          <w:szCs w:val="32"/>
        </w:rPr>
        <w:t>对</w:t>
      </w:r>
      <w:r>
        <w:rPr>
          <w:rFonts w:hint="eastAsia" w:ascii="Times New Roman" w:hAnsi="Times New Roman" w:eastAsia="仿宋_GB2312" w:cs="仿宋_GB2312"/>
          <w:sz w:val="32"/>
          <w:szCs w:val="32"/>
          <w:lang w:val="en-US" w:eastAsia="zh-CN"/>
        </w:rPr>
        <w:t>阿坝州高山和草地珍稀花卉种质资源调查与培育</w:t>
      </w:r>
      <w:r>
        <w:rPr>
          <w:rFonts w:hint="eastAsia" w:ascii="Times New Roman" w:hAnsi="Times New Roman" w:eastAsia="仿宋_GB2312" w:cs="仿宋_GB2312"/>
          <w:sz w:val="32"/>
          <w:szCs w:val="32"/>
        </w:rPr>
        <w:t>等</w:t>
      </w:r>
      <w:r>
        <w:rPr>
          <w:rFonts w:hint="eastAsia" w:ascii="Times New Roman" w:hAnsi="Times New Roman" w:eastAsia="仿宋_GB2312" w:cs="仿宋_GB2312"/>
          <w:sz w:val="32"/>
          <w:szCs w:val="32"/>
          <w:lang w:val="en-US" w:eastAsia="zh-CN"/>
        </w:rPr>
        <w:t>3</w:t>
      </w:r>
      <w:r>
        <w:rPr>
          <w:rFonts w:hint="eastAsia" w:ascii="Times New Roman" w:hAnsi="Times New Roman" w:eastAsia="仿宋_GB2312" w:cs="仿宋_GB2312"/>
          <w:sz w:val="32"/>
          <w:szCs w:val="32"/>
        </w:rPr>
        <w:t>个项目开展了预算事前绩效评估，对</w:t>
      </w:r>
      <w:r>
        <w:rPr>
          <w:rFonts w:hint="eastAsia" w:ascii="Times New Roman" w:hAnsi="Times New Roman" w:eastAsia="仿宋_GB2312" w:cs="仿宋_GB2312"/>
          <w:sz w:val="32"/>
          <w:szCs w:val="32"/>
          <w:lang w:val="en-US" w:eastAsia="zh-CN"/>
        </w:rPr>
        <w:t>阿坝州高山和草地珍稀花卉种质资源调查与培育等3个</w:t>
      </w:r>
      <w:r>
        <w:rPr>
          <w:rFonts w:hint="eastAsia" w:eastAsia="仿宋_GB2312" w:cs="仿宋_GB2312"/>
          <w:sz w:val="32"/>
          <w:szCs w:val="32"/>
        </w:rPr>
        <w:t>项目编制了绩效目标，预算执行过程中，选取</w:t>
      </w:r>
      <w:r>
        <w:rPr>
          <w:rFonts w:hint="eastAsia" w:eastAsia="仿宋_GB2312" w:cs="仿宋_GB2312"/>
          <w:sz w:val="32"/>
          <w:szCs w:val="32"/>
          <w:lang w:val="en-US" w:eastAsia="zh-CN"/>
        </w:rPr>
        <w:t>2</w:t>
      </w:r>
      <w:r>
        <w:rPr>
          <w:rFonts w:hint="eastAsia" w:eastAsia="仿宋_GB2312" w:cs="仿宋_GB2312"/>
          <w:sz w:val="32"/>
          <w:szCs w:val="32"/>
        </w:rPr>
        <w:t>个项目开展绩效监控。</w:t>
      </w:r>
    </w:p>
    <w:p w14:paraId="38652903">
      <w:pPr>
        <w:spacing w:line="600" w:lineRule="exact"/>
        <w:ind w:firstLine="640"/>
        <w:rPr>
          <w:rFonts w:hint="eastAsia" w:ascii="Times New Roman" w:hAnsi="Times New Roman" w:eastAsia="仿宋_GB2312" w:cs="仿宋_GB2312"/>
          <w:sz w:val="32"/>
          <w:szCs w:val="32"/>
        </w:rPr>
      </w:pPr>
      <w:r>
        <w:rPr>
          <w:rFonts w:hint="eastAsia" w:eastAsia="仿宋_GB2312" w:cs="仿宋_GB2312"/>
          <w:sz w:val="32"/>
          <w:szCs w:val="32"/>
        </w:rPr>
        <w:t>组织对2024年度一般公共预算、政府性基金预算、国有资本经营预算、社会保险基金预算以及资本资产、债券资金等全面开展绩效自评，形成</w:t>
      </w:r>
      <w:r>
        <w:rPr>
          <w:rFonts w:hint="eastAsia" w:eastAsia="仿宋_GB2312" w:cs="仿宋_GB2312"/>
          <w:sz w:val="32"/>
          <w:szCs w:val="32"/>
          <w:lang w:eastAsia="zh-CN"/>
        </w:rPr>
        <w:t>本单位</w:t>
      </w:r>
      <w:r>
        <w:rPr>
          <w:rFonts w:hint="eastAsia" w:eastAsia="仿宋_GB2312" w:cs="仿宋_GB2312"/>
          <w:sz w:val="32"/>
          <w:szCs w:val="32"/>
        </w:rPr>
        <w:t>部门整体（含部门预算项目）绩效自评报告、</w:t>
      </w:r>
      <w:r>
        <w:rPr>
          <w:rFonts w:hint="eastAsia" w:ascii="Times New Roman" w:hAnsi="Times New Roman" w:eastAsia="仿宋_GB2312" w:cs="仿宋_GB2312"/>
          <w:sz w:val="32"/>
          <w:szCs w:val="32"/>
          <w:lang w:val="en-US" w:eastAsia="zh-CN"/>
        </w:rPr>
        <w:t>阿坝州高山和草地珍稀花卉种质资源调查与培育</w:t>
      </w:r>
      <w:r>
        <w:rPr>
          <w:rFonts w:hint="eastAsia" w:ascii="Times New Roman" w:hAnsi="Times New Roman" w:eastAsia="仿宋_GB2312" w:cs="仿宋_GB2312"/>
          <w:sz w:val="32"/>
          <w:szCs w:val="32"/>
        </w:rPr>
        <w:t>等专项预算项目绩效自评报告，其中，</w:t>
      </w:r>
      <w:r>
        <w:rPr>
          <w:rFonts w:hint="eastAsia" w:ascii="Times New Roman" w:hAnsi="Times New Roman" w:eastAsia="仿宋_GB2312" w:cs="仿宋_GB2312"/>
          <w:sz w:val="32"/>
          <w:szCs w:val="32"/>
          <w:lang w:eastAsia="zh-CN"/>
        </w:rPr>
        <w:t>本单位</w:t>
      </w:r>
      <w:r>
        <w:rPr>
          <w:rFonts w:hint="eastAsia" w:ascii="Times New Roman" w:hAnsi="Times New Roman" w:eastAsia="仿宋_GB2312" w:cs="仿宋_GB2312"/>
          <w:sz w:val="32"/>
          <w:szCs w:val="32"/>
        </w:rPr>
        <w:t>部门整体（含部门预算项目）绩效自评得分为</w:t>
      </w:r>
      <w:r>
        <w:rPr>
          <w:rFonts w:hint="eastAsia" w:ascii="Times New Roman" w:hAnsi="Times New Roman" w:eastAsia="仿宋_GB2312" w:cs="仿宋_GB2312"/>
          <w:sz w:val="32"/>
          <w:szCs w:val="32"/>
          <w:lang w:val="en-US" w:eastAsia="zh-CN"/>
        </w:rPr>
        <w:t>87.02</w:t>
      </w:r>
      <w:r>
        <w:rPr>
          <w:rFonts w:hint="eastAsia" w:ascii="Times New Roman" w:hAnsi="Times New Roman" w:eastAsia="仿宋_GB2312" w:cs="仿宋_GB2312"/>
          <w:sz w:val="32"/>
          <w:szCs w:val="32"/>
        </w:rPr>
        <w:t>分，绩效自评综述</w:t>
      </w:r>
      <w:r>
        <w:rPr>
          <w:rFonts w:hint="eastAsia" w:ascii="Times New Roman" w:hAnsi="Times New Roman" w:eastAsia="仿宋_GB2312" w:cs="仿宋_GB2312"/>
          <w:sz w:val="32"/>
          <w:szCs w:val="32"/>
          <w:lang w:eastAsia="zh-CN"/>
        </w:rPr>
        <w:t>阿坝州林业和草原科学技术研究所</w:t>
      </w:r>
      <w:r>
        <w:rPr>
          <w:rFonts w:hint="eastAsia" w:ascii="Times New Roman" w:hAnsi="Times New Roman" w:eastAsia="仿宋_GB2312" w:cs="仿宋_GB2312"/>
          <w:sz w:val="32"/>
          <w:szCs w:val="32"/>
        </w:rPr>
        <w:t>在履职效能、预算管理</w:t>
      </w:r>
      <w:r>
        <w:rPr>
          <w:rFonts w:hint="eastAsia" w:ascii="Times New Roman" w:hAnsi="Times New Roman" w:eastAsia="仿宋_GB2312" w:cs="仿宋_GB2312"/>
          <w:sz w:val="32"/>
          <w:szCs w:val="32"/>
          <w:lang w:eastAsia="zh-CN"/>
        </w:rPr>
        <w:t>、财务管理、资产管理、项目决策</w:t>
      </w:r>
      <w:r>
        <w:rPr>
          <w:rFonts w:hint="eastAsia" w:ascii="Times New Roman" w:hAnsi="Times New Roman" w:eastAsia="仿宋_GB2312" w:cs="仿宋_GB2312"/>
          <w:sz w:val="32"/>
          <w:szCs w:val="32"/>
        </w:rPr>
        <w:t>等方面情况较好，</w:t>
      </w:r>
      <w:r>
        <w:rPr>
          <w:rFonts w:hint="eastAsia" w:ascii="Times New Roman" w:hAnsi="Times New Roman" w:eastAsia="仿宋_GB2312" w:cs="仿宋_GB2312"/>
          <w:sz w:val="32"/>
          <w:szCs w:val="32"/>
          <w:lang w:val="en-US" w:eastAsia="zh-CN"/>
        </w:rPr>
        <w:t>有效保障机构能够顺利运转，圆满完成2024年的工作，</w:t>
      </w:r>
      <w:r>
        <w:rPr>
          <w:rFonts w:hint="eastAsia" w:ascii="Times New Roman" w:hAnsi="Times New Roman" w:eastAsia="仿宋_GB2312" w:cs="仿宋_GB2312"/>
          <w:sz w:val="32"/>
          <w:szCs w:val="32"/>
        </w:rPr>
        <w:t>产生了较好的社会效益。</w:t>
      </w:r>
      <w:r>
        <w:rPr>
          <w:rFonts w:hint="eastAsia" w:ascii="Times New Roman" w:hAnsi="Times New Roman" w:eastAsia="仿宋_GB2312" w:cs="仿宋_GB2312"/>
          <w:sz w:val="32"/>
          <w:szCs w:val="32"/>
          <w:lang w:val="zh-CN"/>
        </w:rPr>
        <w:t>部门预算</w:t>
      </w:r>
      <w:r>
        <w:rPr>
          <w:rFonts w:hint="default" w:ascii="Times New Roman" w:hAnsi="Times New Roman" w:eastAsia="仿宋_GB2312" w:cs="仿宋_GB2312"/>
          <w:sz w:val="32"/>
          <w:szCs w:val="32"/>
          <w:lang w:val="zh-CN"/>
        </w:rPr>
        <w:t>总体绩效</w:t>
      </w:r>
      <w:r>
        <w:rPr>
          <w:rFonts w:hint="eastAsia" w:ascii="Times New Roman" w:hAnsi="Times New Roman" w:eastAsia="仿宋_GB2312" w:cs="仿宋_GB2312"/>
          <w:sz w:val="32"/>
          <w:szCs w:val="32"/>
          <w:lang w:val="zh-CN"/>
        </w:rPr>
        <w:t>，得分</w:t>
      </w:r>
      <w:r>
        <w:rPr>
          <w:rFonts w:hint="eastAsia" w:ascii="Times New Roman" w:hAnsi="Times New Roman" w:eastAsia="仿宋_GB2312" w:cs="仿宋_GB2312"/>
          <w:sz w:val="32"/>
          <w:szCs w:val="32"/>
          <w:lang w:val="en-US" w:eastAsia="zh-CN"/>
        </w:rPr>
        <w:t>55.02分。</w:t>
      </w:r>
      <w:r>
        <w:rPr>
          <w:rFonts w:hint="default" w:ascii="Times New Roman" w:hAnsi="Times New Roman" w:eastAsia="仿宋_GB2312" w:cs="仿宋_GB2312"/>
          <w:sz w:val="32"/>
          <w:szCs w:val="32"/>
          <w:lang w:val="zh-CN"/>
        </w:rPr>
        <w:t>部</w:t>
      </w:r>
      <w:r>
        <w:rPr>
          <w:rFonts w:hint="default" w:ascii="Times New Roman" w:hAnsi="Times New Roman" w:eastAsia="仿宋_GB2312" w:cs="仿宋_GB2312"/>
          <w:sz w:val="32"/>
          <w:szCs w:val="32"/>
          <w:lang w:val="zh-CN" w:eastAsia="zh-CN"/>
        </w:rPr>
        <w:t>门预算</w:t>
      </w:r>
      <w:r>
        <w:rPr>
          <w:rFonts w:hint="default" w:ascii="Times New Roman" w:hAnsi="Times New Roman" w:eastAsia="仿宋_GB2312" w:cs="仿宋_GB2312"/>
          <w:sz w:val="32"/>
          <w:szCs w:val="32"/>
          <w:lang w:val="zh-CN"/>
        </w:rPr>
        <w:t>项目绩效</w:t>
      </w:r>
      <w:r>
        <w:rPr>
          <w:rFonts w:hint="eastAsia" w:ascii="Times New Roman" w:hAnsi="Times New Roman" w:eastAsia="仿宋_GB2312" w:cs="仿宋_GB2312"/>
          <w:sz w:val="32"/>
          <w:szCs w:val="32"/>
          <w:lang w:val="zh-CN"/>
        </w:rPr>
        <w:t>，得分</w:t>
      </w:r>
      <w:r>
        <w:rPr>
          <w:rFonts w:hint="eastAsia" w:ascii="Times New Roman" w:hAnsi="Times New Roman" w:eastAsia="仿宋_GB2312" w:cs="仿宋_GB2312"/>
          <w:sz w:val="32"/>
          <w:szCs w:val="32"/>
          <w:lang w:val="en-US" w:eastAsia="zh-CN"/>
        </w:rPr>
        <w:t>32分。</w:t>
      </w:r>
      <w:r>
        <w:rPr>
          <w:rFonts w:hint="eastAsia" w:ascii="Times New Roman" w:hAnsi="Times New Roman" w:eastAsia="仿宋_GB2312" w:cs="仿宋_GB2312"/>
          <w:sz w:val="32"/>
          <w:szCs w:val="32"/>
          <w:lang w:val="zh-CN" w:eastAsia="zh-CN"/>
        </w:rPr>
        <w:t>部门整体支出绩效评价得分</w:t>
      </w:r>
      <w:r>
        <w:rPr>
          <w:rFonts w:hint="eastAsia" w:ascii="Times New Roman" w:hAnsi="Times New Roman" w:eastAsia="仿宋_GB2312" w:cs="仿宋_GB2312"/>
          <w:sz w:val="32"/>
          <w:szCs w:val="32"/>
          <w:lang w:val="en-US" w:eastAsia="zh-CN"/>
        </w:rPr>
        <w:t>87.02</w:t>
      </w:r>
      <w:r>
        <w:rPr>
          <w:rFonts w:hint="eastAsia" w:ascii="Times New Roman" w:hAnsi="Times New Roman" w:eastAsia="仿宋_GB2312" w:cs="仿宋_GB2312"/>
          <w:sz w:val="32"/>
          <w:szCs w:val="32"/>
          <w:lang w:val="zh-CN" w:eastAsia="zh-CN"/>
        </w:rPr>
        <w:t>分。</w:t>
      </w:r>
      <w:r>
        <w:rPr>
          <w:rFonts w:hint="eastAsia" w:ascii="Times New Roman" w:hAnsi="Times New Roman" w:eastAsia="仿宋_GB2312" w:cs="仿宋_GB2312"/>
          <w:sz w:val="32"/>
          <w:szCs w:val="32"/>
        </w:rPr>
        <w:t>绩效自评报告详见附件。</w:t>
      </w:r>
    </w:p>
    <w:p w14:paraId="2C47734F">
      <w:pPr>
        <w:spacing w:line="600" w:lineRule="exact"/>
        <w:ind w:firstLine="640"/>
        <w:rPr>
          <w:rFonts w:eastAsia="仿宋_GB2312" w:cs="仿宋_GB2312"/>
          <w:sz w:val="32"/>
          <w:szCs w:val="32"/>
        </w:rPr>
      </w:pPr>
    </w:p>
    <w:p w14:paraId="4799CBD5">
      <w:pPr>
        <w:spacing w:line="600" w:lineRule="exact"/>
        <w:jc w:val="center"/>
        <w:outlineLvl w:val="0"/>
        <w:rPr>
          <w:rFonts w:eastAsia="黑体"/>
          <w:sz w:val="44"/>
          <w:szCs w:val="44"/>
        </w:rPr>
      </w:pPr>
      <w:bookmarkStart w:id="69" w:name="_Toc31763"/>
      <w:bookmarkStart w:id="70" w:name="_Toc15377225"/>
      <w:bookmarkStart w:id="71" w:name="_Toc15396613"/>
      <w:r>
        <w:rPr>
          <w:rFonts w:hint="eastAsia" w:eastAsia="黑体"/>
          <w:sz w:val="44"/>
          <w:szCs w:val="44"/>
        </w:rPr>
        <w:t>第三部分  名词解释</w:t>
      </w:r>
      <w:bookmarkEnd w:id="69"/>
      <w:bookmarkEnd w:id="70"/>
      <w:bookmarkEnd w:id="71"/>
    </w:p>
    <w:p w14:paraId="7AFDD0D4">
      <w:pPr>
        <w:spacing w:line="600" w:lineRule="exact"/>
        <w:jc w:val="left"/>
        <w:rPr>
          <w:b/>
          <w:sz w:val="44"/>
          <w:szCs w:val="44"/>
        </w:rPr>
      </w:pPr>
    </w:p>
    <w:p w14:paraId="425010EE">
      <w:pPr>
        <w:spacing w:line="600" w:lineRule="exact"/>
        <w:ind w:firstLine="640"/>
        <w:rPr>
          <w:rFonts w:eastAsia="仿宋_GB2312" w:cs="仿宋_GB2312"/>
          <w:sz w:val="32"/>
          <w:szCs w:val="32"/>
        </w:rPr>
      </w:pPr>
      <w:r>
        <w:rPr>
          <w:rFonts w:hint="eastAsia" w:eastAsia="仿宋_GB2312" w:cs="仿宋_GB2312"/>
          <w:sz w:val="32"/>
          <w:szCs w:val="32"/>
        </w:rPr>
        <w:t>1.财政拨款收入：指单位从同级财政部门取得的财政预算资金。</w:t>
      </w:r>
    </w:p>
    <w:p w14:paraId="7A9DC837">
      <w:pPr>
        <w:pStyle w:val="39"/>
        <w:keepNext w:val="0"/>
        <w:keepLines w:val="0"/>
        <w:widowControl w:val="0"/>
        <w:suppressLineNumbers w:val="0"/>
        <w:autoSpaceDE w:val="0"/>
        <w:autoSpaceDN/>
        <w:adjustRightInd w:val="0"/>
        <w:snapToGrid w:val="0"/>
        <w:spacing w:before="0" w:beforeAutospacing="0" w:line="360" w:lineRule="auto"/>
        <w:ind w:left="0" w:firstLine="640" w:firstLineChars="200"/>
        <w:jc w:val="both"/>
        <w:rPr>
          <w:rFonts w:hint="eastAsia" w:eastAsia="仿宋_GB2312" w:cs="仿宋_GB2312"/>
          <w:sz w:val="32"/>
          <w:szCs w:val="32"/>
        </w:rPr>
      </w:pPr>
      <w:r>
        <w:rPr>
          <w:rFonts w:hint="eastAsia" w:eastAsia="仿宋_GB2312" w:cs="仿宋_GB2312"/>
          <w:sz w:val="32"/>
          <w:szCs w:val="32"/>
          <w:lang w:val="en-US" w:eastAsia="zh-CN"/>
        </w:rPr>
        <w:t>2</w:t>
      </w:r>
      <w:r>
        <w:rPr>
          <w:rFonts w:hint="eastAsia" w:eastAsia="仿宋_GB2312" w:cs="仿宋_GB2312"/>
          <w:sz w:val="32"/>
          <w:szCs w:val="32"/>
        </w:rPr>
        <w:t>.</w:t>
      </w:r>
      <w:r>
        <w:rPr>
          <w:rFonts w:hint="eastAsia" w:eastAsia="仿宋_GB2312" w:cs="仿宋_GB2312"/>
          <w:sz w:val="32"/>
          <w:szCs w:val="32"/>
          <w:lang w:eastAsia="zh-CN"/>
        </w:rPr>
        <w:t>非同级财政拨款</w:t>
      </w:r>
      <w:r>
        <w:rPr>
          <w:rFonts w:hint="eastAsia" w:eastAsia="仿宋_GB2312" w:cs="仿宋_GB2312"/>
          <w:sz w:val="32"/>
          <w:szCs w:val="32"/>
        </w:rPr>
        <w:t>收入：</w:t>
      </w:r>
      <w:r>
        <w:rPr>
          <w:rFonts w:hint="eastAsia" w:eastAsia="仿宋_GB2312" w:cs="仿宋_GB2312"/>
          <w:sz w:val="32"/>
          <w:szCs w:val="32"/>
          <w:lang w:eastAsia="zh-CN"/>
        </w:rPr>
        <w:t>本科目核算单位从非同级政府财政部门取得的经费拨款，包括从同级政府其他部门取得的横向转拨财政款、从上级或下级政府财政部门取得的经费拨款等</w:t>
      </w:r>
      <w:r>
        <w:rPr>
          <w:rFonts w:hint="eastAsia" w:eastAsia="仿宋_GB2312" w:cs="仿宋_GB2312"/>
          <w:sz w:val="32"/>
          <w:szCs w:val="32"/>
        </w:rPr>
        <w:t xml:space="preserve">。 </w:t>
      </w:r>
    </w:p>
    <w:p w14:paraId="2A73C963">
      <w:pPr>
        <w:pStyle w:val="39"/>
        <w:keepNext w:val="0"/>
        <w:keepLines w:val="0"/>
        <w:widowControl w:val="0"/>
        <w:suppressLineNumbers w:val="0"/>
        <w:autoSpaceDE w:val="0"/>
        <w:autoSpaceDN/>
        <w:adjustRightInd w:val="0"/>
        <w:snapToGrid w:val="0"/>
        <w:spacing w:before="0" w:beforeAutospacing="0" w:line="360" w:lineRule="auto"/>
        <w:ind w:left="0" w:firstLine="640" w:firstLineChars="200"/>
        <w:jc w:val="both"/>
        <w:rPr>
          <w:rFonts w:hint="eastAsia" w:ascii="仿宋_GB2312" w:hAnsi="宋体" w:eastAsia="仿宋_GB2312" w:cs="仿宋_GB2312"/>
          <w:kern w:val="0"/>
          <w:sz w:val="32"/>
          <w:szCs w:val="32"/>
        </w:rPr>
      </w:pPr>
      <w:r>
        <w:rPr>
          <w:rFonts w:hint="eastAsia" w:ascii="仿宋_GB2312" w:eastAsia="仿宋_GB2312" w:cs="仿宋_GB2312"/>
          <w:kern w:val="0"/>
          <w:sz w:val="32"/>
          <w:szCs w:val="32"/>
          <w:lang w:val="en-US" w:eastAsia="zh-CN"/>
        </w:rPr>
        <w:t>3</w:t>
      </w:r>
      <w:r>
        <w:rPr>
          <w:rFonts w:hint="eastAsia" w:ascii="仿宋_GB2312" w:hAnsi="宋体" w:eastAsia="仿宋_GB2312" w:cs="仿宋_GB2312"/>
          <w:kern w:val="0"/>
          <w:sz w:val="32"/>
          <w:szCs w:val="32"/>
        </w:rPr>
        <w:t>.教育（205）其他教育支出（99）其他教育（99）：指“硕博进阿坝”人才引进安家补贴。</w:t>
      </w:r>
    </w:p>
    <w:p w14:paraId="41BF076F">
      <w:pPr>
        <w:pStyle w:val="39"/>
        <w:keepNext w:val="0"/>
        <w:keepLines w:val="0"/>
        <w:widowControl w:val="0"/>
        <w:suppressLineNumbers w:val="0"/>
        <w:autoSpaceDE w:val="0"/>
        <w:autoSpaceDN/>
        <w:adjustRightInd w:val="0"/>
        <w:snapToGrid w:val="0"/>
        <w:spacing w:before="0" w:beforeAutospacing="0" w:line="360" w:lineRule="auto"/>
        <w:ind w:left="0" w:firstLine="640" w:firstLineChars="200"/>
        <w:jc w:val="both"/>
        <w:rPr>
          <w:rFonts w:hint="eastAsia" w:ascii="仿宋_GB2312" w:hAnsi="宋体" w:eastAsia="仿宋_GB2312" w:cs="仿宋_GB2312"/>
          <w:kern w:val="0"/>
          <w:sz w:val="32"/>
          <w:szCs w:val="32"/>
        </w:rPr>
      </w:pPr>
      <w:r>
        <w:rPr>
          <w:rFonts w:hint="eastAsia" w:ascii="仿宋_GB2312" w:eastAsia="仿宋_GB2312" w:cs="仿宋_GB2312"/>
          <w:kern w:val="0"/>
          <w:sz w:val="32"/>
          <w:szCs w:val="32"/>
          <w:lang w:val="en-US" w:eastAsia="zh-CN"/>
        </w:rPr>
        <w:t>4</w:t>
      </w:r>
      <w:r>
        <w:rPr>
          <w:rFonts w:hint="eastAsia" w:ascii="仿宋_GB2312" w:hAnsi="宋体" w:eastAsia="仿宋_GB2312" w:cs="仿宋_GB2312"/>
          <w:kern w:val="0"/>
          <w:sz w:val="32"/>
          <w:szCs w:val="32"/>
        </w:rPr>
        <w:t>.科学技术（206）应用研究（03）机构运行（01）：指反映应用研究机构的基本支出。</w:t>
      </w:r>
    </w:p>
    <w:p w14:paraId="71053BCD">
      <w:pPr>
        <w:pStyle w:val="39"/>
        <w:keepNext w:val="0"/>
        <w:keepLines w:val="0"/>
        <w:widowControl w:val="0"/>
        <w:suppressLineNumbers w:val="0"/>
        <w:autoSpaceDE w:val="0"/>
        <w:autoSpaceDN/>
        <w:adjustRightInd w:val="0"/>
        <w:snapToGrid w:val="0"/>
        <w:spacing w:before="0" w:beforeAutospacing="0" w:line="360" w:lineRule="auto"/>
        <w:ind w:left="0" w:firstLine="640" w:firstLineChars="200"/>
        <w:jc w:val="both"/>
        <w:rPr>
          <w:rFonts w:hint="eastAsia" w:ascii="仿宋_GB2312" w:hAnsi="宋体" w:eastAsia="仿宋_GB2312" w:cs="仿宋_GB2312"/>
          <w:kern w:val="0"/>
          <w:sz w:val="32"/>
          <w:szCs w:val="32"/>
        </w:rPr>
      </w:pPr>
      <w:r>
        <w:rPr>
          <w:rFonts w:hint="eastAsia" w:ascii="仿宋_GB2312" w:eastAsia="仿宋_GB2312" w:cs="仿宋_GB2312"/>
          <w:kern w:val="0"/>
          <w:sz w:val="32"/>
          <w:szCs w:val="32"/>
          <w:lang w:val="en-US" w:eastAsia="zh-CN"/>
        </w:rPr>
        <w:t>5</w:t>
      </w:r>
      <w:r>
        <w:rPr>
          <w:rFonts w:hint="eastAsia" w:ascii="仿宋_GB2312" w:hAnsi="宋体" w:eastAsia="仿宋_GB2312" w:cs="仿宋_GB2312"/>
          <w:kern w:val="0"/>
          <w:sz w:val="32"/>
          <w:szCs w:val="32"/>
        </w:rPr>
        <w:t>.科学技术（206）应用研究03）社会公益研究（02）：指反映从事卫生、劳动保护、计划生育、环境科学、农业等社会公益专项科研方面的支出。</w:t>
      </w:r>
    </w:p>
    <w:p w14:paraId="54AEC862">
      <w:pPr>
        <w:pStyle w:val="39"/>
        <w:keepNext w:val="0"/>
        <w:keepLines w:val="0"/>
        <w:widowControl w:val="0"/>
        <w:suppressLineNumbers w:val="0"/>
        <w:autoSpaceDE w:val="0"/>
        <w:autoSpaceDN/>
        <w:adjustRightInd w:val="0"/>
        <w:snapToGrid w:val="0"/>
        <w:spacing w:before="0" w:beforeAutospacing="0" w:line="360" w:lineRule="auto"/>
        <w:ind w:left="0" w:firstLine="640" w:firstLineChars="200"/>
        <w:jc w:val="both"/>
        <w:rPr>
          <w:rFonts w:hint="eastAsia" w:ascii="仿宋_GB2312" w:hAnsi="宋体" w:eastAsia="仿宋_GB2312" w:cs="仿宋_GB2312"/>
          <w:kern w:val="0"/>
          <w:sz w:val="32"/>
          <w:szCs w:val="32"/>
        </w:rPr>
      </w:pPr>
      <w:r>
        <w:rPr>
          <w:rFonts w:hint="eastAsia" w:ascii="仿宋_GB2312" w:eastAsia="仿宋_GB2312" w:cs="仿宋_GB2312"/>
          <w:kern w:val="0"/>
          <w:sz w:val="32"/>
          <w:szCs w:val="32"/>
          <w:lang w:val="en-US" w:eastAsia="zh-CN"/>
        </w:rPr>
        <w:t>6</w:t>
      </w:r>
      <w:r>
        <w:rPr>
          <w:rFonts w:hint="eastAsia" w:ascii="仿宋_GB2312" w:hAnsi="宋体" w:eastAsia="仿宋_GB2312" w:cs="仿宋_GB2312"/>
          <w:kern w:val="0"/>
          <w:sz w:val="32"/>
          <w:szCs w:val="32"/>
        </w:rPr>
        <w:t>.科学技术（206）其他科学技术研究（04）其他科学技术研究（99）：指反映其他科学技术支出中除以上各项外用于科技方面的支出。</w:t>
      </w:r>
    </w:p>
    <w:p w14:paraId="7458B1BC">
      <w:pPr>
        <w:pStyle w:val="39"/>
        <w:keepNext w:val="0"/>
        <w:keepLines w:val="0"/>
        <w:widowControl w:val="0"/>
        <w:suppressLineNumbers w:val="0"/>
        <w:autoSpaceDE w:val="0"/>
        <w:autoSpaceDN/>
        <w:adjustRightInd w:val="0"/>
        <w:snapToGrid w:val="0"/>
        <w:spacing w:before="0" w:beforeAutospacing="0" w:line="360" w:lineRule="auto"/>
        <w:ind w:left="0" w:firstLine="640" w:firstLineChars="200"/>
        <w:jc w:val="both"/>
        <w:rPr>
          <w:rFonts w:hint="eastAsia" w:ascii="仿宋_GB2312" w:hAnsi="宋体" w:eastAsia="仿宋_GB2312" w:cs="仿宋_GB2312"/>
          <w:kern w:val="0"/>
          <w:sz w:val="32"/>
          <w:szCs w:val="32"/>
        </w:rPr>
      </w:pPr>
      <w:r>
        <w:rPr>
          <w:rFonts w:hint="eastAsia" w:ascii="仿宋_GB2312" w:eastAsia="仿宋_GB2312" w:cs="仿宋_GB2312"/>
          <w:kern w:val="0"/>
          <w:sz w:val="32"/>
          <w:szCs w:val="32"/>
          <w:lang w:val="en-US" w:eastAsia="zh-CN"/>
        </w:rPr>
        <w:t>7</w:t>
      </w:r>
      <w:r>
        <w:rPr>
          <w:rFonts w:hint="eastAsia" w:ascii="仿宋_GB2312" w:hAnsi="宋体" w:eastAsia="仿宋_GB2312" w:cs="仿宋_GB2312"/>
          <w:kern w:val="0"/>
          <w:sz w:val="32"/>
          <w:szCs w:val="32"/>
        </w:rPr>
        <w:t>.社会保障和就业（208）行政事业单位离退休（05）机关事业单位基本养老保险缴费支出（05）：指反映各级财政部门对机关事业单位基本养老保险基金收老保险基金的补助支缺口的补助。</w:t>
      </w:r>
    </w:p>
    <w:p w14:paraId="3DB77A97">
      <w:pPr>
        <w:pStyle w:val="39"/>
        <w:keepNext w:val="0"/>
        <w:keepLines w:val="0"/>
        <w:widowControl w:val="0"/>
        <w:suppressLineNumbers w:val="0"/>
        <w:autoSpaceDE w:val="0"/>
        <w:autoSpaceDN/>
        <w:adjustRightInd w:val="0"/>
        <w:snapToGrid w:val="0"/>
        <w:spacing w:before="0" w:beforeAutospacing="0" w:line="360" w:lineRule="auto"/>
        <w:ind w:left="0" w:firstLine="640" w:firstLineChars="200"/>
        <w:jc w:val="both"/>
        <w:rPr>
          <w:rFonts w:hint="eastAsia" w:ascii="仿宋_GB2312" w:hAnsi="宋体" w:eastAsia="仿宋_GB2312" w:cs="仿宋_GB2312"/>
          <w:kern w:val="0"/>
          <w:sz w:val="32"/>
          <w:szCs w:val="32"/>
        </w:rPr>
      </w:pPr>
      <w:r>
        <w:rPr>
          <w:rFonts w:hint="eastAsia" w:ascii="仿宋_GB2312" w:eastAsia="仿宋_GB2312" w:cs="仿宋_GB2312"/>
          <w:kern w:val="0"/>
          <w:sz w:val="32"/>
          <w:szCs w:val="32"/>
          <w:lang w:val="en-US" w:eastAsia="zh-CN"/>
        </w:rPr>
        <w:t>8</w:t>
      </w:r>
      <w:r>
        <w:rPr>
          <w:rFonts w:hint="eastAsia" w:ascii="仿宋_GB2312" w:hAnsi="宋体" w:eastAsia="仿宋_GB2312" w:cs="仿宋_GB2312"/>
          <w:kern w:val="0"/>
          <w:sz w:val="32"/>
          <w:szCs w:val="32"/>
        </w:rPr>
        <w:t>.社会保障和就业（208）行政事业单位离退休（05）机关事业单位职业年金缴费支出（06）：指反映机关事业单位实施养老保险制度由单位实际缴纳的缴费支出职业年金支出。</w:t>
      </w:r>
    </w:p>
    <w:p w14:paraId="2415FC85">
      <w:pPr>
        <w:pStyle w:val="39"/>
        <w:keepNext w:val="0"/>
        <w:keepLines w:val="0"/>
        <w:widowControl w:val="0"/>
        <w:suppressLineNumbers w:val="0"/>
        <w:autoSpaceDE w:val="0"/>
        <w:autoSpaceDN/>
        <w:adjustRightInd w:val="0"/>
        <w:snapToGrid w:val="0"/>
        <w:spacing w:before="0" w:beforeAutospacing="0" w:line="360" w:lineRule="auto"/>
        <w:ind w:left="0" w:firstLine="640" w:firstLineChars="200"/>
        <w:jc w:val="both"/>
        <w:rPr>
          <w:rFonts w:hint="eastAsia" w:ascii="仿宋_GB2312" w:hAnsi="宋体" w:eastAsia="仿宋_GB2312" w:cs="仿宋_GB2312"/>
          <w:kern w:val="0"/>
          <w:sz w:val="32"/>
          <w:szCs w:val="32"/>
        </w:rPr>
      </w:pPr>
      <w:r>
        <w:rPr>
          <w:rFonts w:hint="eastAsia" w:ascii="仿宋_GB2312" w:eastAsia="仿宋_GB2312" w:cs="仿宋_GB2312"/>
          <w:kern w:val="0"/>
          <w:sz w:val="32"/>
          <w:szCs w:val="32"/>
          <w:lang w:val="en-US" w:eastAsia="zh-CN"/>
        </w:rPr>
        <w:t>9</w:t>
      </w:r>
      <w:r>
        <w:rPr>
          <w:rFonts w:hint="eastAsia" w:ascii="仿宋_GB2312" w:hAnsi="宋体" w:eastAsia="仿宋_GB2312" w:cs="仿宋_GB2312"/>
          <w:kern w:val="0"/>
          <w:sz w:val="32"/>
          <w:szCs w:val="32"/>
        </w:rPr>
        <w:t>.卫生健康支出（210）行政事业单位医疗（11）事业单位医疗（02）：指反映财政部门集中安排的事业单位基本医疗保险缴费经费，未参加医疗保险的事业单位的公费医疗经费，按国家规定享受离休人员待遇的医疗经费。</w:t>
      </w:r>
    </w:p>
    <w:p w14:paraId="76548E6F">
      <w:pPr>
        <w:pStyle w:val="39"/>
        <w:keepNext w:val="0"/>
        <w:keepLines w:val="0"/>
        <w:widowControl w:val="0"/>
        <w:suppressLineNumbers w:val="0"/>
        <w:autoSpaceDE w:val="0"/>
        <w:autoSpaceDN/>
        <w:adjustRightInd w:val="0"/>
        <w:snapToGrid w:val="0"/>
        <w:spacing w:before="0" w:beforeAutospacing="0" w:line="360" w:lineRule="auto"/>
        <w:ind w:left="0" w:firstLine="640" w:firstLineChars="200"/>
        <w:jc w:val="both"/>
        <w:rPr>
          <w:rFonts w:hint="eastAsia" w:ascii="仿宋_GB2312" w:hAnsi="宋体" w:eastAsia="仿宋_GB2312" w:cs="仿宋_GB2312"/>
          <w:kern w:val="0"/>
          <w:sz w:val="32"/>
          <w:szCs w:val="32"/>
        </w:rPr>
      </w:pPr>
      <w:r>
        <w:rPr>
          <w:rFonts w:hint="eastAsia" w:ascii="仿宋_GB2312" w:eastAsia="仿宋_GB2312" w:cs="仿宋_GB2312"/>
          <w:kern w:val="0"/>
          <w:sz w:val="32"/>
          <w:szCs w:val="32"/>
          <w:lang w:val="en-US" w:eastAsia="zh-CN"/>
        </w:rPr>
        <w:t>10.</w:t>
      </w:r>
      <w:r>
        <w:rPr>
          <w:rFonts w:hint="eastAsia" w:ascii="仿宋_GB2312" w:hAnsi="宋体" w:eastAsia="仿宋_GB2312" w:cs="仿宋_GB2312"/>
          <w:kern w:val="0"/>
          <w:sz w:val="32"/>
          <w:szCs w:val="32"/>
        </w:rPr>
        <w:t>卫生健康支出（210）行政事业单位医疗（11）其他行政事业单位医疗（99）：指反映除上述项目以外的其他用于行政事业单位医疗方面的支出。</w:t>
      </w:r>
    </w:p>
    <w:p w14:paraId="34ABB1C9">
      <w:pPr>
        <w:pStyle w:val="39"/>
        <w:keepNext w:val="0"/>
        <w:keepLines w:val="0"/>
        <w:widowControl w:val="0"/>
        <w:numPr>
          <w:ilvl w:val="0"/>
          <w:numId w:val="0"/>
        </w:numPr>
        <w:suppressLineNumbers w:val="0"/>
        <w:autoSpaceDE w:val="0"/>
        <w:autoSpaceDN/>
        <w:adjustRightInd w:val="0"/>
        <w:snapToGrid w:val="0"/>
        <w:spacing w:before="0" w:beforeAutospacing="0" w:line="360" w:lineRule="auto"/>
        <w:ind w:right="0" w:rightChars="0" w:firstLine="640" w:firstLineChars="200"/>
        <w:jc w:val="both"/>
        <w:rPr>
          <w:rFonts w:hint="eastAsia" w:ascii="仿宋_GB2312" w:hAnsi="宋体" w:eastAsia="仿宋_GB2312" w:cs="仿宋_GB2312"/>
          <w:kern w:val="0"/>
          <w:sz w:val="32"/>
          <w:szCs w:val="32"/>
        </w:rPr>
      </w:pPr>
      <w:r>
        <w:rPr>
          <w:rFonts w:hint="eastAsia" w:ascii="仿宋_GB2312" w:eastAsia="仿宋_GB2312" w:cs="仿宋_GB2312"/>
          <w:kern w:val="0"/>
          <w:sz w:val="32"/>
          <w:szCs w:val="32"/>
          <w:lang w:val="en-US" w:eastAsia="zh-CN"/>
        </w:rPr>
        <w:t>11.</w:t>
      </w:r>
      <w:r>
        <w:rPr>
          <w:rFonts w:hint="eastAsia" w:ascii="仿宋_GB2312" w:hAnsi="宋体" w:eastAsia="仿宋_GB2312" w:cs="仿宋_GB2312"/>
          <w:kern w:val="0"/>
          <w:sz w:val="32"/>
          <w:szCs w:val="32"/>
        </w:rPr>
        <w:t>住房保障（221）住房改革支出（02）住房公积金（01）：指反映行政事业单位按人力资源和社会保障部、财政部规定的基本工资和津贴补贴以及规定比例为职工缴纳的住房公积金。</w:t>
      </w:r>
    </w:p>
    <w:p w14:paraId="2A7A4258">
      <w:pPr>
        <w:pStyle w:val="39"/>
        <w:keepNext w:val="0"/>
        <w:keepLines w:val="0"/>
        <w:widowControl w:val="0"/>
        <w:numPr>
          <w:ilvl w:val="0"/>
          <w:numId w:val="0"/>
        </w:numPr>
        <w:suppressLineNumbers w:val="0"/>
        <w:autoSpaceDE w:val="0"/>
        <w:autoSpaceDN/>
        <w:adjustRightInd w:val="0"/>
        <w:snapToGrid w:val="0"/>
        <w:spacing w:before="0" w:beforeAutospacing="0" w:line="360" w:lineRule="auto"/>
        <w:ind w:right="0" w:rightChars="0" w:firstLine="640" w:firstLineChars="200"/>
        <w:jc w:val="both"/>
        <w:rPr>
          <w:rFonts w:hint="eastAsia" w:ascii="仿宋_GB2312" w:eastAsia="仿宋_GB2312" w:cs="仿宋_GB2312"/>
          <w:kern w:val="0"/>
          <w:sz w:val="32"/>
          <w:szCs w:val="32"/>
          <w:lang w:val="en-US" w:eastAsia="zh-CN"/>
        </w:rPr>
      </w:pPr>
      <w:r>
        <w:rPr>
          <w:rFonts w:hint="eastAsia" w:ascii="仿宋_GB2312" w:hAnsi="宋体" w:eastAsia="仿宋_GB2312" w:cs="仿宋_GB2312"/>
          <w:kern w:val="0"/>
          <w:sz w:val="32"/>
          <w:szCs w:val="32"/>
          <w:lang w:val="en-US" w:eastAsia="zh-CN"/>
        </w:rPr>
        <w:t>12.</w:t>
      </w:r>
      <w:r>
        <w:rPr>
          <w:rFonts w:hint="eastAsia" w:ascii="仿宋_GB2312" w:hAnsi="宋体" w:eastAsia="仿宋_GB2312" w:cs="仿宋_GB2312"/>
          <w:kern w:val="0"/>
          <w:sz w:val="32"/>
          <w:szCs w:val="32"/>
        </w:rPr>
        <w:t>农林水支出（</w:t>
      </w:r>
      <w:r>
        <w:rPr>
          <w:rFonts w:hint="eastAsia" w:ascii="仿宋_GB2312" w:hAnsi="宋体" w:eastAsia="仿宋_GB2312" w:cs="仿宋_GB2312"/>
          <w:kern w:val="0"/>
          <w:sz w:val="32"/>
          <w:szCs w:val="32"/>
          <w:lang w:val="en-US" w:eastAsia="zh-CN"/>
        </w:rPr>
        <w:t>213</w:t>
      </w:r>
      <w:r>
        <w:rPr>
          <w:rFonts w:hint="eastAsia" w:ascii="仿宋_GB2312" w:hAnsi="宋体" w:eastAsia="仿宋_GB2312" w:cs="仿宋_GB2312"/>
          <w:kern w:val="0"/>
          <w:sz w:val="32"/>
          <w:szCs w:val="32"/>
        </w:rPr>
        <w:t>）林业和草原（</w:t>
      </w:r>
      <w:r>
        <w:rPr>
          <w:rFonts w:hint="eastAsia" w:ascii="仿宋_GB2312" w:hAnsi="宋体" w:eastAsia="仿宋_GB2312" w:cs="仿宋_GB2312"/>
          <w:kern w:val="0"/>
          <w:sz w:val="32"/>
          <w:szCs w:val="32"/>
          <w:lang w:val="en-US" w:eastAsia="zh-CN"/>
        </w:rPr>
        <w:t>02</w:t>
      </w:r>
      <w:r>
        <w:rPr>
          <w:rFonts w:hint="eastAsia" w:ascii="仿宋_GB2312" w:hAnsi="宋体" w:eastAsia="仿宋_GB2312" w:cs="仿宋_GB2312"/>
          <w:kern w:val="0"/>
          <w:sz w:val="32"/>
          <w:szCs w:val="32"/>
        </w:rPr>
        <w:t>）事业机构（</w:t>
      </w:r>
      <w:r>
        <w:rPr>
          <w:rFonts w:hint="eastAsia" w:ascii="仿宋_GB2312" w:hAnsi="宋体" w:eastAsia="仿宋_GB2312" w:cs="仿宋_GB2312"/>
          <w:kern w:val="0"/>
          <w:sz w:val="32"/>
          <w:szCs w:val="32"/>
          <w:lang w:val="en-US" w:eastAsia="zh-CN"/>
        </w:rPr>
        <w:t>04</w:t>
      </w:r>
      <w:r>
        <w:rPr>
          <w:rFonts w:hint="eastAsia" w:ascii="仿宋_GB2312" w:hAnsi="宋体" w:eastAsia="仿宋_GB2312" w:cs="仿宋_GB2312"/>
          <w:kern w:val="0"/>
          <w:sz w:val="32"/>
          <w:szCs w:val="32"/>
        </w:rPr>
        <w:t>）</w:t>
      </w:r>
      <w:r>
        <w:rPr>
          <w:rFonts w:hint="eastAsia" w:ascii="仿宋_GB2312" w:hAnsi="宋体" w:eastAsia="仿宋_GB2312" w:cs="仿宋_GB2312"/>
          <w:kern w:val="0"/>
          <w:sz w:val="32"/>
          <w:szCs w:val="32"/>
          <w:lang w:eastAsia="zh-CN"/>
        </w:rPr>
        <w:t>：</w:t>
      </w:r>
      <w:r>
        <w:rPr>
          <w:rFonts w:hint="eastAsia" w:ascii="仿宋_GB2312" w:hAnsi="宋体" w:eastAsia="仿宋_GB2312" w:cs="仿宋_GB2312"/>
          <w:kern w:val="0"/>
          <w:sz w:val="32"/>
          <w:szCs w:val="32"/>
          <w:lang w:val="en-US" w:eastAsia="zh-CN"/>
        </w:rPr>
        <w:t xml:space="preserve">  </w:t>
      </w:r>
      <w:r>
        <w:rPr>
          <w:rFonts w:hint="eastAsia" w:ascii="仿宋_GB2312" w:eastAsia="仿宋_GB2312" w:cs="仿宋_GB2312"/>
          <w:kern w:val="0"/>
          <w:sz w:val="32"/>
          <w:szCs w:val="32"/>
          <w:lang w:val="en-US" w:eastAsia="zh-CN"/>
        </w:rPr>
        <w:t>反</w:t>
      </w:r>
      <w:r>
        <w:rPr>
          <w:rFonts w:hint="eastAsia" w:ascii="Times New Roman" w:hAnsi="Times New Roman" w:eastAsia="仿宋_GB2312" w:cs="仿宋_GB2312"/>
          <w:sz w:val="32"/>
          <w:szCs w:val="32"/>
          <w:lang w:eastAsia="zh-CN"/>
        </w:rPr>
        <w:t>映</w:t>
      </w:r>
      <w:r>
        <w:rPr>
          <w:rFonts w:hint="eastAsia" w:ascii="仿宋_GB2312" w:eastAsia="仿宋_GB2312" w:cs="仿宋_GB2312"/>
          <w:kern w:val="0"/>
          <w:sz w:val="32"/>
          <w:szCs w:val="32"/>
          <w:lang w:val="en-US" w:eastAsia="zh-CN"/>
        </w:rPr>
        <w:t>使用单位的基本支出，不包括行政单位（含实行公务员管理的事业单位）后勤服务中心等附属事业单位的支出。</w:t>
      </w:r>
    </w:p>
    <w:p w14:paraId="0066F29E">
      <w:pPr>
        <w:pStyle w:val="39"/>
        <w:keepNext w:val="0"/>
        <w:keepLines w:val="0"/>
        <w:widowControl w:val="0"/>
        <w:numPr>
          <w:ilvl w:val="0"/>
          <w:numId w:val="0"/>
        </w:numPr>
        <w:suppressLineNumbers w:val="0"/>
        <w:autoSpaceDE w:val="0"/>
        <w:autoSpaceDN/>
        <w:adjustRightInd w:val="0"/>
        <w:snapToGrid w:val="0"/>
        <w:spacing w:before="0" w:beforeAutospacing="0" w:line="360" w:lineRule="auto"/>
        <w:ind w:right="0" w:rightChars="0" w:firstLine="640" w:firstLineChars="200"/>
        <w:jc w:val="both"/>
        <w:rPr>
          <w:rFonts w:hint="eastAsia" w:ascii="仿宋_GB2312" w:hAnsi="宋体" w:eastAsia="仿宋_GB2312" w:cs="仿宋_GB2312"/>
          <w:kern w:val="0"/>
          <w:sz w:val="32"/>
          <w:szCs w:val="32"/>
          <w:lang w:eastAsia="zh-CN"/>
        </w:rPr>
      </w:pPr>
      <w:r>
        <w:rPr>
          <w:rFonts w:hint="eastAsia" w:ascii="仿宋_GB2312" w:hAnsi="宋体" w:eastAsia="仿宋_GB2312" w:cs="仿宋_GB2312"/>
          <w:kern w:val="0"/>
          <w:sz w:val="32"/>
          <w:szCs w:val="32"/>
          <w:lang w:val="en-US" w:eastAsia="zh-CN"/>
        </w:rPr>
        <w:t>1</w:t>
      </w:r>
      <w:r>
        <w:rPr>
          <w:rFonts w:hint="eastAsia" w:ascii="仿宋_GB2312" w:eastAsia="仿宋_GB2312" w:cs="仿宋_GB2312"/>
          <w:kern w:val="0"/>
          <w:sz w:val="32"/>
          <w:szCs w:val="32"/>
          <w:lang w:val="en-US" w:eastAsia="zh-CN"/>
        </w:rPr>
        <w:t>3</w:t>
      </w:r>
      <w:r>
        <w:rPr>
          <w:rFonts w:hint="eastAsia" w:ascii="仿宋_GB2312" w:hAnsi="宋体" w:eastAsia="仿宋_GB2312" w:cs="仿宋_GB2312"/>
          <w:kern w:val="0"/>
          <w:sz w:val="32"/>
          <w:szCs w:val="32"/>
          <w:lang w:val="en-US" w:eastAsia="zh-CN"/>
        </w:rPr>
        <w:t>.</w:t>
      </w:r>
      <w:r>
        <w:rPr>
          <w:rFonts w:hint="eastAsia" w:ascii="仿宋_GB2312" w:hAnsi="宋体" w:eastAsia="仿宋_GB2312" w:cs="仿宋_GB2312"/>
          <w:kern w:val="0"/>
          <w:sz w:val="32"/>
          <w:szCs w:val="32"/>
        </w:rPr>
        <w:t>农林水支出（</w:t>
      </w:r>
      <w:r>
        <w:rPr>
          <w:rFonts w:hint="eastAsia" w:ascii="仿宋_GB2312" w:hAnsi="宋体" w:eastAsia="仿宋_GB2312" w:cs="仿宋_GB2312"/>
          <w:kern w:val="0"/>
          <w:sz w:val="32"/>
          <w:szCs w:val="32"/>
          <w:lang w:val="en-US" w:eastAsia="zh-CN"/>
        </w:rPr>
        <w:t>213</w:t>
      </w:r>
      <w:r>
        <w:rPr>
          <w:rFonts w:hint="eastAsia" w:ascii="仿宋_GB2312" w:hAnsi="宋体" w:eastAsia="仿宋_GB2312" w:cs="仿宋_GB2312"/>
          <w:kern w:val="0"/>
          <w:sz w:val="32"/>
          <w:szCs w:val="32"/>
        </w:rPr>
        <w:t>）林业和草原（</w:t>
      </w:r>
      <w:r>
        <w:rPr>
          <w:rFonts w:hint="eastAsia" w:ascii="仿宋_GB2312" w:hAnsi="宋体" w:eastAsia="仿宋_GB2312" w:cs="仿宋_GB2312"/>
          <w:kern w:val="0"/>
          <w:sz w:val="32"/>
          <w:szCs w:val="32"/>
          <w:lang w:val="en-US" w:eastAsia="zh-CN"/>
        </w:rPr>
        <w:t>0</w:t>
      </w:r>
      <w:r>
        <w:rPr>
          <w:rFonts w:hint="eastAsia" w:ascii="仿宋_GB2312" w:eastAsia="仿宋_GB2312" w:cs="仿宋_GB2312"/>
          <w:kern w:val="0"/>
          <w:sz w:val="32"/>
          <w:szCs w:val="32"/>
          <w:lang w:val="en-US" w:eastAsia="zh-CN"/>
        </w:rPr>
        <w:t>2</w:t>
      </w:r>
      <w:r>
        <w:rPr>
          <w:rFonts w:hint="eastAsia" w:ascii="仿宋_GB2312" w:hAnsi="宋体" w:eastAsia="仿宋_GB2312" w:cs="仿宋_GB2312"/>
          <w:kern w:val="0"/>
          <w:sz w:val="32"/>
          <w:szCs w:val="32"/>
        </w:rPr>
        <w:t>）技术推广与转化（</w:t>
      </w:r>
      <w:r>
        <w:rPr>
          <w:rFonts w:hint="eastAsia" w:ascii="仿宋_GB2312" w:hAnsi="宋体" w:eastAsia="仿宋_GB2312" w:cs="仿宋_GB2312"/>
          <w:kern w:val="0"/>
          <w:sz w:val="32"/>
          <w:szCs w:val="32"/>
          <w:lang w:val="en-US" w:eastAsia="zh-CN"/>
        </w:rPr>
        <w:t>06</w:t>
      </w:r>
      <w:r>
        <w:rPr>
          <w:rFonts w:hint="eastAsia" w:ascii="仿宋_GB2312" w:hAnsi="宋体" w:eastAsia="仿宋_GB2312" w:cs="仿宋_GB2312"/>
          <w:kern w:val="0"/>
          <w:sz w:val="32"/>
          <w:szCs w:val="32"/>
        </w:rPr>
        <w:t>）</w:t>
      </w:r>
      <w:r>
        <w:rPr>
          <w:rFonts w:hint="eastAsia" w:ascii="仿宋_GB2312" w:hAnsi="宋体" w:eastAsia="仿宋_GB2312" w:cs="仿宋_GB2312"/>
          <w:kern w:val="0"/>
          <w:sz w:val="32"/>
          <w:szCs w:val="32"/>
          <w:lang w:eastAsia="zh-CN"/>
        </w:rPr>
        <w:t>：</w:t>
      </w:r>
      <w:r>
        <w:rPr>
          <w:rFonts w:hint="eastAsia" w:ascii="仿宋_GB2312" w:eastAsia="仿宋_GB2312" w:cs="仿宋_GB2312"/>
          <w:kern w:val="0"/>
          <w:sz w:val="32"/>
          <w:szCs w:val="32"/>
          <w:lang w:eastAsia="zh-CN"/>
        </w:rPr>
        <w:t>反应良种繁育、新技术引进、区域化试验、示范、技术推广、成果转化、科学普及等方面支出。</w:t>
      </w:r>
    </w:p>
    <w:p w14:paraId="71E34806">
      <w:pPr>
        <w:pStyle w:val="39"/>
        <w:keepNext w:val="0"/>
        <w:keepLines w:val="0"/>
        <w:widowControl w:val="0"/>
        <w:numPr>
          <w:ilvl w:val="0"/>
          <w:numId w:val="0"/>
        </w:numPr>
        <w:suppressLineNumbers w:val="0"/>
        <w:autoSpaceDE w:val="0"/>
        <w:autoSpaceDN/>
        <w:adjustRightInd w:val="0"/>
        <w:snapToGrid w:val="0"/>
        <w:spacing w:before="0" w:beforeAutospacing="0" w:line="360" w:lineRule="auto"/>
        <w:ind w:right="0" w:rightChars="0" w:firstLine="640" w:firstLineChars="200"/>
        <w:jc w:val="both"/>
        <w:rPr>
          <w:rFonts w:hint="eastAsia" w:ascii="仿宋_GB2312" w:hAnsi="宋体" w:eastAsia="仿宋_GB2312" w:cs="仿宋_GB2312"/>
          <w:kern w:val="0"/>
          <w:sz w:val="32"/>
          <w:szCs w:val="32"/>
        </w:rPr>
      </w:pPr>
      <w:r>
        <w:rPr>
          <w:rFonts w:hint="eastAsia" w:ascii="仿宋_GB2312" w:eastAsia="仿宋_GB2312" w:cs="仿宋_GB2312"/>
          <w:kern w:val="0"/>
          <w:sz w:val="32"/>
          <w:szCs w:val="32"/>
          <w:lang w:val="en-US" w:eastAsia="zh-CN"/>
        </w:rPr>
        <w:t>14</w:t>
      </w:r>
      <w:r>
        <w:rPr>
          <w:rFonts w:hint="eastAsia" w:ascii="仿宋_GB2312" w:hAnsi="宋体" w:eastAsia="仿宋_GB2312" w:cs="仿宋_GB2312"/>
          <w:kern w:val="0"/>
          <w:sz w:val="32"/>
          <w:szCs w:val="32"/>
          <w:lang w:val="en-US" w:eastAsia="zh-CN"/>
        </w:rPr>
        <w:t>.</w:t>
      </w:r>
      <w:r>
        <w:rPr>
          <w:rFonts w:hint="eastAsia" w:ascii="仿宋_GB2312" w:hAnsi="宋体" w:eastAsia="仿宋_GB2312" w:cs="仿宋_GB2312"/>
          <w:kern w:val="0"/>
          <w:sz w:val="32"/>
          <w:szCs w:val="32"/>
        </w:rPr>
        <w:t>农林水支出（</w:t>
      </w:r>
      <w:r>
        <w:rPr>
          <w:rFonts w:hint="eastAsia" w:ascii="仿宋_GB2312" w:hAnsi="宋体" w:eastAsia="仿宋_GB2312" w:cs="仿宋_GB2312"/>
          <w:kern w:val="0"/>
          <w:sz w:val="32"/>
          <w:szCs w:val="32"/>
          <w:lang w:val="en-US" w:eastAsia="zh-CN"/>
        </w:rPr>
        <w:t>213</w:t>
      </w:r>
      <w:r>
        <w:rPr>
          <w:rFonts w:hint="eastAsia" w:ascii="仿宋_GB2312" w:hAnsi="宋体" w:eastAsia="仿宋_GB2312" w:cs="仿宋_GB2312"/>
          <w:kern w:val="0"/>
          <w:sz w:val="32"/>
          <w:szCs w:val="32"/>
        </w:rPr>
        <w:t>）林业和草原（</w:t>
      </w:r>
      <w:r>
        <w:rPr>
          <w:rFonts w:hint="eastAsia" w:ascii="仿宋_GB2312" w:hAnsi="宋体" w:eastAsia="仿宋_GB2312" w:cs="仿宋_GB2312"/>
          <w:kern w:val="0"/>
          <w:sz w:val="32"/>
          <w:szCs w:val="32"/>
          <w:lang w:val="en-US" w:eastAsia="zh-CN"/>
        </w:rPr>
        <w:t>02</w:t>
      </w:r>
      <w:r>
        <w:rPr>
          <w:rFonts w:hint="eastAsia" w:ascii="仿宋_GB2312" w:hAnsi="宋体" w:eastAsia="仿宋_GB2312" w:cs="仿宋_GB2312"/>
          <w:kern w:val="0"/>
          <w:sz w:val="32"/>
          <w:szCs w:val="32"/>
        </w:rPr>
        <w:t>）行业业务管理（</w:t>
      </w:r>
      <w:r>
        <w:rPr>
          <w:rFonts w:hint="eastAsia" w:ascii="仿宋_GB2312" w:hAnsi="宋体" w:eastAsia="仿宋_GB2312" w:cs="仿宋_GB2312"/>
          <w:kern w:val="0"/>
          <w:sz w:val="32"/>
          <w:szCs w:val="32"/>
          <w:lang w:val="en-US" w:eastAsia="zh-CN"/>
        </w:rPr>
        <w:t>3</w:t>
      </w:r>
      <w:r>
        <w:rPr>
          <w:rFonts w:hint="eastAsia" w:ascii="仿宋_GB2312" w:eastAsia="仿宋_GB2312" w:cs="仿宋_GB2312"/>
          <w:kern w:val="0"/>
          <w:sz w:val="32"/>
          <w:szCs w:val="32"/>
          <w:lang w:val="en-US" w:eastAsia="zh-CN"/>
        </w:rPr>
        <w:t>7）</w:t>
      </w:r>
      <w:r>
        <w:rPr>
          <w:rFonts w:hint="eastAsia" w:ascii="仿宋_GB2312" w:hAnsi="宋体" w:eastAsia="仿宋_GB2312" w:cs="仿宋_GB2312"/>
          <w:kern w:val="0"/>
          <w:sz w:val="32"/>
          <w:szCs w:val="32"/>
          <w:lang w:eastAsia="zh-CN"/>
        </w:rPr>
        <w:t>：反映行业标准、政策法规、规划规程制定，生态工程及项目的可研、评审评估、绩效评价、检查验收，资金资产监督管理，统计调查与数据分析发布，检疫检测，森林认证，林产品质量监管，新品种及知识产权保护，生物安全与遗传资源管理，重大宣传，人才发展等方面的支出。</w:t>
      </w:r>
    </w:p>
    <w:p w14:paraId="6464A682">
      <w:pPr>
        <w:pStyle w:val="39"/>
        <w:keepNext w:val="0"/>
        <w:keepLines w:val="0"/>
        <w:widowControl w:val="0"/>
        <w:numPr>
          <w:ilvl w:val="0"/>
          <w:numId w:val="0"/>
        </w:numPr>
        <w:suppressLineNumbers w:val="0"/>
        <w:autoSpaceDE w:val="0"/>
        <w:autoSpaceDN/>
        <w:adjustRightInd w:val="0"/>
        <w:snapToGrid w:val="0"/>
        <w:spacing w:before="0" w:beforeAutospacing="0" w:line="360" w:lineRule="auto"/>
        <w:ind w:right="0" w:rightChars="0" w:firstLine="640" w:firstLineChars="200"/>
        <w:jc w:val="both"/>
        <w:rPr>
          <w:rFonts w:hint="eastAsia" w:ascii="仿宋_GB2312" w:eastAsia="仿宋_GB2312" w:cs="仿宋_GB2312"/>
          <w:kern w:val="0"/>
          <w:sz w:val="32"/>
          <w:szCs w:val="32"/>
          <w:lang w:eastAsia="zh-CN"/>
        </w:rPr>
      </w:pPr>
      <w:r>
        <w:rPr>
          <w:rFonts w:hint="eastAsia" w:ascii="Times New Roman" w:hAnsi="Times New Roman" w:eastAsia="仿宋_GB2312" w:cs="仿宋_GB2312"/>
          <w:sz w:val="32"/>
          <w:szCs w:val="32"/>
          <w:lang w:val="en-US" w:eastAsia="zh-CN"/>
        </w:rPr>
        <w:t>15.</w:t>
      </w:r>
      <w:r>
        <w:rPr>
          <w:rFonts w:hint="eastAsia" w:ascii="Times New Roman" w:hAnsi="Times New Roman" w:eastAsia="仿宋_GB2312" w:cs="仿宋_GB2312"/>
          <w:sz w:val="32"/>
          <w:szCs w:val="32"/>
        </w:rPr>
        <w:t>科学技术（</w:t>
      </w:r>
      <w:r>
        <w:rPr>
          <w:rFonts w:hint="eastAsia" w:ascii="Times New Roman" w:hAnsi="Times New Roman" w:eastAsia="仿宋_GB2312" w:cs="仿宋_GB2312"/>
          <w:sz w:val="32"/>
          <w:szCs w:val="32"/>
          <w:lang w:val="en-US" w:eastAsia="zh-CN"/>
        </w:rPr>
        <w:t>206</w:t>
      </w:r>
      <w:r>
        <w:rPr>
          <w:rFonts w:hint="eastAsia" w:ascii="Times New Roman" w:hAnsi="Times New Roman" w:eastAsia="仿宋_GB2312" w:cs="仿宋_GB2312"/>
          <w:sz w:val="32"/>
          <w:szCs w:val="32"/>
        </w:rPr>
        <w:t>）科技重大项目（</w:t>
      </w:r>
      <w:r>
        <w:rPr>
          <w:rFonts w:hint="eastAsia" w:ascii="Times New Roman" w:hAnsi="Times New Roman" w:eastAsia="仿宋_GB2312" w:cs="仿宋_GB2312"/>
          <w:sz w:val="32"/>
          <w:szCs w:val="32"/>
          <w:lang w:val="en-US" w:eastAsia="zh-CN"/>
        </w:rPr>
        <w:t>09</w:t>
      </w:r>
      <w:r>
        <w:rPr>
          <w:rFonts w:hint="eastAsia" w:ascii="Times New Roman" w:hAnsi="Times New Roman" w:eastAsia="仿宋_GB2312" w:cs="仿宋_GB2312"/>
          <w:sz w:val="32"/>
          <w:szCs w:val="32"/>
        </w:rPr>
        <w:t>）重点研发计划（</w:t>
      </w:r>
      <w:r>
        <w:rPr>
          <w:rFonts w:hint="eastAsia" w:ascii="Times New Roman" w:hAnsi="Times New Roman" w:eastAsia="仿宋_GB2312" w:cs="仿宋_GB2312"/>
          <w:sz w:val="32"/>
          <w:szCs w:val="32"/>
          <w:lang w:val="en-US" w:eastAsia="zh-CN"/>
        </w:rPr>
        <w:t>02</w:t>
      </w:r>
      <w:r>
        <w:rPr>
          <w:rFonts w:hint="eastAsia" w:ascii="Times New Roman" w:hAnsi="Times New Roman" w:eastAsia="仿宋_GB2312" w:cs="仿宋_GB2312"/>
          <w:sz w:val="32"/>
          <w:szCs w:val="32"/>
        </w:rPr>
        <w:t>）：</w:t>
      </w:r>
      <w:r>
        <w:rPr>
          <w:rFonts w:hint="eastAsia" w:ascii="Times New Roman" w:hAnsi="Times New Roman" w:eastAsia="仿宋_GB2312" w:cs="仿宋_GB2312"/>
          <w:sz w:val="32"/>
          <w:szCs w:val="32"/>
          <w:lang w:eastAsia="zh-CN"/>
        </w:rPr>
        <w:t>反映用于重点研发计划的有关经费支出。</w:t>
      </w:r>
    </w:p>
    <w:p w14:paraId="5DB476BB">
      <w:pPr>
        <w:pStyle w:val="39"/>
        <w:keepNext w:val="0"/>
        <w:keepLines w:val="0"/>
        <w:widowControl w:val="0"/>
        <w:numPr>
          <w:ilvl w:val="0"/>
          <w:numId w:val="0"/>
        </w:numPr>
        <w:suppressLineNumbers w:val="0"/>
        <w:autoSpaceDE w:val="0"/>
        <w:autoSpaceDN/>
        <w:adjustRightInd w:val="0"/>
        <w:snapToGrid w:val="0"/>
        <w:spacing w:before="0" w:beforeAutospacing="0" w:line="360" w:lineRule="auto"/>
        <w:ind w:right="0" w:rightChars="0" w:firstLine="640" w:firstLineChars="200"/>
        <w:jc w:val="both"/>
        <w:rPr>
          <w:rFonts w:hint="eastAsia" w:ascii="仿宋_GB2312" w:eastAsia="仿宋_GB2312" w:cs="仿宋_GB2312"/>
          <w:kern w:val="0"/>
          <w:sz w:val="32"/>
          <w:szCs w:val="32"/>
          <w:lang w:eastAsia="zh-CN"/>
        </w:rPr>
      </w:pPr>
      <w:r>
        <w:rPr>
          <w:rFonts w:hint="eastAsia" w:ascii="Times New Roman" w:hAnsi="Times New Roman" w:eastAsia="仿宋_GB2312" w:cs="仿宋_GB2312"/>
          <w:sz w:val="32"/>
          <w:szCs w:val="32"/>
          <w:lang w:val="en-US" w:eastAsia="zh-CN"/>
        </w:rPr>
        <w:t>16.</w:t>
      </w:r>
      <w:r>
        <w:rPr>
          <w:rFonts w:hint="eastAsia" w:ascii="Times New Roman" w:hAnsi="Times New Roman" w:eastAsia="仿宋_GB2312" w:cs="仿宋_GB2312"/>
          <w:sz w:val="32"/>
          <w:szCs w:val="32"/>
        </w:rPr>
        <w:t>科学技术（</w:t>
      </w:r>
      <w:r>
        <w:rPr>
          <w:rFonts w:hint="eastAsia" w:ascii="Times New Roman" w:hAnsi="Times New Roman" w:eastAsia="仿宋_GB2312" w:cs="仿宋_GB2312"/>
          <w:sz w:val="32"/>
          <w:szCs w:val="32"/>
          <w:lang w:val="en-US" w:eastAsia="zh-CN"/>
        </w:rPr>
        <w:t>206</w:t>
      </w:r>
      <w:r>
        <w:rPr>
          <w:rFonts w:hint="eastAsia" w:ascii="Times New Roman" w:hAnsi="Times New Roman" w:eastAsia="仿宋_GB2312" w:cs="仿宋_GB2312"/>
          <w:sz w:val="32"/>
          <w:szCs w:val="32"/>
        </w:rPr>
        <w:t>）其他科学技术支出（</w:t>
      </w:r>
      <w:r>
        <w:rPr>
          <w:rFonts w:hint="eastAsia" w:ascii="Times New Roman" w:hAnsi="Times New Roman" w:eastAsia="仿宋_GB2312" w:cs="仿宋_GB2312"/>
          <w:sz w:val="32"/>
          <w:szCs w:val="32"/>
          <w:lang w:val="en-US" w:eastAsia="zh-CN"/>
        </w:rPr>
        <w:t>99</w:t>
      </w:r>
      <w:r>
        <w:rPr>
          <w:rFonts w:hint="eastAsia" w:ascii="Times New Roman" w:hAnsi="Times New Roman" w:eastAsia="仿宋_GB2312" w:cs="仿宋_GB2312"/>
          <w:sz w:val="32"/>
          <w:szCs w:val="32"/>
        </w:rPr>
        <w:t>）其他科学技术支出（</w:t>
      </w:r>
      <w:r>
        <w:rPr>
          <w:rFonts w:hint="eastAsia" w:ascii="Times New Roman" w:hAnsi="Times New Roman" w:eastAsia="仿宋_GB2312" w:cs="仿宋_GB2312"/>
          <w:sz w:val="32"/>
          <w:szCs w:val="32"/>
          <w:lang w:val="en-US" w:eastAsia="zh-CN"/>
        </w:rPr>
        <w:t>99</w:t>
      </w:r>
      <w:r>
        <w:rPr>
          <w:rFonts w:hint="eastAsia" w:ascii="Times New Roman" w:hAnsi="Times New Roman" w:eastAsia="仿宋_GB2312" w:cs="仿宋_GB2312"/>
          <w:sz w:val="32"/>
          <w:szCs w:val="32"/>
        </w:rPr>
        <w:t>）</w:t>
      </w:r>
      <w:r>
        <w:rPr>
          <w:rFonts w:hint="eastAsia" w:ascii="Times New Roman" w:hAnsi="Times New Roman" w:eastAsia="仿宋_GB2312" w:cs="仿宋_GB2312"/>
          <w:sz w:val="32"/>
          <w:szCs w:val="32"/>
          <w:lang w:eastAsia="zh-CN"/>
        </w:rPr>
        <w:t>：反映其他科学技术支出中除以上各项外用于科技方面的支出。</w:t>
      </w:r>
    </w:p>
    <w:p w14:paraId="141E4054">
      <w:pPr>
        <w:spacing w:line="600" w:lineRule="exact"/>
        <w:ind w:firstLine="640"/>
        <w:rPr>
          <w:rFonts w:eastAsia="仿宋_GB2312" w:cs="仿宋_GB2312"/>
          <w:sz w:val="32"/>
          <w:szCs w:val="32"/>
        </w:rPr>
      </w:pPr>
      <w:r>
        <w:rPr>
          <w:rFonts w:hint="eastAsia" w:eastAsia="仿宋_GB2312" w:cs="仿宋_GB2312"/>
          <w:sz w:val="32"/>
          <w:szCs w:val="32"/>
          <w:lang w:val="en-US" w:eastAsia="zh-CN"/>
        </w:rPr>
        <w:t>17</w:t>
      </w:r>
      <w:r>
        <w:rPr>
          <w:rFonts w:hint="eastAsia" w:eastAsia="仿宋_GB2312" w:cs="仿宋_GB2312"/>
          <w:sz w:val="32"/>
          <w:szCs w:val="32"/>
        </w:rPr>
        <w:t xml:space="preserve">.使用非财政拨款结余（含专用结余）：指事业单位使用以前年度积累的非财政拨款结余弥补当年收支差额的金额。 </w:t>
      </w:r>
    </w:p>
    <w:p w14:paraId="4373A3D6">
      <w:pPr>
        <w:spacing w:line="600" w:lineRule="exact"/>
        <w:ind w:firstLine="640"/>
        <w:rPr>
          <w:rFonts w:eastAsia="仿宋_GB2312" w:cs="仿宋_GB2312"/>
          <w:sz w:val="32"/>
          <w:szCs w:val="32"/>
        </w:rPr>
      </w:pPr>
      <w:r>
        <w:rPr>
          <w:rFonts w:hint="eastAsia" w:eastAsia="仿宋_GB2312" w:cs="仿宋_GB2312"/>
          <w:sz w:val="32"/>
          <w:szCs w:val="32"/>
          <w:lang w:val="en-US" w:eastAsia="zh-CN"/>
        </w:rPr>
        <w:t>18.</w:t>
      </w:r>
      <w:r>
        <w:rPr>
          <w:rFonts w:hint="eastAsia" w:eastAsia="仿宋_GB2312" w:cs="仿宋_GB2312"/>
          <w:sz w:val="32"/>
          <w:szCs w:val="32"/>
        </w:rPr>
        <w:t xml:space="preserve">年初结转和结余：指以前年度尚未完成、结转到本年按有关规定继续使用的资金。 </w:t>
      </w:r>
    </w:p>
    <w:p w14:paraId="63DCD9A0">
      <w:pPr>
        <w:spacing w:line="600" w:lineRule="exact"/>
        <w:ind w:firstLine="640"/>
        <w:rPr>
          <w:rFonts w:eastAsia="仿宋_GB2312" w:cs="仿宋_GB2312"/>
          <w:sz w:val="32"/>
          <w:szCs w:val="32"/>
        </w:rPr>
      </w:pPr>
      <w:r>
        <w:rPr>
          <w:rFonts w:hint="eastAsia" w:eastAsia="仿宋_GB2312" w:cs="仿宋_GB2312"/>
          <w:sz w:val="32"/>
          <w:szCs w:val="32"/>
          <w:lang w:val="en-US" w:eastAsia="zh-CN"/>
        </w:rPr>
        <w:t>19</w:t>
      </w:r>
      <w:r>
        <w:rPr>
          <w:rFonts w:hint="eastAsia" w:eastAsia="仿宋_GB2312" w:cs="仿宋_GB2312"/>
          <w:sz w:val="32"/>
          <w:szCs w:val="32"/>
        </w:rPr>
        <w:t>.年末结转和结余：指单位按有关规定结转到下年或以后年度继续使用的资金。</w:t>
      </w:r>
    </w:p>
    <w:p w14:paraId="2FC1A793">
      <w:pPr>
        <w:spacing w:line="600" w:lineRule="exact"/>
        <w:ind w:firstLine="640"/>
        <w:rPr>
          <w:rFonts w:eastAsia="仿宋_GB2312" w:cs="仿宋_GB2312"/>
          <w:sz w:val="32"/>
          <w:szCs w:val="32"/>
        </w:rPr>
      </w:pPr>
      <w:r>
        <w:rPr>
          <w:rFonts w:hint="eastAsia" w:eastAsia="仿宋_GB2312" w:cs="仿宋_GB2312"/>
          <w:sz w:val="32"/>
          <w:szCs w:val="32"/>
          <w:lang w:val="en-US" w:eastAsia="zh-CN"/>
        </w:rPr>
        <w:t>20</w:t>
      </w:r>
      <w:r>
        <w:rPr>
          <w:rFonts w:hint="eastAsia" w:eastAsia="仿宋_GB2312" w:cs="仿宋_GB2312"/>
          <w:sz w:val="32"/>
          <w:szCs w:val="32"/>
        </w:rPr>
        <w:t>.基本支出：指为保障机构正常运转、完成日常工作任务而发生的人员支出和公用支出。</w:t>
      </w:r>
    </w:p>
    <w:p w14:paraId="6CAB5410">
      <w:pPr>
        <w:spacing w:line="600" w:lineRule="exact"/>
        <w:ind w:firstLine="640"/>
        <w:rPr>
          <w:rFonts w:eastAsia="仿宋_GB2312" w:cs="仿宋_GB2312"/>
          <w:sz w:val="32"/>
          <w:szCs w:val="32"/>
        </w:rPr>
      </w:pPr>
      <w:r>
        <w:rPr>
          <w:rFonts w:hint="eastAsia" w:eastAsia="仿宋_GB2312" w:cs="仿宋_GB2312"/>
          <w:sz w:val="32"/>
          <w:szCs w:val="32"/>
        </w:rPr>
        <w:t>2</w:t>
      </w:r>
      <w:r>
        <w:rPr>
          <w:rFonts w:hint="eastAsia" w:eastAsia="仿宋_GB2312" w:cs="仿宋_GB2312"/>
          <w:sz w:val="32"/>
          <w:szCs w:val="32"/>
          <w:lang w:val="en-US" w:eastAsia="zh-CN"/>
        </w:rPr>
        <w:t>1</w:t>
      </w:r>
      <w:r>
        <w:rPr>
          <w:rFonts w:hint="eastAsia" w:eastAsia="仿宋_GB2312" w:cs="仿宋_GB2312"/>
          <w:sz w:val="32"/>
          <w:szCs w:val="32"/>
        </w:rPr>
        <w:t xml:space="preserve">.项目支出：指在基本支出之外为完成特定行政任务和事业发展目标所发生的支出。 </w:t>
      </w:r>
    </w:p>
    <w:p w14:paraId="5EB5B863">
      <w:pPr>
        <w:spacing w:line="600" w:lineRule="exact"/>
        <w:ind w:firstLine="640"/>
        <w:rPr>
          <w:rFonts w:eastAsia="仿宋_GB2312" w:cs="仿宋_GB2312"/>
          <w:sz w:val="32"/>
          <w:szCs w:val="32"/>
        </w:rPr>
      </w:pPr>
      <w:r>
        <w:rPr>
          <w:rFonts w:hint="eastAsia" w:eastAsia="仿宋_GB2312" w:cs="仿宋_GB2312"/>
          <w:sz w:val="32"/>
          <w:szCs w:val="32"/>
          <w:lang w:val="en-US" w:eastAsia="zh-CN"/>
        </w:rPr>
        <w:t>22</w:t>
      </w:r>
      <w:r>
        <w:rPr>
          <w:rFonts w:hint="eastAsia" w:eastAsia="仿宋_GB2312" w:cs="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5A0FA9C5">
      <w:pPr>
        <w:spacing w:line="600" w:lineRule="exact"/>
        <w:jc w:val="center"/>
        <w:outlineLvl w:val="0"/>
        <w:rPr>
          <w:rStyle w:val="30"/>
          <w:rFonts w:eastAsia="黑体"/>
          <w:b w:val="0"/>
        </w:rPr>
      </w:pPr>
      <w:bookmarkStart w:id="72" w:name="_Toc15377226"/>
      <w:r>
        <w:rPr>
          <w:rFonts w:hint="eastAsia" w:eastAsia="仿宋_GB2312" w:cs="仿宋_GB2312"/>
          <w:sz w:val="32"/>
          <w:szCs w:val="32"/>
        </w:rPr>
        <w:br w:type="page"/>
      </w:r>
      <w:bookmarkStart w:id="73" w:name="_Toc15396614"/>
      <w:bookmarkStart w:id="74" w:name="_Toc15946"/>
      <w:r>
        <w:rPr>
          <w:rFonts w:hint="eastAsia" w:eastAsia="黑体"/>
          <w:sz w:val="44"/>
          <w:szCs w:val="44"/>
        </w:rPr>
        <w:t>第四部分  附件</w:t>
      </w:r>
      <w:bookmarkEnd w:id="73"/>
      <w:bookmarkEnd w:id="74"/>
    </w:p>
    <w:p w14:paraId="641A37E2">
      <w:pPr>
        <w:widowControl/>
        <w:spacing w:line="578" w:lineRule="exact"/>
        <w:contextualSpacing/>
        <w:jc w:val="both"/>
        <w:rPr>
          <w:rFonts w:eastAsia="方正小标宋简体"/>
          <w:bCs/>
          <w:sz w:val="44"/>
          <w:szCs w:val="44"/>
          <w:shd w:val="clear" w:color="auto" w:fill="FFFFFF"/>
        </w:rPr>
      </w:pPr>
    </w:p>
    <w:p w14:paraId="65C73D0A">
      <w:pPr>
        <w:keepNext w:val="0"/>
        <w:keepLines w:val="0"/>
        <w:pageBreakBefore w:val="0"/>
        <w:widowControl/>
        <w:kinsoku/>
        <w:wordWrap/>
        <w:overflowPunct/>
        <w:topLinePunct w:val="0"/>
        <w:autoSpaceDE/>
        <w:autoSpaceDN/>
        <w:bidi w:val="0"/>
        <w:spacing w:line="578" w:lineRule="exact"/>
        <w:contextualSpacing/>
        <w:jc w:val="center"/>
        <w:textAlignment w:val="auto"/>
        <w:outlineLvl w:val="9"/>
        <w:rPr>
          <w:rFonts w:hint="eastAsia" w:eastAsia="方正小标宋简体" w:cs="Times New Roman"/>
          <w:b w:val="0"/>
          <w:bCs/>
          <w:sz w:val="44"/>
          <w:szCs w:val="44"/>
          <w:highlight w:val="none"/>
          <w:shd w:val="clear" w:color="auto" w:fill="FFFFFF"/>
          <w:lang w:eastAsia="zh-CN"/>
        </w:rPr>
      </w:pPr>
      <w:r>
        <w:rPr>
          <w:rFonts w:hint="eastAsia" w:eastAsia="方正小标宋简体" w:cs="Times New Roman"/>
          <w:b w:val="0"/>
          <w:bCs/>
          <w:sz w:val="44"/>
          <w:szCs w:val="44"/>
          <w:highlight w:val="none"/>
          <w:shd w:val="clear" w:color="auto" w:fill="FFFFFF"/>
          <w:lang w:eastAsia="zh-CN"/>
        </w:rPr>
        <w:t>阿坝州林业和草原科学技术研究所</w:t>
      </w:r>
    </w:p>
    <w:p w14:paraId="3353F4EF">
      <w:pPr>
        <w:keepNext w:val="0"/>
        <w:keepLines w:val="0"/>
        <w:pageBreakBefore w:val="0"/>
        <w:widowControl/>
        <w:kinsoku/>
        <w:wordWrap/>
        <w:overflowPunct/>
        <w:topLinePunct w:val="0"/>
        <w:autoSpaceDE/>
        <w:autoSpaceDN/>
        <w:bidi w:val="0"/>
        <w:spacing w:line="578" w:lineRule="exact"/>
        <w:contextualSpacing/>
        <w:jc w:val="center"/>
        <w:textAlignment w:val="auto"/>
        <w:outlineLvl w:val="9"/>
        <w:rPr>
          <w:rFonts w:hint="default" w:ascii="Times New Roman" w:hAnsi="Times New Roman" w:eastAsia="方正小标宋简体" w:cs="Times New Roman"/>
          <w:b w:val="0"/>
          <w:bCs/>
          <w:sz w:val="44"/>
          <w:szCs w:val="44"/>
          <w:highlight w:val="none"/>
          <w:shd w:val="clear" w:color="auto" w:fill="FFFFFF"/>
        </w:rPr>
      </w:pPr>
      <w:r>
        <w:rPr>
          <w:rFonts w:hint="eastAsia" w:eastAsia="方正小标宋简体" w:cs="Times New Roman"/>
          <w:b w:val="0"/>
          <w:bCs/>
          <w:sz w:val="44"/>
          <w:szCs w:val="44"/>
          <w:highlight w:val="none"/>
          <w:shd w:val="clear" w:color="auto" w:fill="FFFFFF"/>
          <w:lang w:val="en-US" w:eastAsia="zh-CN"/>
        </w:rPr>
        <w:t>2024年</w:t>
      </w:r>
      <w:r>
        <w:rPr>
          <w:rFonts w:hint="default" w:ascii="Times New Roman" w:hAnsi="Times New Roman" w:eastAsia="方正小标宋简体" w:cs="Times New Roman"/>
          <w:b w:val="0"/>
          <w:bCs/>
          <w:sz w:val="44"/>
          <w:szCs w:val="44"/>
          <w:highlight w:val="none"/>
          <w:shd w:val="clear" w:color="auto" w:fill="FFFFFF"/>
          <w:lang w:eastAsia="zh-CN"/>
        </w:rPr>
        <w:t>预算</w:t>
      </w:r>
      <w:r>
        <w:rPr>
          <w:rFonts w:hint="default" w:ascii="Times New Roman" w:hAnsi="Times New Roman" w:eastAsia="方正小标宋简体" w:cs="Times New Roman"/>
          <w:b w:val="0"/>
          <w:bCs/>
          <w:sz w:val="44"/>
          <w:szCs w:val="44"/>
          <w:highlight w:val="none"/>
          <w:shd w:val="clear" w:color="auto" w:fill="FFFFFF"/>
        </w:rPr>
        <w:t>绩效</w:t>
      </w:r>
      <w:r>
        <w:rPr>
          <w:rFonts w:hint="eastAsia" w:eastAsia="方正小标宋简体" w:cs="Times New Roman"/>
          <w:b w:val="0"/>
          <w:bCs/>
          <w:sz w:val="44"/>
          <w:szCs w:val="44"/>
          <w:highlight w:val="none"/>
          <w:shd w:val="clear" w:color="auto" w:fill="FFFFFF"/>
          <w:lang w:eastAsia="zh-CN"/>
        </w:rPr>
        <w:t>自评</w:t>
      </w:r>
      <w:r>
        <w:rPr>
          <w:rFonts w:hint="default" w:ascii="Times New Roman" w:hAnsi="Times New Roman" w:eastAsia="方正小标宋简体" w:cs="Times New Roman"/>
          <w:b w:val="0"/>
          <w:bCs/>
          <w:sz w:val="44"/>
          <w:szCs w:val="44"/>
          <w:highlight w:val="none"/>
          <w:shd w:val="clear" w:color="auto" w:fill="FFFFFF"/>
        </w:rPr>
        <w:t>报告</w:t>
      </w:r>
    </w:p>
    <w:p w14:paraId="75E81E48">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firstLine="643" w:firstLineChars="200"/>
        <w:contextualSpacing/>
        <w:jc w:val="left"/>
        <w:textAlignment w:val="auto"/>
        <w:outlineLvl w:val="9"/>
        <w:rPr>
          <w:rFonts w:hint="eastAsia" w:ascii="仿宋_GB2312" w:hAnsi="仿宋_GB2312" w:eastAsia="仿宋_GB2312" w:cs="仿宋_GB2312"/>
          <w:b/>
          <w:bCs/>
          <w:sz w:val="32"/>
          <w:szCs w:val="32"/>
        </w:rPr>
      </w:pPr>
      <w:r>
        <w:rPr>
          <w:rFonts w:hint="eastAsia" w:ascii="仿宋_GB2312" w:hAnsi="仿宋_GB2312" w:eastAsia="仿宋_GB2312" w:cs="仿宋_GB2312"/>
          <w:b/>
          <w:bCs/>
          <w:color w:val="000000"/>
          <w:kern w:val="0"/>
          <w:sz w:val="32"/>
          <w:szCs w:val="32"/>
          <w:highlight w:val="none"/>
          <w:shd w:val="clear" w:color="auto" w:fill="FFFFFF"/>
          <w:lang w:val="zh-CN"/>
        </w:rPr>
        <w:t>一、部门（单位）基本情况</w:t>
      </w:r>
    </w:p>
    <w:p w14:paraId="20357AFF">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firstLine="643" w:firstLineChars="200"/>
        <w:contextualSpacing/>
        <w:jc w:val="left"/>
        <w:textAlignment w:val="auto"/>
        <w:outlineLvl w:val="9"/>
        <w:rPr>
          <w:rFonts w:hint="eastAsia" w:ascii="仿宋_GB2312" w:hAnsi="仿宋_GB2312" w:eastAsia="仿宋_GB2312" w:cs="仿宋_GB2312"/>
          <w:b/>
          <w:bCs/>
          <w:color w:val="000000"/>
          <w:kern w:val="0"/>
          <w:sz w:val="32"/>
          <w:szCs w:val="32"/>
          <w:highlight w:val="none"/>
          <w:shd w:val="clear" w:color="auto" w:fill="FFFFFF"/>
          <w:lang w:val="zh-CN"/>
        </w:rPr>
      </w:pPr>
      <w:r>
        <w:rPr>
          <w:rFonts w:hint="eastAsia" w:ascii="仿宋_GB2312" w:hAnsi="仿宋_GB2312" w:eastAsia="仿宋_GB2312" w:cs="仿宋_GB2312"/>
          <w:b/>
          <w:bCs/>
          <w:color w:val="000000"/>
          <w:kern w:val="0"/>
          <w:sz w:val="32"/>
          <w:szCs w:val="32"/>
          <w:highlight w:val="none"/>
          <w:shd w:val="clear" w:color="auto" w:fill="FFFFFF"/>
          <w:lang w:val="zh-CN"/>
        </w:rPr>
        <w:t>（一）机构组成。</w:t>
      </w:r>
    </w:p>
    <w:p w14:paraId="0419E4A6">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firstLine="960" w:firstLineChars="300"/>
        <w:contextualSpacing/>
        <w:jc w:val="lef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阿坝州林业和草原科学技术研究所属于阿坝州林业和草原局下属事业单位。</w:t>
      </w:r>
    </w:p>
    <w:p w14:paraId="74D4192A">
      <w:pPr>
        <w:keepNext w:val="0"/>
        <w:keepLines w:val="0"/>
        <w:pageBreakBefore w:val="0"/>
        <w:widowControl/>
        <w:numPr>
          <w:ilvl w:val="0"/>
          <w:numId w:val="2"/>
        </w:numPr>
        <w:kinsoku/>
        <w:wordWrap/>
        <w:overflowPunct/>
        <w:topLinePunct w:val="0"/>
        <w:autoSpaceDE/>
        <w:autoSpaceDN/>
        <w:bidi w:val="0"/>
        <w:adjustRightInd w:val="0"/>
        <w:snapToGrid w:val="0"/>
        <w:spacing w:line="578" w:lineRule="exact"/>
        <w:ind w:firstLine="643" w:firstLineChars="200"/>
        <w:contextualSpacing/>
        <w:jc w:val="left"/>
        <w:textAlignment w:val="auto"/>
        <w:outlineLvl w:val="9"/>
        <w:rPr>
          <w:rFonts w:hint="eastAsia" w:ascii="仿宋_GB2312" w:hAnsi="仿宋_GB2312" w:eastAsia="仿宋_GB2312" w:cs="仿宋_GB2312"/>
          <w:b/>
          <w:bCs/>
          <w:color w:val="000000"/>
          <w:kern w:val="0"/>
          <w:sz w:val="32"/>
          <w:szCs w:val="32"/>
          <w:highlight w:val="none"/>
          <w:shd w:val="clear" w:color="auto" w:fill="FFFFFF"/>
          <w:lang w:val="zh-CN"/>
        </w:rPr>
      </w:pPr>
      <w:r>
        <w:rPr>
          <w:rFonts w:hint="eastAsia" w:ascii="仿宋_GB2312" w:hAnsi="仿宋_GB2312" w:eastAsia="仿宋_GB2312" w:cs="仿宋_GB2312"/>
          <w:b/>
          <w:bCs/>
          <w:color w:val="000000"/>
          <w:kern w:val="0"/>
          <w:sz w:val="32"/>
          <w:szCs w:val="32"/>
          <w:highlight w:val="none"/>
          <w:shd w:val="clear" w:color="auto" w:fill="FFFFFF"/>
          <w:lang w:val="zh-CN"/>
        </w:rPr>
        <w:t>机构职能。</w:t>
      </w:r>
    </w:p>
    <w:p w14:paraId="2840D439">
      <w:pPr>
        <w:keepNext w:val="0"/>
        <w:keepLines w:val="0"/>
        <w:pageBreakBefore w:val="0"/>
        <w:widowControl w:val="0"/>
        <w:kinsoku/>
        <w:wordWrap/>
        <w:topLinePunct w:val="0"/>
        <w:autoSpaceDE/>
        <w:autoSpaceDN/>
        <w:bidi w:val="0"/>
        <w:spacing w:beforeAutospacing="0" w:afterAutospacing="0"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主要工作是围绕全州林草业生产和产业发展对科学技术的需要，大力引进、消化、吸收、推广应用先进科技和实用技术，加强对新品种、新技术的引进和先进技术集成，开展林草产品和相关土壤环境质量安全检验检测，为全州林草业生产和产业发展提供科技服务。单位宗旨是林草科研、检验检测、科技培训与技术推广，促进林草业发展。</w:t>
      </w:r>
    </w:p>
    <w:p w14:paraId="2211CE0E">
      <w:pPr>
        <w:keepNext w:val="0"/>
        <w:keepLines w:val="0"/>
        <w:pageBreakBefore w:val="0"/>
        <w:widowControl w:val="0"/>
        <w:numPr>
          <w:ilvl w:val="0"/>
          <w:numId w:val="2"/>
        </w:numPr>
        <w:kinsoku/>
        <w:wordWrap/>
        <w:overflowPunct/>
        <w:topLinePunct w:val="0"/>
        <w:autoSpaceDE/>
        <w:autoSpaceDN/>
        <w:bidi w:val="0"/>
        <w:adjustRightInd/>
        <w:snapToGrid/>
        <w:spacing w:line="600" w:lineRule="exact"/>
        <w:ind w:left="0" w:leftChars="0" w:firstLine="643" w:firstLineChars="200"/>
        <w:textAlignment w:val="auto"/>
        <w:rPr>
          <w:rFonts w:hint="eastAsia" w:ascii="仿宋_GB2312" w:hAnsi="仿宋_GB2312" w:eastAsia="仿宋_GB2312" w:cs="仿宋_GB2312"/>
          <w:b/>
          <w:bCs/>
          <w:color w:val="000000"/>
          <w:kern w:val="0"/>
          <w:sz w:val="32"/>
          <w:szCs w:val="32"/>
          <w:highlight w:val="none"/>
          <w:shd w:val="clear" w:color="auto" w:fill="FFFFFF"/>
          <w:lang w:val="zh-CN"/>
        </w:rPr>
      </w:pPr>
      <w:r>
        <w:rPr>
          <w:rFonts w:hint="eastAsia" w:ascii="仿宋_GB2312" w:hAnsi="仿宋_GB2312" w:eastAsia="仿宋_GB2312" w:cs="仿宋_GB2312"/>
          <w:b/>
          <w:bCs/>
          <w:color w:val="000000"/>
          <w:kern w:val="0"/>
          <w:sz w:val="32"/>
          <w:szCs w:val="32"/>
          <w:highlight w:val="none"/>
          <w:shd w:val="clear" w:color="auto" w:fill="FFFFFF"/>
          <w:lang w:val="zh-CN"/>
        </w:rPr>
        <w:t>人员概况。</w:t>
      </w:r>
    </w:p>
    <w:p w14:paraId="07A13C14">
      <w:pPr>
        <w:keepNext w:val="0"/>
        <w:keepLines w:val="0"/>
        <w:pageBreakBefore w:val="0"/>
        <w:kinsoku/>
        <w:wordWrap/>
        <w:topLinePunct w:val="0"/>
        <w:autoSpaceDE/>
        <w:autoSpaceDN/>
        <w:bidi w:val="0"/>
        <w:snapToGrid w:val="0"/>
        <w:spacing w:beforeAutospacing="0" w:afterAutospacing="0"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napToGrid w:val="0"/>
          <w:sz w:val="32"/>
          <w:szCs w:val="32"/>
          <w:shd w:val="clear" w:color="auto" w:fill="FFFFFF"/>
        </w:rPr>
        <w:t>本单位</w:t>
      </w:r>
      <w:r>
        <w:rPr>
          <w:rFonts w:hint="eastAsia" w:ascii="仿宋_GB2312" w:hAnsi="仿宋_GB2312" w:eastAsia="仿宋_GB2312" w:cs="仿宋_GB2312"/>
          <w:snapToGrid w:val="0"/>
          <w:sz w:val="32"/>
          <w:szCs w:val="32"/>
          <w:shd w:val="clear" w:color="auto" w:fill="FFFFFF"/>
          <w:lang w:eastAsia="zh-CN"/>
        </w:rPr>
        <w:t>编制人数</w:t>
      </w:r>
      <w:r>
        <w:rPr>
          <w:rFonts w:hint="eastAsia" w:ascii="仿宋_GB2312" w:hAnsi="仿宋_GB2312" w:eastAsia="仿宋_GB2312" w:cs="仿宋_GB2312"/>
          <w:snapToGrid w:val="0"/>
          <w:sz w:val="32"/>
          <w:szCs w:val="32"/>
          <w:shd w:val="clear" w:color="auto" w:fill="FFFFFF"/>
          <w:lang w:val="en-US" w:eastAsia="zh-CN"/>
        </w:rPr>
        <w:t>17人，</w:t>
      </w:r>
      <w:r>
        <w:rPr>
          <w:rFonts w:hint="eastAsia" w:ascii="仿宋_GB2312" w:hAnsi="仿宋_GB2312" w:eastAsia="仿宋_GB2312" w:cs="仿宋_GB2312"/>
          <w:snapToGrid w:val="0"/>
          <w:sz w:val="32"/>
          <w:szCs w:val="32"/>
          <w:shd w:val="clear" w:color="auto" w:fill="FFFFFF"/>
          <w:lang w:eastAsia="zh-CN"/>
        </w:rPr>
        <w:t>截止</w:t>
      </w:r>
      <w:r>
        <w:rPr>
          <w:rFonts w:hint="eastAsia" w:ascii="仿宋_GB2312" w:hAnsi="仿宋_GB2312" w:eastAsia="仿宋_GB2312" w:cs="仿宋_GB2312"/>
          <w:snapToGrid w:val="0"/>
          <w:sz w:val="32"/>
          <w:szCs w:val="32"/>
          <w:shd w:val="clear" w:color="auto" w:fill="FFFFFF"/>
          <w:lang w:val="en-US" w:eastAsia="zh-CN"/>
        </w:rPr>
        <w:t>2024年年</w:t>
      </w:r>
      <w:r>
        <w:rPr>
          <w:rFonts w:hint="eastAsia" w:ascii="仿宋_GB2312" w:hAnsi="仿宋_GB2312" w:eastAsia="仿宋_GB2312" w:cs="仿宋_GB2312"/>
          <w:snapToGrid w:val="0"/>
          <w:sz w:val="32"/>
          <w:szCs w:val="32"/>
          <w:shd w:val="clear" w:color="auto" w:fill="FFFFFF"/>
        </w:rPr>
        <w:t>末实有人数为</w:t>
      </w:r>
      <w:r>
        <w:rPr>
          <w:rFonts w:hint="eastAsia" w:ascii="仿宋_GB2312" w:hAnsi="仿宋_GB2312" w:eastAsia="仿宋_GB2312" w:cs="仿宋_GB2312"/>
          <w:snapToGrid w:val="0"/>
          <w:sz w:val="32"/>
          <w:szCs w:val="32"/>
          <w:shd w:val="clear" w:color="auto" w:fill="FFFFFF"/>
          <w:lang w:val="en-US" w:eastAsia="zh-CN"/>
        </w:rPr>
        <w:t>14</w:t>
      </w:r>
      <w:r>
        <w:rPr>
          <w:rFonts w:hint="eastAsia" w:ascii="仿宋_GB2312" w:hAnsi="仿宋_GB2312" w:eastAsia="仿宋_GB2312" w:cs="仿宋_GB2312"/>
          <w:snapToGrid w:val="0"/>
          <w:sz w:val="32"/>
          <w:szCs w:val="32"/>
          <w:shd w:val="clear" w:color="auto" w:fill="FFFFFF"/>
        </w:rPr>
        <w:t>人</w:t>
      </w:r>
      <w:r>
        <w:rPr>
          <w:rFonts w:hint="eastAsia" w:ascii="仿宋_GB2312" w:hAnsi="仿宋_GB2312" w:eastAsia="仿宋_GB2312" w:cs="仿宋_GB2312"/>
          <w:snapToGrid w:val="0"/>
          <w:sz w:val="32"/>
          <w:szCs w:val="32"/>
          <w:shd w:val="clear" w:color="auto" w:fill="FFFFFF"/>
          <w:lang w:eastAsia="zh-CN"/>
        </w:rPr>
        <w:t>，</w:t>
      </w:r>
      <w:r>
        <w:rPr>
          <w:rFonts w:hint="eastAsia" w:ascii="仿宋_GB2312" w:hAnsi="仿宋_GB2312" w:eastAsia="仿宋_GB2312" w:cs="仿宋_GB2312"/>
          <w:snapToGrid w:val="0"/>
          <w:sz w:val="32"/>
          <w:szCs w:val="32"/>
          <w:shd w:val="clear" w:color="auto" w:fill="FFFFFF"/>
        </w:rPr>
        <w:t>年末实有退休人数为</w:t>
      </w:r>
      <w:r>
        <w:rPr>
          <w:rFonts w:hint="eastAsia" w:ascii="仿宋_GB2312" w:hAnsi="仿宋_GB2312" w:eastAsia="仿宋_GB2312" w:cs="仿宋_GB2312"/>
          <w:snapToGrid w:val="0"/>
          <w:sz w:val="32"/>
          <w:szCs w:val="32"/>
          <w:shd w:val="clear" w:color="auto" w:fill="FFFFFF"/>
          <w:lang w:val="en-US" w:eastAsia="zh-CN"/>
        </w:rPr>
        <w:t>23</w:t>
      </w:r>
      <w:r>
        <w:rPr>
          <w:rFonts w:hint="eastAsia" w:ascii="仿宋_GB2312" w:hAnsi="仿宋_GB2312" w:eastAsia="仿宋_GB2312" w:cs="仿宋_GB2312"/>
          <w:snapToGrid w:val="0"/>
          <w:sz w:val="32"/>
          <w:szCs w:val="32"/>
          <w:shd w:val="clear" w:color="auto" w:fill="FFFFFF"/>
        </w:rPr>
        <w:t>人</w:t>
      </w:r>
      <w:r>
        <w:rPr>
          <w:rFonts w:hint="eastAsia" w:ascii="仿宋_GB2312" w:hAnsi="仿宋_GB2312" w:eastAsia="仿宋_GB2312" w:cs="仿宋_GB2312"/>
          <w:snapToGrid w:val="0"/>
          <w:sz w:val="32"/>
          <w:szCs w:val="32"/>
          <w:shd w:val="clear" w:color="auto" w:fill="FFFFFF"/>
          <w:lang w:eastAsia="zh-CN"/>
        </w:rPr>
        <w:t>。</w:t>
      </w:r>
    </w:p>
    <w:p w14:paraId="4F8A5A98">
      <w:pPr>
        <w:keepNext w:val="0"/>
        <w:keepLines w:val="0"/>
        <w:pageBreakBefore w:val="0"/>
        <w:widowControl/>
        <w:kinsoku/>
        <w:wordWrap/>
        <w:overflowPunct/>
        <w:topLinePunct w:val="0"/>
        <w:autoSpaceDE/>
        <w:autoSpaceDN/>
        <w:bidi w:val="0"/>
        <w:adjustRightInd w:val="0"/>
        <w:snapToGrid w:val="0"/>
        <w:spacing w:line="578" w:lineRule="exact"/>
        <w:ind w:firstLine="643" w:firstLineChars="200"/>
        <w:contextualSpacing/>
        <w:jc w:val="left"/>
        <w:textAlignment w:val="auto"/>
        <w:outlineLvl w:val="9"/>
        <w:rPr>
          <w:rFonts w:hint="eastAsia" w:ascii="仿宋_GB2312" w:hAnsi="仿宋_GB2312" w:eastAsia="仿宋_GB2312" w:cs="仿宋_GB2312"/>
          <w:b/>
          <w:bCs/>
          <w:color w:val="000000"/>
          <w:kern w:val="0"/>
          <w:sz w:val="32"/>
          <w:szCs w:val="32"/>
          <w:highlight w:val="none"/>
          <w:shd w:val="clear" w:color="auto" w:fill="FFFFFF"/>
        </w:rPr>
      </w:pPr>
      <w:r>
        <w:rPr>
          <w:rFonts w:hint="eastAsia" w:ascii="仿宋_GB2312" w:hAnsi="仿宋_GB2312" w:eastAsia="仿宋_GB2312" w:cs="仿宋_GB2312"/>
          <w:b/>
          <w:bCs/>
          <w:color w:val="000000"/>
          <w:kern w:val="0"/>
          <w:sz w:val="32"/>
          <w:szCs w:val="32"/>
          <w:highlight w:val="none"/>
          <w:shd w:val="clear" w:color="auto" w:fill="FFFFFF"/>
        </w:rPr>
        <w:t>二、</w:t>
      </w:r>
      <w:r>
        <w:rPr>
          <w:rFonts w:hint="eastAsia" w:ascii="仿宋_GB2312" w:hAnsi="仿宋_GB2312" w:eastAsia="仿宋_GB2312" w:cs="仿宋_GB2312"/>
          <w:b/>
          <w:bCs/>
          <w:color w:val="000000"/>
          <w:kern w:val="0"/>
          <w:sz w:val="32"/>
          <w:szCs w:val="32"/>
          <w:highlight w:val="none"/>
          <w:shd w:val="clear" w:color="auto" w:fill="FFFFFF"/>
          <w:lang w:eastAsia="zh-CN"/>
        </w:rPr>
        <w:t>部门</w:t>
      </w:r>
      <w:r>
        <w:rPr>
          <w:rFonts w:hint="eastAsia" w:ascii="仿宋_GB2312" w:hAnsi="仿宋_GB2312" w:eastAsia="仿宋_GB2312" w:cs="仿宋_GB2312"/>
          <w:b/>
          <w:bCs/>
          <w:color w:val="000000"/>
          <w:kern w:val="0"/>
          <w:sz w:val="32"/>
          <w:szCs w:val="32"/>
          <w:highlight w:val="none"/>
          <w:shd w:val="clear" w:color="auto" w:fill="FFFFFF"/>
        </w:rPr>
        <w:t>资金收支情况</w:t>
      </w:r>
    </w:p>
    <w:p w14:paraId="68CC53B3">
      <w:pPr>
        <w:keepNext w:val="0"/>
        <w:keepLines w:val="0"/>
        <w:pageBreakBefore w:val="0"/>
        <w:widowControl/>
        <w:kinsoku/>
        <w:wordWrap/>
        <w:overflowPunct/>
        <w:topLinePunct w:val="0"/>
        <w:autoSpaceDE/>
        <w:autoSpaceDN/>
        <w:bidi w:val="0"/>
        <w:adjustRightInd w:val="0"/>
        <w:snapToGrid w:val="0"/>
        <w:spacing w:line="578" w:lineRule="exact"/>
        <w:ind w:firstLine="643" w:firstLineChars="200"/>
        <w:contextualSpacing/>
        <w:jc w:val="left"/>
        <w:textAlignment w:val="auto"/>
        <w:outlineLvl w:val="9"/>
        <w:rPr>
          <w:rFonts w:hint="eastAsia" w:ascii="仿宋_GB2312" w:hAnsi="仿宋_GB2312" w:eastAsia="仿宋_GB2312" w:cs="仿宋_GB2312"/>
          <w:b/>
          <w:bCs/>
          <w:color w:val="000000"/>
          <w:kern w:val="0"/>
          <w:sz w:val="32"/>
          <w:szCs w:val="32"/>
          <w:highlight w:val="none"/>
          <w:shd w:val="clear" w:color="auto" w:fill="FFFFFF"/>
          <w:lang w:val="en-US"/>
        </w:rPr>
      </w:pPr>
      <w:r>
        <w:rPr>
          <w:rFonts w:hint="eastAsia" w:ascii="仿宋_GB2312" w:hAnsi="仿宋_GB2312" w:eastAsia="仿宋_GB2312" w:cs="仿宋_GB2312"/>
          <w:b/>
          <w:bCs/>
          <w:color w:val="000000"/>
          <w:kern w:val="0"/>
          <w:sz w:val="32"/>
          <w:szCs w:val="32"/>
          <w:highlight w:val="none"/>
          <w:shd w:val="clear" w:color="auto" w:fill="FFFFFF"/>
          <w:lang w:val="zh-CN"/>
        </w:rPr>
        <w:t>（一）收入情况。</w:t>
      </w:r>
      <w:r>
        <w:rPr>
          <w:rFonts w:hint="eastAsia" w:ascii="仿宋_GB2312" w:hAnsi="仿宋_GB2312" w:eastAsia="仿宋_GB2312" w:cs="仿宋_GB2312"/>
          <w:sz w:val="32"/>
          <w:szCs w:val="32"/>
          <w:lang w:val="en-US" w:eastAsia="zh-CN"/>
        </w:rPr>
        <w:t>阿坝州林业和草原科学技术研究所2024年年初预算收入491.8</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val="en-US" w:eastAsia="zh-CN"/>
        </w:rPr>
        <w:t>、决算报表收入640.96</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val="en-US" w:eastAsia="zh-CN"/>
        </w:rPr>
        <w:t>。</w:t>
      </w:r>
    </w:p>
    <w:p w14:paraId="512029D5">
      <w:pPr>
        <w:widowControl/>
        <w:spacing w:line="700" w:lineRule="exact"/>
        <w:ind w:firstLine="643" w:firstLineChars="20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color w:val="000000"/>
          <w:kern w:val="0"/>
          <w:sz w:val="32"/>
          <w:szCs w:val="32"/>
          <w:highlight w:val="none"/>
          <w:shd w:val="clear" w:color="auto" w:fill="FFFFFF"/>
          <w:lang w:val="zh-CN"/>
        </w:rPr>
        <w:t>（二）支出情况。</w:t>
      </w:r>
      <w:r>
        <w:rPr>
          <w:rFonts w:hint="eastAsia" w:ascii="仿宋_GB2312" w:hAnsi="仿宋_GB2312" w:eastAsia="仿宋_GB2312" w:cs="仿宋_GB2312"/>
          <w:sz w:val="32"/>
          <w:szCs w:val="32"/>
          <w:lang w:val="en-US" w:eastAsia="zh-CN"/>
        </w:rPr>
        <w:t>阿坝州林业和草原科学技术研究所2024年年初预算支出</w:t>
      </w:r>
      <w:r>
        <w:rPr>
          <w:rFonts w:hint="eastAsia" w:ascii="仿宋_GB2312" w:hAnsi="仿宋_GB2312" w:eastAsia="仿宋_GB2312" w:cs="仿宋_GB2312"/>
          <w:sz w:val="32"/>
          <w:szCs w:val="32"/>
          <w:highlight w:val="none"/>
          <w:lang w:val="en-US" w:eastAsia="zh-CN"/>
        </w:rPr>
        <w:t>504.38</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val="en-US" w:eastAsia="zh-CN"/>
        </w:rPr>
        <w:t>、决算报表支出629.20</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val="en-US" w:eastAsia="zh-CN"/>
        </w:rPr>
        <w:t>，完成的任务、达成的效果如下：</w:t>
      </w:r>
    </w:p>
    <w:p w14:paraId="08CDF6DC">
      <w:pPr>
        <w:keepNext w:val="0"/>
        <w:keepLines w:val="0"/>
        <w:pageBreakBefore w:val="0"/>
        <w:kinsoku/>
        <w:wordWrap/>
        <w:overflowPunct w:val="0"/>
        <w:topLinePunct w:val="0"/>
        <w:autoSpaceDE/>
        <w:autoSpaceDN/>
        <w:bidi w:val="0"/>
        <w:spacing w:beforeAutospacing="0" w:afterAutospacing="0" w:line="560" w:lineRule="exact"/>
        <w:ind w:firstLine="643" w:firstLineChars="200"/>
        <w:textAlignment w:val="auto"/>
        <w:rPr>
          <w:rFonts w:hint="eastAsia" w:ascii="仿宋_GB2312" w:hAnsi="仿宋_GB2312" w:eastAsia="仿宋_GB2312" w:cs="仿宋_GB2312"/>
          <w:b/>
          <w:bCs/>
          <w:color w:val="000000"/>
          <w:sz w:val="32"/>
          <w:szCs w:val="32"/>
        </w:rPr>
      </w:pPr>
      <w:r>
        <w:rPr>
          <w:rFonts w:hint="eastAsia" w:ascii="仿宋_GB2312" w:hAnsi="仿宋_GB2312" w:eastAsia="仿宋_GB2312" w:cs="仿宋_GB2312"/>
          <w:b/>
          <w:bCs/>
          <w:color w:val="000000"/>
          <w:sz w:val="32"/>
          <w:szCs w:val="32"/>
          <w:lang w:val="en-US" w:eastAsia="zh-CN"/>
        </w:rPr>
        <w:t>1.严格落地落实</w:t>
      </w:r>
      <w:r>
        <w:rPr>
          <w:rFonts w:hint="eastAsia" w:ascii="仿宋_GB2312" w:hAnsi="仿宋_GB2312" w:eastAsia="仿宋_GB2312" w:cs="仿宋_GB2312"/>
          <w:b/>
          <w:bCs/>
          <w:color w:val="000000"/>
          <w:sz w:val="32"/>
          <w:szCs w:val="32"/>
        </w:rPr>
        <w:t>，有序推进</w:t>
      </w:r>
      <w:r>
        <w:rPr>
          <w:rFonts w:hint="eastAsia" w:ascii="仿宋_GB2312" w:hAnsi="仿宋_GB2312" w:eastAsia="仿宋_GB2312" w:cs="仿宋_GB2312"/>
          <w:b/>
          <w:bCs/>
          <w:color w:val="000000"/>
          <w:sz w:val="32"/>
          <w:szCs w:val="32"/>
          <w:lang w:eastAsia="zh-CN"/>
        </w:rPr>
        <w:t>各项</w:t>
      </w:r>
      <w:r>
        <w:rPr>
          <w:rFonts w:hint="eastAsia" w:ascii="仿宋_GB2312" w:hAnsi="仿宋_GB2312" w:eastAsia="仿宋_GB2312" w:cs="仿宋_GB2312"/>
          <w:b/>
          <w:bCs/>
          <w:color w:val="000000"/>
          <w:sz w:val="32"/>
          <w:szCs w:val="32"/>
        </w:rPr>
        <w:t>林草科研项目</w:t>
      </w:r>
    </w:p>
    <w:p w14:paraId="314A3823">
      <w:pPr>
        <w:keepNext w:val="0"/>
        <w:keepLines w:val="0"/>
        <w:pageBreakBefore w:val="0"/>
        <w:kinsoku/>
        <w:wordWrap/>
        <w:overflowPunct w:val="0"/>
        <w:topLinePunct w:val="0"/>
        <w:autoSpaceDE/>
        <w:autoSpaceDN/>
        <w:bidi w:val="0"/>
        <w:spacing w:beforeAutospacing="0" w:afterAutospacing="0"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w:t>
      </w:r>
      <w:r>
        <w:rPr>
          <w:rFonts w:hint="eastAsia" w:ascii="仿宋_GB2312" w:hAnsi="仿宋_GB2312" w:eastAsia="仿宋_GB2312" w:cs="仿宋_GB2312"/>
          <w:color w:val="000000"/>
          <w:sz w:val="32"/>
          <w:szCs w:val="32"/>
        </w:rPr>
        <w:t>年来,全所干部职工兢兢业业、尽职尽责，</w:t>
      </w:r>
      <w:r>
        <w:rPr>
          <w:rFonts w:hint="eastAsia" w:ascii="仿宋_GB2312" w:hAnsi="仿宋_GB2312" w:eastAsia="仿宋_GB2312" w:cs="仿宋_GB2312"/>
          <w:sz w:val="32"/>
          <w:szCs w:val="32"/>
        </w:rPr>
        <w:t>以“快出成果、多出成果、出好成果”为发展思路，耐心细致，积极热情</w:t>
      </w:r>
      <w:r>
        <w:rPr>
          <w:rFonts w:hint="eastAsia" w:ascii="仿宋_GB2312" w:hAnsi="仿宋_GB2312" w:eastAsia="仿宋_GB2312" w:cs="仿宋_GB2312"/>
          <w:color w:val="000000"/>
          <w:sz w:val="32"/>
          <w:szCs w:val="32"/>
        </w:rPr>
        <w:t>的推动</w:t>
      </w:r>
      <w:r>
        <w:rPr>
          <w:rFonts w:hint="eastAsia" w:ascii="仿宋_GB2312" w:hAnsi="仿宋_GB2312" w:eastAsia="仿宋_GB2312" w:cs="仿宋_GB2312"/>
          <w:sz w:val="32"/>
          <w:szCs w:val="32"/>
        </w:rPr>
        <w:t>各项工作有序开展。“</w:t>
      </w:r>
      <w:r>
        <w:rPr>
          <w:rFonts w:hint="eastAsia" w:ascii="仿宋_GB2312" w:hAnsi="仿宋_GB2312" w:eastAsia="仿宋_GB2312" w:cs="仿宋_GB2312"/>
          <w:sz w:val="32"/>
          <w:szCs w:val="32"/>
          <w:lang w:eastAsia="zh-CN"/>
        </w:rPr>
        <w:t>川</w:t>
      </w:r>
      <w:r>
        <w:rPr>
          <w:rFonts w:hint="eastAsia" w:ascii="仿宋_GB2312" w:hAnsi="仿宋_GB2312" w:eastAsia="仿宋_GB2312" w:cs="仿宋_GB2312"/>
          <w:sz w:val="32"/>
          <w:szCs w:val="32"/>
        </w:rPr>
        <w:t>西北地区森林质量精准提升技术体系研究与示范”“</w:t>
      </w:r>
      <w:r>
        <w:rPr>
          <w:rFonts w:hint="eastAsia" w:ascii="仿宋_GB2312" w:hAnsi="仿宋_GB2312" w:eastAsia="仿宋_GB2312" w:cs="仿宋_GB2312"/>
          <w:sz w:val="32"/>
          <w:szCs w:val="32"/>
          <w:lang w:val="en-US" w:eastAsia="zh-CN"/>
        </w:rPr>
        <w:t>阿坝州松材线虫病监测体系建设及健康经营技术研究与示范</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等</w:t>
      </w:r>
      <w:r>
        <w:rPr>
          <w:rFonts w:hint="eastAsia" w:ascii="仿宋_GB2312" w:hAnsi="仿宋_GB2312" w:eastAsia="仿宋_GB2312" w:cs="仿宋_GB2312"/>
          <w:sz w:val="32"/>
          <w:szCs w:val="32"/>
          <w:lang w:val="en-US" w:eastAsia="zh-CN"/>
        </w:rPr>
        <w:t>8个</w:t>
      </w:r>
      <w:r>
        <w:rPr>
          <w:rFonts w:hint="eastAsia" w:ascii="仿宋_GB2312" w:hAnsi="仿宋_GB2312" w:eastAsia="仿宋_GB2312" w:cs="仿宋_GB2312"/>
          <w:sz w:val="32"/>
          <w:szCs w:val="32"/>
        </w:rPr>
        <w:t>科研项目都按时、保质、保量完成了全年的工作任务，为项目下一步更好的开展奠定了基础。</w:t>
      </w:r>
    </w:p>
    <w:p w14:paraId="0545A18B">
      <w:pPr>
        <w:pStyle w:val="16"/>
        <w:keepNext w:val="0"/>
        <w:keepLines w:val="0"/>
        <w:pageBreakBefore w:val="0"/>
        <w:widowControl/>
        <w:kinsoku/>
        <w:wordWrap/>
        <w:overflowPunct w:val="0"/>
        <w:topLinePunct w:val="0"/>
        <w:autoSpaceDE/>
        <w:autoSpaceDN/>
        <w:bidi w:val="0"/>
        <w:spacing w:before="0" w:beforeAutospacing="0" w:after="0" w:afterAutospacing="0" w:line="560" w:lineRule="exact"/>
        <w:ind w:firstLine="643" w:firstLineChars="200"/>
        <w:jc w:val="both"/>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2.认真开展科技服务工作</w:t>
      </w:r>
    </w:p>
    <w:p w14:paraId="694DEFA8">
      <w:pPr>
        <w:keepNext w:val="0"/>
        <w:keepLines w:val="0"/>
        <w:pageBreakBefore w:val="0"/>
        <w:numPr>
          <w:ilvl w:val="0"/>
          <w:numId w:val="0"/>
        </w:numPr>
        <w:kinsoku/>
        <w:wordWrap/>
        <w:overflowPunct w:val="0"/>
        <w:topLinePunct w:val="0"/>
        <w:autoSpaceDE/>
        <w:autoSpaceDN/>
        <w:bidi w:val="0"/>
        <w:spacing w:beforeAutospacing="0" w:afterAutospacing="0" w:line="560" w:lineRule="exact"/>
        <w:ind w:firstLine="640" w:firstLineChars="200"/>
        <w:textAlignment w:val="auto"/>
        <w:rPr>
          <w:rFonts w:hint="eastAsia" w:ascii="仿宋_GB2312" w:hAnsi="仿宋_GB2312" w:eastAsia="仿宋_GB2312" w:cs="仿宋_GB2312"/>
          <w:b/>
          <w:bCs w:val="0"/>
          <w:sz w:val="32"/>
          <w:szCs w:val="32"/>
          <w:lang w:val="en-US" w:eastAsia="zh-CN"/>
        </w:rPr>
      </w:pPr>
      <w:r>
        <w:rPr>
          <w:rFonts w:hint="eastAsia" w:ascii="仿宋_GB2312" w:hAnsi="仿宋_GB2312" w:eastAsia="仿宋_GB2312" w:cs="仿宋_GB2312"/>
          <w:sz w:val="32"/>
          <w:szCs w:val="32"/>
          <w:lang w:eastAsia="zh-CN"/>
        </w:rPr>
        <w:t>以</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理县卡子核桃产业人才港建设</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黑水县防沙治沙科技支撑服务</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等</w:t>
      </w:r>
      <w:r>
        <w:rPr>
          <w:rFonts w:hint="eastAsia" w:ascii="仿宋_GB2312" w:hAnsi="仿宋_GB2312" w:eastAsia="仿宋_GB2312" w:cs="仿宋_GB2312"/>
          <w:sz w:val="32"/>
          <w:szCs w:val="32"/>
          <w:lang w:val="en-US" w:eastAsia="zh-CN"/>
        </w:rPr>
        <w:t>项目，积极</w:t>
      </w:r>
      <w:r>
        <w:rPr>
          <w:rFonts w:hint="eastAsia" w:ascii="仿宋_GB2312" w:hAnsi="仿宋_GB2312" w:eastAsia="仿宋_GB2312" w:cs="仿宋_GB2312"/>
          <w:sz w:val="32"/>
          <w:szCs w:val="32"/>
        </w:rPr>
        <w:t>组织技术培训，向基层林草站、合作社</w:t>
      </w:r>
      <w:r>
        <w:rPr>
          <w:rFonts w:hint="eastAsia" w:ascii="仿宋_GB2312" w:hAnsi="仿宋_GB2312" w:eastAsia="仿宋_GB2312" w:cs="仿宋_GB2312"/>
          <w:sz w:val="32"/>
          <w:szCs w:val="32"/>
          <w:lang w:eastAsia="zh-CN"/>
        </w:rPr>
        <w:t>、农牧民</w:t>
      </w:r>
      <w:r>
        <w:rPr>
          <w:rFonts w:hint="eastAsia" w:ascii="仿宋_GB2312" w:hAnsi="仿宋_GB2312" w:eastAsia="仿宋_GB2312" w:cs="仿宋_GB2312"/>
          <w:sz w:val="32"/>
          <w:szCs w:val="32"/>
        </w:rPr>
        <w:t>推广</w:t>
      </w:r>
      <w:r>
        <w:rPr>
          <w:rFonts w:hint="eastAsia" w:ascii="仿宋_GB2312" w:hAnsi="仿宋_GB2312" w:eastAsia="仿宋_GB2312" w:cs="仿宋_GB2312"/>
          <w:sz w:val="32"/>
          <w:szCs w:val="32"/>
          <w:lang w:eastAsia="zh-CN"/>
        </w:rPr>
        <w:t>核桃栽植</w:t>
      </w:r>
      <w:r>
        <w:rPr>
          <w:rFonts w:hint="eastAsia" w:ascii="仿宋_GB2312" w:hAnsi="仿宋_GB2312" w:eastAsia="仿宋_GB2312" w:cs="仿宋_GB2312"/>
          <w:sz w:val="32"/>
          <w:szCs w:val="32"/>
        </w:rPr>
        <w:t>、草原</w:t>
      </w:r>
      <w:r>
        <w:rPr>
          <w:rFonts w:hint="eastAsia" w:ascii="仿宋_GB2312" w:hAnsi="仿宋_GB2312" w:eastAsia="仿宋_GB2312" w:cs="仿宋_GB2312"/>
          <w:sz w:val="32"/>
          <w:szCs w:val="32"/>
          <w:lang w:eastAsia="zh-CN"/>
        </w:rPr>
        <w:t>沙化、</w:t>
      </w:r>
      <w:r>
        <w:rPr>
          <w:rFonts w:hint="eastAsia" w:ascii="仿宋_GB2312" w:hAnsi="仿宋_GB2312" w:eastAsia="仿宋_GB2312" w:cs="仿宋_GB2312"/>
          <w:sz w:val="32"/>
          <w:szCs w:val="32"/>
        </w:rPr>
        <w:t>鼠害防治等实用技术。  </w:t>
      </w:r>
      <w:r>
        <w:rPr>
          <w:rFonts w:hint="eastAsia" w:ascii="仿宋_GB2312" w:hAnsi="仿宋_GB2312" w:eastAsia="仿宋_GB2312" w:cs="仿宋_GB2312"/>
          <w:sz w:val="32"/>
          <w:szCs w:val="32"/>
        </w:rPr>
        <w:br w:type="textWrapping"/>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b/>
          <w:bCs/>
          <w:kern w:val="2"/>
          <w:sz w:val="32"/>
          <w:szCs w:val="32"/>
          <w:lang w:val="en-US" w:eastAsia="zh-CN" w:bidi="ar-SA"/>
        </w:rPr>
        <w:t>3.积极组织2024年三区科技人才项目</w:t>
      </w:r>
    </w:p>
    <w:p w14:paraId="0E7B6F52">
      <w:pPr>
        <w:keepNext w:val="0"/>
        <w:keepLines w:val="0"/>
        <w:pageBreakBefore w:val="0"/>
        <w:kinsoku/>
        <w:wordWrap/>
        <w:overflowPunct w:val="0"/>
        <w:topLinePunct w:val="0"/>
        <w:autoSpaceDE/>
        <w:autoSpaceDN/>
        <w:bidi w:val="0"/>
        <w:spacing w:beforeAutospacing="0" w:afterAutospacing="0" w:line="560" w:lineRule="exact"/>
        <w:ind w:firstLine="640" w:firstLineChars="200"/>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sz w:val="32"/>
          <w:szCs w:val="32"/>
          <w:lang w:val="en-US" w:eastAsia="zh-CN"/>
        </w:rPr>
        <w:t>按照茂县、黑水县科技局、林草局相关技术需求，本年度到茂县、黑水深入基层6次，举办现场培训3期，食用林产品抽样160批次，发放技术资料300余份。圆满完成了2024年度科技服务工作。</w:t>
      </w:r>
    </w:p>
    <w:p w14:paraId="1BA7E443">
      <w:pPr>
        <w:pStyle w:val="38"/>
        <w:keepNext w:val="0"/>
        <w:keepLines w:val="0"/>
        <w:pageBreakBefore w:val="0"/>
        <w:widowControl w:val="0"/>
        <w:numPr>
          <w:ilvl w:val="0"/>
          <w:numId w:val="0"/>
        </w:numPr>
        <w:kinsoku/>
        <w:wordWrap/>
        <w:overflowPunct w:val="0"/>
        <w:topLinePunct w:val="0"/>
        <w:autoSpaceDE/>
        <w:autoSpaceDN/>
        <w:bidi w:val="0"/>
        <w:adjustRightInd/>
        <w:spacing w:beforeAutospacing="0" w:after="0" w:afterAutospacing="0" w:line="560" w:lineRule="exact"/>
        <w:ind w:firstLine="643" w:firstLineChars="200"/>
        <w:textAlignment w:val="auto"/>
        <w:rPr>
          <w:rFonts w:hint="eastAsia" w:ascii="仿宋_GB2312" w:hAnsi="仿宋_GB2312" w:eastAsia="仿宋_GB2312" w:cs="仿宋_GB2312"/>
          <w:b w:val="0"/>
          <w:bCs w:val="0"/>
          <w:color w:val="000000"/>
          <w:kern w:val="0"/>
          <w:sz w:val="32"/>
          <w:szCs w:val="32"/>
          <w:lang w:eastAsia="zh-CN"/>
        </w:rPr>
      </w:pPr>
      <w:r>
        <w:rPr>
          <w:rFonts w:hint="eastAsia" w:ascii="仿宋_GB2312" w:hAnsi="仿宋_GB2312" w:eastAsia="仿宋_GB2312" w:cs="仿宋_GB2312"/>
          <w:b/>
          <w:bCs/>
          <w:kern w:val="2"/>
          <w:sz w:val="32"/>
          <w:szCs w:val="32"/>
          <w:lang w:val="en-US" w:eastAsia="zh-CN" w:bidi="ar-SA"/>
        </w:rPr>
        <w:t>4.科学构建监测体系，高质量完成食用林产品质量安全监测工作</w:t>
      </w:r>
    </w:p>
    <w:p w14:paraId="29E2D094">
      <w:pPr>
        <w:pStyle w:val="38"/>
        <w:keepNext w:val="0"/>
        <w:keepLines w:val="0"/>
        <w:pageBreakBefore w:val="0"/>
        <w:widowControl w:val="0"/>
        <w:numPr>
          <w:ilvl w:val="0"/>
          <w:numId w:val="0"/>
        </w:numPr>
        <w:kinsoku/>
        <w:wordWrap/>
        <w:overflowPunct w:val="0"/>
        <w:topLinePunct w:val="0"/>
        <w:autoSpaceDE/>
        <w:autoSpaceDN/>
        <w:bidi w:val="0"/>
        <w:adjustRightInd/>
        <w:spacing w:beforeAutospacing="0" w:after="0" w:afterAutospacing="0" w:line="560" w:lineRule="exact"/>
        <w:ind w:leftChars="200"/>
        <w:textAlignment w:val="auto"/>
        <w:rPr>
          <w:rFonts w:hint="eastAsia" w:ascii="仿宋_GB2312" w:hAnsi="仿宋_GB2312" w:eastAsia="仿宋_GB2312" w:cs="仿宋_GB2312"/>
          <w:b/>
          <w:bCs/>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（1）工作完成情况</w:t>
      </w:r>
    </w:p>
    <w:p w14:paraId="321F3011">
      <w:pPr>
        <w:keepNext w:val="0"/>
        <w:keepLines w:val="0"/>
        <w:pageBreakBefore w:val="0"/>
        <w:widowControl w:val="0"/>
        <w:numPr>
          <w:ilvl w:val="0"/>
          <w:numId w:val="0"/>
        </w:numPr>
        <w:kinsoku/>
        <w:wordWrap/>
        <w:overflowPunct w:val="0"/>
        <w:topLinePunct w:val="0"/>
        <w:autoSpaceDE/>
        <w:autoSpaceDN/>
        <w:bidi w:val="0"/>
        <w:adjustRightInd/>
        <w:snapToGrid w:val="0"/>
        <w:spacing w:beforeAutospacing="0" w:afterAutospacing="0" w:line="560" w:lineRule="exact"/>
        <w:ind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根据四川省林产品质量安全监测项目合同任务书（编号：ABLCJC2024）要求，2024年阿坝站承担食用林产品质量安全监测任务600批次，监测品种主要包括核桃、花椒、林草中药材及其产地土壤。</w:t>
      </w:r>
    </w:p>
    <w:p w14:paraId="5D399572">
      <w:pPr>
        <w:keepNext w:val="0"/>
        <w:keepLines w:val="0"/>
        <w:pageBreakBefore w:val="0"/>
        <w:widowControl w:val="0"/>
        <w:numPr>
          <w:ilvl w:val="0"/>
          <w:numId w:val="0"/>
        </w:numPr>
        <w:kinsoku/>
        <w:wordWrap/>
        <w:overflowPunct w:val="0"/>
        <w:topLinePunct w:val="0"/>
        <w:autoSpaceDE/>
        <w:autoSpaceDN/>
        <w:bidi w:val="0"/>
        <w:adjustRightInd/>
        <w:snapToGrid w:val="0"/>
        <w:spacing w:beforeAutospacing="0" w:afterAutospacing="0" w:line="560" w:lineRule="exact"/>
        <w:ind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2024年，共检测了120个药用中药材样品、110个花椒样品、70核桃样品和300个土壤样品。</w:t>
      </w:r>
    </w:p>
    <w:p w14:paraId="508660FD">
      <w:pPr>
        <w:keepNext w:val="0"/>
        <w:keepLines w:val="0"/>
        <w:pageBreakBefore w:val="0"/>
        <w:widowControl w:val="0"/>
        <w:kinsoku/>
        <w:wordWrap/>
        <w:overflowPunct w:val="0"/>
        <w:topLinePunct w:val="0"/>
        <w:autoSpaceDE/>
        <w:autoSpaceDN/>
        <w:bidi w:val="0"/>
        <w:adjustRightInd/>
        <w:snapToGrid w:val="0"/>
        <w:spacing w:beforeAutospacing="0" w:afterAutospacing="0" w:line="560" w:lineRule="exact"/>
        <w:ind w:firstLine="643" w:firstLineChars="200"/>
        <w:textAlignment w:val="auto"/>
        <w:rPr>
          <w:rFonts w:hint="eastAsia" w:ascii="仿宋_GB2312" w:hAnsi="仿宋_GB2312" w:eastAsia="仿宋_GB2312" w:cs="仿宋_GB2312"/>
          <w:b/>
          <w:bCs/>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（2）能力建设情况</w:t>
      </w:r>
    </w:p>
    <w:p w14:paraId="2A4E565C">
      <w:pPr>
        <w:keepNext w:val="0"/>
        <w:keepLines w:val="0"/>
        <w:pageBreakBefore w:val="0"/>
        <w:widowControl w:val="0"/>
        <w:numPr>
          <w:ilvl w:val="0"/>
          <w:numId w:val="0"/>
        </w:numPr>
        <w:kinsoku/>
        <w:wordWrap/>
        <w:overflowPunct w:val="0"/>
        <w:topLinePunct w:val="0"/>
        <w:autoSpaceDE/>
        <w:autoSpaceDN/>
        <w:bidi w:val="0"/>
        <w:adjustRightInd/>
        <w:snapToGrid w:val="0"/>
        <w:spacing w:beforeAutospacing="0" w:afterAutospacing="0" w:line="560" w:lineRule="exact"/>
        <w:ind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sz w:val="32"/>
          <w:szCs w:val="32"/>
          <w:highlight w:val="none"/>
        </w:rPr>
        <w:t>①</w:t>
      </w:r>
      <w:r>
        <w:rPr>
          <w:rFonts w:hint="eastAsia" w:ascii="仿宋_GB2312" w:hAnsi="仿宋_GB2312" w:eastAsia="仿宋_GB2312" w:cs="仿宋_GB2312"/>
          <w:kern w:val="2"/>
          <w:sz w:val="32"/>
          <w:szCs w:val="32"/>
          <w:lang w:val="en-US" w:eastAsia="zh-CN" w:bidi="ar-SA"/>
        </w:rPr>
        <w:t>技术培训。2024年10月，阿坝州林草局在松潘举办全州食用林产品质量安全监管培训班。来自全州各县林草局、国有林保护局、州林草所、林产品质量安全监测县级站、自建站等70余人参加培训。同时，阿坝州林草局联合州市场监管局举办以“诚信尚检 共享食安”为主题的食用林产品安全宣传周活动，通过宣传资料的发放与政策宣讲，提高群众对食品安全的重视，提倡保护生态环境。</w:t>
      </w:r>
    </w:p>
    <w:p w14:paraId="07C4ED40">
      <w:pPr>
        <w:keepNext w:val="0"/>
        <w:keepLines w:val="0"/>
        <w:pageBreakBefore w:val="0"/>
        <w:widowControl w:val="0"/>
        <w:numPr>
          <w:ilvl w:val="0"/>
          <w:numId w:val="0"/>
        </w:numPr>
        <w:kinsoku/>
        <w:wordWrap/>
        <w:overflowPunct w:val="0"/>
        <w:topLinePunct w:val="0"/>
        <w:autoSpaceDE/>
        <w:autoSpaceDN/>
        <w:bidi w:val="0"/>
        <w:adjustRightInd/>
        <w:snapToGrid w:val="0"/>
        <w:spacing w:beforeAutospacing="0" w:afterAutospacing="0" w:line="560" w:lineRule="exact"/>
        <w:ind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sz w:val="32"/>
          <w:szCs w:val="32"/>
          <w:highlight w:val="none"/>
        </w:rPr>
        <w:t>②</w:t>
      </w:r>
      <w:r>
        <w:rPr>
          <w:rFonts w:hint="eastAsia" w:ascii="仿宋_GB2312" w:hAnsi="仿宋_GB2312" w:eastAsia="仿宋_GB2312" w:cs="仿宋_GB2312"/>
          <w:kern w:val="2"/>
          <w:sz w:val="32"/>
          <w:szCs w:val="32"/>
          <w:lang w:val="en-US" w:eastAsia="zh-CN" w:bidi="ar-SA"/>
        </w:rPr>
        <w:t>能力验证。为确保更好地为本地区食用林产品服务，提升自身的检测能力，根据四川省市场监督管理局（川市监函〔2024〕187号）、四川省农业农村厅（N〔2024〕-1489号）文件要求，2024年7月，阿坝州林业和草原科学技术研究所参加能力验证考核，对重金属和农残进行抽样检测，取得合格的成绩。</w:t>
      </w:r>
    </w:p>
    <w:p w14:paraId="254992F4">
      <w:pPr>
        <w:pStyle w:val="38"/>
        <w:keepNext w:val="0"/>
        <w:keepLines w:val="0"/>
        <w:pageBreakBefore w:val="0"/>
        <w:widowControl w:val="0"/>
        <w:numPr>
          <w:ilvl w:val="0"/>
          <w:numId w:val="0"/>
        </w:numPr>
        <w:kinsoku/>
        <w:wordWrap/>
        <w:overflowPunct w:val="0"/>
        <w:topLinePunct w:val="0"/>
        <w:autoSpaceDE/>
        <w:autoSpaceDN/>
        <w:bidi w:val="0"/>
        <w:adjustRightInd/>
        <w:spacing w:beforeAutospacing="0" w:after="0" w:afterAutospacing="0" w:line="560" w:lineRule="exact"/>
        <w:ind w:firstLine="643" w:firstLineChars="200"/>
        <w:textAlignment w:val="auto"/>
        <w:rPr>
          <w:rFonts w:hint="eastAsia" w:ascii="仿宋_GB2312" w:hAnsi="仿宋_GB2312" w:eastAsia="仿宋_GB2312" w:cs="仿宋_GB2312"/>
          <w:b/>
          <w:bCs/>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5.重点任务及自</w:t>
      </w:r>
      <w:bookmarkStart w:id="90" w:name="_GoBack"/>
      <w:bookmarkEnd w:id="90"/>
      <w:r>
        <w:rPr>
          <w:rFonts w:hint="eastAsia" w:ascii="仿宋_GB2312" w:hAnsi="仿宋_GB2312" w:eastAsia="仿宋_GB2312" w:cs="仿宋_GB2312"/>
          <w:b/>
          <w:bCs/>
          <w:kern w:val="2"/>
          <w:sz w:val="32"/>
          <w:szCs w:val="32"/>
          <w:lang w:val="en-US" w:eastAsia="zh-CN" w:bidi="ar-SA"/>
        </w:rPr>
        <w:t>选动作完成情况</w:t>
      </w:r>
    </w:p>
    <w:p w14:paraId="34FB6911">
      <w:pPr>
        <w:keepNext w:val="0"/>
        <w:keepLines w:val="0"/>
        <w:pageBreakBefore w:val="0"/>
        <w:widowControl w:val="0"/>
        <w:numPr>
          <w:ilvl w:val="0"/>
          <w:numId w:val="0"/>
        </w:numPr>
        <w:kinsoku/>
        <w:wordWrap/>
        <w:overflowPunct w:val="0"/>
        <w:topLinePunct w:val="0"/>
        <w:autoSpaceDE/>
        <w:autoSpaceDN/>
        <w:bidi w:val="0"/>
        <w:adjustRightInd/>
        <w:snapToGrid/>
        <w:spacing w:beforeAutospacing="0" w:afterAutospacing="0"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年初，局党委统筹安排部署政务服务窗口工作、中央生态环保督察、橡树引种等方面重点任务，我们自加压力，积极谋划推进新品种引进工作，具体如下：</w:t>
      </w:r>
    </w:p>
    <w:p w14:paraId="3B0CE072">
      <w:pPr>
        <w:keepNext w:val="0"/>
        <w:keepLines w:val="0"/>
        <w:pageBreakBefore w:val="0"/>
        <w:widowControl w:val="0"/>
        <w:kinsoku/>
        <w:wordWrap/>
        <w:overflowPunct w:val="0"/>
        <w:topLinePunct w:val="0"/>
        <w:autoSpaceDE/>
        <w:autoSpaceDN/>
        <w:bidi w:val="0"/>
        <w:adjustRightInd w:val="0"/>
        <w:snapToGrid w:val="0"/>
        <w:spacing w:beforeAutospacing="0" w:afterAutospacing="0" w:line="560" w:lineRule="exact"/>
        <w:ind w:firstLine="643" w:firstLineChars="200"/>
        <w:textAlignment w:val="auto"/>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b/>
          <w:bCs/>
          <w:sz w:val="32"/>
          <w:szCs w:val="32"/>
          <w:lang w:val="en-US" w:eastAsia="zh-CN"/>
        </w:rPr>
        <w:t>一是州政务服务中心工作。</w:t>
      </w:r>
      <w:r>
        <w:rPr>
          <w:rFonts w:hint="eastAsia" w:ascii="仿宋_GB2312" w:hAnsi="仿宋_GB2312" w:eastAsia="仿宋_GB2312" w:cs="仿宋_GB2312"/>
          <w:color w:val="000000"/>
          <w:kern w:val="2"/>
          <w:sz w:val="32"/>
          <w:szCs w:val="32"/>
          <w:lang w:val="en-US" w:eastAsia="zh-CN" w:bidi="ar-SA"/>
        </w:rPr>
        <w:t>根据州林草局工作安排，选派1名政治思想过硬、业务能力强的同志到州政务中心林草窗口工作，该同志认真完成林草窗口来访人员接待、咨询、办件等工作。完成林草办件共计500余件，做好资料审核、台账统计、批文办理、双公示等前后期工作，配合州林草局相关业务科室完成好2024年林草政务方面各项工作。</w:t>
      </w:r>
    </w:p>
    <w:p w14:paraId="08D4DF51">
      <w:pPr>
        <w:pStyle w:val="8"/>
        <w:keepNext w:val="0"/>
        <w:keepLines w:val="0"/>
        <w:pageBreakBefore w:val="0"/>
        <w:widowControl w:val="0"/>
        <w:kinsoku/>
        <w:wordWrap/>
        <w:overflowPunct w:val="0"/>
        <w:topLinePunct w:val="0"/>
        <w:autoSpaceDE/>
        <w:autoSpaceDN/>
        <w:bidi w:val="0"/>
        <w:spacing w:beforeAutospacing="0" w:after="0" w:afterAutospacing="0" w:line="560" w:lineRule="exact"/>
        <w:ind w:left="0" w:leftChars="0" w:firstLine="643" w:firstLineChars="200"/>
        <w:textAlignment w:val="auto"/>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二是配合中央生态环保督察工作。</w:t>
      </w:r>
      <w:r>
        <w:rPr>
          <w:rFonts w:hint="eastAsia" w:ascii="仿宋_GB2312" w:hAnsi="仿宋_GB2312" w:eastAsia="仿宋_GB2312" w:cs="仿宋_GB2312"/>
          <w:color w:val="000000"/>
          <w:kern w:val="2"/>
          <w:sz w:val="32"/>
          <w:szCs w:val="32"/>
          <w:lang w:val="en-US" w:eastAsia="zh-CN" w:bidi="ar-SA"/>
        </w:rPr>
        <w:t>根据抽林草局工作安排，抽调两名研究生到州局配合完成中央生态环保督察工作。</w:t>
      </w:r>
    </w:p>
    <w:p w14:paraId="2B31CE0B">
      <w:pPr>
        <w:keepNext w:val="0"/>
        <w:keepLines w:val="0"/>
        <w:pageBreakBefore w:val="0"/>
        <w:widowControl w:val="0"/>
        <w:kinsoku/>
        <w:wordWrap/>
        <w:overflowPunct w:val="0"/>
        <w:topLinePunct w:val="0"/>
        <w:autoSpaceDE/>
        <w:autoSpaceDN/>
        <w:bidi w:val="0"/>
        <w:adjustRightInd w:val="0"/>
        <w:snapToGrid w:val="0"/>
        <w:spacing w:beforeAutospacing="0" w:afterAutospacing="0" w:line="560" w:lineRule="exact"/>
        <w:ind w:firstLine="643"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三是橡树引种栽培试验工作。</w:t>
      </w:r>
      <w:r>
        <w:rPr>
          <w:rFonts w:hint="eastAsia" w:ascii="仿宋_GB2312" w:hAnsi="仿宋_GB2312" w:eastAsia="仿宋_GB2312" w:cs="仿宋_GB2312"/>
          <w:kern w:val="2"/>
          <w:sz w:val="32"/>
          <w:szCs w:val="32"/>
          <w:lang w:val="en-US" w:eastAsia="zh-CN" w:bidi="ar-SA"/>
        </w:rPr>
        <w:t>对2024年汶川县和茂县栽植的各100株橡树持续进行观察中，收集了物候期等相关数据，汶川苗木栽植成活率55%，茂县验点苗木栽植成活率60%。茂县渭门镇下核桃沟村试验点于2024年3月份栽植橡树300株，目前成活率90%。</w:t>
      </w:r>
    </w:p>
    <w:p w14:paraId="6C241777">
      <w:pPr>
        <w:keepNext w:val="0"/>
        <w:keepLines w:val="0"/>
        <w:pageBreakBefore w:val="0"/>
        <w:widowControl w:val="0"/>
        <w:kinsoku/>
        <w:wordWrap/>
        <w:overflowPunct w:val="0"/>
        <w:topLinePunct w:val="0"/>
        <w:autoSpaceDE/>
        <w:autoSpaceDN/>
        <w:bidi w:val="0"/>
        <w:adjustRightInd w:val="0"/>
        <w:snapToGrid w:val="0"/>
        <w:spacing w:beforeAutospacing="0" w:afterAutospacing="0" w:line="560" w:lineRule="exact"/>
        <w:ind w:firstLine="643"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四是科学编制阿坝州国土绿化规划。</w:t>
      </w:r>
      <w:r>
        <w:rPr>
          <w:rFonts w:hint="eastAsia" w:ascii="仿宋_GB2312" w:hAnsi="仿宋_GB2312" w:eastAsia="仿宋_GB2312" w:cs="仿宋_GB2312"/>
          <w:kern w:val="2"/>
          <w:sz w:val="32"/>
          <w:szCs w:val="32"/>
          <w:lang w:val="en-US" w:eastAsia="zh-CN" w:bidi="ar-SA"/>
        </w:rPr>
        <w:t>根据州局工作安排，州林草研究所牵头负责编制全州国土绿化规划（2023-2030）。</w:t>
      </w:r>
    </w:p>
    <w:p w14:paraId="2F0E6E7C">
      <w:pPr>
        <w:keepNext w:val="0"/>
        <w:keepLines w:val="0"/>
        <w:pageBreakBefore w:val="0"/>
        <w:widowControl w:val="0"/>
        <w:kinsoku/>
        <w:wordWrap/>
        <w:overflowPunct w:val="0"/>
        <w:topLinePunct w:val="0"/>
        <w:autoSpaceDE/>
        <w:autoSpaceDN/>
        <w:bidi w:val="0"/>
        <w:adjustRightInd w:val="0"/>
        <w:snapToGrid w:val="0"/>
        <w:spacing w:beforeAutospacing="0" w:afterAutospacing="0" w:line="560" w:lineRule="exact"/>
        <w:ind w:firstLine="643"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五是负责“高原森林四库”实施方案编制工作。</w:t>
      </w:r>
      <w:r>
        <w:rPr>
          <w:rFonts w:hint="eastAsia" w:ascii="仿宋_GB2312" w:hAnsi="仿宋_GB2312" w:eastAsia="仿宋_GB2312" w:cs="仿宋_GB2312"/>
          <w:kern w:val="2"/>
          <w:sz w:val="32"/>
          <w:szCs w:val="32"/>
          <w:lang w:val="en-US" w:eastAsia="zh-CN" w:bidi="ar-SA"/>
        </w:rPr>
        <w:t>根据局党委安排，我所配合省林科院深入各县（市）林业和草原局、国有林保护局负责“高原森林四库”项目指导、项目包装、项目落地等业务工作，目前已完成了实施方案的初稿完成工作。</w:t>
      </w:r>
    </w:p>
    <w:p w14:paraId="688D6904">
      <w:pPr>
        <w:keepNext w:val="0"/>
        <w:keepLines w:val="0"/>
        <w:pageBreakBefore w:val="0"/>
        <w:kinsoku/>
        <w:wordWrap/>
        <w:overflowPunct w:val="0"/>
        <w:topLinePunct w:val="0"/>
        <w:autoSpaceDE/>
        <w:autoSpaceDN/>
        <w:bidi w:val="0"/>
        <w:spacing w:beforeAutospacing="0" w:afterAutospacing="0" w:line="560" w:lineRule="exact"/>
        <w:ind w:firstLine="643" w:firstLineChars="200"/>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6、工作成效</w:t>
      </w:r>
    </w:p>
    <w:p w14:paraId="17EEB9A7">
      <w:pPr>
        <w:keepNext w:val="0"/>
        <w:keepLines w:val="0"/>
        <w:pageBreakBefore w:val="0"/>
        <w:widowControl w:val="0"/>
        <w:kinsoku/>
        <w:wordWrap/>
        <w:overflowPunct w:val="0"/>
        <w:topLinePunct w:val="0"/>
        <w:autoSpaceDE/>
        <w:autoSpaceDN/>
        <w:bidi w:val="0"/>
        <w:adjustRightInd w:val="0"/>
        <w:snapToGrid w:val="0"/>
        <w:spacing w:beforeAutospacing="0" w:afterAutospacing="0" w:line="560" w:lineRule="exact"/>
        <w:ind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在全所干部职工的共同努力下，州林草研究所取得了一定的成绩。</w:t>
      </w:r>
    </w:p>
    <w:p w14:paraId="3223F442">
      <w:pPr>
        <w:keepNext w:val="0"/>
        <w:keepLines w:val="0"/>
        <w:pageBreakBefore w:val="0"/>
        <w:widowControl w:val="0"/>
        <w:kinsoku/>
        <w:wordWrap/>
        <w:overflowPunct w:val="0"/>
        <w:topLinePunct w:val="0"/>
        <w:autoSpaceDE/>
        <w:autoSpaceDN/>
        <w:bidi w:val="0"/>
        <w:adjustRightInd w:val="0"/>
        <w:snapToGrid w:val="0"/>
        <w:spacing w:beforeAutospacing="0" w:afterAutospacing="0" w:line="560" w:lineRule="exact"/>
        <w:ind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1.发表论文。一年来，全所职工努力工作，不断加强学术修养，在《中国林业产业》、《四川林业科技》、《四川农业科技》、《绿色科技》等刊物上发表论文7篇。</w:t>
      </w:r>
    </w:p>
    <w:p w14:paraId="57129C4B">
      <w:pPr>
        <w:keepNext w:val="0"/>
        <w:keepLines w:val="0"/>
        <w:pageBreakBefore w:val="0"/>
        <w:widowControl w:val="0"/>
        <w:kinsoku/>
        <w:wordWrap/>
        <w:overflowPunct w:val="0"/>
        <w:topLinePunct w:val="0"/>
        <w:autoSpaceDE/>
        <w:autoSpaceDN/>
        <w:bidi w:val="0"/>
        <w:adjustRightInd w:val="0"/>
        <w:snapToGrid w:val="0"/>
        <w:spacing w:beforeAutospacing="0" w:afterAutospacing="0" w:line="560" w:lineRule="exact"/>
        <w:ind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2.技术手册。编写《阿坝州天然林林下大黄高效栽培》、《理县卡子核桃提质增效关键栽培技术手册》、《肥料基础知识》、《松材线虫早期诊断和综合防控技术》、《打孔注药防治松材线虫病技术资料》共5套。</w:t>
      </w:r>
    </w:p>
    <w:p w14:paraId="395C20AC">
      <w:pPr>
        <w:keepNext w:val="0"/>
        <w:keepLines w:val="0"/>
        <w:pageBreakBefore w:val="0"/>
        <w:widowControl w:val="0"/>
        <w:kinsoku/>
        <w:wordWrap/>
        <w:overflowPunct w:val="0"/>
        <w:topLinePunct w:val="0"/>
        <w:autoSpaceDE/>
        <w:autoSpaceDN/>
        <w:bidi w:val="0"/>
        <w:adjustRightInd w:val="0"/>
        <w:snapToGrid w:val="0"/>
        <w:spacing w:beforeAutospacing="0" w:afterAutospacing="0" w:line="560" w:lineRule="exact"/>
        <w:ind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3.专利与标准。申请发明专利3项，1项待授权，2项已授权；起草发布技术规程2项。</w:t>
      </w:r>
    </w:p>
    <w:p w14:paraId="4D771361">
      <w:pPr>
        <w:keepNext w:val="0"/>
        <w:keepLines w:val="0"/>
        <w:pageBreakBefore w:val="0"/>
        <w:widowControl w:val="0"/>
        <w:kinsoku/>
        <w:wordWrap/>
        <w:overflowPunct w:val="0"/>
        <w:topLinePunct w:val="0"/>
        <w:autoSpaceDE/>
        <w:autoSpaceDN/>
        <w:bidi w:val="0"/>
        <w:adjustRightInd w:val="0"/>
        <w:snapToGrid w:val="0"/>
        <w:spacing w:beforeAutospacing="0" w:afterAutospacing="0"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2"/>
          <w:sz w:val="32"/>
          <w:szCs w:val="32"/>
          <w:lang w:val="en-US" w:eastAsia="zh-CN" w:bidi="ar-SA"/>
        </w:rPr>
        <w:t>4.信息报送。州林草所对信息报送工作高度重视，对我所的重点、特色、创新等工作的开展情况及所取得的成绩，认真总结、分析、挖掘，主动对外宣传。全年上报信息20余条，多篇被州林草局、州人民政府、四川省林业和草原局等网站采用。</w:t>
      </w:r>
    </w:p>
    <w:p w14:paraId="5AEA6692">
      <w:pPr>
        <w:keepNext w:val="0"/>
        <w:keepLines w:val="0"/>
        <w:pageBreakBefore w:val="0"/>
        <w:widowControl/>
        <w:kinsoku/>
        <w:wordWrap/>
        <w:overflowPunct/>
        <w:topLinePunct w:val="0"/>
        <w:autoSpaceDE/>
        <w:autoSpaceDN/>
        <w:bidi w:val="0"/>
        <w:adjustRightInd w:val="0"/>
        <w:snapToGrid w:val="0"/>
        <w:spacing w:line="578" w:lineRule="exact"/>
        <w:ind w:firstLine="643" w:firstLineChars="200"/>
        <w:contextualSpacing/>
        <w:jc w:val="left"/>
        <w:textAlignment w:val="auto"/>
        <w:outlineLvl w:val="9"/>
        <w:rPr>
          <w:rFonts w:hint="eastAsia" w:ascii="仿宋_GB2312" w:hAnsi="仿宋_GB2312" w:eastAsia="仿宋_GB2312" w:cs="仿宋_GB2312"/>
          <w:b/>
          <w:sz w:val="32"/>
          <w:szCs w:val="32"/>
          <w:lang w:eastAsia="zh-CN"/>
        </w:rPr>
      </w:pPr>
      <w:r>
        <w:rPr>
          <w:rFonts w:hint="eastAsia" w:ascii="仿宋_GB2312" w:hAnsi="仿宋_GB2312" w:eastAsia="仿宋_GB2312" w:cs="仿宋_GB2312"/>
          <w:b/>
          <w:bCs/>
          <w:color w:val="000000"/>
          <w:kern w:val="0"/>
          <w:sz w:val="32"/>
          <w:szCs w:val="32"/>
          <w:highlight w:val="none"/>
          <w:shd w:val="clear" w:color="auto" w:fill="FFFFFF"/>
          <w:lang w:val="zh-CN"/>
        </w:rPr>
        <w:t>（三）</w:t>
      </w:r>
      <w:r>
        <w:rPr>
          <w:rFonts w:hint="eastAsia" w:ascii="仿宋_GB2312" w:hAnsi="仿宋_GB2312" w:eastAsia="仿宋_GB2312" w:cs="仿宋_GB2312"/>
          <w:b/>
          <w:sz w:val="32"/>
          <w:szCs w:val="32"/>
        </w:rPr>
        <w:t>结余分配和结转结余情况</w:t>
      </w:r>
      <w:r>
        <w:rPr>
          <w:rFonts w:hint="eastAsia" w:ascii="仿宋_GB2312" w:hAnsi="仿宋_GB2312" w:eastAsia="仿宋_GB2312" w:cs="仿宋_GB2312"/>
          <w:b/>
          <w:sz w:val="32"/>
          <w:szCs w:val="32"/>
          <w:lang w:eastAsia="zh-CN"/>
        </w:rPr>
        <w:t>。</w:t>
      </w:r>
    </w:p>
    <w:p w14:paraId="3C2139EC">
      <w:pPr>
        <w:keepNext w:val="0"/>
        <w:keepLines w:val="0"/>
        <w:pageBreakBefore w:val="0"/>
        <w:kinsoku/>
        <w:wordWrap/>
        <w:overflowPunct/>
        <w:topLinePunct w:val="0"/>
        <w:autoSpaceDE/>
        <w:autoSpaceDN/>
        <w:bidi w:val="0"/>
        <w:adjustRightInd/>
        <w:snapToGrid w:val="0"/>
        <w:spacing w:beforeAutospacing="0" w:afterAutospacing="0" w:line="560" w:lineRule="exact"/>
        <w:ind w:firstLine="640" w:firstLineChars="2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2024年末结转24.27万元，其中11.76万元属于同级政府其他部门取得的横向转拨财政款，财政代管资金；12.51万元是以前年度的非财政拨款结存下来的。</w:t>
      </w:r>
    </w:p>
    <w:p w14:paraId="371DADD5">
      <w:pPr>
        <w:keepNext w:val="0"/>
        <w:keepLines w:val="0"/>
        <w:pageBreakBefore w:val="0"/>
        <w:widowControl/>
        <w:kinsoku/>
        <w:wordWrap/>
        <w:overflowPunct/>
        <w:topLinePunct w:val="0"/>
        <w:autoSpaceDE/>
        <w:autoSpaceDN/>
        <w:bidi w:val="0"/>
        <w:adjustRightInd w:val="0"/>
        <w:snapToGrid w:val="0"/>
        <w:spacing w:line="578" w:lineRule="exact"/>
        <w:ind w:firstLine="643" w:firstLineChars="200"/>
        <w:contextualSpacing/>
        <w:jc w:val="left"/>
        <w:textAlignment w:val="auto"/>
        <w:outlineLvl w:val="9"/>
        <w:rPr>
          <w:rFonts w:hint="eastAsia" w:ascii="仿宋_GB2312" w:hAnsi="仿宋_GB2312" w:eastAsia="仿宋_GB2312" w:cs="仿宋_GB2312"/>
          <w:b/>
          <w:bCs/>
          <w:color w:val="000000" w:themeColor="text1"/>
          <w:kern w:val="0"/>
          <w:sz w:val="32"/>
          <w:szCs w:val="32"/>
          <w:highlight w:val="none"/>
          <w:shd w:val="clear" w:color="auto" w:fill="FFFFFF"/>
          <w:lang w:val="en-US"/>
          <w14:textFill>
            <w14:solidFill>
              <w14:schemeClr w14:val="tx1"/>
            </w14:solidFill>
          </w14:textFill>
        </w:rPr>
      </w:pPr>
      <w:r>
        <w:rPr>
          <w:rFonts w:hint="eastAsia" w:ascii="仿宋_GB2312" w:hAnsi="仿宋_GB2312" w:eastAsia="仿宋_GB2312" w:cs="仿宋_GB2312"/>
          <w:b/>
          <w:bCs/>
          <w:color w:val="000000"/>
          <w:kern w:val="0"/>
          <w:sz w:val="32"/>
          <w:szCs w:val="32"/>
          <w:highlight w:val="none"/>
          <w:shd w:val="clear" w:color="auto" w:fill="FFFFFF"/>
        </w:rPr>
        <w:t>三、</w:t>
      </w:r>
      <w:r>
        <w:rPr>
          <w:rFonts w:hint="eastAsia" w:ascii="仿宋_GB2312" w:hAnsi="仿宋_GB2312" w:eastAsia="仿宋_GB2312" w:cs="仿宋_GB2312"/>
          <w:b/>
          <w:bCs/>
          <w:color w:val="000000"/>
          <w:kern w:val="0"/>
          <w:sz w:val="32"/>
          <w:szCs w:val="32"/>
          <w:highlight w:val="none"/>
          <w:u w:val="none"/>
          <w:shd w:val="clear" w:color="auto" w:fill="FFFFFF"/>
        </w:rPr>
        <w:t>部门</w:t>
      </w:r>
      <w:r>
        <w:rPr>
          <w:rFonts w:hint="eastAsia" w:ascii="仿宋_GB2312" w:hAnsi="仿宋_GB2312" w:eastAsia="仿宋_GB2312" w:cs="仿宋_GB2312"/>
          <w:b/>
          <w:bCs/>
          <w:color w:val="000000"/>
          <w:kern w:val="0"/>
          <w:sz w:val="32"/>
          <w:szCs w:val="32"/>
          <w:highlight w:val="none"/>
          <w:u w:val="none"/>
          <w:shd w:val="clear" w:color="auto" w:fill="FFFFFF"/>
          <w:lang w:eastAsia="zh-CN"/>
        </w:rPr>
        <w:t>预算</w:t>
      </w:r>
      <w:r>
        <w:rPr>
          <w:rFonts w:hint="eastAsia" w:ascii="仿宋_GB2312" w:hAnsi="仿宋_GB2312" w:eastAsia="仿宋_GB2312" w:cs="仿宋_GB2312"/>
          <w:b/>
          <w:bCs/>
          <w:color w:val="000000"/>
          <w:kern w:val="0"/>
          <w:sz w:val="32"/>
          <w:szCs w:val="32"/>
          <w:highlight w:val="none"/>
          <w:u w:val="none"/>
          <w:shd w:val="clear" w:color="auto" w:fill="FFFFFF"/>
        </w:rPr>
        <w:t>绩效</w:t>
      </w:r>
      <w:r>
        <w:rPr>
          <w:rFonts w:hint="eastAsia" w:ascii="仿宋_GB2312" w:hAnsi="仿宋_GB2312" w:eastAsia="仿宋_GB2312" w:cs="仿宋_GB2312"/>
          <w:b/>
          <w:bCs/>
          <w:color w:val="000000"/>
          <w:kern w:val="0"/>
          <w:sz w:val="32"/>
          <w:szCs w:val="32"/>
          <w:highlight w:val="none"/>
          <w:u w:val="none"/>
          <w:shd w:val="clear" w:color="auto" w:fill="FFFFFF"/>
          <w:lang w:eastAsia="zh-CN"/>
        </w:rPr>
        <w:t>分析</w:t>
      </w:r>
      <w:r>
        <w:rPr>
          <w:rFonts w:hint="eastAsia" w:ascii="仿宋_GB2312" w:hAnsi="仿宋_GB2312" w:eastAsia="仿宋_GB2312" w:cs="仿宋_GB2312"/>
          <w:b/>
          <w:bCs/>
          <w:color w:val="000000"/>
          <w:kern w:val="0"/>
          <w:sz w:val="32"/>
          <w:szCs w:val="32"/>
          <w:highlight w:val="none"/>
          <w:u w:val="none"/>
          <w:shd w:val="clear" w:color="auto" w:fill="FFFFFF"/>
          <w:lang w:val="en-US" w:eastAsia="zh-CN"/>
        </w:rPr>
        <w:t>。</w:t>
      </w:r>
    </w:p>
    <w:p w14:paraId="53429F56">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3" w:firstLineChars="200"/>
        <w:contextualSpacing/>
        <w:jc w:val="left"/>
        <w:textAlignment w:val="auto"/>
        <w:outlineLvl w:val="9"/>
        <w:rPr>
          <w:rFonts w:hint="eastAsia" w:ascii="仿宋_GB2312" w:hAnsi="仿宋_GB2312" w:eastAsia="仿宋_GB2312" w:cs="仿宋_GB2312"/>
          <w:color w:val="000000"/>
          <w:kern w:val="0"/>
          <w:sz w:val="32"/>
          <w:szCs w:val="32"/>
          <w:highlight w:val="none"/>
          <w:shd w:val="clear" w:color="auto" w:fill="FFFFFF"/>
          <w:lang w:val="zh-CN"/>
        </w:rPr>
      </w:pPr>
      <w:r>
        <w:rPr>
          <w:rFonts w:hint="eastAsia" w:ascii="仿宋_GB2312" w:hAnsi="仿宋_GB2312" w:eastAsia="仿宋_GB2312" w:cs="仿宋_GB2312"/>
          <w:b/>
          <w:bCs/>
          <w:color w:val="000000"/>
          <w:kern w:val="0"/>
          <w:sz w:val="32"/>
          <w:szCs w:val="32"/>
          <w:highlight w:val="none"/>
          <w:shd w:val="clear" w:color="auto" w:fill="FFFFFF"/>
          <w:lang w:val="zh-CN"/>
        </w:rPr>
        <w:t>（一）部门预算总体绩效分析，得分</w:t>
      </w:r>
      <w:r>
        <w:rPr>
          <w:rFonts w:hint="eastAsia" w:ascii="仿宋_GB2312" w:hAnsi="仿宋_GB2312" w:eastAsia="仿宋_GB2312" w:cs="仿宋_GB2312"/>
          <w:b/>
          <w:bCs/>
          <w:color w:val="000000"/>
          <w:kern w:val="0"/>
          <w:sz w:val="32"/>
          <w:szCs w:val="32"/>
          <w:highlight w:val="none"/>
          <w:shd w:val="clear" w:color="auto" w:fill="FFFFFF"/>
          <w:lang w:val="en-US" w:eastAsia="zh-CN"/>
        </w:rPr>
        <w:t>55.02分。</w:t>
      </w:r>
      <w:r>
        <w:rPr>
          <w:rFonts w:hint="eastAsia" w:ascii="仿宋_GB2312" w:hAnsi="仿宋_GB2312" w:eastAsia="仿宋_GB2312" w:cs="仿宋_GB2312"/>
          <w:color w:val="000000"/>
          <w:kern w:val="0"/>
          <w:sz w:val="32"/>
          <w:szCs w:val="32"/>
          <w:highlight w:val="none"/>
          <w:shd w:val="clear" w:color="auto" w:fill="FFFFFF"/>
          <w:lang w:val="zh-CN"/>
        </w:rPr>
        <w:t>根据部门预算绩效评价指标体系“总体绩效”涉及二、三级指标进行逐项绩效分析并评分，依次包括履职效能、预算管理、财务管理、资产管理、采购管理等情况。</w:t>
      </w:r>
    </w:p>
    <w:p w14:paraId="1CBFF6C8">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仿宋_GB2312" w:hAnsi="仿宋_GB2312" w:eastAsia="仿宋_GB2312" w:cs="仿宋_GB2312"/>
          <w:color w:val="000000"/>
          <w:kern w:val="0"/>
          <w:sz w:val="32"/>
          <w:szCs w:val="32"/>
          <w:highlight w:val="none"/>
          <w:shd w:val="clear" w:color="auto" w:fill="FFFFFF"/>
          <w:lang w:val="zh-CN"/>
        </w:rPr>
      </w:pPr>
      <w:r>
        <w:rPr>
          <w:rFonts w:hint="eastAsia" w:ascii="仿宋_GB2312" w:hAnsi="仿宋_GB2312" w:eastAsia="仿宋_GB2312" w:cs="仿宋_GB2312"/>
          <w:color w:val="000000"/>
          <w:kern w:val="0"/>
          <w:sz w:val="32"/>
          <w:szCs w:val="32"/>
          <w:highlight w:val="none"/>
          <w:shd w:val="clear" w:color="auto" w:fill="FFFFFF"/>
          <w:lang w:val="en-US" w:eastAsia="zh-CN"/>
        </w:rPr>
        <w:t>1.</w:t>
      </w:r>
      <w:r>
        <w:rPr>
          <w:rFonts w:hint="eastAsia" w:ascii="仿宋_GB2312" w:hAnsi="仿宋_GB2312" w:eastAsia="仿宋_GB2312" w:cs="仿宋_GB2312"/>
          <w:color w:val="000000"/>
          <w:kern w:val="0"/>
          <w:sz w:val="32"/>
          <w:szCs w:val="32"/>
          <w:highlight w:val="none"/>
          <w:shd w:val="clear" w:color="auto" w:fill="FFFFFF"/>
          <w:lang w:val="zh-CN"/>
        </w:rPr>
        <w:t>履职效能。部门整体绩效目标中选定3—5个核心职能目标，对职能目标完成效果情况绩效分析，得分</w:t>
      </w:r>
      <w:r>
        <w:rPr>
          <w:rFonts w:hint="eastAsia" w:ascii="仿宋_GB2312" w:hAnsi="仿宋_GB2312" w:eastAsia="仿宋_GB2312" w:cs="仿宋_GB2312"/>
          <w:color w:val="000000"/>
          <w:kern w:val="0"/>
          <w:sz w:val="32"/>
          <w:szCs w:val="32"/>
          <w:highlight w:val="none"/>
          <w:shd w:val="clear" w:color="auto" w:fill="FFFFFF"/>
          <w:lang w:val="en-US" w:eastAsia="zh-CN"/>
        </w:rPr>
        <w:t>13分</w:t>
      </w:r>
      <w:r>
        <w:rPr>
          <w:rFonts w:hint="eastAsia" w:ascii="仿宋_GB2312" w:hAnsi="仿宋_GB2312" w:eastAsia="仿宋_GB2312" w:cs="仿宋_GB2312"/>
          <w:color w:val="000000"/>
          <w:kern w:val="0"/>
          <w:sz w:val="32"/>
          <w:szCs w:val="32"/>
          <w:highlight w:val="none"/>
          <w:shd w:val="clear" w:color="auto" w:fill="FFFFFF"/>
          <w:lang w:val="zh-CN"/>
        </w:rPr>
        <w:t>。</w:t>
      </w:r>
    </w:p>
    <w:p w14:paraId="4CF059CB">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仿宋_GB2312" w:hAnsi="仿宋_GB2312" w:eastAsia="仿宋_GB2312" w:cs="仿宋_GB2312"/>
          <w:color w:val="000000"/>
          <w:kern w:val="0"/>
          <w:sz w:val="32"/>
          <w:szCs w:val="32"/>
          <w:highlight w:val="none"/>
          <w:shd w:val="clear" w:color="auto" w:fill="FFFFFF"/>
          <w:lang w:val="zh-CN"/>
        </w:rPr>
      </w:pPr>
      <w:r>
        <w:rPr>
          <w:rFonts w:hint="eastAsia" w:ascii="仿宋_GB2312" w:hAnsi="仿宋_GB2312" w:eastAsia="仿宋_GB2312" w:cs="仿宋_GB2312"/>
          <w:color w:val="000000"/>
          <w:kern w:val="0"/>
          <w:sz w:val="32"/>
          <w:szCs w:val="32"/>
          <w:highlight w:val="none"/>
          <w:shd w:val="clear" w:color="auto" w:fill="FFFFFF"/>
          <w:lang w:val="en-US" w:eastAsia="zh-CN"/>
        </w:rPr>
        <w:t>（1）严格落地落实</w:t>
      </w:r>
      <w:r>
        <w:rPr>
          <w:rFonts w:hint="eastAsia" w:ascii="仿宋_GB2312" w:hAnsi="仿宋_GB2312" w:eastAsia="仿宋_GB2312" w:cs="仿宋_GB2312"/>
          <w:color w:val="000000"/>
          <w:kern w:val="0"/>
          <w:sz w:val="32"/>
          <w:szCs w:val="32"/>
          <w:highlight w:val="none"/>
          <w:shd w:val="clear" w:color="auto" w:fill="FFFFFF"/>
          <w:lang w:val="zh-CN"/>
        </w:rPr>
        <w:t>，有序推进</w:t>
      </w:r>
      <w:r>
        <w:rPr>
          <w:rFonts w:hint="eastAsia" w:ascii="仿宋_GB2312" w:hAnsi="仿宋_GB2312" w:eastAsia="仿宋_GB2312" w:cs="仿宋_GB2312"/>
          <w:color w:val="000000"/>
          <w:kern w:val="0"/>
          <w:sz w:val="32"/>
          <w:szCs w:val="32"/>
          <w:highlight w:val="none"/>
          <w:shd w:val="clear" w:color="auto" w:fill="FFFFFF"/>
          <w:lang w:val="zh-CN" w:eastAsia="zh-CN"/>
        </w:rPr>
        <w:t>各项</w:t>
      </w:r>
      <w:r>
        <w:rPr>
          <w:rFonts w:hint="eastAsia" w:ascii="仿宋_GB2312" w:hAnsi="仿宋_GB2312" w:eastAsia="仿宋_GB2312" w:cs="仿宋_GB2312"/>
          <w:color w:val="000000"/>
          <w:kern w:val="0"/>
          <w:sz w:val="32"/>
          <w:szCs w:val="32"/>
          <w:highlight w:val="none"/>
          <w:shd w:val="clear" w:color="auto" w:fill="FFFFFF"/>
          <w:lang w:val="zh-CN"/>
        </w:rPr>
        <w:t>林草科研项目</w:t>
      </w:r>
    </w:p>
    <w:p w14:paraId="44F6F55D">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仿宋_GB2312" w:hAnsi="仿宋_GB2312" w:eastAsia="仿宋_GB2312" w:cs="仿宋_GB2312"/>
          <w:color w:val="000000"/>
          <w:kern w:val="0"/>
          <w:sz w:val="32"/>
          <w:szCs w:val="32"/>
          <w:highlight w:val="none"/>
          <w:shd w:val="clear" w:color="auto" w:fill="FFFFFF"/>
          <w:lang w:val="zh-CN"/>
        </w:rPr>
      </w:pPr>
      <w:r>
        <w:rPr>
          <w:rFonts w:hint="eastAsia" w:ascii="仿宋_GB2312" w:hAnsi="仿宋_GB2312" w:eastAsia="仿宋_GB2312" w:cs="仿宋_GB2312"/>
          <w:color w:val="000000"/>
          <w:kern w:val="0"/>
          <w:sz w:val="32"/>
          <w:szCs w:val="32"/>
          <w:highlight w:val="none"/>
          <w:shd w:val="clear" w:color="auto" w:fill="FFFFFF"/>
          <w:lang w:val="zh-CN"/>
        </w:rPr>
        <w:t>一年来,全所干部职工兢兢业业、尽职尽责，以“快出成果、多出成果、出好成果”为发展思路，耐心细致，积极热情的推动各项工作有序开展。“</w:t>
      </w:r>
      <w:r>
        <w:rPr>
          <w:rFonts w:hint="eastAsia" w:ascii="仿宋_GB2312" w:hAnsi="仿宋_GB2312" w:eastAsia="仿宋_GB2312" w:cs="仿宋_GB2312"/>
          <w:color w:val="000000"/>
          <w:kern w:val="0"/>
          <w:sz w:val="32"/>
          <w:szCs w:val="32"/>
          <w:highlight w:val="none"/>
          <w:shd w:val="clear" w:color="auto" w:fill="FFFFFF"/>
          <w:lang w:val="zh-CN" w:eastAsia="zh-CN"/>
        </w:rPr>
        <w:t>川</w:t>
      </w:r>
      <w:r>
        <w:rPr>
          <w:rFonts w:hint="eastAsia" w:ascii="仿宋_GB2312" w:hAnsi="仿宋_GB2312" w:eastAsia="仿宋_GB2312" w:cs="仿宋_GB2312"/>
          <w:color w:val="000000"/>
          <w:kern w:val="0"/>
          <w:sz w:val="32"/>
          <w:szCs w:val="32"/>
          <w:highlight w:val="none"/>
          <w:shd w:val="clear" w:color="auto" w:fill="FFFFFF"/>
          <w:lang w:val="zh-CN"/>
        </w:rPr>
        <w:t>西北地区森林质量精准提升技术体系研究与示范”“</w:t>
      </w:r>
      <w:r>
        <w:rPr>
          <w:rFonts w:hint="eastAsia" w:ascii="仿宋_GB2312" w:hAnsi="仿宋_GB2312" w:eastAsia="仿宋_GB2312" w:cs="仿宋_GB2312"/>
          <w:color w:val="000000"/>
          <w:kern w:val="0"/>
          <w:sz w:val="32"/>
          <w:szCs w:val="32"/>
          <w:highlight w:val="none"/>
          <w:shd w:val="clear" w:color="auto" w:fill="FFFFFF"/>
          <w:lang w:val="en-US" w:eastAsia="zh-CN"/>
        </w:rPr>
        <w:t>阿坝州松材线虫病监测体系建设及健康经营技术研究与示范</w:t>
      </w:r>
      <w:r>
        <w:rPr>
          <w:rFonts w:hint="eastAsia" w:ascii="仿宋_GB2312" w:hAnsi="仿宋_GB2312" w:eastAsia="仿宋_GB2312" w:cs="仿宋_GB2312"/>
          <w:color w:val="000000"/>
          <w:kern w:val="0"/>
          <w:sz w:val="32"/>
          <w:szCs w:val="32"/>
          <w:highlight w:val="none"/>
          <w:shd w:val="clear" w:color="auto" w:fill="FFFFFF"/>
          <w:lang w:val="zh-CN"/>
        </w:rPr>
        <w:t>”</w:t>
      </w:r>
      <w:r>
        <w:rPr>
          <w:rFonts w:hint="eastAsia" w:ascii="仿宋_GB2312" w:hAnsi="仿宋_GB2312" w:eastAsia="仿宋_GB2312" w:cs="仿宋_GB2312"/>
          <w:color w:val="000000"/>
          <w:kern w:val="0"/>
          <w:sz w:val="32"/>
          <w:szCs w:val="32"/>
          <w:highlight w:val="none"/>
          <w:shd w:val="clear" w:color="auto" w:fill="FFFFFF"/>
          <w:lang w:val="zh-CN" w:eastAsia="zh-CN"/>
        </w:rPr>
        <w:t>等</w:t>
      </w:r>
      <w:r>
        <w:rPr>
          <w:rFonts w:hint="eastAsia" w:ascii="仿宋_GB2312" w:hAnsi="仿宋_GB2312" w:eastAsia="仿宋_GB2312" w:cs="仿宋_GB2312"/>
          <w:color w:val="000000"/>
          <w:kern w:val="0"/>
          <w:sz w:val="32"/>
          <w:szCs w:val="32"/>
          <w:highlight w:val="none"/>
          <w:shd w:val="clear" w:color="auto" w:fill="FFFFFF"/>
          <w:lang w:val="en-US" w:eastAsia="zh-CN"/>
        </w:rPr>
        <w:t>8个</w:t>
      </w:r>
      <w:r>
        <w:rPr>
          <w:rFonts w:hint="eastAsia" w:ascii="仿宋_GB2312" w:hAnsi="仿宋_GB2312" w:eastAsia="仿宋_GB2312" w:cs="仿宋_GB2312"/>
          <w:color w:val="000000"/>
          <w:kern w:val="0"/>
          <w:sz w:val="32"/>
          <w:szCs w:val="32"/>
          <w:highlight w:val="none"/>
          <w:shd w:val="clear" w:color="auto" w:fill="FFFFFF"/>
          <w:lang w:val="zh-CN"/>
        </w:rPr>
        <w:t>科研项目都按时、保质、保量完成了全年的工作任务，为项目下一步更好的开展奠定了基础。</w:t>
      </w:r>
    </w:p>
    <w:p w14:paraId="78251D58">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仿宋_GB2312" w:hAnsi="仿宋_GB2312" w:eastAsia="仿宋_GB2312" w:cs="仿宋_GB2312"/>
          <w:color w:val="000000"/>
          <w:kern w:val="0"/>
          <w:sz w:val="32"/>
          <w:szCs w:val="32"/>
          <w:highlight w:val="none"/>
          <w:shd w:val="clear" w:color="auto" w:fill="FFFFFF"/>
          <w:lang w:val="en-US" w:eastAsia="zh-CN"/>
        </w:rPr>
      </w:pPr>
      <w:r>
        <w:rPr>
          <w:rFonts w:hint="eastAsia" w:ascii="仿宋_GB2312" w:hAnsi="仿宋_GB2312" w:eastAsia="仿宋_GB2312" w:cs="仿宋_GB2312"/>
          <w:color w:val="000000"/>
          <w:kern w:val="0"/>
          <w:sz w:val="32"/>
          <w:szCs w:val="32"/>
          <w:highlight w:val="none"/>
          <w:shd w:val="clear" w:color="auto" w:fill="FFFFFF"/>
          <w:lang w:val="en-US" w:eastAsia="zh-CN"/>
        </w:rPr>
        <w:t>（2）认真开展科技服务工作</w:t>
      </w:r>
    </w:p>
    <w:p w14:paraId="430AF1D6">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仿宋_GB2312" w:hAnsi="仿宋_GB2312" w:eastAsia="仿宋_GB2312" w:cs="仿宋_GB2312"/>
          <w:color w:val="000000"/>
          <w:kern w:val="0"/>
          <w:sz w:val="32"/>
          <w:szCs w:val="32"/>
          <w:highlight w:val="none"/>
          <w:shd w:val="clear" w:color="auto" w:fill="FFFFFF"/>
          <w:lang w:val="zh-CN"/>
        </w:rPr>
      </w:pPr>
      <w:r>
        <w:rPr>
          <w:rFonts w:hint="eastAsia" w:ascii="仿宋_GB2312" w:hAnsi="仿宋_GB2312" w:eastAsia="仿宋_GB2312" w:cs="仿宋_GB2312"/>
          <w:color w:val="000000"/>
          <w:kern w:val="0"/>
          <w:sz w:val="32"/>
          <w:szCs w:val="32"/>
          <w:highlight w:val="none"/>
          <w:shd w:val="clear" w:color="auto" w:fill="FFFFFF"/>
          <w:lang w:val="zh-CN" w:eastAsia="zh-CN"/>
        </w:rPr>
        <w:t>以</w:t>
      </w:r>
      <w:r>
        <w:rPr>
          <w:rFonts w:hint="eastAsia" w:ascii="仿宋_GB2312" w:hAnsi="仿宋_GB2312" w:eastAsia="仿宋_GB2312" w:cs="仿宋_GB2312"/>
          <w:color w:val="000000"/>
          <w:kern w:val="0"/>
          <w:sz w:val="32"/>
          <w:szCs w:val="32"/>
          <w:highlight w:val="none"/>
          <w:shd w:val="clear" w:color="auto" w:fill="FFFFFF"/>
          <w:lang w:val="zh-CN"/>
        </w:rPr>
        <w:t>“</w:t>
      </w:r>
      <w:r>
        <w:rPr>
          <w:rFonts w:hint="eastAsia" w:ascii="仿宋_GB2312" w:hAnsi="仿宋_GB2312" w:eastAsia="仿宋_GB2312" w:cs="仿宋_GB2312"/>
          <w:color w:val="000000"/>
          <w:kern w:val="0"/>
          <w:sz w:val="32"/>
          <w:szCs w:val="32"/>
          <w:highlight w:val="none"/>
          <w:shd w:val="clear" w:color="auto" w:fill="FFFFFF"/>
          <w:lang w:val="en-US" w:eastAsia="zh-CN"/>
        </w:rPr>
        <w:t>理县卡子核桃产业人才港建设</w:t>
      </w:r>
      <w:r>
        <w:rPr>
          <w:rFonts w:hint="eastAsia" w:ascii="仿宋_GB2312" w:hAnsi="仿宋_GB2312" w:eastAsia="仿宋_GB2312" w:cs="仿宋_GB2312"/>
          <w:color w:val="000000"/>
          <w:kern w:val="0"/>
          <w:sz w:val="32"/>
          <w:szCs w:val="32"/>
          <w:highlight w:val="none"/>
          <w:shd w:val="clear" w:color="auto" w:fill="FFFFFF"/>
          <w:lang w:val="zh-CN"/>
        </w:rPr>
        <w:t>”</w:t>
      </w:r>
      <w:r>
        <w:rPr>
          <w:rFonts w:hint="eastAsia" w:ascii="仿宋_GB2312" w:hAnsi="仿宋_GB2312" w:eastAsia="仿宋_GB2312" w:cs="仿宋_GB2312"/>
          <w:color w:val="000000"/>
          <w:kern w:val="0"/>
          <w:sz w:val="32"/>
          <w:szCs w:val="32"/>
          <w:highlight w:val="none"/>
          <w:shd w:val="clear" w:color="auto" w:fill="FFFFFF"/>
          <w:lang w:val="en-US" w:eastAsia="zh-CN"/>
        </w:rPr>
        <w:t>、</w:t>
      </w:r>
      <w:r>
        <w:rPr>
          <w:rFonts w:hint="eastAsia" w:ascii="仿宋_GB2312" w:hAnsi="仿宋_GB2312" w:eastAsia="仿宋_GB2312" w:cs="仿宋_GB2312"/>
          <w:color w:val="000000"/>
          <w:kern w:val="0"/>
          <w:sz w:val="32"/>
          <w:szCs w:val="32"/>
          <w:highlight w:val="none"/>
          <w:shd w:val="clear" w:color="auto" w:fill="FFFFFF"/>
          <w:lang w:val="zh-CN"/>
        </w:rPr>
        <w:t>“</w:t>
      </w:r>
      <w:r>
        <w:rPr>
          <w:rFonts w:hint="eastAsia" w:ascii="仿宋_GB2312" w:hAnsi="仿宋_GB2312" w:eastAsia="仿宋_GB2312" w:cs="仿宋_GB2312"/>
          <w:color w:val="000000"/>
          <w:kern w:val="0"/>
          <w:sz w:val="32"/>
          <w:szCs w:val="32"/>
          <w:highlight w:val="none"/>
          <w:shd w:val="clear" w:color="auto" w:fill="FFFFFF"/>
          <w:lang w:val="en-US" w:eastAsia="zh-CN"/>
        </w:rPr>
        <w:t>黑水县防沙治沙科技支撑服务</w:t>
      </w:r>
      <w:r>
        <w:rPr>
          <w:rFonts w:hint="eastAsia" w:ascii="仿宋_GB2312" w:hAnsi="仿宋_GB2312" w:eastAsia="仿宋_GB2312" w:cs="仿宋_GB2312"/>
          <w:color w:val="000000"/>
          <w:kern w:val="0"/>
          <w:sz w:val="32"/>
          <w:szCs w:val="32"/>
          <w:highlight w:val="none"/>
          <w:shd w:val="clear" w:color="auto" w:fill="FFFFFF"/>
          <w:lang w:val="zh-CN"/>
        </w:rPr>
        <w:t>”</w:t>
      </w:r>
      <w:r>
        <w:rPr>
          <w:rFonts w:hint="eastAsia" w:ascii="仿宋_GB2312" w:hAnsi="仿宋_GB2312" w:eastAsia="仿宋_GB2312" w:cs="仿宋_GB2312"/>
          <w:color w:val="000000"/>
          <w:kern w:val="0"/>
          <w:sz w:val="32"/>
          <w:szCs w:val="32"/>
          <w:highlight w:val="none"/>
          <w:shd w:val="clear" w:color="auto" w:fill="FFFFFF"/>
          <w:lang w:val="zh-CN" w:eastAsia="zh-CN"/>
        </w:rPr>
        <w:t>等</w:t>
      </w:r>
      <w:r>
        <w:rPr>
          <w:rFonts w:hint="eastAsia" w:ascii="仿宋_GB2312" w:hAnsi="仿宋_GB2312" w:eastAsia="仿宋_GB2312" w:cs="仿宋_GB2312"/>
          <w:color w:val="000000"/>
          <w:kern w:val="0"/>
          <w:sz w:val="32"/>
          <w:szCs w:val="32"/>
          <w:highlight w:val="none"/>
          <w:shd w:val="clear" w:color="auto" w:fill="FFFFFF"/>
          <w:lang w:val="en-US" w:eastAsia="zh-CN"/>
        </w:rPr>
        <w:t>项目，积极</w:t>
      </w:r>
      <w:r>
        <w:rPr>
          <w:rFonts w:hint="eastAsia" w:ascii="仿宋_GB2312" w:hAnsi="仿宋_GB2312" w:eastAsia="仿宋_GB2312" w:cs="仿宋_GB2312"/>
          <w:color w:val="000000"/>
          <w:kern w:val="0"/>
          <w:sz w:val="32"/>
          <w:szCs w:val="32"/>
          <w:highlight w:val="none"/>
          <w:shd w:val="clear" w:color="auto" w:fill="FFFFFF"/>
          <w:lang w:val="zh-CN"/>
        </w:rPr>
        <w:t>组织技术培训，向基层林草站、合作社</w:t>
      </w:r>
      <w:r>
        <w:rPr>
          <w:rFonts w:hint="eastAsia" w:ascii="仿宋_GB2312" w:hAnsi="仿宋_GB2312" w:eastAsia="仿宋_GB2312" w:cs="仿宋_GB2312"/>
          <w:color w:val="000000"/>
          <w:kern w:val="0"/>
          <w:sz w:val="32"/>
          <w:szCs w:val="32"/>
          <w:highlight w:val="none"/>
          <w:shd w:val="clear" w:color="auto" w:fill="FFFFFF"/>
          <w:lang w:val="zh-CN" w:eastAsia="zh-CN"/>
        </w:rPr>
        <w:t>、农牧民</w:t>
      </w:r>
      <w:r>
        <w:rPr>
          <w:rFonts w:hint="eastAsia" w:ascii="仿宋_GB2312" w:hAnsi="仿宋_GB2312" w:eastAsia="仿宋_GB2312" w:cs="仿宋_GB2312"/>
          <w:color w:val="000000"/>
          <w:kern w:val="0"/>
          <w:sz w:val="32"/>
          <w:szCs w:val="32"/>
          <w:highlight w:val="none"/>
          <w:shd w:val="clear" w:color="auto" w:fill="FFFFFF"/>
          <w:lang w:val="zh-CN"/>
        </w:rPr>
        <w:t>推广</w:t>
      </w:r>
      <w:r>
        <w:rPr>
          <w:rFonts w:hint="eastAsia" w:ascii="仿宋_GB2312" w:hAnsi="仿宋_GB2312" w:eastAsia="仿宋_GB2312" w:cs="仿宋_GB2312"/>
          <w:color w:val="000000"/>
          <w:kern w:val="0"/>
          <w:sz w:val="32"/>
          <w:szCs w:val="32"/>
          <w:highlight w:val="none"/>
          <w:shd w:val="clear" w:color="auto" w:fill="FFFFFF"/>
          <w:lang w:val="zh-CN" w:eastAsia="zh-CN"/>
        </w:rPr>
        <w:t>核桃栽植</w:t>
      </w:r>
      <w:r>
        <w:rPr>
          <w:rFonts w:hint="eastAsia" w:ascii="仿宋_GB2312" w:hAnsi="仿宋_GB2312" w:eastAsia="仿宋_GB2312" w:cs="仿宋_GB2312"/>
          <w:color w:val="000000"/>
          <w:kern w:val="0"/>
          <w:sz w:val="32"/>
          <w:szCs w:val="32"/>
          <w:highlight w:val="none"/>
          <w:shd w:val="clear" w:color="auto" w:fill="FFFFFF"/>
          <w:lang w:val="zh-CN"/>
        </w:rPr>
        <w:t>、草原</w:t>
      </w:r>
      <w:r>
        <w:rPr>
          <w:rFonts w:hint="eastAsia" w:ascii="仿宋_GB2312" w:hAnsi="仿宋_GB2312" w:eastAsia="仿宋_GB2312" w:cs="仿宋_GB2312"/>
          <w:color w:val="000000"/>
          <w:kern w:val="0"/>
          <w:sz w:val="32"/>
          <w:szCs w:val="32"/>
          <w:highlight w:val="none"/>
          <w:shd w:val="clear" w:color="auto" w:fill="FFFFFF"/>
          <w:lang w:val="zh-CN" w:eastAsia="zh-CN"/>
        </w:rPr>
        <w:t>沙化、</w:t>
      </w:r>
      <w:r>
        <w:rPr>
          <w:rFonts w:hint="eastAsia" w:ascii="仿宋_GB2312" w:hAnsi="仿宋_GB2312" w:eastAsia="仿宋_GB2312" w:cs="仿宋_GB2312"/>
          <w:color w:val="000000"/>
          <w:kern w:val="0"/>
          <w:sz w:val="32"/>
          <w:szCs w:val="32"/>
          <w:highlight w:val="none"/>
          <w:shd w:val="clear" w:color="auto" w:fill="FFFFFF"/>
          <w:lang w:val="zh-CN"/>
        </w:rPr>
        <w:t>鼠害防治等实用技术。  </w:t>
      </w:r>
    </w:p>
    <w:p w14:paraId="544E4ACE">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仿宋_GB2312" w:hAnsi="仿宋_GB2312" w:eastAsia="仿宋_GB2312" w:cs="仿宋_GB2312"/>
          <w:color w:val="000000"/>
          <w:kern w:val="0"/>
          <w:sz w:val="32"/>
          <w:szCs w:val="32"/>
          <w:highlight w:val="none"/>
          <w:shd w:val="clear" w:color="auto" w:fill="FFFFFF"/>
          <w:lang w:val="en-US" w:eastAsia="zh-CN"/>
        </w:rPr>
      </w:pPr>
      <w:r>
        <w:rPr>
          <w:rFonts w:hint="eastAsia" w:ascii="仿宋_GB2312" w:hAnsi="仿宋_GB2312" w:eastAsia="仿宋_GB2312" w:cs="仿宋_GB2312"/>
          <w:color w:val="000000"/>
          <w:kern w:val="0"/>
          <w:sz w:val="32"/>
          <w:szCs w:val="32"/>
          <w:highlight w:val="none"/>
          <w:shd w:val="clear" w:color="auto" w:fill="FFFFFF"/>
          <w:lang w:val="en-US" w:eastAsia="zh-CN"/>
        </w:rPr>
        <w:t>（3）工作完成情况</w:t>
      </w:r>
    </w:p>
    <w:p w14:paraId="5EB6020A">
      <w:pPr>
        <w:keepNext w:val="0"/>
        <w:keepLines w:val="0"/>
        <w:pageBreakBefore w:val="0"/>
        <w:widowControl w:val="0"/>
        <w:numPr>
          <w:ilvl w:val="0"/>
          <w:numId w:val="0"/>
        </w:numPr>
        <w:kinsoku/>
        <w:wordWrap/>
        <w:overflowPunct w:val="0"/>
        <w:topLinePunct w:val="0"/>
        <w:autoSpaceDE/>
        <w:autoSpaceDN/>
        <w:bidi w:val="0"/>
        <w:adjustRightInd/>
        <w:snapToGrid w:val="0"/>
        <w:spacing w:beforeAutospacing="0" w:afterAutospacing="0" w:line="560" w:lineRule="exact"/>
        <w:ind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根据四川省林产品质量安全监测项目合同任务书（编号：ABLCJC2024）要求，2024年阿坝站承担食用林产品质量安全监测任务600批次，监测品种主要包括核桃、花椒、林草中药材及其产地土壤。</w:t>
      </w:r>
    </w:p>
    <w:p w14:paraId="769A525C">
      <w:pPr>
        <w:keepNext w:val="0"/>
        <w:keepLines w:val="0"/>
        <w:pageBreakBefore w:val="0"/>
        <w:widowControl w:val="0"/>
        <w:numPr>
          <w:ilvl w:val="0"/>
          <w:numId w:val="0"/>
        </w:numPr>
        <w:kinsoku/>
        <w:wordWrap/>
        <w:overflowPunct w:val="0"/>
        <w:topLinePunct w:val="0"/>
        <w:autoSpaceDE/>
        <w:autoSpaceDN/>
        <w:bidi w:val="0"/>
        <w:adjustRightInd/>
        <w:snapToGrid w:val="0"/>
        <w:spacing w:beforeAutospacing="0" w:afterAutospacing="0" w:line="560" w:lineRule="exact"/>
        <w:ind w:firstLine="640" w:firstLineChars="2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kern w:val="2"/>
          <w:sz w:val="32"/>
          <w:szCs w:val="32"/>
          <w:lang w:val="en-US" w:eastAsia="zh-CN" w:bidi="ar-SA"/>
        </w:rPr>
        <w:t>2024年，共检测了120个药用中药材样品、110个花椒样品、70核桃样品和300个土壤样品。</w:t>
      </w:r>
    </w:p>
    <w:p w14:paraId="13B60645">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仿宋_GB2312" w:hAnsi="仿宋_GB2312" w:eastAsia="仿宋_GB2312" w:cs="仿宋_GB2312"/>
          <w:color w:val="000000"/>
          <w:kern w:val="0"/>
          <w:sz w:val="32"/>
          <w:szCs w:val="32"/>
          <w:highlight w:val="none"/>
          <w:shd w:val="clear" w:color="auto" w:fill="FFFFFF"/>
          <w:lang w:val="zh-CN"/>
        </w:rPr>
      </w:pPr>
      <w:r>
        <w:rPr>
          <w:rFonts w:hint="eastAsia" w:ascii="仿宋_GB2312" w:hAnsi="仿宋_GB2312" w:eastAsia="仿宋_GB2312" w:cs="仿宋_GB2312"/>
          <w:color w:val="000000"/>
          <w:kern w:val="0"/>
          <w:sz w:val="32"/>
          <w:szCs w:val="32"/>
          <w:highlight w:val="none"/>
          <w:shd w:val="clear" w:color="auto" w:fill="FFFFFF"/>
          <w:lang w:val="en-US" w:eastAsia="zh-CN"/>
        </w:rPr>
        <w:t>2.</w:t>
      </w:r>
      <w:r>
        <w:rPr>
          <w:rFonts w:hint="eastAsia" w:ascii="仿宋_GB2312" w:hAnsi="仿宋_GB2312" w:eastAsia="仿宋_GB2312" w:cs="仿宋_GB2312"/>
          <w:color w:val="000000"/>
          <w:kern w:val="0"/>
          <w:sz w:val="32"/>
          <w:szCs w:val="32"/>
          <w:highlight w:val="none"/>
          <w:shd w:val="clear" w:color="auto" w:fill="FFFFFF"/>
          <w:lang w:val="zh-CN"/>
        </w:rPr>
        <w:t>预算管理，得分</w:t>
      </w:r>
      <w:r>
        <w:rPr>
          <w:rFonts w:hint="eastAsia" w:ascii="仿宋_GB2312" w:hAnsi="仿宋_GB2312" w:eastAsia="仿宋_GB2312" w:cs="仿宋_GB2312"/>
          <w:color w:val="000000"/>
          <w:kern w:val="0"/>
          <w:sz w:val="32"/>
          <w:szCs w:val="32"/>
          <w:highlight w:val="none"/>
          <w:shd w:val="clear" w:color="auto" w:fill="FFFFFF"/>
          <w:lang w:val="en-US" w:eastAsia="zh-CN"/>
        </w:rPr>
        <w:t>20.62分。</w:t>
      </w:r>
    </w:p>
    <w:p w14:paraId="3E561A06">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仿宋_GB2312" w:hAnsi="仿宋_GB2312" w:eastAsia="仿宋_GB2312" w:cs="仿宋_GB2312"/>
          <w:color w:val="000000"/>
          <w:kern w:val="0"/>
          <w:sz w:val="32"/>
          <w:szCs w:val="32"/>
          <w:highlight w:val="none"/>
          <w:shd w:val="clear" w:color="auto" w:fill="FFFFFF"/>
          <w:lang w:val="zh-CN"/>
        </w:rPr>
      </w:pPr>
      <w:r>
        <w:rPr>
          <w:rFonts w:hint="eastAsia" w:ascii="仿宋_GB2312" w:hAnsi="仿宋_GB2312" w:eastAsia="仿宋_GB2312" w:cs="仿宋_GB2312"/>
          <w:color w:val="000000"/>
          <w:kern w:val="0"/>
          <w:sz w:val="32"/>
          <w:szCs w:val="32"/>
          <w:highlight w:val="none"/>
          <w:shd w:val="clear" w:color="auto" w:fill="FFFFFF"/>
          <w:lang w:val="zh-CN"/>
        </w:rPr>
        <w:t>预算编制质量：单位严格按要求编制年初部门预算，年初预算编制科学准确。得分</w:t>
      </w:r>
      <w:r>
        <w:rPr>
          <w:rFonts w:hint="eastAsia" w:ascii="仿宋_GB2312" w:hAnsi="仿宋_GB2312" w:eastAsia="仿宋_GB2312" w:cs="仿宋_GB2312"/>
          <w:color w:val="000000"/>
          <w:kern w:val="0"/>
          <w:sz w:val="32"/>
          <w:szCs w:val="32"/>
          <w:highlight w:val="none"/>
          <w:shd w:val="clear" w:color="auto" w:fill="FFFFFF"/>
          <w:lang w:val="en-US" w:eastAsia="zh-CN"/>
        </w:rPr>
        <w:t>6.728分。</w:t>
      </w:r>
    </w:p>
    <w:p w14:paraId="726646D3">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仿宋_GB2312" w:hAnsi="仿宋_GB2312" w:eastAsia="仿宋_GB2312" w:cs="仿宋_GB2312"/>
          <w:color w:val="000000"/>
          <w:kern w:val="0"/>
          <w:sz w:val="32"/>
          <w:szCs w:val="32"/>
          <w:highlight w:val="none"/>
          <w:shd w:val="clear" w:color="auto" w:fill="FFFFFF"/>
          <w:lang w:val="en-US" w:eastAsia="zh-CN"/>
        </w:rPr>
      </w:pPr>
      <w:r>
        <w:rPr>
          <w:rFonts w:hint="eastAsia" w:ascii="仿宋_GB2312" w:hAnsi="仿宋_GB2312" w:eastAsia="仿宋_GB2312" w:cs="仿宋_GB2312"/>
          <w:color w:val="000000"/>
          <w:kern w:val="0"/>
          <w:sz w:val="32"/>
          <w:szCs w:val="32"/>
          <w:highlight w:val="none"/>
          <w:shd w:val="clear" w:color="auto" w:fill="FFFFFF"/>
          <w:lang w:val="zh-CN"/>
        </w:rPr>
        <w:t>单位收入统筹：全部收入纳入统筹，得分</w:t>
      </w:r>
      <w:r>
        <w:rPr>
          <w:rFonts w:hint="eastAsia" w:ascii="仿宋_GB2312" w:hAnsi="仿宋_GB2312" w:eastAsia="仿宋_GB2312" w:cs="仿宋_GB2312"/>
          <w:color w:val="000000"/>
          <w:kern w:val="0"/>
          <w:sz w:val="32"/>
          <w:szCs w:val="32"/>
          <w:highlight w:val="none"/>
          <w:shd w:val="clear" w:color="auto" w:fill="FFFFFF"/>
          <w:lang w:val="en-US" w:eastAsia="zh-CN"/>
        </w:rPr>
        <w:t>4分。</w:t>
      </w:r>
    </w:p>
    <w:p w14:paraId="37BCA141">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仿宋_GB2312" w:hAnsi="仿宋_GB2312" w:eastAsia="仿宋_GB2312" w:cs="仿宋_GB2312"/>
          <w:color w:val="000000"/>
          <w:kern w:val="0"/>
          <w:sz w:val="32"/>
          <w:szCs w:val="32"/>
          <w:highlight w:val="none"/>
          <w:shd w:val="clear" w:color="auto" w:fill="FFFFFF"/>
          <w:lang w:val="en-US" w:eastAsia="zh-CN"/>
        </w:rPr>
      </w:pPr>
      <w:r>
        <w:rPr>
          <w:rFonts w:hint="eastAsia" w:ascii="仿宋_GB2312" w:hAnsi="仿宋_GB2312" w:eastAsia="仿宋_GB2312" w:cs="仿宋_GB2312"/>
          <w:color w:val="000000"/>
          <w:kern w:val="0"/>
          <w:sz w:val="32"/>
          <w:szCs w:val="32"/>
          <w:highlight w:val="none"/>
          <w:shd w:val="clear" w:color="auto" w:fill="FFFFFF"/>
          <w:lang w:val="zh-CN"/>
        </w:rPr>
        <w:t>支出执行进度：得分</w:t>
      </w:r>
      <w:r>
        <w:rPr>
          <w:rFonts w:hint="eastAsia" w:ascii="仿宋_GB2312" w:hAnsi="仿宋_GB2312" w:eastAsia="仿宋_GB2312" w:cs="仿宋_GB2312"/>
          <w:color w:val="000000"/>
          <w:kern w:val="0"/>
          <w:sz w:val="32"/>
          <w:szCs w:val="32"/>
          <w:highlight w:val="none"/>
          <w:shd w:val="clear" w:color="auto" w:fill="FFFFFF"/>
          <w:lang w:val="en-US" w:eastAsia="zh-CN"/>
        </w:rPr>
        <w:t>3.21分，1至6月预算执行进度72.96%、1至10月预算执行进度78.7%。</w:t>
      </w:r>
    </w:p>
    <w:p w14:paraId="5C2BC077">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仿宋_GB2312" w:hAnsi="仿宋_GB2312" w:eastAsia="仿宋_GB2312" w:cs="仿宋_GB2312"/>
          <w:color w:val="000000"/>
          <w:kern w:val="0"/>
          <w:sz w:val="32"/>
          <w:szCs w:val="32"/>
          <w:highlight w:val="none"/>
          <w:shd w:val="clear" w:color="auto" w:fill="FFFFFF"/>
          <w:lang w:val="zh-CN"/>
        </w:rPr>
      </w:pPr>
      <w:r>
        <w:rPr>
          <w:rFonts w:hint="eastAsia" w:ascii="仿宋_GB2312" w:hAnsi="仿宋_GB2312" w:eastAsia="仿宋_GB2312" w:cs="仿宋_GB2312"/>
          <w:color w:val="000000"/>
          <w:kern w:val="0"/>
          <w:sz w:val="32"/>
          <w:szCs w:val="32"/>
          <w:highlight w:val="none"/>
          <w:shd w:val="clear" w:color="auto" w:fill="FFFFFF"/>
          <w:lang w:val="zh-CN"/>
        </w:rPr>
        <w:t>预算年终结余：部门整体预算结余率为</w:t>
      </w:r>
      <w:r>
        <w:rPr>
          <w:rFonts w:hint="eastAsia" w:ascii="仿宋_GB2312" w:hAnsi="仿宋_GB2312" w:eastAsia="仿宋_GB2312" w:cs="仿宋_GB2312"/>
          <w:color w:val="000000"/>
          <w:kern w:val="0"/>
          <w:sz w:val="32"/>
          <w:szCs w:val="32"/>
          <w:highlight w:val="none"/>
          <w:shd w:val="clear" w:color="auto" w:fill="FFFFFF"/>
          <w:lang w:val="en-US" w:eastAsia="zh-CN"/>
        </w:rPr>
        <w:t>15.8%，</w:t>
      </w:r>
      <w:r>
        <w:rPr>
          <w:rFonts w:hint="eastAsia" w:ascii="仿宋_GB2312" w:hAnsi="仿宋_GB2312" w:eastAsia="仿宋_GB2312" w:cs="仿宋_GB2312"/>
          <w:color w:val="000000"/>
          <w:kern w:val="0"/>
          <w:sz w:val="32"/>
          <w:szCs w:val="32"/>
          <w:highlight w:val="none"/>
          <w:shd w:val="clear" w:color="auto" w:fill="FFFFFF"/>
          <w:lang w:val="zh-CN"/>
        </w:rPr>
        <w:t>得分</w:t>
      </w:r>
      <w:r>
        <w:rPr>
          <w:rFonts w:hint="eastAsia" w:ascii="仿宋_GB2312" w:hAnsi="仿宋_GB2312" w:eastAsia="仿宋_GB2312" w:cs="仿宋_GB2312"/>
          <w:color w:val="000000"/>
          <w:kern w:val="0"/>
          <w:sz w:val="32"/>
          <w:szCs w:val="32"/>
          <w:highlight w:val="none"/>
          <w:shd w:val="clear" w:color="auto" w:fill="FFFFFF"/>
          <w:lang w:val="en-US" w:eastAsia="zh-CN"/>
        </w:rPr>
        <w:t>1.68分。</w:t>
      </w:r>
    </w:p>
    <w:p w14:paraId="2B3057FB">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仿宋_GB2312" w:hAnsi="仿宋_GB2312" w:eastAsia="仿宋_GB2312" w:cs="仿宋_GB2312"/>
          <w:color w:val="000000"/>
          <w:kern w:val="0"/>
          <w:sz w:val="32"/>
          <w:szCs w:val="32"/>
          <w:highlight w:val="none"/>
          <w:shd w:val="clear" w:color="auto" w:fill="FFFFFF"/>
          <w:lang w:val="zh-CN" w:eastAsia="zh-CN"/>
        </w:rPr>
      </w:pPr>
      <w:r>
        <w:rPr>
          <w:rFonts w:hint="eastAsia" w:ascii="仿宋_GB2312" w:hAnsi="仿宋_GB2312" w:eastAsia="仿宋_GB2312" w:cs="仿宋_GB2312"/>
          <w:color w:val="000000"/>
          <w:kern w:val="0"/>
          <w:sz w:val="32"/>
          <w:szCs w:val="32"/>
          <w:highlight w:val="none"/>
          <w:shd w:val="clear" w:color="auto" w:fill="FFFFFF"/>
          <w:lang w:val="zh-CN"/>
        </w:rPr>
        <w:t>严控一般性支出：厉行节约，合理压减，得分</w:t>
      </w:r>
      <w:r>
        <w:rPr>
          <w:rFonts w:hint="eastAsia" w:ascii="仿宋_GB2312" w:hAnsi="仿宋_GB2312" w:eastAsia="仿宋_GB2312" w:cs="仿宋_GB2312"/>
          <w:color w:val="000000"/>
          <w:kern w:val="0"/>
          <w:sz w:val="32"/>
          <w:szCs w:val="32"/>
          <w:highlight w:val="none"/>
          <w:shd w:val="clear" w:color="auto" w:fill="FFFFFF"/>
          <w:lang w:val="en-US" w:eastAsia="zh-CN"/>
        </w:rPr>
        <w:t>5分。</w:t>
      </w:r>
    </w:p>
    <w:p w14:paraId="4BD61E79">
      <w:pPr>
        <w:keepNext w:val="0"/>
        <w:keepLines w:val="0"/>
        <w:pageBreakBefore w:val="0"/>
        <w:widowControl w:val="0"/>
        <w:numPr>
          <w:ilvl w:val="0"/>
          <w:numId w:val="3"/>
        </w:numPr>
        <w:kinsoku/>
        <w:wordWrap/>
        <w:overflowPunct/>
        <w:topLinePunct w:val="0"/>
        <w:autoSpaceDE/>
        <w:autoSpaceDN/>
        <w:bidi w:val="0"/>
        <w:adjustRightInd w:val="0"/>
        <w:snapToGrid w:val="0"/>
        <w:spacing w:line="578" w:lineRule="exact"/>
        <w:ind w:left="0" w:leftChars="0" w:firstLine="640" w:firstLineChars="200"/>
        <w:contextualSpacing/>
        <w:jc w:val="left"/>
        <w:textAlignment w:val="auto"/>
        <w:outlineLvl w:val="9"/>
        <w:rPr>
          <w:rFonts w:hint="eastAsia" w:ascii="仿宋_GB2312" w:hAnsi="仿宋_GB2312" w:eastAsia="仿宋_GB2312" w:cs="仿宋_GB2312"/>
          <w:color w:val="000000"/>
          <w:kern w:val="0"/>
          <w:sz w:val="32"/>
          <w:szCs w:val="32"/>
          <w:highlight w:val="none"/>
          <w:shd w:val="clear" w:color="auto" w:fill="FFFFFF"/>
          <w:lang w:val="zh-CN"/>
        </w:rPr>
      </w:pPr>
      <w:r>
        <w:rPr>
          <w:rFonts w:hint="eastAsia" w:ascii="仿宋_GB2312" w:hAnsi="仿宋_GB2312" w:eastAsia="仿宋_GB2312" w:cs="仿宋_GB2312"/>
          <w:color w:val="000000"/>
          <w:kern w:val="0"/>
          <w:sz w:val="32"/>
          <w:szCs w:val="32"/>
          <w:highlight w:val="none"/>
          <w:shd w:val="clear" w:color="auto" w:fill="FFFFFF"/>
          <w:lang w:val="zh-CN"/>
        </w:rPr>
        <w:t>财务管理，得分</w:t>
      </w:r>
      <w:r>
        <w:rPr>
          <w:rFonts w:hint="eastAsia" w:ascii="仿宋_GB2312" w:hAnsi="仿宋_GB2312" w:eastAsia="仿宋_GB2312" w:cs="仿宋_GB2312"/>
          <w:color w:val="000000"/>
          <w:kern w:val="0"/>
          <w:sz w:val="32"/>
          <w:szCs w:val="32"/>
          <w:highlight w:val="none"/>
          <w:shd w:val="clear" w:color="auto" w:fill="FFFFFF"/>
          <w:lang w:val="en-US" w:eastAsia="zh-CN"/>
        </w:rPr>
        <w:t>10分。</w:t>
      </w:r>
    </w:p>
    <w:p w14:paraId="79CF998D">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仿宋_GB2312" w:hAnsi="仿宋_GB2312" w:eastAsia="仿宋_GB2312" w:cs="仿宋_GB2312"/>
          <w:color w:val="000000"/>
          <w:kern w:val="0"/>
          <w:sz w:val="32"/>
          <w:szCs w:val="32"/>
          <w:highlight w:val="none"/>
          <w:shd w:val="clear" w:color="auto" w:fill="FFFFFF"/>
          <w:lang w:val="zh-CN"/>
        </w:rPr>
      </w:pPr>
      <w:r>
        <w:rPr>
          <w:rFonts w:hint="eastAsia" w:ascii="仿宋_GB2312" w:hAnsi="仿宋_GB2312" w:eastAsia="仿宋_GB2312" w:cs="仿宋_GB2312"/>
          <w:color w:val="000000"/>
          <w:kern w:val="0"/>
          <w:sz w:val="32"/>
          <w:szCs w:val="32"/>
          <w:highlight w:val="none"/>
          <w:shd w:val="clear" w:color="auto" w:fill="FFFFFF"/>
          <w:lang w:val="zh-CN"/>
        </w:rPr>
        <w:t>单位已制定财务管理制度并得到落实，得分</w:t>
      </w:r>
      <w:r>
        <w:rPr>
          <w:rFonts w:hint="eastAsia" w:ascii="仿宋_GB2312" w:hAnsi="仿宋_GB2312" w:eastAsia="仿宋_GB2312" w:cs="仿宋_GB2312"/>
          <w:color w:val="000000"/>
          <w:kern w:val="0"/>
          <w:sz w:val="32"/>
          <w:szCs w:val="32"/>
          <w:highlight w:val="none"/>
          <w:shd w:val="clear" w:color="auto" w:fill="FFFFFF"/>
          <w:lang w:val="en-US" w:eastAsia="zh-CN"/>
        </w:rPr>
        <w:t>4分</w:t>
      </w:r>
      <w:r>
        <w:rPr>
          <w:rFonts w:hint="eastAsia" w:ascii="仿宋_GB2312" w:hAnsi="仿宋_GB2312" w:eastAsia="仿宋_GB2312" w:cs="仿宋_GB2312"/>
          <w:color w:val="000000"/>
          <w:kern w:val="0"/>
          <w:sz w:val="32"/>
          <w:szCs w:val="32"/>
          <w:highlight w:val="none"/>
          <w:shd w:val="clear" w:color="auto" w:fill="FFFFFF"/>
          <w:lang w:val="zh-CN"/>
        </w:rPr>
        <w:t>；财务岗位设置合理设置财务工作岗位，明确职责权限，并严格实行不相容岗位分离，得分</w:t>
      </w:r>
      <w:r>
        <w:rPr>
          <w:rFonts w:hint="eastAsia" w:ascii="仿宋_GB2312" w:hAnsi="仿宋_GB2312" w:eastAsia="仿宋_GB2312" w:cs="仿宋_GB2312"/>
          <w:color w:val="000000"/>
          <w:kern w:val="0"/>
          <w:sz w:val="32"/>
          <w:szCs w:val="32"/>
          <w:highlight w:val="none"/>
          <w:shd w:val="clear" w:color="auto" w:fill="FFFFFF"/>
          <w:lang w:val="en-US" w:eastAsia="zh-CN"/>
        </w:rPr>
        <w:t>2分</w:t>
      </w:r>
      <w:r>
        <w:rPr>
          <w:rFonts w:hint="eastAsia" w:ascii="仿宋_GB2312" w:hAnsi="仿宋_GB2312" w:eastAsia="仿宋_GB2312" w:cs="仿宋_GB2312"/>
          <w:color w:val="000000"/>
          <w:kern w:val="0"/>
          <w:sz w:val="32"/>
          <w:szCs w:val="32"/>
          <w:highlight w:val="none"/>
          <w:shd w:val="clear" w:color="auto" w:fill="FFFFFF"/>
          <w:lang w:val="zh-CN"/>
        </w:rPr>
        <w:t>；资金使用规范，符合相关财务管理制度规定，得分</w:t>
      </w:r>
      <w:r>
        <w:rPr>
          <w:rFonts w:hint="eastAsia" w:ascii="仿宋_GB2312" w:hAnsi="仿宋_GB2312" w:eastAsia="仿宋_GB2312" w:cs="仿宋_GB2312"/>
          <w:color w:val="000000"/>
          <w:kern w:val="0"/>
          <w:sz w:val="32"/>
          <w:szCs w:val="32"/>
          <w:highlight w:val="none"/>
          <w:shd w:val="clear" w:color="auto" w:fill="FFFFFF"/>
          <w:lang w:val="en-US" w:eastAsia="zh-CN"/>
        </w:rPr>
        <w:t>4分</w:t>
      </w:r>
      <w:r>
        <w:rPr>
          <w:rFonts w:hint="eastAsia" w:ascii="仿宋_GB2312" w:hAnsi="仿宋_GB2312" w:eastAsia="仿宋_GB2312" w:cs="仿宋_GB2312"/>
          <w:color w:val="000000"/>
          <w:kern w:val="0"/>
          <w:sz w:val="32"/>
          <w:szCs w:val="32"/>
          <w:highlight w:val="none"/>
          <w:shd w:val="clear" w:color="auto" w:fill="FFFFFF"/>
          <w:lang w:val="zh-CN"/>
        </w:rPr>
        <w:t>。</w:t>
      </w:r>
    </w:p>
    <w:p w14:paraId="56AB6116">
      <w:pPr>
        <w:keepNext w:val="0"/>
        <w:keepLines w:val="0"/>
        <w:pageBreakBefore w:val="0"/>
        <w:widowControl w:val="0"/>
        <w:numPr>
          <w:ilvl w:val="0"/>
          <w:numId w:val="3"/>
        </w:numPr>
        <w:kinsoku/>
        <w:wordWrap/>
        <w:overflowPunct/>
        <w:topLinePunct w:val="0"/>
        <w:autoSpaceDE/>
        <w:autoSpaceDN/>
        <w:bidi w:val="0"/>
        <w:adjustRightInd w:val="0"/>
        <w:snapToGrid w:val="0"/>
        <w:spacing w:line="578" w:lineRule="exact"/>
        <w:ind w:left="0" w:leftChars="0" w:firstLine="640" w:firstLineChars="200"/>
        <w:contextualSpacing/>
        <w:jc w:val="left"/>
        <w:textAlignment w:val="auto"/>
        <w:outlineLvl w:val="9"/>
        <w:rPr>
          <w:rFonts w:hint="eastAsia" w:ascii="仿宋_GB2312" w:hAnsi="仿宋_GB2312" w:eastAsia="仿宋_GB2312" w:cs="仿宋_GB2312"/>
          <w:color w:val="000000"/>
          <w:kern w:val="0"/>
          <w:sz w:val="32"/>
          <w:szCs w:val="32"/>
          <w:highlight w:val="none"/>
          <w:shd w:val="clear" w:color="auto" w:fill="FFFFFF"/>
          <w:lang w:val="zh-CN"/>
        </w:rPr>
      </w:pPr>
      <w:r>
        <w:rPr>
          <w:rFonts w:hint="eastAsia" w:ascii="仿宋_GB2312" w:hAnsi="仿宋_GB2312" w:eastAsia="仿宋_GB2312" w:cs="仿宋_GB2312"/>
          <w:color w:val="000000"/>
          <w:kern w:val="0"/>
          <w:sz w:val="32"/>
          <w:szCs w:val="32"/>
          <w:highlight w:val="none"/>
          <w:shd w:val="clear" w:color="auto" w:fill="FFFFFF"/>
          <w:lang w:val="zh-CN"/>
        </w:rPr>
        <w:t>资产管理，得分</w:t>
      </w:r>
      <w:r>
        <w:rPr>
          <w:rFonts w:hint="eastAsia" w:ascii="仿宋_GB2312" w:hAnsi="仿宋_GB2312" w:eastAsia="仿宋_GB2312" w:cs="仿宋_GB2312"/>
          <w:color w:val="000000"/>
          <w:kern w:val="0"/>
          <w:sz w:val="32"/>
          <w:szCs w:val="32"/>
          <w:highlight w:val="none"/>
          <w:shd w:val="clear" w:color="auto" w:fill="FFFFFF"/>
          <w:lang w:val="en-US" w:eastAsia="zh-CN"/>
        </w:rPr>
        <w:t>5.4</w:t>
      </w:r>
    </w:p>
    <w:p w14:paraId="14F82FCC">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仿宋_GB2312" w:hAnsi="仿宋_GB2312" w:eastAsia="仿宋_GB2312" w:cs="仿宋_GB2312"/>
          <w:color w:val="000000"/>
          <w:kern w:val="0"/>
          <w:sz w:val="32"/>
          <w:szCs w:val="32"/>
          <w:highlight w:val="none"/>
          <w:shd w:val="clear" w:color="auto" w:fill="FFFFFF"/>
          <w:lang w:val="zh-CN"/>
        </w:rPr>
      </w:pPr>
      <w:r>
        <w:rPr>
          <w:rFonts w:hint="eastAsia" w:ascii="仿宋_GB2312" w:hAnsi="仿宋_GB2312" w:eastAsia="仿宋_GB2312" w:cs="仿宋_GB2312"/>
          <w:color w:val="000000"/>
          <w:kern w:val="0"/>
          <w:sz w:val="32"/>
          <w:szCs w:val="32"/>
          <w:highlight w:val="none"/>
          <w:shd w:val="clear" w:color="auto" w:fill="FFFFFF"/>
          <w:lang w:val="zh-CN"/>
        </w:rPr>
        <w:t>围绕人均资产变化率：得分</w:t>
      </w:r>
      <w:r>
        <w:rPr>
          <w:rFonts w:hint="eastAsia" w:ascii="仿宋_GB2312" w:hAnsi="仿宋_GB2312" w:eastAsia="仿宋_GB2312" w:cs="仿宋_GB2312"/>
          <w:color w:val="000000"/>
          <w:kern w:val="0"/>
          <w:sz w:val="32"/>
          <w:szCs w:val="32"/>
          <w:highlight w:val="none"/>
          <w:shd w:val="clear" w:color="auto" w:fill="FFFFFF"/>
          <w:lang w:val="en-US" w:eastAsia="zh-CN"/>
        </w:rPr>
        <w:t>0.9分。</w:t>
      </w:r>
    </w:p>
    <w:p w14:paraId="7A9B19BD">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仿宋_GB2312" w:hAnsi="仿宋_GB2312" w:eastAsia="仿宋_GB2312" w:cs="仿宋_GB2312"/>
          <w:color w:val="000000"/>
          <w:kern w:val="0"/>
          <w:sz w:val="32"/>
          <w:szCs w:val="32"/>
          <w:highlight w:val="none"/>
          <w:shd w:val="clear" w:color="auto" w:fill="FFFFFF"/>
          <w:lang w:val="en-US" w:eastAsia="zh-CN"/>
        </w:rPr>
      </w:pPr>
      <w:r>
        <w:rPr>
          <w:rFonts w:hint="eastAsia" w:ascii="仿宋_GB2312" w:hAnsi="仿宋_GB2312" w:eastAsia="仿宋_GB2312" w:cs="仿宋_GB2312"/>
          <w:color w:val="000000"/>
          <w:kern w:val="0"/>
          <w:sz w:val="32"/>
          <w:szCs w:val="32"/>
          <w:highlight w:val="none"/>
          <w:shd w:val="clear" w:color="auto" w:fill="FFFFFF"/>
          <w:lang w:val="zh-CN"/>
        </w:rPr>
        <w:t>资产利用率：合理利用单位资产提高利用率及使用效果，得分</w:t>
      </w:r>
      <w:r>
        <w:rPr>
          <w:rFonts w:hint="eastAsia" w:ascii="仿宋_GB2312" w:hAnsi="仿宋_GB2312" w:eastAsia="仿宋_GB2312" w:cs="仿宋_GB2312"/>
          <w:color w:val="000000"/>
          <w:kern w:val="0"/>
          <w:sz w:val="32"/>
          <w:szCs w:val="32"/>
          <w:highlight w:val="none"/>
          <w:shd w:val="clear" w:color="auto" w:fill="FFFFFF"/>
          <w:lang w:val="en-US" w:eastAsia="zh-CN"/>
        </w:rPr>
        <w:t>1.5分。</w:t>
      </w:r>
    </w:p>
    <w:p w14:paraId="28465F8E">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仿宋_GB2312" w:hAnsi="仿宋_GB2312" w:eastAsia="仿宋_GB2312" w:cs="仿宋_GB2312"/>
          <w:color w:val="000000"/>
          <w:kern w:val="0"/>
          <w:sz w:val="32"/>
          <w:szCs w:val="32"/>
          <w:highlight w:val="none"/>
          <w:shd w:val="clear" w:color="auto" w:fill="FFFFFF"/>
          <w:lang w:val="zh-CN"/>
        </w:rPr>
      </w:pPr>
      <w:r>
        <w:rPr>
          <w:rFonts w:hint="eastAsia" w:ascii="仿宋_GB2312" w:hAnsi="仿宋_GB2312" w:eastAsia="仿宋_GB2312" w:cs="仿宋_GB2312"/>
          <w:color w:val="000000"/>
          <w:kern w:val="0"/>
          <w:sz w:val="32"/>
          <w:szCs w:val="32"/>
          <w:highlight w:val="none"/>
          <w:shd w:val="clear" w:color="auto" w:fill="FFFFFF"/>
          <w:lang w:val="zh-CN"/>
        </w:rPr>
        <w:t>资产盘活率：我单位两年均无闲置资产，得分</w:t>
      </w:r>
      <w:r>
        <w:rPr>
          <w:rFonts w:hint="eastAsia" w:ascii="仿宋_GB2312" w:hAnsi="仿宋_GB2312" w:eastAsia="仿宋_GB2312" w:cs="仿宋_GB2312"/>
          <w:color w:val="000000"/>
          <w:kern w:val="0"/>
          <w:sz w:val="32"/>
          <w:szCs w:val="32"/>
          <w:highlight w:val="none"/>
          <w:shd w:val="clear" w:color="auto" w:fill="FFFFFF"/>
          <w:lang w:val="en-US" w:eastAsia="zh-CN"/>
        </w:rPr>
        <w:t>3分</w:t>
      </w:r>
      <w:r>
        <w:rPr>
          <w:rFonts w:hint="eastAsia" w:ascii="仿宋_GB2312" w:hAnsi="仿宋_GB2312" w:eastAsia="仿宋_GB2312" w:cs="仿宋_GB2312"/>
          <w:color w:val="000000"/>
          <w:kern w:val="0"/>
          <w:sz w:val="32"/>
          <w:szCs w:val="32"/>
          <w:highlight w:val="none"/>
          <w:shd w:val="clear" w:color="auto" w:fill="FFFFFF"/>
          <w:lang w:val="zh-CN"/>
        </w:rPr>
        <w:t>。</w:t>
      </w:r>
    </w:p>
    <w:p w14:paraId="68142F96">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leftChars="200"/>
        <w:contextualSpacing/>
        <w:jc w:val="left"/>
        <w:textAlignment w:val="auto"/>
        <w:outlineLvl w:val="9"/>
        <w:rPr>
          <w:rFonts w:hint="eastAsia" w:ascii="仿宋_GB2312" w:hAnsi="仿宋_GB2312" w:eastAsia="仿宋_GB2312" w:cs="仿宋_GB2312"/>
          <w:color w:val="000000"/>
          <w:kern w:val="0"/>
          <w:sz w:val="32"/>
          <w:szCs w:val="32"/>
          <w:highlight w:val="none"/>
          <w:shd w:val="clear" w:color="auto" w:fill="FFFFFF"/>
          <w:lang w:val="zh-CN"/>
        </w:rPr>
      </w:pPr>
      <w:r>
        <w:rPr>
          <w:rFonts w:hint="eastAsia" w:ascii="仿宋_GB2312" w:hAnsi="仿宋_GB2312" w:eastAsia="仿宋_GB2312" w:cs="仿宋_GB2312"/>
          <w:color w:val="000000"/>
          <w:kern w:val="0"/>
          <w:sz w:val="32"/>
          <w:szCs w:val="32"/>
          <w:highlight w:val="none"/>
          <w:shd w:val="clear" w:color="auto" w:fill="FFFFFF"/>
          <w:lang w:val="en-US" w:eastAsia="zh-CN"/>
        </w:rPr>
        <w:t>5.</w:t>
      </w:r>
      <w:r>
        <w:rPr>
          <w:rFonts w:hint="eastAsia" w:ascii="仿宋_GB2312" w:hAnsi="仿宋_GB2312" w:eastAsia="仿宋_GB2312" w:cs="仿宋_GB2312"/>
          <w:color w:val="000000"/>
          <w:kern w:val="0"/>
          <w:sz w:val="32"/>
          <w:szCs w:val="32"/>
          <w:highlight w:val="none"/>
          <w:shd w:val="clear" w:color="auto" w:fill="FFFFFF"/>
          <w:lang w:val="zh-CN"/>
        </w:rPr>
        <w:t>采购管理，得分</w:t>
      </w:r>
      <w:r>
        <w:rPr>
          <w:rFonts w:hint="eastAsia" w:ascii="仿宋_GB2312" w:hAnsi="仿宋_GB2312" w:eastAsia="仿宋_GB2312" w:cs="仿宋_GB2312"/>
          <w:color w:val="000000"/>
          <w:kern w:val="0"/>
          <w:sz w:val="32"/>
          <w:szCs w:val="32"/>
          <w:highlight w:val="none"/>
          <w:shd w:val="clear" w:color="auto" w:fill="FFFFFF"/>
          <w:lang w:val="en-US" w:eastAsia="zh-CN"/>
        </w:rPr>
        <w:t>6分</w:t>
      </w:r>
      <w:r>
        <w:rPr>
          <w:rFonts w:hint="eastAsia" w:ascii="仿宋_GB2312" w:hAnsi="仿宋_GB2312" w:eastAsia="仿宋_GB2312" w:cs="仿宋_GB2312"/>
          <w:color w:val="000000"/>
          <w:kern w:val="0"/>
          <w:sz w:val="32"/>
          <w:szCs w:val="32"/>
          <w:highlight w:val="none"/>
          <w:shd w:val="clear" w:color="auto" w:fill="FFFFFF"/>
          <w:lang w:val="zh-CN"/>
        </w:rPr>
        <w:t>。</w:t>
      </w:r>
    </w:p>
    <w:p w14:paraId="572D8B0E">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leftChars="200" w:firstLine="640" w:firstLineChars="200"/>
        <w:contextualSpacing/>
        <w:jc w:val="left"/>
        <w:textAlignment w:val="auto"/>
        <w:outlineLvl w:val="9"/>
        <w:rPr>
          <w:rFonts w:hint="eastAsia" w:ascii="仿宋_GB2312" w:hAnsi="仿宋_GB2312" w:eastAsia="仿宋_GB2312" w:cs="仿宋_GB2312"/>
          <w:color w:val="000000"/>
          <w:kern w:val="0"/>
          <w:sz w:val="32"/>
          <w:szCs w:val="32"/>
          <w:highlight w:val="none"/>
          <w:shd w:val="clear" w:color="auto" w:fill="FFFFFF"/>
          <w:lang w:val="en-US" w:eastAsia="zh-CN"/>
        </w:rPr>
      </w:pPr>
      <w:r>
        <w:rPr>
          <w:rFonts w:hint="eastAsia" w:ascii="仿宋_GB2312" w:hAnsi="仿宋_GB2312" w:eastAsia="仿宋_GB2312" w:cs="仿宋_GB2312"/>
          <w:color w:val="000000"/>
          <w:kern w:val="0"/>
          <w:sz w:val="32"/>
          <w:szCs w:val="32"/>
          <w:highlight w:val="none"/>
          <w:shd w:val="clear" w:color="auto" w:fill="FFFFFF"/>
          <w:lang w:val="zh-CN"/>
        </w:rPr>
        <w:t>围绕支持中小企业发展：单位严格执行政府采购促进中小企业发展相关管理办法得分</w:t>
      </w:r>
      <w:r>
        <w:rPr>
          <w:rFonts w:hint="eastAsia" w:ascii="仿宋_GB2312" w:hAnsi="仿宋_GB2312" w:eastAsia="仿宋_GB2312" w:cs="仿宋_GB2312"/>
          <w:color w:val="000000"/>
          <w:kern w:val="0"/>
          <w:sz w:val="32"/>
          <w:szCs w:val="32"/>
          <w:highlight w:val="none"/>
          <w:shd w:val="clear" w:color="auto" w:fill="FFFFFF"/>
          <w:lang w:val="en-US" w:eastAsia="zh-CN"/>
        </w:rPr>
        <w:t>3分。</w:t>
      </w:r>
    </w:p>
    <w:p w14:paraId="52F37AEA">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leftChars="200"/>
        <w:contextualSpacing/>
        <w:jc w:val="left"/>
        <w:textAlignment w:val="auto"/>
        <w:outlineLvl w:val="9"/>
        <w:rPr>
          <w:rFonts w:hint="eastAsia" w:ascii="仿宋_GB2312" w:hAnsi="仿宋_GB2312" w:eastAsia="仿宋_GB2312" w:cs="仿宋_GB2312"/>
          <w:color w:val="000000"/>
          <w:kern w:val="0"/>
          <w:sz w:val="32"/>
          <w:szCs w:val="32"/>
          <w:highlight w:val="none"/>
          <w:shd w:val="clear" w:color="auto" w:fill="FFFFFF"/>
          <w:lang w:val="zh-CN"/>
        </w:rPr>
      </w:pPr>
      <w:r>
        <w:rPr>
          <w:rFonts w:hint="eastAsia" w:ascii="仿宋_GB2312" w:hAnsi="仿宋_GB2312" w:eastAsia="仿宋_GB2312" w:cs="仿宋_GB2312"/>
          <w:color w:val="000000"/>
          <w:kern w:val="0"/>
          <w:sz w:val="32"/>
          <w:szCs w:val="32"/>
          <w:highlight w:val="none"/>
          <w:shd w:val="clear" w:color="auto" w:fill="FFFFFF"/>
          <w:lang w:val="zh-CN"/>
        </w:rPr>
        <w:t>采购执行率进行绩效分析：我单位</w:t>
      </w:r>
      <w:r>
        <w:rPr>
          <w:rFonts w:hint="eastAsia" w:ascii="仿宋_GB2312" w:hAnsi="仿宋_GB2312" w:eastAsia="仿宋_GB2312" w:cs="仿宋_GB2312"/>
          <w:color w:val="000000"/>
          <w:kern w:val="0"/>
          <w:sz w:val="32"/>
          <w:szCs w:val="32"/>
          <w:highlight w:val="none"/>
          <w:shd w:val="clear" w:color="auto" w:fill="FFFFFF"/>
          <w:lang w:val="en-US" w:eastAsia="zh-CN"/>
        </w:rPr>
        <w:t>2023年无政府采购项目，</w:t>
      </w:r>
      <w:r>
        <w:rPr>
          <w:rFonts w:hint="eastAsia" w:ascii="仿宋_GB2312" w:hAnsi="仿宋_GB2312" w:eastAsia="仿宋_GB2312" w:cs="仿宋_GB2312"/>
          <w:color w:val="000000"/>
          <w:kern w:val="0"/>
          <w:sz w:val="32"/>
          <w:szCs w:val="32"/>
          <w:highlight w:val="none"/>
          <w:shd w:val="clear" w:color="auto" w:fill="FFFFFF"/>
          <w:lang w:val="zh-CN"/>
        </w:rPr>
        <w:t>得分</w:t>
      </w:r>
      <w:r>
        <w:rPr>
          <w:rFonts w:hint="eastAsia" w:ascii="仿宋_GB2312" w:hAnsi="仿宋_GB2312" w:eastAsia="仿宋_GB2312" w:cs="仿宋_GB2312"/>
          <w:color w:val="000000"/>
          <w:kern w:val="0"/>
          <w:sz w:val="32"/>
          <w:szCs w:val="32"/>
          <w:highlight w:val="none"/>
          <w:shd w:val="clear" w:color="auto" w:fill="FFFFFF"/>
          <w:lang w:val="en-US" w:eastAsia="zh-CN"/>
        </w:rPr>
        <w:t>3分</w:t>
      </w:r>
      <w:r>
        <w:rPr>
          <w:rFonts w:hint="eastAsia" w:ascii="仿宋_GB2312" w:hAnsi="仿宋_GB2312" w:eastAsia="仿宋_GB2312" w:cs="仿宋_GB2312"/>
          <w:color w:val="000000"/>
          <w:kern w:val="0"/>
          <w:sz w:val="32"/>
          <w:szCs w:val="32"/>
          <w:highlight w:val="none"/>
          <w:shd w:val="clear" w:color="auto" w:fill="FFFFFF"/>
          <w:lang w:val="zh-CN"/>
        </w:rPr>
        <w:t>。</w:t>
      </w:r>
    </w:p>
    <w:p w14:paraId="0715CCB6">
      <w:pPr>
        <w:keepNext w:val="0"/>
        <w:keepLines w:val="0"/>
        <w:pageBreakBefore w:val="0"/>
        <w:widowControl/>
        <w:kinsoku/>
        <w:wordWrap/>
        <w:overflowPunct/>
        <w:topLinePunct w:val="0"/>
        <w:autoSpaceDE/>
        <w:autoSpaceDN/>
        <w:bidi w:val="0"/>
        <w:adjustRightInd w:val="0"/>
        <w:snapToGrid w:val="0"/>
        <w:spacing w:line="578" w:lineRule="exact"/>
        <w:ind w:firstLine="643" w:firstLineChars="200"/>
        <w:contextualSpacing/>
        <w:jc w:val="left"/>
        <w:textAlignment w:val="auto"/>
        <w:outlineLvl w:val="9"/>
        <w:rPr>
          <w:rFonts w:hint="eastAsia" w:ascii="仿宋_GB2312" w:hAnsi="仿宋_GB2312" w:eastAsia="仿宋_GB2312" w:cs="仿宋_GB2312"/>
          <w:color w:val="000000"/>
          <w:kern w:val="0"/>
          <w:sz w:val="32"/>
          <w:szCs w:val="32"/>
          <w:highlight w:val="none"/>
          <w:shd w:val="clear" w:color="auto" w:fill="FFFFFF"/>
          <w:lang w:val="en-US" w:eastAsia="zh-CN"/>
        </w:rPr>
      </w:pPr>
      <w:r>
        <w:rPr>
          <w:rFonts w:hint="eastAsia" w:ascii="仿宋_GB2312" w:hAnsi="仿宋_GB2312" w:eastAsia="仿宋_GB2312" w:cs="仿宋_GB2312"/>
          <w:b/>
          <w:bCs/>
          <w:color w:val="000000"/>
          <w:kern w:val="0"/>
          <w:sz w:val="32"/>
          <w:szCs w:val="32"/>
          <w:highlight w:val="none"/>
          <w:shd w:val="clear" w:color="auto" w:fill="FFFFFF"/>
          <w:lang w:val="zh-CN"/>
        </w:rPr>
        <w:t>（二）部门预算项目绩效分析，得分</w:t>
      </w:r>
      <w:r>
        <w:rPr>
          <w:rFonts w:hint="eastAsia" w:ascii="仿宋_GB2312" w:hAnsi="仿宋_GB2312" w:eastAsia="仿宋_GB2312" w:cs="仿宋_GB2312"/>
          <w:b/>
          <w:bCs/>
          <w:color w:val="000000"/>
          <w:kern w:val="0"/>
          <w:sz w:val="32"/>
          <w:szCs w:val="32"/>
          <w:highlight w:val="none"/>
          <w:shd w:val="clear" w:color="auto" w:fill="FFFFFF"/>
          <w:lang w:val="en-US" w:eastAsia="zh-CN"/>
        </w:rPr>
        <w:t>32分</w:t>
      </w:r>
      <w:r>
        <w:rPr>
          <w:rFonts w:hint="eastAsia" w:ascii="仿宋_GB2312" w:hAnsi="仿宋_GB2312" w:eastAsia="仿宋_GB2312" w:cs="仿宋_GB2312"/>
          <w:b/>
          <w:bCs/>
          <w:color w:val="000000"/>
          <w:kern w:val="0"/>
          <w:sz w:val="32"/>
          <w:szCs w:val="32"/>
          <w:highlight w:val="none"/>
          <w:shd w:val="clear" w:color="auto" w:fill="FFFFFF"/>
          <w:lang w:val="zh-CN"/>
        </w:rPr>
        <w:t>。</w:t>
      </w:r>
    </w:p>
    <w:p w14:paraId="3B59D1CE">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仿宋_GB2312" w:hAnsi="仿宋_GB2312" w:eastAsia="仿宋_GB2312" w:cs="仿宋_GB2312"/>
          <w:color w:val="000000"/>
          <w:kern w:val="0"/>
          <w:sz w:val="32"/>
          <w:szCs w:val="32"/>
          <w:highlight w:val="none"/>
          <w:shd w:val="clear" w:color="auto" w:fill="FFFFFF"/>
          <w:lang w:val="zh-CN" w:eastAsia="zh-CN"/>
        </w:rPr>
      </w:pPr>
      <w:r>
        <w:rPr>
          <w:rFonts w:hint="eastAsia" w:ascii="仿宋_GB2312" w:hAnsi="仿宋_GB2312" w:eastAsia="仿宋_GB2312" w:cs="仿宋_GB2312"/>
          <w:color w:val="000000"/>
          <w:kern w:val="0"/>
          <w:sz w:val="32"/>
          <w:szCs w:val="32"/>
          <w:highlight w:val="none"/>
          <w:shd w:val="clear" w:color="auto" w:fill="FFFFFF"/>
          <w:lang w:val="en-US" w:eastAsia="zh-CN"/>
        </w:rPr>
        <w:t>常年项目绩效分析。</w:t>
      </w:r>
      <w:r>
        <w:rPr>
          <w:rFonts w:hint="eastAsia" w:ascii="仿宋_GB2312" w:hAnsi="仿宋_GB2312" w:eastAsia="仿宋_GB2312" w:cs="仿宋_GB2312"/>
          <w:color w:val="000000"/>
          <w:kern w:val="0"/>
          <w:sz w:val="32"/>
          <w:szCs w:val="32"/>
          <w:highlight w:val="none"/>
          <w:shd w:val="clear" w:color="auto" w:fill="FFFFFF"/>
          <w:lang w:val="zh-CN" w:eastAsia="zh-CN"/>
        </w:rPr>
        <w:t>该类项目总数</w:t>
      </w:r>
      <w:r>
        <w:rPr>
          <w:rFonts w:hint="eastAsia" w:ascii="仿宋_GB2312" w:hAnsi="仿宋_GB2312" w:eastAsia="仿宋_GB2312" w:cs="仿宋_GB2312"/>
          <w:color w:val="000000"/>
          <w:kern w:val="0"/>
          <w:sz w:val="32"/>
          <w:szCs w:val="32"/>
          <w:highlight w:val="none"/>
          <w:shd w:val="clear" w:color="auto" w:fill="FFFFFF"/>
          <w:lang w:val="en-US" w:eastAsia="zh-CN"/>
        </w:rPr>
        <w:t>0</w:t>
      </w:r>
      <w:r>
        <w:rPr>
          <w:rFonts w:hint="eastAsia" w:ascii="仿宋_GB2312" w:hAnsi="仿宋_GB2312" w:eastAsia="仿宋_GB2312" w:cs="仿宋_GB2312"/>
          <w:color w:val="000000"/>
          <w:kern w:val="0"/>
          <w:sz w:val="32"/>
          <w:szCs w:val="32"/>
          <w:highlight w:val="none"/>
          <w:shd w:val="clear" w:color="auto" w:fill="FFFFFF"/>
          <w:lang w:val="zh-CN" w:eastAsia="zh-CN"/>
        </w:rPr>
        <w:t>个，涉及预算总金额</w:t>
      </w:r>
      <w:r>
        <w:rPr>
          <w:rFonts w:hint="eastAsia" w:ascii="仿宋_GB2312" w:hAnsi="仿宋_GB2312" w:eastAsia="仿宋_GB2312" w:cs="仿宋_GB2312"/>
          <w:color w:val="000000"/>
          <w:kern w:val="0"/>
          <w:sz w:val="32"/>
          <w:szCs w:val="32"/>
          <w:highlight w:val="none"/>
          <w:shd w:val="clear" w:color="auto" w:fill="FFFFFF"/>
          <w:lang w:val="en-US" w:eastAsia="zh-CN"/>
        </w:rPr>
        <w:t xml:space="preserve">   0</w:t>
      </w:r>
      <w:r>
        <w:rPr>
          <w:rFonts w:hint="eastAsia" w:ascii="仿宋_GB2312" w:hAnsi="仿宋_GB2312" w:eastAsia="仿宋_GB2312" w:cs="仿宋_GB2312"/>
          <w:color w:val="000000"/>
          <w:kern w:val="0"/>
          <w:sz w:val="32"/>
          <w:szCs w:val="32"/>
          <w:highlight w:val="none"/>
          <w:shd w:val="clear" w:color="auto" w:fill="FFFFFF"/>
          <w:lang w:val="zh-CN" w:eastAsia="zh-CN"/>
        </w:rPr>
        <w:t>万元。</w:t>
      </w:r>
    </w:p>
    <w:p w14:paraId="5EC84931">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仿宋_GB2312" w:hAnsi="仿宋_GB2312" w:eastAsia="仿宋_GB2312" w:cs="仿宋_GB2312"/>
          <w:color w:val="auto"/>
          <w:kern w:val="0"/>
          <w:sz w:val="32"/>
          <w:szCs w:val="32"/>
          <w:highlight w:val="none"/>
          <w:shd w:val="clear" w:color="auto" w:fill="FFFFFF"/>
          <w:lang w:val="zh-CN" w:eastAsia="zh-CN"/>
        </w:rPr>
      </w:pPr>
      <w:r>
        <w:rPr>
          <w:rFonts w:hint="eastAsia" w:ascii="仿宋_GB2312" w:hAnsi="仿宋_GB2312" w:eastAsia="仿宋_GB2312" w:cs="仿宋_GB2312"/>
          <w:color w:val="auto"/>
          <w:kern w:val="0"/>
          <w:sz w:val="32"/>
          <w:szCs w:val="32"/>
          <w:highlight w:val="none"/>
          <w:shd w:val="clear" w:color="auto" w:fill="FFFFFF"/>
          <w:lang w:val="en-US" w:eastAsia="zh-CN"/>
        </w:rPr>
        <w:t>阶段（含一次性）项目绩效分析。</w:t>
      </w:r>
      <w:r>
        <w:rPr>
          <w:rFonts w:hint="eastAsia" w:ascii="仿宋_GB2312" w:hAnsi="仿宋_GB2312" w:eastAsia="仿宋_GB2312" w:cs="仿宋_GB2312"/>
          <w:color w:val="auto"/>
          <w:kern w:val="0"/>
          <w:sz w:val="32"/>
          <w:szCs w:val="32"/>
          <w:highlight w:val="none"/>
          <w:shd w:val="clear" w:color="auto" w:fill="FFFFFF"/>
          <w:lang w:val="zh-CN" w:eastAsia="zh-CN"/>
        </w:rPr>
        <w:t>该类项目总数</w:t>
      </w:r>
      <w:r>
        <w:rPr>
          <w:rFonts w:hint="eastAsia" w:ascii="仿宋_GB2312" w:hAnsi="仿宋_GB2312" w:eastAsia="仿宋_GB2312" w:cs="仿宋_GB2312"/>
          <w:color w:val="auto"/>
          <w:kern w:val="0"/>
          <w:sz w:val="32"/>
          <w:szCs w:val="32"/>
          <w:highlight w:val="none"/>
          <w:shd w:val="clear" w:color="auto" w:fill="FFFFFF"/>
          <w:lang w:val="en-US" w:eastAsia="zh-CN"/>
        </w:rPr>
        <w:t>2</w:t>
      </w:r>
      <w:r>
        <w:rPr>
          <w:rFonts w:hint="eastAsia" w:ascii="仿宋_GB2312" w:hAnsi="仿宋_GB2312" w:eastAsia="仿宋_GB2312" w:cs="仿宋_GB2312"/>
          <w:color w:val="auto"/>
          <w:kern w:val="0"/>
          <w:sz w:val="32"/>
          <w:szCs w:val="32"/>
          <w:highlight w:val="none"/>
          <w:shd w:val="clear" w:color="auto" w:fill="FFFFFF"/>
          <w:lang w:val="zh-CN" w:eastAsia="zh-CN"/>
        </w:rPr>
        <w:t>个，涉及预算总金额</w:t>
      </w:r>
      <w:r>
        <w:rPr>
          <w:rFonts w:hint="eastAsia" w:ascii="仿宋_GB2312" w:hAnsi="仿宋_GB2312" w:eastAsia="仿宋_GB2312" w:cs="仿宋_GB2312"/>
          <w:color w:val="auto"/>
          <w:kern w:val="0"/>
          <w:sz w:val="32"/>
          <w:szCs w:val="32"/>
          <w:highlight w:val="none"/>
          <w:shd w:val="clear" w:color="auto" w:fill="FFFFFF"/>
          <w:lang w:val="en-US" w:eastAsia="zh-CN"/>
        </w:rPr>
        <w:t>7.7</w:t>
      </w:r>
      <w:r>
        <w:rPr>
          <w:rFonts w:hint="eastAsia" w:ascii="仿宋_GB2312" w:hAnsi="仿宋_GB2312" w:eastAsia="仿宋_GB2312" w:cs="仿宋_GB2312"/>
          <w:color w:val="auto"/>
          <w:kern w:val="0"/>
          <w:sz w:val="32"/>
          <w:szCs w:val="32"/>
          <w:highlight w:val="none"/>
          <w:shd w:val="clear" w:color="auto" w:fill="FFFFFF"/>
          <w:lang w:val="zh-CN" w:eastAsia="zh-CN"/>
        </w:rPr>
        <w:t>万元，</w:t>
      </w:r>
      <w:r>
        <w:rPr>
          <w:rFonts w:hint="eastAsia" w:ascii="仿宋_GB2312" w:hAnsi="仿宋_GB2312" w:eastAsia="仿宋_GB2312" w:cs="仿宋_GB2312"/>
          <w:color w:val="auto"/>
          <w:kern w:val="0"/>
          <w:sz w:val="32"/>
          <w:szCs w:val="32"/>
          <w:highlight w:val="none"/>
          <w:shd w:val="clear" w:color="auto" w:fill="FFFFFF"/>
          <w:lang w:val="zh-CN"/>
        </w:rPr>
        <w:t>1</w:t>
      </w:r>
      <w:r>
        <w:rPr>
          <w:rFonts w:hint="eastAsia" w:ascii="仿宋_GB2312" w:hAnsi="仿宋_GB2312" w:eastAsia="仿宋_GB2312" w:cs="仿宋_GB2312"/>
          <w:color w:val="auto"/>
          <w:kern w:val="0"/>
          <w:sz w:val="32"/>
          <w:szCs w:val="32"/>
          <w:highlight w:val="none"/>
          <w:shd w:val="clear" w:color="auto" w:fill="FFFFFF"/>
          <w:lang w:val="zh-CN" w:eastAsia="zh-CN"/>
        </w:rPr>
        <w:t>—</w:t>
      </w:r>
      <w:r>
        <w:rPr>
          <w:rFonts w:hint="eastAsia" w:ascii="仿宋_GB2312" w:hAnsi="仿宋_GB2312" w:eastAsia="仿宋_GB2312" w:cs="仿宋_GB2312"/>
          <w:color w:val="auto"/>
          <w:kern w:val="0"/>
          <w:sz w:val="32"/>
          <w:szCs w:val="32"/>
          <w:highlight w:val="none"/>
          <w:shd w:val="clear" w:color="auto" w:fill="FFFFFF"/>
          <w:lang w:val="zh-CN"/>
        </w:rPr>
        <w:t>1</w:t>
      </w:r>
      <w:r>
        <w:rPr>
          <w:rFonts w:hint="eastAsia" w:ascii="仿宋_GB2312" w:hAnsi="仿宋_GB2312" w:eastAsia="仿宋_GB2312" w:cs="仿宋_GB2312"/>
          <w:color w:val="auto"/>
          <w:kern w:val="0"/>
          <w:sz w:val="32"/>
          <w:szCs w:val="32"/>
          <w:highlight w:val="none"/>
          <w:shd w:val="clear" w:color="auto" w:fill="FFFFFF"/>
          <w:lang w:val="en-US" w:eastAsia="zh-CN"/>
        </w:rPr>
        <w:t>2</w:t>
      </w:r>
      <w:r>
        <w:rPr>
          <w:rFonts w:hint="eastAsia" w:ascii="仿宋_GB2312" w:hAnsi="仿宋_GB2312" w:eastAsia="仿宋_GB2312" w:cs="仿宋_GB2312"/>
          <w:color w:val="auto"/>
          <w:kern w:val="0"/>
          <w:sz w:val="32"/>
          <w:szCs w:val="32"/>
          <w:highlight w:val="none"/>
          <w:shd w:val="clear" w:color="auto" w:fill="FFFFFF"/>
          <w:lang w:val="zh-CN"/>
        </w:rPr>
        <w:t>月预算执行总体进度为</w:t>
      </w:r>
      <w:r>
        <w:rPr>
          <w:rFonts w:hint="eastAsia" w:ascii="仿宋_GB2312" w:hAnsi="仿宋_GB2312" w:eastAsia="仿宋_GB2312" w:cs="仿宋_GB2312"/>
          <w:color w:val="auto"/>
          <w:kern w:val="0"/>
          <w:sz w:val="32"/>
          <w:szCs w:val="32"/>
          <w:highlight w:val="none"/>
          <w:shd w:val="clear" w:color="auto" w:fill="FFFFFF"/>
          <w:lang w:val="en-US" w:eastAsia="zh-CN"/>
        </w:rPr>
        <w:t>91.43</w:t>
      </w:r>
      <w:r>
        <w:rPr>
          <w:rFonts w:hint="eastAsia" w:ascii="仿宋_GB2312" w:hAnsi="仿宋_GB2312" w:eastAsia="仿宋_GB2312" w:cs="仿宋_GB2312"/>
          <w:color w:val="auto"/>
          <w:kern w:val="0"/>
          <w:sz w:val="32"/>
          <w:szCs w:val="32"/>
          <w:highlight w:val="none"/>
          <w:shd w:val="clear" w:color="auto" w:fill="FFFFFF"/>
          <w:lang w:val="zh-CN"/>
        </w:rPr>
        <w:t>%，其中：</w:t>
      </w:r>
      <w:r>
        <w:rPr>
          <w:rFonts w:hint="eastAsia" w:ascii="仿宋_GB2312" w:hAnsi="仿宋_GB2312" w:eastAsia="仿宋_GB2312" w:cs="仿宋_GB2312"/>
          <w:color w:val="auto"/>
          <w:kern w:val="0"/>
          <w:sz w:val="32"/>
          <w:szCs w:val="32"/>
          <w:highlight w:val="none"/>
          <w:shd w:val="clear" w:color="auto" w:fill="FFFFFF"/>
          <w:lang w:val="zh-CN" w:eastAsia="zh-CN"/>
        </w:rPr>
        <w:t>预算结余率大于</w:t>
      </w:r>
      <w:r>
        <w:rPr>
          <w:rFonts w:hint="eastAsia" w:ascii="仿宋_GB2312" w:hAnsi="仿宋_GB2312" w:eastAsia="仿宋_GB2312" w:cs="仿宋_GB2312"/>
          <w:color w:val="auto"/>
          <w:kern w:val="0"/>
          <w:sz w:val="32"/>
          <w:szCs w:val="32"/>
          <w:highlight w:val="none"/>
          <w:shd w:val="clear" w:color="auto" w:fill="FFFFFF"/>
          <w:lang w:val="en-US" w:eastAsia="zh-CN"/>
        </w:rPr>
        <w:t>10%</w:t>
      </w:r>
      <w:r>
        <w:rPr>
          <w:rFonts w:hint="eastAsia" w:ascii="仿宋_GB2312" w:hAnsi="仿宋_GB2312" w:eastAsia="仿宋_GB2312" w:cs="仿宋_GB2312"/>
          <w:color w:val="auto"/>
          <w:kern w:val="0"/>
          <w:sz w:val="32"/>
          <w:szCs w:val="32"/>
          <w:highlight w:val="none"/>
          <w:shd w:val="clear" w:color="auto" w:fill="FFFFFF"/>
          <w:lang w:val="zh-CN" w:eastAsia="zh-CN"/>
        </w:rPr>
        <w:t>的项目共计</w:t>
      </w:r>
      <w:r>
        <w:rPr>
          <w:rFonts w:hint="eastAsia" w:ascii="仿宋_GB2312" w:hAnsi="仿宋_GB2312" w:eastAsia="仿宋_GB2312" w:cs="仿宋_GB2312"/>
          <w:color w:val="auto"/>
          <w:kern w:val="0"/>
          <w:sz w:val="32"/>
          <w:szCs w:val="32"/>
          <w:highlight w:val="none"/>
          <w:shd w:val="clear" w:color="auto" w:fill="FFFFFF"/>
          <w:lang w:val="en-US" w:eastAsia="zh-CN"/>
        </w:rPr>
        <w:t>1</w:t>
      </w:r>
      <w:r>
        <w:rPr>
          <w:rFonts w:hint="eastAsia" w:ascii="仿宋_GB2312" w:hAnsi="仿宋_GB2312" w:eastAsia="仿宋_GB2312" w:cs="仿宋_GB2312"/>
          <w:color w:val="auto"/>
          <w:kern w:val="0"/>
          <w:sz w:val="32"/>
          <w:szCs w:val="32"/>
          <w:highlight w:val="none"/>
          <w:shd w:val="clear" w:color="auto" w:fill="FFFFFF"/>
          <w:lang w:val="zh-CN" w:eastAsia="zh-CN"/>
        </w:rPr>
        <w:t>个。</w:t>
      </w:r>
    </w:p>
    <w:p w14:paraId="454EAFA9">
      <w:pPr>
        <w:keepNext w:val="0"/>
        <w:keepLines w:val="0"/>
        <w:pageBreakBefore w:val="0"/>
        <w:widowControl w:val="0"/>
        <w:numPr>
          <w:ilvl w:val="0"/>
          <w:numId w:val="4"/>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仿宋_GB2312" w:hAnsi="仿宋_GB2312" w:eastAsia="仿宋_GB2312" w:cs="仿宋_GB2312"/>
          <w:color w:val="000000"/>
          <w:kern w:val="0"/>
          <w:sz w:val="32"/>
          <w:szCs w:val="32"/>
          <w:highlight w:val="none"/>
          <w:shd w:val="clear" w:color="auto" w:fill="FFFFFF"/>
          <w:lang w:val="zh-CN"/>
        </w:rPr>
      </w:pPr>
      <w:r>
        <w:rPr>
          <w:rFonts w:hint="eastAsia" w:ascii="仿宋_GB2312" w:hAnsi="仿宋_GB2312" w:eastAsia="仿宋_GB2312" w:cs="仿宋_GB2312"/>
          <w:color w:val="000000"/>
          <w:kern w:val="0"/>
          <w:sz w:val="32"/>
          <w:szCs w:val="32"/>
          <w:highlight w:val="none"/>
          <w:shd w:val="clear" w:color="auto" w:fill="FFFFFF"/>
          <w:lang w:val="zh-CN"/>
        </w:rPr>
        <w:t>项目决策，得分</w:t>
      </w:r>
      <w:r>
        <w:rPr>
          <w:rFonts w:hint="eastAsia" w:ascii="仿宋_GB2312" w:hAnsi="仿宋_GB2312" w:eastAsia="仿宋_GB2312" w:cs="仿宋_GB2312"/>
          <w:color w:val="000000"/>
          <w:kern w:val="0"/>
          <w:sz w:val="32"/>
          <w:szCs w:val="32"/>
          <w:highlight w:val="none"/>
          <w:shd w:val="clear" w:color="auto" w:fill="FFFFFF"/>
          <w:lang w:val="en-US" w:eastAsia="zh-CN"/>
        </w:rPr>
        <w:t>12分。</w:t>
      </w:r>
    </w:p>
    <w:p w14:paraId="7D60696E">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320" w:firstLineChars="100"/>
        <w:contextualSpacing/>
        <w:jc w:val="left"/>
        <w:textAlignment w:val="auto"/>
        <w:outlineLvl w:val="9"/>
        <w:rPr>
          <w:rFonts w:hint="eastAsia" w:ascii="仿宋_GB2312" w:hAnsi="仿宋_GB2312" w:eastAsia="仿宋_GB2312" w:cs="仿宋_GB2312"/>
          <w:color w:val="000000"/>
          <w:kern w:val="0"/>
          <w:sz w:val="32"/>
          <w:szCs w:val="32"/>
          <w:highlight w:val="none"/>
          <w:shd w:val="clear" w:color="auto" w:fill="FFFFFF"/>
          <w:lang w:val="en-US" w:eastAsia="zh-CN"/>
        </w:rPr>
      </w:pPr>
      <w:r>
        <w:rPr>
          <w:rFonts w:hint="eastAsia" w:ascii="仿宋_GB2312" w:hAnsi="仿宋_GB2312" w:eastAsia="仿宋_GB2312" w:cs="仿宋_GB2312"/>
          <w:color w:val="000000"/>
          <w:kern w:val="0"/>
          <w:sz w:val="32"/>
          <w:szCs w:val="32"/>
          <w:highlight w:val="none"/>
          <w:shd w:val="clear" w:color="auto" w:fill="FFFFFF"/>
          <w:lang w:val="zh-CN"/>
        </w:rPr>
        <w:t>决策程序：部门预算项目设立按规定履行评估论证、申报程序，得分</w:t>
      </w:r>
      <w:r>
        <w:rPr>
          <w:rFonts w:hint="eastAsia" w:ascii="仿宋_GB2312" w:hAnsi="仿宋_GB2312" w:eastAsia="仿宋_GB2312" w:cs="仿宋_GB2312"/>
          <w:color w:val="000000"/>
          <w:kern w:val="0"/>
          <w:sz w:val="32"/>
          <w:szCs w:val="32"/>
          <w:highlight w:val="none"/>
          <w:shd w:val="clear" w:color="auto" w:fill="FFFFFF"/>
          <w:lang w:val="en-US" w:eastAsia="zh-CN"/>
        </w:rPr>
        <w:t>4分。</w:t>
      </w:r>
    </w:p>
    <w:p w14:paraId="0ABFA3FB">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320" w:firstLineChars="100"/>
        <w:contextualSpacing/>
        <w:jc w:val="left"/>
        <w:textAlignment w:val="auto"/>
        <w:outlineLvl w:val="9"/>
        <w:rPr>
          <w:rFonts w:hint="eastAsia" w:ascii="仿宋_GB2312" w:hAnsi="仿宋_GB2312" w:eastAsia="仿宋_GB2312" w:cs="仿宋_GB2312"/>
          <w:color w:val="000000"/>
          <w:kern w:val="0"/>
          <w:sz w:val="32"/>
          <w:szCs w:val="32"/>
          <w:highlight w:val="none"/>
          <w:shd w:val="clear" w:color="auto" w:fill="FFFFFF"/>
          <w:lang w:val="zh-CN"/>
        </w:rPr>
      </w:pPr>
      <w:r>
        <w:rPr>
          <w:rFonts w:hint="eastAsia" w:ascii="仿宋_GB2312" w:hAnsi="仿宋_GB2312" w:eastAsia="仿宋_GB2312" w:cs="仿宋_GB2312"/>
          <w:color w:val="000000"/>
          <w:kern w:val="0"/>
          <w:sz w:val="32"/>
          <w:szCs w:val="32"/>
          <w:highlight w:val="none"/>
          <w:shd w:val="clear" w:color="auto" w:fill="FFFFFF"/>
          <w:lang w:val="zh-CN"/>
        </w:rPr>
        <w:t>目标设置：绩效目标设置科学合理、规范完整、量化细化、预算匹配，得分</w:t>
      </w:r>
      <w:r>
        <w:rPr>
          <w:rFonts w:hint="eastAsia" w:ascii="仿宋_GB2312" w:hAnsi="仿宋_GB2312" w:eastAsia="仿宋_GB2312" w:cs="仿宋_GB2312"/>
          <w:color w:val="000000"/>
          <w:kern w:val="0"/>
          <w:sz w:val="32"/>
          <w:szCs w:val="32"/>
          <w:highlight w:val="none"/>
          <w:shd w:val="clear" w:color="auto" w:fill="FFFFFF"/>
          <w:lang w:val="en-US" w:eastAsia="zh-CN"/>
        </w:rPr>
        <w:t>4分。</w:t>
      </w:r>
    </w:p>
    <w:p w14:paraId="148912C3">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320" w:firstLineChars="100"/>
        <w:contextualSpacing/>
        <w:jc w:val="left"/>
        <w:textAlignment w:val="auto"/>
        <w:outlineLvl w:val="9"/>
        <w:rPr>
          <w:rFonts w:hint="eastAsia" w:ascii="仿宋_GB2312" w:hAnsi="仿宋_GB2312" w:eastAsia="仿宋_GB2312" w:cs="仿宋_GB2312"/>
          <w:color w:val="000000"/>
          <w:kern w:val="0"/>
          <w:sz w:val="32"/>
          <w:szCs w:val="32"/>
          <w:highlight w:val="none"/>
          <w:shd w:val="clear" w:color="auto" w:fill="FFFFFF"/>
          <w:lang w:val="zh-CN" w:eastAsia="zh-CN"/>
        </w:rPr>
      </w:pPr>
      <w:r>
        <w:rPr>
          <w:rFonts w:hint="eastAsia" w:ascii="仿宋_GB2312" w:hAnsi="仿宋_GB2312" w:eastAsia="仿宋_GB2312" w:cs="仿宋_GB2312"/>
          <w:color w:val="000000"/>
          <w:kern w:val="0"/>
          <w:sz w:val="32"/>
          <w:szCs w:val="32"/>
          <w:highlight w:val="none"/>
          <w:shd w:val="clear" w:color="auto" w:fill="FFFFFF"/>
          <w:lang w:val="zh-CN"/>
        </w:rPr>
        <w:t>项目入库：部门预算项目在规定时间完成项目入库，得分</w:t>
      </w:r>
      <w:r>
        <w:rPr>
          <w:rFonts w:hint="eastAsia" w:ascii="仿宋_GB2312" w:hAnsi="仿宋_GB2312" w:eastAsia="仿宋_GB2312" w:cs="仿宋_GB2312"/>
          <w:color w:val="000000"/>
          <w:kern w:val="0"/>
          <w:sz w:val="32"/>
          <w:szCs w:val="32"/>
          <w:highlight w:val="none"/>
          <w:shd w:val="clear" w:color="auto" w:fill="FFFFFF"/>
          <w:lang w:val="en-US" w:eastAsia="zh-CN"/>
        </w:rPr>
        <w:t>4分。</w:t>
      </w:r>
    </w:p>
    <w:p w14:paraId="17A9430C">
      <w:pPr>
        <w:keepNext w:val="0"/>
        <w:keepLines w:val="0"/>
        <w:pageBreakBefore w:val="0"/>
        <w:widowControl w:val="0"/>
        <w:numPr>
          <w:ilvl w:val="0"/>
          <w:numId w:val="4"/>
        </w:numPr>
        <w:kinsoku/>
        <w:wordWrap/>
        <w:overflowPunct/>
        <w:topLinePunct w:val="0"/>
        <w:autoSpaceDE/>
        <w:autoSpaceDN/>
        <w:bidi w:val="0"/>
        <w:adjustRightInd w:val="0"/>
        <w:snapToGrid w:val="0"/>
        <w:spacing w:line="578" w:lineRule="exact"/>
        <w:ind w:left="0" w:leftChars="0" w:firstLine="640" w:firstLineChars="200"/>
        <w:contextualSpacing/>
        <w:jc w:val="left"/>
        <w:textAlignment w:val="auto"/>
        <w:outlineLvl w:val="9"/>
        <w:rPr>
          <w:rFonts w:hint="eastAsia" w:ascii="仿宋_GB2312" w:hAnsi="仿宋_GB2312" w:eastAsia="仿宋_GB2312" w:cs="仿宋_GB2312"/>
          <w:color w:val="000000"/>
          <w:kern w:val="0"/>
          <w:sz w:val="32"/>
          <w:szCs w:val="32"/>
          <w:highlight w:val="none"/>
          <w:shd w:val="clear" w:color="auto" w:fill="FFFFFF"/>
          <w:lang w:val="zh-CN"/>
        </w:rPr>
      </w:pPr>
      <w:r>
        <w:rPr>
          <w:rFonts w:hint="eastAsia" w:ascii="仿宋_GB2312" w:hAnsi="仿宋_GB2312" w:eastAsia="仿宋_GB2312" w:cs="仿宋_GB2312"/>
          <w:color w:val="000000"/>
          <w:kern w:val="0"/>
          <w:sz w:val="32"/>
          <w:szCs w:val="32"/>
          <w:highlight w:val="none"/>
          <w:shd w:val="clear" w:color="auto" w:fill="FFFFFF"/>
          <w:lang w:val="en-US" w:eastAsia="zh-CN"/>
        </w:rPr>
        <w:t>项目执行，</w:t>
      </w:r>
      <w:r>
        <w:rPr>
          <w:rFonts w:hint="eastAsia" w:ascii="仿宋_GB2312" w:hAnsi="仿宋_GB2312" w:eastAsia="仿宋_GB2312" w:cs="仿宋_GB2312"/>
          <w:color w:val="000000"/>
          <w:kern w:val="0"/>
          <w:sz w:val="32"/>
          <w:szCs w:val="32"/>
          <w:highlight w:val="none"/>
          <w:shd w:val="clear" w:color="auto" w:fill="FFFFFF"/>
          <w:lang w:val="zh-CN"/>
        </w:rPr>
        <w:t>得分</w:t>
      </w:r>
      <w:r>
        <w:rPr>
          <w:rFonts w:hint="eastAsia" w:ascii="仿宋_GB2312" w:hAnsi="仿宋_GB2312" w:eastAsia="仿宋_GB2312" w:cs="仿宋_GB2312"/>
          <w:color w:val="000000"/>
          <w:kern w:val="0"/>
          <w:sz w:val="32"/>
          <w:szCs w:val="32"/>
          <w:highlight w:val="none"/>
          <w:shd w:val="clear" w:color="auto" w:fill="FFFFFF"/>
          <w:lang w:val="en-US" w:eastAsia="zh-CN"/>
        </w:rPr>
        <w:t>9分。</w:t>
      </w:r>
    </w:p>
    <w:p w14:paraId="0A5E9043">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leftChars="200"/>
        <w:contextualSpacing/>
        <w:jc w:val="left"/>
        <w:textAlignment w:val="auto"/>
        <w:outlineLvl w:val="9"/>
        <w:rPr>
          <w:rFonts w:hint="eastAsia" w:ascii="仿宋_GB2312" w:hAnsi="仿宋_GB2312" w:eastAsia="仿宋_GB2312" w:cs="仿宋_GB2312"/>
          <w:color w:val="000000"/>
          <w:kern w:val="0"/>
          <w:sz w:val="32"/>
          <w:szCs w:val="32"/>
          <w:highlight w:val="none"/>
          <w:shd w:val="clear" w:color="auto" w:fill="FFFFFF"/>
          <w:lang w:val="zh-CN"/>
        </w:rPr>
      </w:pPr>
      <w:r>
        <w:rPr>
          <w:rFonts w:hint="eastAsia" w:ascii="仿宋_GB2312" w:hAnsi="仿宋_GB2312" w:eastAsia="仿宋_GB2312" w:cs="仿宋_GB2312"/>
          <w:color w:val="000000"/>
          <w:kern w:val="0"/>
          <w:sz w:val="32"/>
          <w:szCs w:val="32"/>
          <w:highlight w:val="none"/>
          <w:shd w:val="clear" w:color="auto" w:fill="FFFFFF"/>
          <w:lang w:val="zh-CN"/>
        </w:rPr>
        <w:t>执行同向：部门预算项目实际列支内容与绩效目标设置方向相符，得分</w:t>
      </w:r>
      <w:r>
        <w:rPr>
          <w:rFonts w:hint="eastAsia" w:ascii="仿宋_GB2312" w:hAnsi="仿宋_GB2312" w:eastAsia="仿宋_GB2312" w:cs="仿宋_GB2312"/>
          <w:color w:val="000000"/>
          <w:kern w:val="0"/>
          <w:sz w:val="32"/>
          <w:szCs w:val="32"/>
          <w:highlight w:val="none"/>
          <w:shd w:val="clear" w:color="auto" w:fill="FFFFFF"/>
          <w:lang w:val="en-US" w:eastAsia="zh-CN"/>
        </w:rPr>
        <w:t>4分。</w:t>
      </w:r>
    </w:p>
    <w:p w14:paraId="423CC750">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leftChars="200"/>
        <w:contextualSpacing/>
        <w:jc w:val="left"/>
        <w:textAlignment w:val="auto"/>
        <w:outlineLvl w:val="9"/>
        <w:rPr>
          <w:rFonts w:hint="eastAsia" w:ascii="仿宋_GB2312" w:hAnsi="仿宋_GB2312" w:eastAsia="仿宋_GB2312" w:cs="仿宋_GB2312"/>
          <w:color w:val="000000"/>
          <w:kern w:val="0"/>
          <w:sz w:val="32"/>
          <w:szCs w:val="32"/>
          <w:highlight w:val="none"/>
          <w:shd w:val="clear" w:color="auto" w:fill="FFFFFF"/>
          <w:lang w:val="zh-CN"/>
        </w:rPr>
      </w:pPr>
      <w:r>
        <w:rPr>
          <w:rFonts w:hint="eastAsia" w:ascii="仿宋_GB2312" w:hAnsi="仿宋_GB2312" w:eastAsia="仿宋_GB2312" w:cs="仿宋_GB2312"/>
          <w:color w:val="000000"/>
          <w:kern w:val="0"/>
          <w:sz w:val="32"/>
          <w:szCs w:val="32"/>
          <w:highlight w:val="none"/>
          <w:shd w:val="clear" w:color="auto" w:fill="FFFFFF"/>
          <w:lang w:val="zh-CN"/>
        </w:rPr>
        <w:t>项目调整：部门预算项目采取对应调整措施，配得分</w:t>
      </w:r>
      <w:r>
        <w:rPr>
          <w:rFonts w:hint="eastAsia" w:ascii="仿宋_GB2312" w:hAnsi="仿宋_GB2312" w:eastAsia="仿宋_GB2312" w:cs="仿宋_GB2312"/>
          <w:color w:val="000000"/>
          <w:kern w:val="0"/>
          <w:sz w:val="32"/>
          <w:szCs w:val="32"/>
          <w:highlight w:val="none"/>
          <w:shd w:val="clear" w:color="auto" w:fill="FFFFFF"/>
          <w:lang w:val="en-US" w:eastAsia="zh-CN"/>
        </w:rPr>
        <w:t>4分。</w:t>
      </w:r>
    </w:p>
    <w:p w14:paraId="4E9B37B8">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leftChars="200"/>
        <w:contextualSpacing/>
        <w:jc w:val="left"/>
        <w:textAlignment w:val="auto"/>
        <w:outlineLvl w:val="9"/>
        <w:rPr>
          <w:rFonts w:hint="eastAsia" w:ascii="仿宋_GB2312" w:hAnsi="仿宋_GB2312" w:eastAsia="仿宋_GB2312" w:cs="仿宋_GB2312"/>
          <w:color w:val="000000"/>
          <w:kern w:val="0"/>
          <w:sz w:val="32"/>
          <w:szCs w:val="32"/>
          <w:highlight w:val="none"/>
          <w:shd w:val="clear" w:color="auto" w:fill="FFFFFF"/>
          <w:lang w:val="zh-CN"/>
        </w:rPr>
      </w:pPr>
      <w:r>
        <w:rPr>
          <w:rFonts w:hint="eastAsia" w:ascii="仿宋_GB2312" w:hAnsi="仿宋_GB2312" w:eastAsia="仿宋_GB2312" w:cs="仿宋_GB2312"/>
          <w:color w:val="000000"/>
          <w:kern w:val="0"/>
          <w:sz w:val="32"/>
          <w:szCs w:val="32"/>
          <w:highlight w:val="none"/>
          <w:shd w:val="clear" w:color="auto" w:fill="FFFFFF"/>
          <w:lang w:val="zh-CN"/>
        </w:rPr>
        <w:t>执行结果：得分</w:t>
      </w:r>
      <w:r>
        <w:rPr>
          <w:rFonts w:hint="eastAsia" w:ascii="仿宋_GB2312" w:hAnsi="仿宋_GB2312" w:eastAsia="仿宋_GB2312" w:cs="仿宋_GB2312"/>
          <w:color w:val="000000"/>
          <w:kern w:val="0"/>
          <w:sz w:val="32"/>
          <w:szCs w:val="32"/>
          <w:highlight w:val="none"/>
          <w:shd w:val="clear" w:color="auto" w:fill="FFFFFF"/>
          <w:lang w:val="en-US" w:eastAsia="zh-CN"/>
        </w:rPr>
        <w:t>1分。</w:t>
      </w:r>
    </w:p>
    <w:p w14:paraId="548136CE">
      <w:pPr>
        <w:keepNext w:val="0"/>
        <w:keepLines w:val="0"/>
        <w:pageBreakBefore w:val="0"/>
        <w:widowControl w:val="0"/>
        <w:numPr>
          <w:ilvl w:val="0"/>
          <w:numId w:val="4"/>
        </w:numPr>
        <w:kinsoku/>
        <w:wordWrap/>
        <w:overflowPunct/>
        <w:topLinePunct w:val="0"/>
        <w:autoSpaceDE/>
        <w:autoSpaceDN/>
        <w:bidi w:val="0"/>
        <w:adjustRightInd w:val="0"/>
        <w:snapToGrid w:val="0"/>
        <w:spacing w:line="578" w:lineRule="exact"/>
        <w:ind w:left="0" w:leftChars="0" w:firstLine="640" w:firstLineChars="200"/>
        <w:contextualSpacing/>
        <w:jc w:val="left"/>
        <w:textAlignment w:val="auto"/>
        <w:outlineLvl w:val="9"/>
        <w:rPr>
          <w:rFonts w:hint="eastAsia" w:ascii="仿宋_GB2312" w:hAnsi="仿宋_GB2312" w:eastAsia="仿宋_GB2312" w:cs="仿宋_GB2312"/>
          <w:color w:val="000000"/>
          <w:kern w:val="0"/>
          <w:sz w:val="32"/>
          <w:szCs w:val="32"/>
          <w:highlight w:val="none"/>
          <w:shd w:val="clear" w:color="auto" w:fill="FFFFFF"/>
          <w:lang w:val="zh-CN"/>
        </w:rPr>
      </w:pPr>
      <w:r>
        <w:rPr>
          <w:rFonts w:hint="eastAsia" w:ascii="仿宋_GB2312" w:hAnsi="仿宋_GB2312" w:eastAsia="仿宋_GB2312" w:cs="仿宋_GB2312"/>
          <w:color w:val="000000"/>
          <w:kern w:val="0"/>
          <w:sz w:val="32"/>
          <w:szCs w:val="32"/>
          <w:highlight w:val="none"/>
          <w:shd w:val="clear" w:color="auto" w:fill="FFFFFF"/>
          <w:lang w:val="zh-CN"/>
        </w:rPr>
        <w:t>目标实现，得分</w:t>
      </w:r>
      <w:r>
        <w:rPr>
          <w:rFonts w:hint="eastAsia" w:ascii="仿宋_GB2312" w:hAnsi="仿宋_GB2312" w:eastAsia="仿宋_GB2312" w:cs="仿宋_GB2312"/>
          <w:color w:val="000000"/>
          <w:kern w:val="0"/>
          <w:sz w:val="32"/>
          <w:szCs w:val="32"/>
          <w:highlight w:val="none"/>
          <w:shd w:val="clear" w:color="auto" w:fill="FFFFFF"/>
          <w:lang w:val="en-US" w:eastAsia="zh-CN"/>
        </w:rPr>
        <w:t>11分。</w:t>
      </w:r>
    </w:p>
    <w:p w14:paraId="7CB5DCDC">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leftChars="200"/>
        <w:contextualSpacing/>
        <w:jc w:val="left"/>
        <w:textAlignment w:val="auto"/>
        <w:outlineLvl w:val="9"/>
        <w:rPr>
          <w:rFonts w:hint="eastAsia" w:ascii="仿宋_GB2312" w:hAnsi="仿宋_GB2312" w:eastAsia="仿宋_GB2312" w:cs="仿宋_GB2312"/>
          <w:color w:val="000000"/>
          <w:kern w:val="0"/>
          <w:sz w:val="32"/>
          <w:szCs w:val="32"/>
          <w:highlight w:val="none"/>
          <w:shd w:val="clear" w:color="auto" w:fill="FFFFFF"/>
          <w:lang w:val="zh-CN"/>
        </w:rPr>
      </w:pPr>
      <w:r>
        <w:rPr>
          <w:rFonts w:hint="eastAsia" w:ascii="仿宋_GB2312" w:hAnsi="仿宋_GB2312" w:eastAsia="仿宋_GB2312" w:cs="仿宋_GB2312"/>
          <w:color w:val="000000"/>
          <w:kern w:val="0"/>
          <w:sz w:val="32"/>
          <w:szCs w:val="32"/>
          <w:highlight w:val="none"/>
          <w:shd w:val="clear" w:color="auto" w:fill="FFFFFF"/>
          <w:lang w:val="zh-CN"/>
        </w:rPr>
        <w:t>目标完成：部门预算阶段项目均完成绩效目标，得分</w:t>
      </w:r>
      <w:r>
        <w:rPr>
          <w:rFonts w:hint="eastAsia" w:ascii="仿宋_GB2312" w:hAnsi="仿宋_GB2312" w:eastAsia="仿宋_GB2312" w:cs="仿宋_GB2312"/>
          <w:color w:val="000000"/>
          <w:kern w:val="0"/>
          <w:sz w:val="32"/>
          <w:szCs w:val="32"/>
          <w:highlight w:val="none"/>
          <w:shd w:val="clear" w:color="auto" w:fill="FFFFFF"/>
          <w:lang w:val="en-US" w:eastAsia="zh-CN"/>
        </w:rPr>
        <w:t>4分。</w:t>
      </w:r>
    </w:p>
    <w:p w14:paraId="04A8783F">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leftChars="200"/>
        <w:contextualSpacing/>
        <w:jc w:val="left"/>
        <w:textAlignment w:val="auto"/>
        <w:outlineLvl w:val="9"/>
        <w:rPr>
          <w:rFonts w:hint="eastAsia" w:ascii="仿宋_GB2312" w:hAnsi="仿宋_GB2312" w:eastAsia="仿宋_GB2312" w:cs="仿宋_GB2312"/>
          <w:color w:val="000000"/>
          <w:kern w:val="0"/>
          <w:sz w:val="32"/>
          <w:szCs w:val="32"/>
          <w:highlight w:val="none"/>
          <w:shd w:val="clear" w:color="auto" w:fill="FFFFFF"/>
          <w:lang w:val="en-US" w:eastAsia="zh-CN"/>
        </w:rPr>
      </w:pPr>
      <w:r>
        <w:rPr>
          <w:rFonts w:hint="eastAsia" w:ascii="仿宋_GB2312" w:hAnsi="仿宋_GB2312" w:eastAsia="仿宋_GB2312" w:cs="仿宋_GB2312"/>
          <w:color w:val="000000"/>
          <w:kern w:val="0"/>
          <w:sz w:val="32"/>
          <w:szCs w:val="32"/>
          <w:highlight w:val="none"/>
          <w:shd w:val="clear" w:color="auto" w:fill="FFFFFF"/>
          <w:lang w:val="zh-CN"/>
        </w:rPr>
        <w:t>目标偏离：部门预算项目绩效目标数量指标实现程度与预期目标的偏离度在30%内，得分</w:t>
      </w:r>
      <w:r>
        <w:rPr>
          <w:rFonts w:hint="eastAsia" w:ascii="仿宋_GB2312" w:hAnsi="仿宋_GB2312" w:eastAsia="仿宋_GB2312" w:cs="仿宋_GB2312"/>
          <w:color w:val="000000"/>
          <w:kern w:val="0"/>
          <w:sz w:val="32"/>
          <w:szCs w:val="32"/>
          <w:highlight w:val="none"/>
          <w:shd w:val="clear" w:color="auto" w:fill="FFFFFF"/>
          <w:lang w:val="en-US" w:eastAsia="zh-CN"/>
        </w:rPr>
        <w:t>4分。</w:t>
      </w:r>
    </w:p>
    <w:p w14:paraId="67E14162">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leftChars="200"/>
        <w:contextualSpacing/>
        <w:jc w:val="left"/>
        <w:textAlignment w:val="auto"/>
        <w:outlineLvl w:val="9"/>
        <w:rPr>
          <w:rFonts w:hint="eastAsia" w:ascii="仿宋_GB2312" w:hAnsi="仿宋_GB2312" w:eastAsia="仿宋_GB2312" w:cs="仿宋_GB2312"/>
          <w:color w:val="000000"/>
          <w:kern w:val="0"/>
          <w:sz w:val="32"/>
          <w:szCs w:val="32"/>
          <w:highlight w:val="none"/>
          <w:shd w:val="clear" w:color="auto" w:fill="FFFFFF"/>
          <w:lang w:val="zh-CN"/>
        </w:rPr>
      </w:pPr>
      <w:r>
        <w:rPr>
          <w:rFonts w:hint="eastAsia" w:ascii="仿宋_GB2312" w:hAnsi="仿宋_GB2312" w:eastAsia="仿宋_GB2312" w:cs="仿宋_GB2312"/>
          <w:color w:val="000000"/>
          <w:kern w:val="0"/>
          <w:sz w:val="32"/>
          <w:szCs w:val="32"/>
          <w:highlight w:val="none"/>
          <w:shd w:val="clear" w:color="auto" w:fill="FFFFFF"/>
          <w:lang w:val="zh-CN"/>
        </w:rPr>
        <w:t>实现效果：部门预算阶段项目均完成绩效目标效益指标，得分</w:t>
      </w:r>
      <w:r>
        <w:rPr>
          <w:rFonts w:hint="eastAsia" w:ascii="仿宋_GB2312" w:hAnsi="仿宋_GB2312" w:eastAsia="仿宋_GB2312" w:cs="仿宋_GB2312"/>
          <w:color w:val="000000"/>
          <w:kern w:val="0"/>
          <w:sz w:val="32"/>
          <w:szCs w:val="32"/>
          <w:highlight w:val="none"/>
          <w:shd w:val="clear" w:color="auto" w:fill="FFFFFF"/>
          <w:lang w:val="en-US" w:eastAsia="zh-CN"/>
        </w:rPr>
        <w:t>3分。</w:t>
      </w:r>
    </w:p>
    <w:p w14:paraId="4DA480C2">
      <w:pPr>
        <w:pageBreakBefore w:val="0"/>
        <w:kinsoku/>
        <w:wordWrap/>
        <w:overflowPunct/>
        <w:topLinePunct w:val="0"/>
        <w:autoSpaceDE/>
        <w:autoSpaceDN/>
        <w:bidi w:val="0"/>
        <w:adjustRightInd/>
        <w:snapToGrid/>
        <w:spacing w:line="578" w:lineRule="exact"/>
        <w:ind w:firstLine="640" w:firstLineChars="200"/>
        <w:textAlignment w:val="auto"/>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rPr>
        <w:t>省级部门</w:t>
      </w:r>
      <w:r>
        <w:rPr>
          <w:rFonts w:hint="eastAsia" w:ascii="仿宋_GB2312" w:hAnsi="仿宋_GB2312" w:eastAsia="仿宋_GB2312" w:cs="仿宋_GB2312"/>
          <w:sz w:val="32"/>
          <w:szCs w:val="32"/>
          <w:u w:val="none"/>
          <w:lang w:eastAsia="zh-CN"/>
        </w:rPr>
        <w:t>对</w:t>
      </w:r>
      <w:r>
        <w:rPr>
          <w:rFonts w:hint="eastAsia" w:ascii="仿宋_GB2312" w:hAnsi="仿宋_GB2312" w:eastAsia="仿宋_GB2312" w:cs="仿宋_GB2312"/>
          <w:sz w:val="32"/>
          <w:szCs w:val="32"/>
          <w:u w:val="none"/>
          <w:lang w:val="en-US" w:eastAsia="zh-CN"/>
        </w:rPr>
        <w:t>2024年度一般公共预算、政府性基金预算、国有资本经营预算安排的常年项目、阶段项目绩效目标完成情况，以及债券资金、政府购买服务有关情况进行梳理阐述。</w:t>
      </w:r>
    </w:p>
    <w:p w14:paraId="7FF9AEBD">
      <w:pPr>
        <w:pageBreakBefore w:val="0"/>
        <w:kinsoku/>
        <w:wordWrap/>
        <w:overflowPunct/>
        <w:topLinePunct w:val="0"/>
        <w:autoSpaceDE/>
        <w:autoSpaceDN/>
        <w:bidi w:val="0"/>
        <w:adjustRightInd/>
        <w:snapToGrid/>
        <w:spacing w:line="578" w:lineRule="exact"/>
        <w:ind w:firstLine="640" w:firstLineChars="200"/>
        <w:textAlignment w:val="auto"/>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highlight w:val="none"/>
          <w:u w:val="none"/>
          <w:lang w:eastAsia="zh-CN"/>
        </w:rPr>
        <w:t>我单位不涉及。</w:t>
      </w:r>
    </w:p>
    <w:p w14:paraId="6557BD33">
      <w:pPr>
        <w:keepNext w:val="0"/>
        <w:keepLines w:val="0"/>
        <w:pageBreakBefore w:val="0"/>
        <w:widowControl w:val="0"/>
        <w:numPr>
          <w:ilvl w:val="0"/>
          <w:numId w:val="2"/>
        </w:numPr>
        <w:kinsoku/>
        <w:wordWrap/>
        <w:overflowPunct/>
        <w:topLinePunct w:val="0"/>
        <w:autoSpaceDE/>
        <w:autoSpaceDN/>
        <w:bidi w:val="0"/>
        <w:snapToGrid w:val="0"/>
        <w:spacing w:line="600" w:lineRule="exact"/>
        <w:ind w:left="0" w:leftChars="0" w:firstLine="643" w:firstLineChars="200"/>
        <w:textAlignment w:val="auto"/>
        <w:rPr>
          <w:rFonts w:hint="eastAsia" w:ascii="仿宋_GB2312" w:hAnsi="仿宋_GB2312" w:eastAsia="仿宋_GB2312" w:cs="仿宋_GB2312"/>
          <w:color w:val="000000"/>
          <w:kern w:val="0"/>
          <w:sz w:val="32"/>
          <w:szCs w:val="32"/>
          <w:highlight w:val="none"/>
          <w:shd w:val="clear" w:color="auto" w:fill="FFFFFF"/>
          <w:lang w:val="zh-CN" w:eastAsia="zh-CN"/>
        </w:rPr>
      </w:pPr>
      <w:r>
        <w:rPr>
          <w:rFonts w:hint="eastAsia" w:ascii="仿宋_GB2312" w:hAnsi="仿宋_GB2312" w:eastAsia="仿宋_GB2312" w:cs="仿宋_GB2312"/>
          <w:b/>
          <w:bCs/>
          <w:sz w:val="32"/>
          <w:szCs w:val="32"/>
          <w:lang w:val="zh-CN"/>
        </w:rPr>
        <w:t>绩效结果应用情况。</w:t>
      </w:r>
      <w:r>
        <w:rPr>
          <w:rFonts w:hint="eastAsia" w:ascii="仿宋_GB2312" w:hAnsi="仿宋_GB2312" w:eastAsia="仿宋_GB2312" w:cs="仿宋_GB2312"/>
          <w:color w:val="000000"/>
          <w:kern w:val="0"/>
          <w:sz w:val="32"/>
          <w:szCs w:val="32"/>
          <w:highlight w:val="none"/>
          <w:shd w:val="clear" w:color="auto" w:fill="FFFFFF"/>
          <w:lang w:val="zh-CN" w:eastAsia="zh-CN"/>
        </w:rPr>
        <w:t>围绕内部应用情况、信息公开情况、整改反馈情况进行分析。</w:t>
      </w:r>
    </w:p>
    <w:p w14:paraId="65C34E7F">
      <w:pPr>
        <w:keepNext w:val="0"/>
        <w:keepLines w:val="0"/>
        <w:pageBreakBefore w:val="0"/>
        <w:widowControl w:val="0"/>
        <w:numPr>
          <w:ilvl w:val="0"/>
          <w:numId w:val="0"/>
        </w:numPr>
        <w:kinsoku/>
        <w:wordWrap/>
        <w:overflowPunct/>
        <w:topLinePunct w:val="0"/>
        <w:autoSpaceDE/>
        <w:autoSpaceDN/>
        <w:bidi w:val="0"/>
        <w:snapToGrid w:val="0"/>
        <w:spacing w:line="600" w:lineRule="exact"/>
        <w:ind w:firstLine="640" w:firstLineChars="200"/>
        <w:textAlignment w:val="auto"/>
        <w:rPr>
          <w:rFonts w:hint="eastAsia" w:ascii="仿宋_GB2312" w:hAnsi="仿宋_GB2312" w:eastAsia="仿宋_GB2312" w:cs="仿宋_GB2312"/>
          <w:color w:val="000000"/>
          <w:kern w:val="0"/>
          <w:sz w:val="32"/>
          <w:szCs w:val="32"/>
          <w:highlight w:val="none"/>
          <w:shd w:val="clear" w:color="auto" w:fill="FFFFFF"/>
          <w:lang w:val="zh-CN" w:eastAsia="zh-CN"/>
        </w:rPr>
      </w:pPr>
      <w:r>
        <w:rPr>
          <w:rFonts w:hint="eastAsia" w:ascii="仿宋_GB2312" w:hAnsi="仿宋_GB2312" w:eastAsia="仿宋_GB2312" w:cs="仿宋_GB2312"/>
          <w:sz w:val="32"/>
          <w:szCs w:val="32"/>
          <w:highlight w:val="none"/>
          <w:u w:val="none"/>
        </w:rPr>
        <w:t>对</w:t>
      </w:r>
      <w:r>
        <w:rPr>
          <w:rFonts w:hint="eastAsia" w:ascii="仿宋_GB2312" w:hAnsi="仿宋_GB2312" w:eastAsia="仿宋_GB2312" w:cs="仿宋_GB2312"/>
          <w:sz w:val="32"/>
          <w:szCs w:val="32"/>
          <w:highlight w:val="none"/>
          <w:u w:val="none"/>
          <w:lang w:eastAsia="zh-CN"/>
        </w:rPr>
        <w:t>单位</w:t>
      </w:r>
      <w:r>
        <w:rPr>
          <w:rFonts w:hint="eastAsia" w:ascii="仿宋_GB2312" w:hAnsi="仿宋_GB2312" w:eastAsia="仿宋_GB2312" w:cs="仿宋_GB2312"/>
          <w:sz w:val="32"/>
          <w:szCs w:val="32"/>
          <w:highlight w:val="none"/>
          <w:u w:val="none"/>
        </w:rPr>
        <w:t>的日常工作实行绩效考核</w:t>
      </w:r>
      <w:r>
        <w:rPr>
          <w:rFonts w:hint="eastAsia" w:ascii="仿宋_GB2312" w:hAnsi="仿宋_GB2312" w:eastAsia="仿宋_GB2312" w:cs="仿宋_GB2312"/>
          <w:sz w:val="32"/>
          <w:szCs w:val="32"/>
          <w:highlight w:val="none"/>
          <w:u w:val="none"/>
          <w:lang w:eastAsia="zh-CN"/>
        </w:rPr>
        <w:t>，部门绩效目标等报告按时按质予以完成并及时向社会公布，并针对自评表中查找出的问题，给予针对性的整</w:t>
      </w:r>
      <w:r>
        <w:rPr>
          <w:rFonts w:hint="eastAsia" w:ascii="仿宋_GB2312" w:hAnsi="仿宋_GB2312" w:eastAsia="仿宋_GB2312" w:cs="仿宋_GB2312"/>
          <w:sz w:val="32"/>
          <w:szCs w:val="32"/>
          <w:highlight w:val="none"/>
          <w:u w:val="none"/>
          <w:lang w:eastAsia="zh-CN" w:bidi="ar"/>
        </w:rPr>
        <w:t>改。</w:t>
      </w:r>
    </w:p>
    <w:p w14:paraId="4712F3F8">
      <w:pPr>
        <w:keepNext w:val="0"/>
        <w:keepLines w:val="0"/>
        <w:pageBreakBefore w:val="0"/>
        <w:widowControl/>
        <w:kinsoku/>
        <w:wordWrap/>
        <w:overflowPunct/>
        <w:topLinePunct w:val="0"/>
        <w:autoSpaceDE/>
        <w:autoSpaceDN/>
        <w:bidi w:val="0"/>
        <w:adjustRightInd w:val="0"/>
        <w:snapToGrid w:val="0"/>
        <w:spacing w:line="578" w:lineRule="exact"/>
        <w:ind w:firstLine="643" w:firstLineChars="200"/>
        <w:contextualSpacing/>
        <w:jc w:val="left"/>
        <w:textAlignment w:val="auto"/>
        <w:outlineLvl w:val="9"/>
        <w:rPr>
          <w:rFonts w:hint="eastAsia" w:ascii="仿宋_GB2312" w:hAnsi="仿宋_GB2312" w:eastAsia="仿宋_GB2312" w:cs="仿宋_GB2312"/>
          <w:b/>
          <w:bCs/>
          <w:color w:val="000000"/>
          <w:kern w:val="0"/>
          <w:sz w:val="32"/>
          <w:szCs w:val="32"/>
          <w:highlight w:val="none"/>
          <w:shd w:val="clear" w:color="auto" w:fill="FFFFFF"/>
        </w:rPr>
      </w:pPr>
      <w:r>
        <w:rPr>
          <w:rFonts w:hint="eastAsia" w:ascii="仿宋_GB2312" w:hAnsi="仿宋_GB2312" w:eastAsia="仿宋_GB2312" w:cs="仿宋_GB2312"/>
          <w:b/>
          <w:bCs/>
          <w:color w:val="000000"/>
          <w:kern w:val="0"/>
          <w:sz w:val="32"/>
          <w:szCs w:val="32"/>
          <w:highlight w:val="none"/>
          <w:shd w:val="clear" w:color="auto" w:fill="FFFFFF"/>
          <w:lang w:eastAsia="zh-CN"/>
        </w:rPr>
        <w:t>四、</w:t>
      </w:r>
      <w:r>
        <w:rPr>
          <w:rFonts w:hint="eastAsia" w:ascii="仿宋_GB2312" w:hAnsi="仿宋_GB2312" w:eastAsia="仿宋_GB2312" w:cs="仿宋_GB2312"/>
          <w:b/>
          <w:bCs/>
          <w:color w:val="000000"/>
          <w:kern w:val="0"/>
          <w:sz w:val="32"/>
          <w:szCs w:val="32"/>
          <w:highlight w:val="none"/>
          <w:shd w:val="clear" w:color="auto" w:fill="FFFFFF"/>
        </w:rPr>
        <w:t>评价结论及建议</w:t>
      </w:r>
    </w:p>
    <w:p w14:paraId="1B935AA8">
      <w:pPr>
        <w:keepNext w:val="0"/>
        <w:keepLines w:val="0"/>
        <w:pageBreakBefore w:val="0"/>
        <w:widowControl/>
        <w:kinsoku/>
        <w:wordWrap/>
        <w:overflowPunct/>
        <w:topLinePunct w:val="0"/>
        <w:autoSpaceDE/>
        <w:autoSpaceDN/>
        <w:bidi w:val="0"/>
        <w:adjustRightInd w:val="0"/>
        <w:snapToGrid w:val="0"/>
        <w:spacing w:line="578" w:lineRule="exact"/>
        <w:ind w:firstLine="643" w:firstLineChars="200"/>
        <w:contextualSpacing/>
        <w:jc w:val="left"/>
        <w:textAlignment w:val="auto"/>
        <w:outlineLvl w:val="9"/>
        <w:rPr>
          <w:rFonts w:hint="eastAsia" w:ascii="仿宋_GB2312" w:hAnsi="仿宋_GB2312" w:eastAsia="仿宋_GB2312" w:cs="仿宋_GB2312"/>
          <w:b w:val="0"/>
          <w:bCs w:val="0"/>
          <w:kern w:val="0"/>
          <w:position w:val="0"/>
          <w:sz w:val="32"/>
          <w:szCs w:val="32"/>
          <w:highlight w:val="none"/>
          <w:lang w:val="en-US" w:eastAsia="zh-CN" w:bidi="ar-SA"/>
        </w:rPr>
      </w:pPr>
      <w:r>
        <w:rPr>
          <w:rFonts w:hint="eastAsia" w:ascii="仿宋_GB2312" w:hAnsi="仿宋_GB2312" w:eastAsia="仿宋_GB2312" w:cs="仿宋_GB2312"/>
          <w:b/>
          <w:bCs/>
          <w:color w:val="000000"/>
          <w:kern w:val="0"/>
          <w:sz w:val="32"/>
          <w:szCs w:val="32"/>
          <w:highlight w:val="none"/>
          <w:shd w:val="clear" w:color="auto" w:fill="FFFFFF"/>
          <w:lang w:val="zh-CN"/>
        </w:rPr>
        <w:t>（一）评价结论。</w:t>
      </w:r>
      <w:r>
        <w:rPr>
          <w:rFonts w:hint="eastAsia" w:ascii="仿宋_GB2312" w:hAnsi="仿宋_GB2312" w:eastAsia="仿宋_GB2312" w:cs="仿宋_GB2312"/>
          <w:b w:val="0"/>
          <w:bCs w:val="0"/>
          <w:kern w:val="0"/>
          <w:position w:val="0"/>
          <w:sz w:val="32"/>
          <w:szCs w:val="32"/>
          <w:highlight w:val="none"/>
          <w:lang w:val="en-US" w:eastAsia="zh-CN" w:bidi="ar-SA"/>
        </w:rPr>
        <w:t>简要阐述</w:t>
      </w:r>
      <w:r>
        <w:rPr>
          <w:rFonts w:hint="eastAsia" w:ascii="仿宋_GB2312" w:hAnsi="仿宋_GB2312" w:eastAsia="仿宋_GB2312" w:cs="仿宋_GB2312"/>
          <w:b w:val="0"/>
          <w:bCs w:val="0"/>
          <w:w w:val="95"/>
          <w:kern w:val="0"/>
          <w:position w:val="0"/>
          <w:sz w:val="32"/>
          <w:szCs w:val="32"/>
          <w:highlight w:val="none"/>
          <w:lang w:val="en-US" w:eastAsia="zh-CN" w:bidi="ar-SA"/>
        </w:rPr>
        <w:t>部门预算绩效自评</w:t>
      </w:r>
      <w:r>
        <w:rPr>
          <w:rFonts w:hint="eastAsia" w:ascii="仿宋_GB2312" w:hAnsi="仿宋_GB2312" w:eastAsia="仿宋_GB2312" w:cs="仿宋_GB2312"/>
          <w:b w:val="0"/>
          <w:bCs w:val="0"/>
          <w:kern w:val="0"/>
          <w:position w:val="0"/>
          <w:sz w:val="32"/>
          <w:szCs w:val="32"/>
          <w:highlight w:val="none"/>
          <w:lang w:val="en-US" w:eastAsia="zh-CN" w:bidi="ar-SA"/>
        </w:rPr>
        <w:t>总体结论，其中必须包含自评得分。</w:t>
      </w:r>
    </w:p>
    <w:p w14:paraId="621073D9">
      <w:pPr>
        <w:keepNext w:val="0"/>
        <w:keepLines w:val="0"/>
        <w:pageBreakBefore w:val="0"/>
        <w:widowControl/>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仿宋_GB2312" w:hAnsi="仿宋_GB2312" w:eastAsia="仿宋_GB2312" w:cs="仿宋_GB2312"/>
          <w:b w:val="0"/>
          <w:bCs w:val="0"/>
          <w:kern w:val="0"/>
          <w:position w:val="0"/>
          <w:sz w:val="32"/>
          <w:szCs w:val="32"/>
          <w:highlight w:val="none"/>
          <w:lang w:val="en-US" w:eastAsia="zh-CN" w:bidi="ar-SA"/>
        </w:rPr>
      </w:pPr>
      <w:r>
        <w:rPr>
          <w:rFonts w:hint="eastAsia" w:ascii="仿宋_GB2312" w:hAnsi="仿宋_GB2312" w:eastAsia="仿宋_GB2312" w:cs="仿宋_GB2312"/>
          <w:i w:val="0"/>
          <w:iCs w:val="0"/>
          <w:caps w:val="0"/>
          <w:color w:val="333333"/>
          <w:spacing w:val="0"/>
          <w:sz w:val="32"/>
          <w:szCs w:val="32"/>
          <w:shd w:val="clear" w:fill="FFFFFF"/>
          <w:lang w:eastAsia="zh-CN"/>
        </w:rPr>
        <w:t>阿坝州林业和草原科学技术研究所</w:t>
      </w:r>
      <w:r>
        <w:rPr>
          <w:rFonts w:hint="eastAsia" w:ascii="仿宋_GB2312" w:hAnsi="仿宋_GB2312" w:eastAsia="仿宋_GB2312" w:cs="仿宋_GB2312"/>
          <w:i w:val="0"/>
          <w:iCs w:val="0"/>
          <w:caps w:val="0"/>
          <w:color w:val="333333"/>
          <w:spacing w:val="0"/>
          <w:sz w:val="32"/>
          <w:szCs w:val="32"/>
          <w:shd w:val="clear" w:fill="FFFFFF"/>
        </w:rPr>
        <w:t>在履职效能、预算管理</w:t>
      </w:r>
      <w:r>
        <w:rPr>
          <w:rFonts w:hint="eastAsia" w:ascii="仿宋_GB2312" w:hAnsi="仿宋_GB2312" w:eastAsia="仿宋_GB2312" w:cs="仿宋_GB2312"/>
          <w:i w:val="0"/>
          <w:iCs w:val="0"/>
          <w:caps w:val="0"/>
          <w:color w:val="333333"/>
          <w:spacing w:val="0"/>
          <w:sz w:val="32"/>
          <w:szCs w:val="32"/>
          <w:shd w:val="clear" w:fill="FFFFFF"/>
          <w:lang w:eastAsia="zh-CN"/>
        </w:rPr>
        <w:t>、财务管理、资产管理、项目决策</w:t>
      </w:r>
      <w:r>
        <w:rPr>
          <w:rFonts w:hint="eastAsia" w:ascii="仿宋_GB2312" w:hAnsi="仿宋_GB2312" w:eastAsia="仿宋_GB2312" w:cs="仿宋_GB2312"/>
          <w:i w:val="0"/>
          <w:iCs w:val="0"/>
          <w:caps w:val="0"/>
          <w:color w:val="333333"/>
          <w:spacing w:val="0"/>
          <w:sz w:val="32"/>
          <w:szCs w:val="32"/>
          <w:shd w:val="clear" w:fill="FFFFFF"/>
        </w:rPr>
        <w:t>等方面情况较好，</w:t>
      </w:r>
      <w:r>
        <w:rPr>
          <w:rFonts w:hint="eastAsia" w:ascii="仿宋_GB2312" w:hAnsi="仿宋_GB2312" w:eastAsia="仿宋_GB2312" w:cs="仿宋_GB2312"/>
          <w:spacing w:val="0"/>
          <w:sz w:val="32"/>
          <w:szCs w:val="32"/>
          <w:lang w:val="en-US" w:eastAsia="zh-CN"/>
        </w:rPr>
        <w:t>有效保障机构能够顺利运转，圆满完成2024年的工作，取得</w:t>
      </w:r>
      <w:r>
        <w:rPr>
          <w:rFonts w:hint="eastAsia" w:ascii="仿宋_GB2312" w:hAnsi="仿宋_GB2312" w:eastAsia="仿宋_GB2312" w:cs="仿宋_GB2312"/>
          <w:i w:val="0"/>
          <w:iCs w:val="0"/>
          <w:caps w:val="0"/>
          <w:color w:val="333333"/>
          <w:spacing w:val="0"/>
          <w:sz w:val="32"/>
          <w:szCs w:val="32"/>
          <w:shd w:val="clear" w:fill="FFFFFF"/>
        </w:rPr>
        <w:t>了较好的社会效益。</w:t>
      </w:r>
      <w:r>
        <w:rPr>
          <w:rFonts w:hint="eastAsia" w:ascii="仿宋_GB2312" w:hAnsi="仿宋_GB2312" w:eastAsia="仿宋_GB2312" w:cs="仿宋_GB2312"/>
          <w:i w:val="0"/>
          <w:iCs w:val="0"/>
          <w:caps w:val="0"/>
          <w:color w:val="333333"/>
          <w:spacing w:val="0"/>
          <w:sz w:val="32"/>
          <w:szCs w:val="32"/>
          <w:shd w:val="clear" w:fill="FFFFFF"/>
          <w:lang w:val="zh-CN"/>
        </w:rPr>
        <w:t>部</w:t>
      </w:r>
      <w:r>
        <w:rPr>
          <w:rFonts w:hint="eastAsia" w:ascii="仿宋_GB2312" w:hAnsi="仿宋_GB2312" w:eastAsia="仿宋_GB2312" w:cs="仿宋_GB2312"/>
          <w:i w:val="0"/>
          <w:iCs w:val="0"/>
          <w:caps w:val="0"/>
          <w:color w:val="333333"/>
          <w:spacing w:val="0"/>
          <w:sz w:val="32"/>
          <w:szCs w:val="32"/>
          <w:highlight w:val="none"/>
          <w:shd w:val="clear" w:fill="FFFFFF"/>
          <w:lang w:val="zh-CN"/>
        </w:rPr>
        <w:t>门预算总体绩效，得分</w:t>
      </w:r>
      <w:r>
        <w:rPr>
          <w:rFonts w:hint="eastAsia" w:ascii="仿宋_GB2312" w:hAnsi="仿宋_GB2312" w:eastAsia="仿宋_GB2312" w:cs="仿宋_GB2312"/>
          <w:i w:val="0"/>
          <w:iCs w:val="0"/>
          <w:caps w:val="0"/>
          <w:color w:val="333333"/>
          <w:spacing w:val="0"/>
          <w:sz w:val="32"/>
          <w:szCs w:val="32"/>
          <w:highlight w:val="none"/>
          <w:shd w:val="clear" w:fill="FFFFFF"/>
          <w:lang w:val="en-US" w:eastAsia="zh-CN"/>
        </w:rPr>
        <w:t>55.02分。</w:t>
      </w:r>
      <w:r>
        <w:rPr>
          <w:rFonts w:hint="eastAsia" w:ascii="仿宋_GB2312" w:hAnsi="仿宋_GB2312" w:eastAsia="仿宋_GB2312" w:cs="仿宋_GB2312"/>
          <w:i w:val="0"/>
          <w:iCs w:val="0"/>
          <w:caps w:val="0"/>
          <w:color w:val="333333"/>
          <w:spacing w:val="0"/>
          <w:sz w:val="32"/>
          <w:szCs w:val="32"/>
          <w:highlight w:val="none"/>
          <w:shd w:val="clear" w:fill="FFFFFF"/>
          <w:lang w:val="zh-CN"/>
        </w:rPr>
        <w:t>部</w:t>
      </w:r>
      <w:r>
        <w:rPr>
          <w:rFonts w:hint="eastAsia" w:ascii="仿宋_GB2312" w:hAnsi="仿宋_GB2312" w:eastAsia="仿宋_GB2312" w:cs="仿宋_GB2312"/>
          <w:b w:val="0"/>
          <w:bCs w:val="0"/>
          <w:kern w:val="0"/>
          <w:position w:val="0"/>
          <w:sz w:val="32"/>
          <w:szCs w:val="32"/>
          <w:highlight w:val="none"/>
          <w:lang w:val="zh-CN" w:eastAsia="zh-CN" w:bidi="ar-SA"/>
        </w:rPr>
        <w:t>门预算</w:t>
      </w:r>
      <w:r>
        <w:rPr>
          <w:rFonts w:hint="eastAsia" w:ascii="仿宋_GB2312" w:hAnsi="仿宋_GB2312" w:eastAsia="仿宋_GB2312" w:cs="仿宋_GB2312"/>
          <w:i w:val="0"/>
          <w:iCs w:val="0"/>
          <w:caps w:val="0"/>
          <w:color w:val="333333"/>
          <w:spacing w:val="0"/>
          <w:sz w:val="32"/>
          <w:szCs w:val="32"/>
          <w:highlight w:val="none"/>
          <w:shd w:val="clear" w:fill="FFFFFF"/>
          <w:lang w:val="zh-CN"/>
        </w:rPr>
        <w:t>项目绩效，得分</w:t>
      </w:r>
      <w:r>
        <w:rPr>
          <w:rFonts w:hint="eastAsia" w:ascii="仿宋_GB2312" w:hAnsi="仿宋_GB2312" w:eastAsia="仿宋_GB2312" w:cs="仿宋_GB2312"/>
          <w:i w:val="0"/>
          <w:iCs w:val="0"/>
          <w:caps w:val="0"/>
          <w:color w:val="333333"/>
          <w:spacing w:val="0"/>
          <w:sz w:val="32"/>
          <w:szCs w:val="32"/>
          <w:highlight w:val="none"/>
          <w:shd w:val="clear" w:fill="FFFFFF"/>
          <w:lang w:val="en-US" w:eastAsia="zh-CN"/>
        </w:rPr>
        <w:t>32</w:t>
      </w:r>
      <w:r>
        <w:rPr>
          <w:rFonts w:hint="eastAsia" w:ascii="仿宋_GB2312" w:hAnsi="仿宋_GB2312" w:eastAsia="仿宋_GB2312" w:cs="仿宋_GB2312"/>
          <w:b w:val="0"/>
          <w:bCs w:val="0"/>
          <w:kern w:val="0"/>
          <w:position w:val="0"/>
          <w:sz w:val="32"/>
          <w:szCs w:val="32"/>
          <w:highlight w:val="none"/>
          <w:lang w:val="en-US" w:eastAsia="zh-CN" w:bidi="ar-SA"/>
        </w:rPr>
        <w:t>分。</w:t>
      </w:r>
      <w:r>
        <w:rPr>
          <w:rFonts w:hint="eastAsia" w:ascii="仿宋_GB2312" w:hAnsi="仿宋_GB2312" w:eastAsia="仿宋_GB2312" w:cs="仿宋_GB2312"/>
          <w:b w:val="0"/>
          <w:bCs w:val="0"/>
          <w:kern w:val="0"/>
          <w:position w:val="0"/>
          <w:sz w:val="32"/>
          <w:szCs w:val="32"/>
          <w:highlight w:val="none"/>
          <w:lang w:val="zh-CN" w:eastAsia="zh-CN" w:bidi="ar-SA"/>
        </w:rPr>
        <w:t>部门整体支出绩效评价得分</w:t>
      </w:r>
      <w:r>
        <w:rPr>
          <w:rFonts w:hint="eastAsia" w:ascii="仿宋_GB2312" w:hAnsi="仿宋_GB2312" w:eastAsia="仿宋_GB2312" w:cs="仿宋_GB2312"/>
          <w:b w:val="0"/>
          <w:bCs w:val="0"/>
          <w:kern w:val="0"/>
          <w:position w:val="0"/>
          <w:sz w:val="32"/>
          <w:szCs w:val="32"/>
          <w:highlight w:val="none"/>
          <w:lang w:val="en-US" w:eastAsia="zh-CN" w:bidi="ar-SA"/>
        </w:rPr>
        <w:t>87.02</w:t>
      </w:r>
      <w:r>
        <w:rPr>
          <w:rFonts w:hint="eastAsia" w:ascii="仿宋_GB2312" w:hAnsi="仿宋_GB2312" w:eastAsia="仿宋_GB2312" w:cs="仿宋_GB2312"/>
          <w:b w:val="0"/>
          <w:bCs w:val="0"/>
          <w:kern w:val="0"/>
          <w:position w:val="0"/>
          <w:sz w:val="32"/>
          <w:szCs w:val="32"/>
          <w:highlight w:val="none"/>
          <w:lang w:val="zh-CN" w:eastAsia="zh-CN" w:bidi="ar-SA"/>
        </w:rPr>
        <w:t>分。</w:t>
      </w:r>
    </w:p>
    <w:p w14:paraId="2E09622C">
      <w:pPr>
        <w:keepNext w:val="0"/>
        <w:keepLines w:val="0"/>
        <w:pageBreakBefore w:val="0"/>
        <w:widowControl/>
        <w:numPr>
          <w:ilvl w:val="0"/>
          <w:numId w:val="5"/>
        </w:numPr>
        <w:kinsoku/>
        <w:wordWrap/>
        <w:overflowPunct/>
        <w:topLinePunct w:val="0"/>
        <w:autoSpaceDE/>
        <w:autoSpaceDN/>
        <w:bidi w:val="0"/>
        <w:adjustRightInd w:val="0"/>
        <w:snapToGrid w:val="0"/>
        <w:spacing w:line="578" w:lineRule="exact"/>
        <w:ind w:firstLine="643" w:firstLineChars="200"/>
        <w:contextualSpacing/>
        <w:jc w:val="left"/>
        <w:textAlignment w:val="auto"/>
        <w:outlineLvl w:val="9"/>
        <w:rPr>
          <w:rFonts w:hint="eastAsia" w:ascii="仿宋_GB2312" w:hAnsi="仿宋_GB2312" w:eastAsia="仿宋_GB2312" w:cs="仿宋_GB2312"/>
          <w:b w:val="0"/>
          <w:bCs w:val="0"/>
          <w:w w:val="95"/>
          <w:kern w:val="0"/>
          <w:position w:val="0"/>
          <w:sz w:val="32"/>
          <w:szCs w:val="32"/>
          <w:highlight w:val="none"/>
          <w:lang w:val="en-US" w:eastAsia="zh-CN" w:bidi="ar-SA"/>
        </w:rPr>
      </w:pPr>
      <w:r>
        <w:rPr>
          <w:rFonts w:hint="eastAsia" w:ascii="仿宋_GB2312" w:hAnsi="仿宋_GB2312" w:eastAsia="仿宋_GB2312" w:cs="仿宋_GB2312"/>
          <w:b/>
          <w:bCs/>
          <w:color w:val="000000"/>
          <w:kern w:val="0"/>
          <w:sz w:val="32"/>
          <w:szCs w:val="32"/>
          <w:highlight w:val="none"/>
          <w:shd w:val="clear" w:color="auto" w:fill="FFFFFF"/>
          <w:lang w:val="zh-CN"/>
        </w:rPr>
        <w:t>存在问题。</w:t>
      </w:r>
    </w:p>
    <w:p w14:paraId="0F3B9DEB">
      <w:pPr>
        <w:keepNext w:val="0"/>
        <w:keepLines w:val="0"/>
        <w:pageBreakBefore w:val="0"/>
        <w:widowControl/>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仿宋_GB2312" w:hAnsi="仿宋_GB2312" w:eastAsia="仿宋_GB2312" w:cs="仿宋_GB2312"/>
          <w:b w:val="0"/>
          <w:bCs w:val="0"/>
          <w:w w:val="95"/>
          <w:kern w:val="0"/>
          <w:position w:val="0"/>
          <w:sz w:val="32"/>
          <w:szCs w:val="32"/>
          <w:highlight w:val="none"/>
          <w:lang w:val="en-US" w:eastAsia="zh-CN" w:bidi="ar-SA"/>
        </w:rPr>
      </w:pPr>
      <w:r>
        <w:rPr>
          <w:rFonts w:hint="eastAsia" w:ascii="仿宋_GB2312" w:hAnsi="仿宋_GB2312" w:eastAsia="仿宋_GB2312" w:cs="仿宋_GB2312"/>
          <w:i w:val="0"/>
          <w:iCs w:val="0"/>
          <w:caps w:val="0"/>
          <w:color w:val="333333"/>
          <w:spacing w:val="0"/>
          <w:sz w:val="32"/>
          <w:szCs w:val="32"/>
          <w:shd w:val="clear" w:fill="FFFFFF"/>
        </w:rPr>
        <w:t>通过自评，发现预算</w:t>
      </w:r>
      <w:r>
        <w:rPr>
          <w:rFonts w:hint="eastAsia" w:ascii="仿宋_GB2312" w:hAnsi="仿宋_GB2312" w:eastAsia="仿宋_GB2312" w:cs="仿宋_GB2312"/>
          <w:i w:val="0"/>
          <w:iCs w:val="0"/>
          <w:caps w:val="0"/>
          <w:color w:val="333333"/>
          <w:spacing w:val="0"/>
          <w:sz w:val="32"/>
          <w:szCs w:val="32"/>
          <w:shd w:val="clear" w:fill="FFFFFF"/>
          <w:lang w:eastAsia="zh-CN"/>
        </w:rPr>
        <w:t>支出执行进度较慢。</w:t>
      </w:r>
    </w:p>
    <w:p w14:paraId="2CEC8025">
      <w:pPr>
        <w:keepNext w:val="0"/>
        <w:keepLines w:val="0"/>
        <w:pageBreakBefore w:val="0"/>
        <w:widowControl/>
        <w:kinsoku/>
        <w:wordWrap/>
        <w:overflowPunct/>
        <w:topLinePunct w:val="0"/>
        <w:autoSpaceDE/>
        <w:autoSpaceDN/>
        <w:bidi w:val="0"/>
        <w:adjustRightInd w:val="0"/>
        <w:snapToGrid w:val="0"/>
        <w:spacing w:line="578" w:lineRule="exact"/>
        <w:ind w:firstLine="643" w:firstLineChars="200"/>
        <w:contextualSpacing/>
        <w:jc w:val="left"/>
        <w:textAlignment w:val="auto"/>
        <w:outlineLvl w:val="9"/>
        <w:rPr>
          <w:rFonts w:hint="eastAsia" w:ascii="仿宋_GB2312" w:hAnsi="仿宋_GB2312" w:eastAsia="仿宋_GB2312" w:cs="仿宋_GB2312"/>
          <w:b w:val="0"/>
          <w:bCs w:val="0"/>
          <w:kern w:val="0"/>
          <w:position w:val="0"/>
          <w:sz w:val="32"/>
          <w:szCs w:val="32"/>
          <w:highlight w:val="none"/>
          <w:lang w:val="en" w:eastAsia="zh-CN" w:bidi="ar-SA"/>
        </w:rPr>
      </w:pPr>
      <w:r>
        <w:rPr>
          <w:rFonts w:hint="eastAsia" w:ascii="仿宋_GB2312" w:hAnsi="仿宋_GB2312" w:eastAsia="仿宋_GB2312" w:cs="仿宋_GB2312"/>
          <w:b/>
          <w:bCs/>
          <w:color w:val="000000"/>
          <w:kern w:val="0"/>
          <w:sz w:val="32"/>
          <w:szCs w:val="32"/>
          <w:highlight w:val="none"/>
          <w:shd w:val="clear" w:color="auto" w:fill="FFFFFF"/>
          <w:lang w:val="zh-CN" w:eastAsia="zh-CN"/>
        </w:rPr>
        <w:t>（三）改进建议。</w:t>
      </w:r>
    </w:p>
    <w:p w14:paraId="33C51BDF">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仿宋_GB2312" w:hAnsi="仿宋_GB2312" w:eastAsia="仿宋_GB2312" w:cs="仿宋_GB2312"/>
          <w:color w:val="000000"/>
          <w:kern w:val="0"/>
          <w:sz w:val="32"/>
          <w:szCs w:val="32"/>
          <w:lang w:val="en-US" w:eastAsia="zh-CN" w:bidi="ar-SA"/>
        </w:rPr>
      </w:pPr>
      <w:r>
        <w:rPr>
          <w:rFonts w:hint="eastAsia" w:ascii="仿宋_GB2312" w:hAnsi="仿宋_GB2312" w:eastAsia="仿宋_GB2312" w:cs="仿宋_GB2312"/>
          <w:color w:val="000000"/>
          <w:kern w:val="0"/>
          <w:sz w:val="32"/>
          <w:szCs w:val="32"/>
          <w:lang w:val="zh-CN" w:eastAsia="zh-CN" w:bidi="ar-SA"/>
        </w:rPr>
        <w:t>由于项目的运行具有一定的期限性、季节性，一些项目还要分阶段实施，导致</w:t>
      </w:r>
      <w:r>
        <w:rPr>
          <w:rFonts w:hint="eastAsia" w:ascii="仿宋_GB2312" w:hAnsi="仿宋_GB2312" w:eastAsia="仿宋_GB2312" w:cs="仿宋_GB2312"/>
          <w:color w:val="000000"/>
          <w:kern w:val="0"/>
          <w:sz w:val="32"/>
          <w:szCs w:val="32"/>
          <w:lang w:val="en-US" w:eastAsia="zh-CN" w:bidi="ar-SA"/>
        </w:rPr>
        <w:t>预算支出执行进度较慢，应加快预算执行进度，加强业务科室和财务密切配合，提高对快预算执行进度重要性的认识。</w:t>
      </w:r>
    </w:p>
    <w:p w14:paraId="6CA4EC87">
      <w:pPr>
        <w:pStyle w:val="14"/>
        <w:spacing w:line="560" w:lineRule="exact"/>
        <w:ind w:left="0" w:leftChars="0" w:firstLine="640" w:firstLineChars="200"/>
        <w:rPr>
          <w:rFonts w:hint="eastAsia" w:ascii="Times New Roman" w:hAnsi="Times New Roman" w:eastAsia="黑体" w:cs="Times New Roman"/>
          <w:kern w:val="2"/>
          <w:sz w:val="32"/>
          <w:szCs w:val="24"/>
          <w:highlight w:val="none"/>
          <w:lang w:val="en-US" w:eastAsia="zh-CN" w:bidi="ar-SA"/>
        </w:rPr>
      </w:pPr>
      <w:r>
        <w:rPr>
          <w:rFonts w:hint="eastAsia" w:ascii="仿宋_GB2312" w:hAnsi="仿宋_GB2312" w:eastAsia="仿宋_GB2312" w:cs="仿宋_GB2312"/>
          <w:sz w:val="32"/>
          <w:szCs w:val="32"/>
          <w:lang w:val="zh-CN" w:bidi="ar"/>
        </w:rPr>
        <w:t>附表：</w:t>
      </w:r>
      <w:r>
        <w:rPr>
          <w:rFonts w:hint="eastAsia" w:ascii="仿宋_GB2312" w:hAnsi="仿宋_GB2312" w:eastAsia="仿宋_GB2312" w:cs="仿宋_GB2312"/>
          <w:sz w:val="32"/>
          <w:szCs w:val="32"/>
          <w:lang w:bidi="ar"/>
        </w:rPr>
        <w:t>部门预算项目支出绩效自评表（2024年度）</w:t>
      </w:r>
    </w:p>
    <w:p w14:paraId="235C6D45">
      <w:pPr>
        <w:keepNext w:val="0"/>
        <w:keepLines w:val="0"/>
        <w:pageBreakBefore w:val="0"/>
        <w:widowControl/>
        <w:suppressLineNumbers w:val="0"/>
        <w:kinsoku/>
        <w:wordWrap/>
        <w:overflowPunct/>
        <w:topLinePunct w:val="0"/>
        <w:autoSpaceDE/>
        <w:autoSpaceDN/>
        <w:bidi w:val="0"/>
        <w:adjustRightInd/>
        <w:snapToGrid/>
        <w:spacing w:line="578" w:lineRule="exact"/>
        <w:jc w:val="center"/>
        <w:textAlignment w:val="center"/>
        <w:outlineLvl w:val="9"/>
        <w:rPr>
          <w:rFonts w:hint="default" w:ascii="Times New Roman" w:hAnsi="Times New Roman" w:eastAsia="方正小标宋简体" w:cs="Times New Roman"/>
          <w:i w:val="0"/>
          <w:color w:val="000000"/>
          <w:kern w:val="0"/>
          <w:sz w:val="44"/>
          <w:szCs w:val="44"/>
          <w:u w:val="none"/>
          <w:lang w:val="en-US" w:eastAsia="zh-CN" w:bidi="ar"/>
        </w:rPr>
      </w:pPr>
      <w:r>
        <w:rPr>
          <w:rFonts w:hint="default" w:ascii="Times New Roman" w:hAnsi="Times New Roman" w:eastAsia="方正小标宋简体" w:cs="Times New Roman"/>
          <w:i w:val="0"/>
          <w:color w:val="000000"/>
          <w:kern w:val="0"/>
          <w:sz w:val="44"/>
          <w:szCs w:val="44"/>
          <w:u w:val="none"/>
          <w:lang w:val="en-US" w:eastAsia="zh-CN" w:bidi="ar"/>
        </w:rPr>
        <w:t>部门预算项目支出绩效评价表</w:t>
      </w:r>
    </w:p>
    <w:p w14:paraId="246A83E1">
      <w:pPr>
        <w:keepNext w:val="0"/>
        <w:keepLines w:val="0"/>
        <w:pageBreakBefore w:val="0"/>
        <w:widowControl/>
        <w:suppressLineNumbers w:val="0"/>
        <w:kinsoku/>
        <w:wordWrap/>
        <w:overflowPunct/>
        <w:topLinePunct w:val="0"/>
        <w:autoSpaceDE/>
        <w:autoSpaceDN/>
        <w:bidi w:val="0"/>
        <w:adjustRightInd/>
        <w:snapToGrid/>
        <w:spacing w:line="578" w:lineRule="exact"/>
        <w:ind w:firstLine="3520" w:firstLineChars="1100"/>
        <w:jc w:val="both"/>
        <w:textAlignment w:val="center"/>
        <w:outlineLvl w:val="9"/>
        <w:rPr>
          <w:rFonts w:hint="eastAsia" w:eastAsia="方正小标宋简体" w:cs="Times New Roman"/>
          <w:i w:val="0"/>
          <w:color w:val="000000"/>
          <w:kern w:val="0"/>
          <w:sz w:val="32"/>
          <w:szCs w:val="32"/>
          <w:u w:val="none"/>
          <w:lang w:val="en-US" w:eastAsia="zh-CN" w:bidi="ar"/>
        </w:rPr>
      </w:pPr>
      <w:r>
        <w:rPr>
          <w:rFonts w:hint="eastAsia" w:eastAsia="方正小标宋简体" w:cs="Times New Roman"/>
          <w:i w:val="0"/>
          <w:color w:val="000000"/>
          <w:kern w:val="0"/>
          <w:sz w:val="32"/>
          <w:szCs w:val="32"/>
          <w:u w:val="none"/>
          <w:lang w:val="en-US" w:eastAsia="zh-CN" w:bidi="ar"/>
        </w:rPr>
        <w:t>2024年度</w:t>
      </w:r>
    </w:p>
    <w:tbl>
      <w:tblPr>
        <w:tblStyle w:val="17"/>
        <w:tblW w:w="952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12"/>
        <w:gridCol w:w="1338"/>
        <w:gridCol w:w="1312"/>
        <w:gridCol w:w="1998"/>
        <w:gridCol w:w="465"/>
        <w:gridCol w:w="1273"/>
        <w:gridCol w:w="970"/>
        <w:gridCol w:w="486"/>
        <w:gridCol w:w="398"/>
        <w:gridCol w:w="668"/>
      </w:tblGrid>
      <w:tr w14:paraId="08A840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22" w:hRule="atLeast"/>
        </w:trPr>
        <w:tc>
          <w:tcPr>
            <w:tcW w:w="952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50F9A8E">
            <w:pPr>
              <w:keepNext w:val="0"/>
              <w:keepLines w:val="0"/>
              <w:widowControl/>
              <w:suppressLineNumbers w:val="0"/>
              <w:jc w:val="center"/>
              <w:textAlignment w:val="center"/>
              <w:rPr>
                <w:rFonts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5E145C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3" w:hRule="atLeast"/>
        </w:trPr>
        <w:tc>
          <w:tcPr>
            <w:tcW w:w="19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4B78CF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7568"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768A81C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51320022T000000341762-阿坝州高山和草地珍稀花卉种质资源调查与培育</w:t>
            </w:r>
          </w:p>
        </w:tc>
      </w:tr>
      <w:tr w14:paraId="10FBA9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87" w:hRule="atLeast"/>
        </w:trPr>
        <w:tc>
          <w:tcPr>
            <w:tcW w:w="19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7E98AF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505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53193D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州林草局部门</w:t>
            </w:r>
          </w:p>
        </w:tc>
        <w:tc>
          <w:tcPr>
            <w:tcW w:w="970" w:type="dxa"/>
            <w:tcBorders>
              <w:top w:val="nil"/>
              <w:left w:val="nil"/>
              <w:bottom w:val="nil"/>
              <w:right w:val="nil"/>
            </w:tcBorders>
            <w:shd w:val="clear" w:color="auto" w:fill="auto"/>
            <w:vAlign w:val="center"/>
          </w:tcPr>
          <w:p w14:paraId="3BD3D426">
            <w:pPr>
              <w:keepNext w:val="0"/>
              <w:keepLines w:val="0"/>
              <w:widowControl/>
              <w:suppressLineNumbers w:val="0"/>
              <w:jc w:val="left"/>
              <w:textAlignment w:val="center"/>
              <w:rPr>
                <w:rFonts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15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5B5041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州林业和草原科技研究所</w:t>
            </w:r>
          </w:p>
        </w:tc>
      </w:tr>
      <w:tr w14:paraId="31B5FF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3" w:hRule="atLeast"/>
        </w:trPr>
        <w:tc>
          <w:tcPr>
            <w:tcW w:w="61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9B07B2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134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599D60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505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0E5301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251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FF23C1D">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35297B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55" w:hRule="atLeast"/>
        </w:trPr>
        <w:tc>
          <w:tcPr>
            <w:tcW w:w="6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5CF4B9">
            <w:pPr>
              <w:rPr>
                <w:rFonts w:hint="eastAsia" w:ascii="宋体" w:hAnsi="宋体" w:eastAsia="宋体" w:cs="宋体"/>
                <w:i w:val="0"/>
                <w:iCs w:val="0"/>
                <w:color w:val="000000"/>
                <w:sz w:val="18"/>
                <w:szCs w:val="18"/>
                <w:u w:val="none"/>
              </w:rPr>
            </w:pPr>
          </w:p>
        </w:tc>
        <w:tc>
          <w:tcPr>
            <w:tcW w:w="13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F6FB8E">
            <w:pPr>
              <w:rPr>
                <w:rFonts w:hint="eastAsia" w:ascii="宋体" w:hAnsi="宋体" w:eastAsia="宋体" w:cs="宋体"/>
                <w:i w:val="0"/>
                <w:iCs w:val="0"/>
                <w:color w:val="000000"/>
                <w:sz w:val="18"/>
                <w:szCs w:val="18"/>
                <w:u w:val="none"/>
              </w:rPr>
            </w:pPr>
          </w:p>
        </w:tc>
        <w:tc>
          <w:tcPr>
            <w:tcW w:w="505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61DC32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本项目分三年实施，项目需30万元，2022年为起始年，建立示范培育基地5亩，选出长势优良高山珍稀花卉4—6种，草地珍稀花卉4—6种；投入资金6万元。</w:t>
            </w:r>
            <w:r>
              <w:rPr>
                <w:rFonts w:ascii="宋体" w:hAnsi="宋体" w:eastAsia="宋体" w:cs="宋体"/>
                <w:i w:val="0"/>
                <w:iCs w:val="0"/>
                <w:color w:val="000000"/>
                <w:kern w:val="0"/>
                <w:sz w:val="18"/>
                <w:szCs w:val="18"/>
                <w:u w:val="none"/>
                <w:lang w:val="en-US" w:eastAsia="zh-CN" w:bidi="ar"/>
              </w:rPr>
              <w:br w:type="textWrapping"/>
            </w:r>
            <w:r>
              <w:rPr>
                <w:rFonts w:ascii="宋体" w:hAnsi="宋体" w:eastAsia="宋体" w:cs="宋体"/>
                <w:i w:val="0"/>
                <w:iCs w:val="0"/>
                <w:color w:val="000000"/>
                <w:kern w:val="0"/>
                <w:sz w:val="18"/>
                <w:szCs w:val="18"/>
                <w:u w:val="none"/>
                <w:lang w:val="en-US" w:eastAsia="zh-CN" w:bidi="ar"/>
              </w:rPr>
              <w:t>2023年，对2022年选择出的长势优良高山珍稀花卉与草地珍稀花卉进行培育，并定期进行管护；投入资金6万元。</w:t>
            </w:r>
            <w:r>
              <w:rPr>
                <w:rFonts w:ascii="宋体" w:hAnsi="宋体" w:eastAsia="宋体" w:cs="宋体"/>
                <w:i w:val="0"/>
                <w:iCs w:val="0"/>
                <w:color w:val="000000"/>
                <w:kern w:val="0"/>
                <w:sz w:val="18"/>
                <w:szCs w:val="18"/>
                <w:u w:val="none"/>
                <w:lang w:val="en-US" w:eastAsia="zh-CN" w:bidi="ar"/>
              </w:rPr>
              <w:br w:type="textWrapping"/>
            </w:r>
            <w:r>
              <w:rPr>
                <w:rFonts w:ascii="宋体" w:hAnsi="宋体" w:eastAsia="宋体" w:cs="宋体"/>
                <w:i w:val="0"/>
                <w:iCs w:val="0"/>
                <w:color w:val="000000"/>
                <w:kern w:val="0"/>
                <w:sz w:val="18"/>
                <w:szCs w:val="18"/>
                <w:u w:val="none"/>
                <w:lang w:val="en-US" w:eastAsia="zh-CN" w:bidi="ar"/>
              </w:rPr>
              <w:t>2024年，对2023年培育的物种进行补播、管护并完成总结报告，投入资金6万元。</w:t>
            </w:r>
          </w:p>
        </w:tc>
        <w:tc>
          <w:tcPr>
            <w:tcW w:w="251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00009DE">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202</w:t>
            </w:r>
            <w:r>
              <w:rPr>
                <w:rFonts w:hint="eastAsia" w:ascii="宋体" w:hAnsi="宋体" w:eastAsia="宋体" w:cs="宋体"/>
                <w:i w:val="0"/>
                <w:iCs w:val="0"/>
                <w:color w:val="000000"/>
                <w:kern w:val="0"/>
                <w:sz w:val="18"/>
                <w:szCs w:val="18"/>
                <w:u w:val="none"/>
                <w:lang w:val="en-US" w:eastAsia="zh-CN" w:bidi="ar"/>
              </w:rPr>
              <w:t>4年完成了4次野外调查。对我州的高山和草地珍稀花卉分布情况进行了详细的了解，同时开展了培育工作，同时在马尔康、黑水、茂县、红原进行了种子繁育工作，完成了年度目标。</w:t>
            </w:r>
          </w:p>
        </w:tc>
      </w:tr>
      <w:tr w14:paraId="097F3E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21" w:hRule="atLeast"/>
        </w:trPr>
        <w:tc>
          <w:tcPr>
            <w:tcW w:w="6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486A9A">
            <w:pPr>
              <w:rPr>
                <w:rFonts w:hint="eastAsia" w:ascii="宋体" w:hAnsi="宋体" w:eastAsia="宋体" w:cs="宋体"/>
                <w:i w:val="0"/>
                <w:iCs w:val="0"/>
                <w:color w:val="000000"/>
                <w:sz w:val="18"/>
                <w:szCs w:val="18"/>
                <w:u w:val="none"/>
              </w:rPr>
            </w:pPr>
          </w:p>
        </w:tc>
        <w:tc>
          <w:tcPr>
            <w:tcW w:w="13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396DF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7568"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10A31C5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2024年继续在壤塘、阿坝、红原、松潘等县进行高山和草地珍稀花卉种质资源调查；在马尔康、黑水、红原培育绿绒蒿2000多株项目组结合森林粮库建设的要求，引进300株橡栎树、200株太秋甜柿等观叶观果，在茂县进行栽植进行了引种示范，为下一步发展林下产业奠定了基础。</w:t>
            </w:r>
          </w:p>
        </w:tc>
      </w:tr>
      <w:tr w14:paraId="14756E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87" w:hRule="atLeast"/>
        </w:trPr>
        <w:tc>
          <w:tcPr>
            <w:tcW w:w="61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DA747D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13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820B9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3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EE2D0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20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E5B93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17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A7FB34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9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3004E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4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8C510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3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FA26A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89979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3952AB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3" w:hRule="atLeast"/>
        </w:trPr>
        <w:tc>
          <w:tcPr>
            <w:tcW w:w="6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4837A4">
            <w:pPr>
              <w:jc w:val="center"/>
              <w:rPr>
                <w:rFonts w:hint="eastAsia" w:ascii="宋体" w:hAnsi="宋体" w:eastAsia="宋体" w:cs="宋体"/>
                <w:i w:val="0"/>
                <w:iCs w:val="0"/>
                <w:color w:val="000000"/>
                <w:sz w:val="18"/>
                <w:szCs w:val="18"/>
                <w:u w:val="none"/>
              </w:rPr>
            </w:pPr>
          </w:p>
        </w:tc>
        <w:tc>
          <w:tcPr>
            <w:tcW w:w="13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6CAAA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3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ED4F7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6.00</w:t>
            </w:r>
          </w:p>
        </w:tc>
        <w:tc>
          <w:tcPr>
            <w:tcW w:w="20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49A8C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5.70</w:t>
            </w:r>
          </w:p>
        </w:tc>
        <w:tc>
          <w:tcPr>
            <w:tcW w:w="17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75511C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5.70</w:t>
            </w:r>
          </w:p>
        </w:tc>
        <w:tc>
          <w:tcPr>
            <w:tcW w:w="9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7541F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4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38419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3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B3E42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w:t>
            </w:r>
          </w:p>
        </w:tc>
        <w:tc>
          <w:tcPr>
            <w:tcW w:w="66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E927CD0">
            <w:pPr>
              <w:rPr>
                <w:rFonts w:hint="eastAsia" w:ascii="黑体" w:hAnsi="黑体" w:eastAsia="黑体" w:cs="黑体"/>
                <w:i/>
                <w:iCs/>
                <w:color w:val="000000"/>
                <w:sz w:val="18"/>
                <w:szCs w:val="18"/>
                <w:u w:val="none"/>
              </w:rPr>
            </w:pPr>
          </w:p>
        </w:tc>
      </w:tr>
      <w:tr w14:paraId="35718A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0" w:hRule="atLeast"/>
        </w:trPr>
        <w:tc>
          <w:tcPr>
            <w:tcW w:w="6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F57068">
            <w:pPr>
              <w:jc w:val="center"/>
              <w:rPr>
                <w:rFonts w:hint="eastAsia" w:ascii="宋体" w:hAnsi="宋体" w:eastAsia="宋体" w:cs="宋体"/>
                <w:i w:val="0"/>
                <w:iCs w:val="0"/>
                <w:color w:val="000000"/>
                <w:sz w:val="18"/>
                <w:szCs w:val="18"/>
                <w:u w:val="none"/>
              </w:rPr>
            </w:pPr>
          </w:p>
        </w:tc>
        <w:tc>
          <w:tcPr>
            <w:tcW w:w="13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49A45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3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EA8FC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6.00</w:t>
            </w:r>
          </w:p>
        </w:tc>
        <w:tc>
          <w:tcPr>
            <w:tcW w:w="20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8BEA4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5.70</w:t>
            </w:r>
          </w:p>
        </w:tc>
        <w:tc>
          <w:tcPr>
            <w:tcW w:w="17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CCAC84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5.70</w:t>
            </w:r>
          </w:p>
        </w:tc>
        <w:tc>
          <w:tcPr>
            <w:tcW w:w="9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C9A93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4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A4121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3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F1725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1D9F21">
            <w:pPr>
              <w:rPr>
                <w:rFonts w:hint="eastAsia" w:ascii="黑体" w:hAnsi="黑体" w:eastAsia="黑体" w:cs="黑体"/>
                <w:i/>
                <w:iCs/>
                <w:color w:val="000000"/>
                <w:sz w:val="18"/>
                <w:szCs w:val="18"/>
                <w:u w:val="none"/>
              </w:rPr>
            </w:pPr>
          </w:p>
        </w:tc>
      </w:tr>
      <w:tr w14:paraId="6E5793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87" w:hRule="atLeast"/>
        </w:trPr>
        <w:tc>
          <w:tcPr>
            <w:tcW w:w="6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466486">
            <w:pPr>
              <w:jc w:val="center"/>
              <w:rPr>
                <w:rFonts w:hint="eastAsia" w:ascii="宋体" w:hAnsi="宋体" w:eastAsia="宋体" w:cs="宋体"/>
                <w:i w:val="0"/>
                <w:iCs w:val="0"/>
                <w:color w:val="000000"/>
                <w:sz w:val="18"/>
                <w:szCs w:val="18"/>
                <w:u w:val="none"/>
              </w:rPr>
            </w:pPr>
          </w:p>
        </w:tc>
        <w:tc>
          <w:tcPr>
            <w:tcW w:w="13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04751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3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2206E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0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DEC2B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7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2ADBC3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9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F4B07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4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ADCFC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3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9269C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E00EB7">
            <w:pPr>
              <w:rPr>
                <w:rFonts w:hint="eastAsia" w:ascii="黑体" w:hAnsi="黑体" w:eastAsia="黑体" w:cs="黑体"/>
                <w:i/>
                <w:iCs/>
                <w:color w:val="000000"/>
                <w:sz w:val="18"/>
                <w:szCs w:val="18"/>
                <w:u w:val="none"/>
              </w:rPr>
            </w:pPr>
          </w:p>
        </w:tc>
      </w:tr>
      <w:tr w14:paraId="124AE9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3" w:hRule="atLeast"/>
        </w:trPr>
        <w:tc>
          <w:tcPr>
            <w:tcW w:w="6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5F43CB">
            <w:pPr>
              <w:jc w:val="center"/>
              <w:rPr>
                <w:rFonts w:hint="eastAsia" w:ascii="宋体" w:hAnsi="宋体" w:eastAsia="宋体" w:cs="宋体"/>
                <w:i w:val="0"/>
                <w:iCs w:val="0"/>
                <w:color w:val="000000"/>
                <w:sz w:val="18"/>
                <w:szCs w:val="18"/>
                <w:u w:val="none"/>
              </w:rPr>
            </w:pPr>
          </w:p>
        </w:tc>
        <w:tc>
          <w:tcPr>
            <w:tcW w:w="13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9FCD3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3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F7A47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0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A7580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7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309045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9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5478C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4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C2A3E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3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D18FE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99CFCB">
            <w:pPr>
              <w:rPr>
                <w:rFonts w:hint="eastAsia" w:ascii="黑体" w:hAnsi="黑体" w:eastAsia="黑体" w:cs="黑体"/>
                <w:i/>
                <w:iCs/>
                <w:color w:val="000000"/>
                <w:sz w:val="18"/>
                <w:szCs w:val="18"/>
                <w:u w:val="none"/>
              </w:rPr>
            </w:pPr>
          </w:p>
        </w:tc>
      </w:tr>
      <w:tr w14:paraId="2A0C13EB">
        <w:tblPrEx>
          <w:shd w:val="clear" w:color="auto" w:fill="auto"/>
          <w:tblCellMar>
            <w:top w:w="0" w:type="dxa"/>
            <w:left w:w="108" w:type="dxa"/>
            <w:bottom w:w="0" w:type="dxa"/>
            <w:right w:w="108" w:type="dxa"/>
          </w:tblCellMar>
        </w:tblPrEx>
        <w:trPr>
          <w:trHeight w:val="453" w:hRule="atLeast"/>
        </w:trPr>
        <w:tc>
          <w:tcPr>
            <w:tcW w:w="6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2B9139">
            <w:pPr>
              <w:jc w:val="center"/>
              <w:rPr>
                <w:rFonts w:hint="eastAsia" w:ascii="宋体" w:hAnsi="宋体" w:eastAsia="宋体" w:cs="宋体"/>
                <w:i w:val="0"/>
                <w:iCs w:val="0"/>
                <w:color w:val="000000"/>
                <w:sz w:val="18"/>
                <w:szCs w:val="18"/>
                <w:u w:val="none"/>
              </w:rPr>
            </w:pPr>
          </w:p>
        </w:tc>
        <w:tc>
          <w:tcPr>
            <w:tcW w:w="13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AD69F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3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04D10D">
            <w:pPr>
              <w:jc w:val="center"/>
              <w:rPr>
                <w:rFonts w:hint="eastAsia" w:ascii="微软雅黑" w:hAnsi="微软雅黑" w:eastAsia="微软雅黑" w:cs="微软雅黑"/>
                <w:i/>
                <w:iCs/>
                <w:color w:val="000000"/>
                <w:sz w:val="16"/>
                <w:szCs w:val="16"/>
                <w:u w:val="none"/>
              </w:rPr>
            </w:pPr>
          </w:p>
        </w:tc>
        <w:tc>
          <w:tcPr>
            <w:tcW w:w="20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E07A85">
            <w:pPr>
              <w:jc w:val="center"/>
              <w:rPr>
                <w:rFonts w:hint="eastAsia" w:ascii="微软雅黑" w:hAnsi="微软雅黑" w:eastAsia="微软雅黑" w:cs="微软雅黑"/>
                <w:i/>
                <w:iCs/>
                <w:color w:val="000000"/>
                <w:sz w:val="16"/>
                <w:szCs w:val="16"/>
                <w:u w:val="none"/>
              </w:rPr>
            </w:pPr>
          </w:p>
        </w:tc>
        <w:tc>
          <w:tcPr>
            <w:tcW w:w="17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440EE36">
            <w:pPr>
              <w:jc w:val="center"/>
              <w:rPr>
                <w:rFonts w:hint="eastAsia" w:ascii="微软雅黑" w:hAnsi="微软雅黑" w:eastAsia="微软雅黑" w:cs="微软雅黑"/>
                <w:i/>
                <w:iCs/>
                <w:color w:val="000000"/>
                <w:sz w:val="16"/>
                <w:szCs w:val="16"/>
                <w:u w:val="none"/>
              </w:rPr>
            </w:pPr>
          </w:p>
        </w:tc>
        <w:tc>
          <w:tcPr>
            <w:tcW w:w="9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D925C2">
            <w:pPr>
              <w:jc w:val="center"/>
              <w:rPr>
                <w:rFonts w:hint="eastAsia" w:ascii="微软雅黑" w:hAnsi="微软雅黑" w:eastAsia="微软雅黑" w:cs="微软雅黑"/>
                <w:i/>
                <w:iCs/>
                <w:color w:val="000000"/>
                <w:sz w:val="16"/>
                <w:szCs w:val="16"/>
                <w:u w:val="none"/>
              </w:rPr>
            </w:pPr>
          </w:p>
        </w:tc>
        <w:tc>
          <w:tcPr>
            <w:tcW w:w="4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CE2DC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3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026F7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C13E12">
            <w:pPr>
              <w:rPr>
                <w:rFonts w:hint="eastAsia" w:ascii="黑体" w:hAnsi="黑体" w:eastAsia="黑体" w:cs="黑体"/>
                <w:i/>
                <w:iCs/>
                <w:color w:val="000000"/>
                <w:sz w:val="18"/>
                <w:szCs w:val="18"/>
                <w:u w:val="none"/>
              </w:rPr>
            </w:pPr>
          </w:p>
        </w:tc>
      </w:tr>
      <w:tr w14:paraId="5F10EE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54" w:hRule="atLeast"/>
        </w:trPr>
        <w:tc>
          <w:tcPr>
            <w:tcW w:w="61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FAE95D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13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CDFEE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3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D9E52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20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A29A9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83F8B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5E2D8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9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149E9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4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0035C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3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34360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F2066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22AB0A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3" w:hRule="atLeast"/>
        </w:trPr>
        <w:tc>
          <w:tcPr>
            <w:tcW w:w="6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3353D2">
            <w:pPr>
              <w:jc w:val="center"/>
              <w:rPr>
                <w:rFonts w:hint="eastAsia" w:ascii="宋体" w:hAnsi="宋体" w:eastAsia="宋体" w:cs="宋体"/>
                <w:i w:val="0"/>
                <w:iCs w:val="0"/>
                <w:color w:val="000000"/>
                <w:sz w:val="18"/>
                <w:szCs w:val="18"/>
                <w:u w:val="none"/>
              </w:rPr>
            </w:pPr>
          </w:p>
        </w:tc>
        <w:tc>
          <w:tcPr>
            <w:tcW w:w="134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0CD1B8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3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D170C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20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FCACE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花卉种质资源培育数量</w:t>
            </w: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92F97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45CB4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w:t>
            </w:r>
          </w:p>
        </w:tc>
        <w:tc>
          <w:tcPr>
            <w:tcW w:w="9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39DF47">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2000</w:t>
            </w:r>
          </w:p>
        </w:tc>
        <w:tc>
          <w:tcPr>
            <w:tcW w:w="4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B753E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3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DCA41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18</w:t>
            </w:r>
          </w:p>
        </w:tc>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C4F79D">
            <w:pPr>
              <w:jc w:val="center"/>
              <w:rPr>
                <w:rFonts w:hint="eastAsia" w:ascii="微软雅黑" w:hAnsi="微软雅黑" w:eastAsia="微软雅黑" w:cs="微软雅黑"/>
                <w:i/>
                <w:iCs/>
                <w:color w:val="000000"/>
                <w:sz w:val="16"/>
                <w:szCs w:val="16"/>
                <w:u w:val="none"/>
              </w:rPr>
            </w:pPr>
          </w:p>
        </w:tc>
      </w:tr>
      <w:tr w14:paraId="0DF46F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3" w:hRule="atLeast"/>
        </w:trPr>
        <w:tc>
          <w:tcPr>
            <w:tcW w:w="6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46A7AE">
            <w:pPr>
              <w:jc w:val="center"/>
              <w:rPr>
                <w:rFonts w:hint="eastAsia" w:ascii="宋体" w:hAnsi="宋体" w:eastAsia="宋体" w:cs="宋体"/>
                <w:i w:val="0"/>
                <w:iCs w:val="0"/>
                <w:color w:val="000000"/>
                <w:sz w:val="18"/>
                <w:szCs w:val="18"/>
                <w:u w:val="none"/>
              </w:rPr>
            </w:pPr>
          </w:p>
        </w:tc>
        <w:tc>
          <w:tcPr>
            <w:tcW w:w="13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AACED5">
            <w:pPr>
              <w:jc w:val="center"/>
              <w:rPr>
                <w:rFonts w:hint="eastAsia" w:ascii="宋体" w:hAnsi="宋体" w:eastAsia="宋体" w:cs="宋体"/>
                <w:i w:val="0"/>
                <w:iCs w:val="0"/>
                <w:color w:val="000000"/>
                <w:sz w:val="18"/>
                <w:szCs w:val="18"/>
                <w:u w:val="none"/>
              </w:rPr>
            </w:pPr>
          </w:p>
        </w:tc>
        <w:tc>
          <w:tcPr>
            <w:tcW w:w="13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E659D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20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92F50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花卉种植合格率</w:t>
            </w: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DF056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5035F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90</w:t>
            </w:r>
          </w:p>
        </w:tc>
        <w:tc>
          <w:tcPr>
            <w:tcW w:w="9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354B23">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90</w:t>
            </w:r>
          </w:p>
        </w:tc>
        <w:tc>
          <w:tcPr>
            <w:tcW w:w="4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8C069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3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E18DE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w:t>
            </w:r>
          </w:p>
        </w:tc>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8DF984">
            <w:pPr>
              <w:jc w:val="center"/>
              <w:rPr>
                <w:rFonts w:hint="eastAsia" w:ascii="微软雅黑" w:hAnsi="微软雅黑" w:eastAsia="微软雅黑" w:cs="微软雅黑"/>
                <w:i/>
                <w:iCs/>
                <w:color w:val="000000"/>
                <w:sz w:val="16"/>
                <w:szCs w:val="16"/>
                <w:u w:val="none"/>
              </w:rPr>
            </w:pPr>
          </w:p>
        </w:tc>
      </w:tr>
      <w:tr w14:paraId="7F3825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3" w:hRule="atLeast"/>
        </w:trPr>
        <w:tc>
          <w:tcPr>
            <w:tcW w:w="6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3187FE">
            <w:pPr>
              <w:jc w:val="center"/>
              <w:rPr>
                <w:rFonts w:hint="eastAsia" w:ascii="宋体" w:hAnsi="宋体" w:eastAsia="宋体" w:cs="宋体"/>
                <w:i w:val="0"/>
                <w:iCs w:val="0"/>
                <w:color w:val="000000"/>
                <w:sz w:val="18"/>
                <w:szCs w:val="18"/>
                <w:u w:val="none"/>
              </w:rPr>
            </w:pPr>
          </w:p>
        </w:tc>
        <w:tc>
          <w:tcPr>
            <w:tcW w:w="13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FAB8DD">
            <w:pPr>
              <w:jc w:val="center"/>
              <w:rPr>
                <w:rFonts w:hint="eastAsia" w:ascii="宋体" w:hAnsi="宋体" w:eastAsia="宋体" w:cs="宋体"/>
                <w:i w:val="0"/>
                <w:iCs w:val="0"/>
                <w:color w:val="000000"/>
                <w:sz w:val="18"/>
                <w:szCs w:val="18"/>
                <w:u w:val="none"/>
              </w:rPr>
            </w:pPr>
          </w:p>
        </w:tc>
        <w:tc>
          <w:tcPr>
            <w:tcW w:w="13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DC3C0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20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9097D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项目完成时间</w:t>
            </w: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5FBE7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A643F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w:t>
            </w:r>
          </w:p>
        </w:tc>
        <w:tc>
          <w:tcPr>
            <w:tcW w:w="9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75905A">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3</w:t>
            </w:r>
          </w:p>
        </w:tc>
        <w:tc>
          <w:tcPr>
            <w:tcW w:w="4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BCE5A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3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63A1F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w:t>
            </w:r>
          </w:p>
        </w:tc>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DA3DE8">
            <w:pPr>
              <w:jc w:val="center"/>
              <w:rPr>
                <w:rFonts w:hint="eastAsia" w:ascii="微软雅黑" w:hAnsi="微软雅黑" w:eastAsia="微软雅黑" w:cs="微软雅黑"/>
                <w:i/>
                <w:iCs/>
                <w:color w:val="000000"/>
                <w:sz w:val="16"/>
                <w:szCs w:val="16"/>
                <w:u w:val="none"/>
              </w:rPr>
            </w:pPr>
          </w:p>
        </w:tc>
      </w:tr>
      <w:tr w14:paraId="333A81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39" w:hRule="atLeast"/>
        </w:trPr>
        <w:tc>
          <w:tcPr>
            <w:tcW w:w="6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04482F">
            <w:pPr>
              <w:jc w:val="center"/>
              <w:rPr>
                <w:rFonts w:hint="eastAsia" w:ascii="宋体" w:hAnsi="宋体" w:eastAsia="宋体" w:cs="宋体"/>
                <w:i w:val="0"/>
                <w:iCs w:val="0"/>
                <w:color w:val="000000"/>
                <w:sz w:val="18"/>
                <w:szCs w:val="18"/>
                <w:u w:val="none"/>
              </w:rPr>
            </w:pPr>
          </w:p>
        </w:tc>
        <w:tc>
          <w:tcPr>
            <w:tcW w:w="134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84069B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3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AA64B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20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6F5D6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强化我州对高山和草地的花卉科学培育监督管理</w:t>
            </w: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F28E3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90207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明显</w:t>
            </w:r>
          </w:p>
        </w:tc>
        <w:tc>
          <w:tcPr>
            <w:tcW w:w="9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84216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明显</w:t>
            </w:r>
          </w:p>
        </w:tc>
        <w:tc>
          <w:tcPr>
            <w:tcW w:w="4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A6C18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3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32941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w:t>
            </w:r>
          </w:p>
        </w:tc>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9E96AE">
            <w:pPr>
              <w:jc w:val="center"/>
              <w:rPr>
                <w:rFonts w:hint="eastAsia" w:ascii="微软雅黑" w:hAnsi="微软雅黑" w:eastAsia="微软雅黑" w:cs="微软雅黑"/>
                <w:i/>
                <w:iCs/>
                <w:color w:val="000000"/>
                <w:sz w:val="16"/>
                <w:szCs w:val="16"/>
                <w:u w:val="none"/>
              </w:rPr>
            </w:pPr>
          </w:p>
        </w:tc>
      </w:tr>
      <w:tr w14:paraId="155549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87" w:hRule="atLeast"/>
        </w:trPr>
        <w:tc>
          <w:tcPr>
            <w:tcW w:w="6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E3E1BB">
            <w:pPr>
              <w:jc w:val="center"/>
              <w:rPr>
                <w:rFonts w:hint="eastAsia" w:ascii="宋体" w:hAnsi="宋体" w:eastAsia="宋体" w:cs="宋体"/>
                <w:i w:val="0"/>
                <w:iCs w:val="0"/>
                <w:color w:val="000000"/>
                <w:sz w:val="18"/>
                <w:szCs w:val="18"/>
                <w:u w:val="none"/>
              </w:rPr>
            </w:pPr>
          </w:p>
        </w:tc>
        <w:tc>
          <w:tcPr>
            <w:tcW w:w="13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B005F9">
            <w:pPr>
              <w:jc w:val="center"/>
              <w:rPr>
                <w:rFonts w:hint="eastAsia" w:ascii="宋体" w:hAnsi="宋体" w:eastAsia="宋体" w:cs="宋体"/>
                <w:i w:val="0"/>
                <w:iCs w:val="0"/>
                <w:color w:val="000000"/>
                <w:sz w:val="18"/>
                <w:szCs w:val="18"/>
                <w:u w:val="none"/>
              </w:rPr>
            </w:pPr>
          </w:p>
        </w:tc>
        <w:tc>
          <w:tcPr>
            <w:tcW w:w="13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767DD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可持续发展指标</w:t>
            </w:r>
          </w:p>
        </w:tc>
        <w:tc>
          <w:tcPr>
            <w:tcW w:w="20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A6CE1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持续强化我州对高山和草地的花卉科学培育</w:t>
            </w: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D9B13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707C3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明显</w:t>
            </w:r>
          </w:p>
        </w:tc>
        <w:tc>
          <w:tcPr>
            <w:tcW w:w="9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B5551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明显</w:t>
            </w:r>
          </w:p>
        </w:tc>
        <w:tc>
          <w:tcPr>
            <w:tcW w:w="4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1E75C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3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49D68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w:t>
            </w:r>
          </w:p>
        </w:tc>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C829CE">
            <w:pPr>
              <w:jc w:val="center"/>
              <w:rPr>
                <w:rFonts w:hint="eastAsia" w:ascii="微软雅黑" w:hAnsi="微软雅黑" w:eastAsia="微软雅黑" w:cs="微软雅黑"/>
                <w:i/>
                <w:iCs/>
                <w:color w:val="000000"/>
                <w:sz w:val="16"/>
                <w:szCs w:val="16"/>
                <w:u w:val="none"/>
              </w:rPr>
            </w:pPr>
          </w:p>
        </w:tc>
      </w:tr>
      <w:tr w14:paraId="7F6CD7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3" w:hRule="atLeast"/>
        </w:trPr>
        <w:tc>
          <w:tcPr>
            <w:tcW w:w="6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C2425A">
            <w:pPr>
              <w:jc w:val="center"/>
              <w:rPr>
                <w:rFonts w:hint="eastAsia" w:ascii="宋体" w:hAnsi="宋体" w:eastAsia="宋体" w:cs="宋体"/>
                <w:i w:val="0"/>
                <w:iCs w:val="0"/>
                <w:color w:val="000000"/>
                <w:sz w:val="18"/>
                <w:szCs w:val="18"/>
                <w:u w:val="none"/>
              </w:rPr>
            </w:pPr>
          </w:p>
        </w:tc>
        <w:tc>
          <w:tcPr>
            <w:tcW w:w="13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04F12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3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F73F2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20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87ED4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群众满意度</w:t>
            </w: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81A09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0563C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90</w:t>
            </w:r>
          </w:p>
        </w:tc>
        <w:tc>
          <w:tcPr>
            <w:tcW w:w="9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B3B58C">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90</w:t>
            </w:r>
          </w:p>
        </w:tc>
        <w:tc>
          <w:tcPr>
            <w:tcW w:w="4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551D5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3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5C3B4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w:t>
            </w:r>
          </w:p>
        </w:tc>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47F295">
            <w:pPr>
              <w:jc w:val="center"/>
              <w:rPr>
                <w:rFonts w:hint="eastAsia" w:ascii="微软雅黑" w:hAnsi="微软雅黑" w:eastAsia="微软雅黑" w:cs="微软雅黑"/>
                <w:i/>
                <w:iCs/>
                <w:color w:val="000000"/>
                <w:sz w:val="16"/>
                <w:szCs w:val="16"/>
                <w:u w:val="none"/>
              </w:rPr>
            </w:pPr>
          </w:p>
        </w:tc>
      </w:tr>
      <w:tr w14:paraId="13AEDD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3" w:hRule="atLeast"/>
        </w:trPr>
        <w:tc>
          <w:tcPr>
            <w:tcW w:w="6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F46A7F">
            <w:pPr>
              <w:jc w:val="center"/>
              <w:rPr>
                <w:rFonts w:hint="eastAsia" w:ascii="宋体" w:hAnsi="宋体" w:eastAsia="宋体" w:cs="宋体"/>
                <w:i w:val="0"/>
                <w:iCs w:val="0"/>
                <w:color w:val="000000"/>
                <w:sz w:val="18"/>
                <w:szCs w:val="18"/>
                <w:u w:val="none"/>
              </w:rPr>
            </w:pPr>
          </w:p>
        </w:tc>
        <w:tc>
          <w:tcPr>
            <w:tcW w:w="13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CB759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13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85D04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20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B23E8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成本控制率</w:t>
            </w: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251AD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7AB45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w:t>
            </w:r>
          </w:p>
        </w:tc>
        <w:tc>
          <w:tcPr>
            <w:tcW w:w="9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C3545D">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5.7</w:t>
            </w:r>
          </w:p>
        </w:tc>
        <w:tc>
          <w:tcPr>
            <w:tcW w:w="4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1F7C3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3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322B2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16</w:t>
            </w:r>
          </w:p>
        </w:tc>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1EADD9">
            <w:pPr>
              <w:jc w:val="center"/>
              <w:rPr>
                <w:rFonts w:hint="eastAsia" w:ascii="微软雅黑" w:hAnsi="微软雅黑" w:eastAsia="微软雅黑" w:cs="微软雅黑"/>
                <w:i/>
                <w:iCs/>
                <w:color w:val="000000"/>
                <w:sz w:val="16"/>
                <w:szCs w:val="16"/>
                <w:u w:val="none"/>
              </w:rPr>
            </w:pPr>
          </w:p>
        </w:tc>
      </w:tr>
      <w:tr w14:paraId="7B2A63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3" w:hRule="atLeast"/>
        </w:trPr>
        <w:tc>
          <w:tcPr>
            <w:tcW w:w="7977"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7035B86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4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4F542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3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C2D72A">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87</w:t>
            </w:r>
          </w:p>
        </w:tc>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FAEF9E">
            <w:pPr>
              <w:rPr>
                <w:rFonts w:hint="eastAsia" w:ascii="宋体" w:hAnsi="宋体" w:eastAsia="宋体" w:cs="宋体"/>
                <w:i w:val="0"/>
                <w:iCs w:val="0"/>
                <w:color w:val="000000"/>
                <w:sz w:val="18"/>
                <w:szCs w:val="18"/>
                <w:u w:val="none"/>
              </w:rPr>
            </w:pPr>
          </w:p>
        </w:tc>
      </w:tr>
      <w:tr w14:paraId="191267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87" w:hRule="atLeast"/>
        </w:trPr>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A73B2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8908"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0C281AB8">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顺利完成了年度目标，经过三年调查、繁育研究为下一步发展林下产业奠定了基础。</w:t>
            </w:r>
          </w:p>
        </w:tc>
      </w:tr>
      <w:tr w14:paraId="15034D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87" w:hRule="atLeast"/>
        </w:trPr>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19CF5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8908"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479E6267">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高山和草地珍稀花卉培育难度大，生长环境较差，野外采种调查难度较大。</w:t>
            </w:r>
          </w:p>
        </w:tc>
      </w:tr>
      <w:tr w14:paraId="47C478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87" w:hRule="atLeast"/>
        </w:trPr>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5E1A6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8908"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2CA43603">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加强调查规模，利用无人机等高科技进行调查，改变种子收集方式。</w:t>
            </w:r>
          </w:p>
        </w:tc>
      </w:tr>
      <w:tr w14:paraId="419A3D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4" w:hRule="atLeast"/>
        </w:trPr>
        <w:tc>
          <w:tcPr>
            <w:tcW w:w="573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7CEC155">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w:t>
            </w:r>
          </w:p>
        </w:tc>
        <w:tc>
          <w:tcPr>
            <w:tcW w:w="378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7EE858F">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w:t>
            </w:r>
          </w:p>
        </w:tc>
      </w:tr>
    </w:tbl>
    <w:p w14:paraId="40B1A9CA">
      <w:pPr>
        <w:keepNext w:val="0"/>
        <w:keepLines w:val="0"/>
        <w:pageBreakBefore w:val="0"/>
        <w:widowControl/>
        <w:suppressLineNumbers w:val="0"/>
        <w:kinsoku/>
        <w:wordWrap/>
        <w:overflowPunct/>
        <w:topLinePunct w:val="0"/>
        <w:autoSpaceDE/>
        <w:autoSpaceDN/>
        <w:bidi w:val="0"/>
        <w:adjustRightInd/>
        <w:snapToGrid/>
        <w:spacing w:line="578" w:lineRule="exact"/>
        <w:jc w:val="both"/>
        <w:textAlignment w:val="center"/>
        <w:outlineLvl w:val="9"/>
        <w:rPr>
          <w:rFonts w:hint="default" w:eastAsia="方正小标宋简体" w:cs="Times New Roman"/>
          <w:i w:val="0"/>
          <w:color w:val="000000"/>
          <w:kern w:val="0"/>
          <w:sz w:val="32"/>
          <w:szCs w:val="32"/>
          <w:u w:val="none"/>
          <w:lang w:val="en-US" w:eastAsia="zh-CN" w:bidi="ar"/>
        </w:rPr>
      </w:pPr>
    </w:p>
    <w:p w14:paraId="24C8C662">
      <w:pPr>
        <w:keepNext w:val="0"/>
        <w:keepLines w:val="0"/>
        <w:pageBreakBefore w:val="0"/>
        <w:widowControl/>
        <w:suppressLineNumbers w:val="0"/>
        <w:kinsoku/>
        <w:wordWrap/>
        <w:overflowPunct/>
        <w:topLinePunct w:val="0"/>
        <w:autoSpaceDE/>
        <w:autoSpaceDN/>
        <w:bidi w:val="0"/>
        <w:adjustRightInd/>
        <w:snapToGrid/>
        <w:spacing w:line="578" w:lineRule="exact"/>
        <w:jc w:val="both"/>
        <w:textAlignment w:val="center"/>
        <w:outlineLvl w:val="9"/>
        <w:rPr>
          <w:rFonts w:hint="default" w:eastAsia="方正小标宋简体" w:cs="Times New Roman"/>
          <w:i w:val="0"/>
          <w:color w:val="000000"/>
          <w:kern w:val="0"/>
          <w:sz w:val="32"/>
          <w:szCs w:val="32"/>
          <w:u w:val="none"/>
          <w:lang w:val="en-US" w:eastAsia="zh-CN" w:bidi="ar"/>
        </w:rPr>
      </w:pPr>
    </w:p>
    <w:p w14:paraId="025CEA26">
      <w:pPr>
        <w:keepNext w:val="0"/>
        <w:keepLines w:val="0"/>
        <w:pageBreakBefore w:val="0"/>
        <w:widowControl/>
        <w:suppressLineNumbers w:val="0"/>
        <w:kinsoku/>
        <w:wordWrap/>
        <w:overflowPunct/>
        <w:topLinePunct w:val="0"/>
        <w:autoSpaceDE/>
        <w:autoSpaceDN/>
        <w:bidi w:val="0"/>
        <w:adjustRightInd/>
        <w:snapToGrid/>
        <w:spacing w:line="578" w:lineRule="exact"/>
        <w:jc w:val="both"/>
        <w:textAlignment w:val="center"/>
        <w:outlineLvl w:val="9"/>
        <w:rPr>
          <w:rFonts w:hint="default" w:eastAsia="方正小标宋简体" w:cs="Times New Roman"/>
          <w:i w:val="0"/>
          <w:color w:val="000000"/>
          <w:kern w:val="0"/>
          <w:sz w:val="32"/>
          <w:szCs w:val="32"/>
          <w:u w:val="none"/>
          <w:lang w:val="en-US" w:eastAsia="zh-CN" w:bidi="ar"/>
        </w:rPr>
      </w:pPr>
    </w:p>
    <w:p w14:paraId="29276211">
      <w:pPr>
        <w:keepNext w:val="0"/>
        <w:keepLines w:val="0"/>
        <w:pageBreakBefore w:val="0"/>
        <w:widowControl/>
        <w:suppressLineNumbers w:val="0"/>
        <w:kinsoku/>
        <w:wordWrap/>
        <w:overflowPunct/>
        <w:topLinePunct w:val="0"/>
        <w:autoSpaceDE/>
        <w:autoSpaceDN/>
        <w:bidi w:val="0"/>
        <w:adjustRightInd/>
        <w:snapToGrid/>
        <w:spacing w:line="578" w:lineRule="exact"/>
        <w:jc w:val="both"/>
        <w:textAlignment w:val="center"/>
        <w:outlineLvl w:val="9"/>
        <w:rPr>
          <w:rFonts w:hint="default" w:eastAsia="方正小标宋简体" w:cs="Times New Roman"/>
          <w:i w:val="0"/>
          <w:color w:val="000000"/>
          <w:kern w:val="0"/>
          <w:sz w:val="32"/>
          <w:szCs w:val="32"/>
          <w:u w:val="none"/>
          <w:lang w:val="en-US" w:eastAsia="zh-CN" w:bidi="ar"/>
        </w:rPr>
      </w:pPr>
    </w:p>
    <w:p w14:paraId="54F36933">
      <w:pPr>
        <w:keepNext w:val="0"/>
        <w:keepLines w:val="0"/>
        <w:pageBreakBefore w:val="0"/>
        <w:widowControl/>
        <w:suppressLineNumbers w:val="0"/>
        <w:kinsoku/>
        <w:wordWrap/>
        <w:overflowPunct/>
        <w:topLinePunct w:val="0"/>
        <w:autoSpaceDE/>
        <w:autoSpaceDN/>
        <w:bidi w:val="0"/>
        <w:adjustRightInd/>
        <w:snapToGrid/>
        <w:spacing w:line="578" w:lineRule="exact"/>
        <w:jc w:val="both"/>
        <w:textAlignment w:val="center"/>
        <w:outlineLvl w:val="9"/>
        <w:rPr>
          <w:rFonts w:hint="default" w:eastAsia="方正小标宋简体" w:cs="Times New Roman"/>
          <w:i w:val="0"/>
          <w:color w:val="000000"/>
          <w:kern w:val="0"/>
          <w:sz w:val="32"/>
          <w:szCs w:val="32"/>
          <w:u w:val="none"/>
          <w:lang w:val="en-US" w:eastAsia="zh-CN" w:bidi="ar"/>
        </w:rPr>
      </w:pPr>
    </w:p>
    <w:p w14:paraId="3AAC83FA">
      <w:pPr>
        <w:keepNext w:val="0"/>
        <w:keepLines w:val="0"/>
        <w:pageBreakBefore w:val="0"/>
        <w:widowControl/>
        <w:suppressLineNumbers w:val="0"/>
        <w:kinsoku/>
        <w:wordWrap/>
        <w:overflowPunct/>
        <w:topLinePunct w:val="0"/>
        <w:autoSpaceDE/>
        <w:autoSpaceDN/>
        <w:bidi w:val="0"/>
        <w:adjustRightInd/>
        <w:snapToGrid/>
        <w:spacing w:line="578" w:lineRule="exact"/>
        <w:jc w:val="both"/>
        <w:textAlignment w:val="center"/>
        <w:outlineLvl w:val="9"/>
        <w:rPr>
          <w:rFonts w:hint="default" w:eastAsia="方正小标宋简体" w:cs="Times New Roman"/>
          <w:i w:val="0"/>
          <w:color w:val="000000"/>
          <w:kern w:val="0"/>
          <w:sz w:val="32"/>
          <w:szCs w:val="32"/>
          <w:u w:val="none"/>
          <w:lang w:val="en-US" w:eastAsia="zh-CN" w:bidi="ar"/>
        </w:rPr>
      </w:pPr>
    </w:p>
    <w:p w14:paraId="612B4577">
      <w:pPr>
        <w:keepNext w:val="0"/>
        <w:keepLines w:val="0"/>
        <w:pageBreakBefore w:val="0"/>
        <w:widowControl/>
        <w:suppressLineNumbers w:val="0"/>
        <w:kinsoku/>
        <w:wordWrap/>
        <w:overflowPunct/>
        <w:topLinePunct w:val="0"/>
        <w:autoSpaceDE/>
        <w:autoSpaceDN/>
        <w:bidi w:val="0"/>
        <w:adjustRightInd/>
        <w:snapToGrid/>
        <w:spacing w:line="578" w:lineRule="exact"/>
        <w:jc w:val="both"/>
        <w:textAlignment w:val="center"/>
        <w:outlineLvl w:val="9"/>
        <w:rPr>
          <w:rFonts w:hint="default" w:eastAsia="方正小标宋简体" w:cs="Times New Roman"/>
          <w:i w:val="0"/>
          <w:color w:val="000000"/>
          <w:kern w:val="0"/>
          <w:sz w:val="32"/>
          <w:szCs w:val="32"/>
          <w:u w:val="none"/>
          <w:lang w:val="en-US" w:eastAsia="zh-CN" w:bidi="ar"/>
        </w:rPr>
      </w:pPr>
    </w:p>
    <w:p w14:paraId="0EF48481">
      <w:pPr>
        <w:keepNext w:val="0"/>
        <w:keepLines w:val="0"/>
        <w:pageBreakBefore w:val="0"/>
        <w:widowControl/>
        <w:suppressLineNumbers w:val="0"/>
        <w:kinsoku/>
        <w:wordWrap/>
        <w:overflowPunct/>
        <w:topLinePunct w:val="0"/>
        <w:autoSpaceDE/>
        <w:autoSpaceDN/>
        <w:bidi w:val="0"/>
        <w:adjustRightInd/>
        <w:snapToGrid/>
        <w:spacing w:line="578" w:lineRule="exact"/>
        <w:jc w:val="both"/>
        <w:textAlignment w:val="center"/>
        <w:outlineLvl w:val="9"/>
        <w:rPr>
          <w:rFonts w:hint="default" w:eastAsia="方正小标宋简体" w:cs="Times New Roman"/>
          <w:i w:val="0"/>
          <w:color w:val="000000"/>
          <w:kern w:val="0"/>
          <w:sz w:val="32"/>
          <w:szCs w:val="32"/>
          <w:u w:val="none"/>
          <w:lang w:val="en-US" w:eastAsia="zh-CN" w:bidi="ar"/>
        </w:rPr>
      </w:pPr>
    </w:p>
    <w:p w14:paraId="456C8B50">
      <w:pPr>
        <w:keepNext w:val="0"/>
        <w:keepLines w:val="0"/>
        <w:pageBreakBefore w:val="0"/>
        <w:widowControl/>
        <w:suppressLineNumbers w:val="0"/>
        <w:kinsoku/>
        <w:wordWrap/>
        <w:overflowPunct/>
        <w:topLinePunct w:val="0"/>
        <w:autoSpaceDE/>
        <w:autoSpaceDN/>
        <w:bidi w:val="0"/>
        <w:adjustRightInd/>
        <w:snapToGrid/>
        <w:spacing w:line="578" w:lineRule="exact"/>
        <w:jc w:val="both"/>
        <w:textAlignment w:val="center"/>
        <w:outlineLvl w:val="9"/>
        <w:rPr>
          <w:rFonts w:hint="default" w:eastAsia="方正小标宋简体" w:cs="Times New Roman"/>
          <w:i w:val="0"/>
          <w:color w:val="000000"/>
          <w:kern w:val="0"/>
          <w:sz w:val="32"/>
          <w:szCs w:val="32"/>
          <w:u w:val="none"/>
          <w:lang w:val="en-US" w:eastAsia="zh-CN" w:bidi="ar"/>
        </w:rPr>
      </w:pPr>
    </w:p>
    <w:p w14:paraId="3E7B4563">
      <w:pPr>
        <w:keepNext w:val="0"/>
        <w:keepLines w:val="0"/>
        <w:pageBreakBefore w:val="0"/>
        <w:widowControl/>
        <w:suppressLineNumbers w:val="0"/>
        <w:kinsoku/>
        <w:wordWrap/>
        <w:overflowPunct/>
        <w:topLinePunct w:val="0"/>
        <w:autoSpaceDE/>
        <w:autoSpaceDN/>
        <w:bidi w:val="0"/>
        <w:adjustRightInd/>
        <w:snapToGrid/>
        <w:spacing w:line="578" w:lineRule="exact"/>
        <w:jc w:val="both"/>
        <w:textAlignment w:val="center"/>
        <w:outlineLvl w:val="9"/>
        <w:rPr>
          <w:rFonts w:hint="default" w:eastAsia="方正小标宋简体" w:cs="Times New Roman"/>
          <w:i w:val="0"/>
          <w:color w:val="000000"/>
          <w:kern w:val="0"/>
          <w:sz w:val="32"/>
          <w:szCs w:val="32"/>
          <w:u w:val="none"/>
          <w:lang w:val="en-US" w:eastAsia="zh-CN" w:bidi="ar"/>
        </w:rPr>
      </w:pPr>
    </w:p>
    <w:tbl>
      <w:tblPr>
        <w:tblStyle w:val="17"/>
        <w:tblW w:w="984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07"/>
        <w:gridCol w:w="1058"/>
        <w:gridCol w:w="1559"/>
        <w:gridCol w:w="1996"/>
        <w:gridCol w:w="465"/>
        <w:gridCol w:w="1005"/>
        <w:gridCol w:w="470"/>
        <w:gridCol w:w="970"/>
        <w:gridCol w:w="486"/>
        <w:gridCol w:w="398"/>
        <w:gridCol w:w="826"/>
      </w:tblGrid>
      <w:tr w14:paraId="603CC5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19" w:hRule="atLeast"/>
        </w:trPr>
        <w:tc>
          <w:tcPr>
            <w:tcW w:w="9840"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76043D51">
            <w:pPr>
              <w:keepNext w:val="0"/>
              <w:keepLines w:val="0"/>
              <w:widowControl/>
              <w:suppressLineNumbers w:val="0"/>
              <w:jc w:val="center"/>
              <w:textAlignment w:val="center"/>
              <w:rPr>
                <w:rFonts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218B0B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3" w:hRule="atLeast"/>
        </w:trPr>
        <w:tc>
          <w:tcPr>
            <w:tcW w:w="166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EC4122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8172"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7217029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51320022T000000347187-阿坝州林草系统工程督导检查专项经费</w:t>
            </w:r>
          </w:p>
        </w:tc>
      </w:tr>
      <w:tr w14:paraId="7B2834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85" w:hRule="atLeast"/>
        </w:trPr>
        <w:tc>
          <w:tcPr>
            <w:tcW w:w="166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4BC8C4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5504" w:type="dxa"/>
            <w:gridSpan w:val="5"/>
            <w:tcBorders>
              <w:top w:val="single" w:color="000000" w:sz="4" w:space="0"/>
              <w:left w:val="single" w:color="000000" w:sz="4" w:space="0"/>
              <w:bottom w:val="single" w:color="000000" w:sz="4" w:space="0"/>
              <w:right w:val="single" w:color="auto" w:sz="4" w:space="0"/>
            </w:tcBorders>
            <w:shd w:val="clear" w:color="auto" w:fill="auto"/>
            <w:vAlign w:val="center"/>
          </w:tcPr>
          <w:p w14:paraId="082253B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州林草局部门</w:t>
            </w:r>
          </w:p>
        </w:tc>
        <w:tc>
          <w:tcPr>
            <w:tcW w:w="970" w:type="dxa"/>
            <w:tcBorders>
              <w:top w:val="single" w:color="auto" w:sz="4" w:space="0"/>
              <w:left w:val="single" w:color="auto" w:sz="4" w:space="0"/>
              <w:bottom w:val="single" w:color="auto" w:sz="4" w:space="0"/>
              <w:right w:val="nil"/>
            </w:tcBorders>
            <w:shd w:val="clear" w:color="auto" w:fill="auto"/>
            <w:vAlign w:val="center"/>
          </w:tcPr>
          <w:p w14:paraId="59E1ADA4">
            <w:pPr>
              <w:keepNext w:val="0"/>
              <w:keepLines w:val="0"/>
              <w:widowControl/>
              <w:suppressLineNumbers w:val="0"/>
              <w:jc w:val="left"/>
              <w:textAlignment w:val="center"/>
              <w:rPr>
                <w:rFonts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1698" w:type="dxa"/>
            <w:gridSpan w:val="3"/>
            <w:tcBorders>
              <w:top w:val="single" w:color="auto" w:sz="4" w:space="0"/>
              <w:left w:val="single" w:color="000000" w:sz="4" w:space="0"/>
              <w:bottom w:val="single" w:color="auto" w:sz="4" w:space="0"/>
              <w:right w:val="single" w:color="auto" w:sz="4" w:space="0"/>
            </w:tcBorders>
            <w:shd w:val="clear" w:color="auto" w:fill="auto"/>
            <w:vAlign w:val="center"/>
          </w:tcPr>
          <w:p w14:paraId="4BD0B54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州林业和草原科技研究所</w:t>
            </w:r>
          </w:p>
        </w:tc>
      </w:tr>
      <w:tr w14:paraId="643246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3" w:hRule="atLeast"/>
        </w:trPr>
        <w:tc>
          <w:tcPr>
            <w:tcW w:w="60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BF0315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10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C4E4BF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550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57B7E3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2668" w:type="dxa"/>
            <w:gridSpan w:val="4"/>
            <w:tcBorders>
              <w:top w:val="single" w:color="auto" w:sz="4" w:space="0"/>
              <w:left w:val="single" w:color="000000" w:sz="4" w:space="0"/>
              <w:bottom w:val="single" w:color="000000" w:sz="4" w:space="0"/>
              <w:right w:val="single" w:color="000000" w:sz="4" w:space="0"/>
            </w:tcBorders>
            <w:shd w:val="clear" w:color="auto" w:fill="auto"/>
            <w:vAlign w:val="center"/>
          </w:tcPr>
          <w:p w14:paraId="2B7E2F30">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年度目标完成情况</w:t>
            </w:r>
          </w:p>
        </w:tc>
      </w:tr>
      <w:tr w14:paraId="5E0C5D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85" w:hRule="atLeast"/>
        </w:trPr>
        <w:tc>
          <w:tcPr>
            <w:tcW w:w="6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1BECE4">
            <w:pPr>
              <w:rPr>
                <w:rFonts w:hint="eastAsia" w:ascii="宋体" w:hAnsi="宋体" w:eastAsia="宋体" w:cs="宋体"/>
                <w:i w:val="0"/>
                <w:iCs w:val="0"/>
                <w:color w:val="000000"/>
                <w:sz w:val="18"/>
                <w:szCs w:val="18"/>
                <w:u w:val="none"/>
              </w:rPr>
            </w:pPr>
          </w:p>
        </w:tc>
        <w:tc>
          <w:tcPr>
            <w:tcW w:w="10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A8F705">
            <w:pPr>
              <w:rPr>
                <w:rFonts w:hint="eastAsia" w:ascii="宋体" w:hAnsi="宋体" w:eastAsia="宋体" w:cs="宋体"/>
                <w:i w:val="0"/>
                <w:iCs w:val="0"/>
                <w:color w:val="000000"/>
                <w:sz w:val="18"/>
                <w:szCs w:val="18"/>
                <w:u w:val="none"/>
              </w:rPr>
            </w:pPr>
          </w:p>
        </w:tc>
        <w:tc>
          <w:tcPr>
            <w:tcW w:w="550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F00A10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参加全州春季营造林工程检查、森林草原防灭火督查、林草工程检查验收等项目外业调查、内页数据整理等工作。</w:t>
            </w:r>
          </w:p>
        </w:tc>
        <w:tc>
          <w:tcPr>
            <w:tcW w:w="2668"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6CDAB7E">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对照年度目标，说明相关任务目标的完成情况（100字以内）</w:t>
            </w:r>
          </w:p>
        </w:tc>
      </w:tr>
      <w:tr w14:paraId="5C6F31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17" w:hRule="atLeast"/>
        </w:trPr>
        <w:tc>
          <w:tcPr>
            <w:tcW w:w="6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91B64A">
            <w:pPr>
              <w:rPr>
                <w:rFonts w:hint="eastAsia" w:ascii="宋体" w:hAnsi="宋体" w:eastAsia="宋体" w:cs="宋体"/>
                <w:i w:val="0"/>
                <w:iCs w:val="0"/>
                <w:color w:val="000000"/>
                <w:sz w:val="18"/>
                <w:szCs w:val="18"/>
                <w:u w:val="none"/>
              </w:rPr>
            </w:pPr>
          </w:p>
        </w:tc>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0A9A7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8172"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5CEE278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 xml:space="preserve">  督导组通过外业现地调查和查阅内业档案资料对全州营造林工程项目进行了检查，现地调查抽样小班苗木存活率和保存率，栽植密度、造林整地、苗木质量等内容。内业档案资料主要检查苗木购买手续是否具备，数量是否正确，有无施工和监理日志等内容，查出问题及时反馈给被检查单位，限期整改。</w:t>
            </w:r>
          </w:p>
        </w:tc>
      </w:tr>
      <w:tr w14:paraId="2611A6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85" w:hRule="atLeast"/>
        </w:trPr>
        <w:tc>
          <w:tcPr>
            <w:tcW w:w="60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1561B9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CDE9B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5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046FD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AD098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194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109682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9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10B80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4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65C1C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3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8390D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8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3BB18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2EB182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3" w:hRule="atLeast"/>
        </w:trPr>
        <w:tc>
          <w:tcPr>
            <w:tcW w:w="6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6E3B5C">
            <w:pPr>
              <w:jc w:val="center"/>
              <w:rPr>
                <w:rFonts w:hint="eastAsia" w:ascii="宋体" w:hAnsi="宋体" w:eastAsia="宋体" w:cs="宋体"/>
                <w:i w:val="0"/>
                <w:iCs w:val="0"/>
                <w:color w:val="000000"/>
                <w:sz w:val="18"/>
                <w:szCs w:val="18"/>
                <w:u w:val="none"/>
              </w:rPr>
            </w:pPr>
          </w:p>
        </w:tc>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9CBD4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5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7EE9E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1.70</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663FA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1.34</w:t>
            </w:r>
          </w:p>
        </w:tc>
        <w:tc>
          <w:tcPr>
            <w:tcW w:w="194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AEB1DD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1.34</w:t>
            </w:r>
          </w:p>
        </w:tc>
        <w:tc>
          <w:tcPr>
            <w:tcW w:w="9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A29ED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4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055D7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3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091B1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82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F8DD925">
            <w:pPr>
              <w:rPr>
                <w:rFonts w:hint="eastAsia" w:ascii="黑体" w:hAnsi="黑体" w:eastAsia="黑体" w:cs="黑体"/>
                <w:i/>
                <w:iCs/>
                <w:color w:val="000000"/>
                <w:sz w:val="18"/>
                <w:szCs w:val="18"/>
                <w:u w:val="none"/>
              </w:rPr>
            </w:pPr>
          </w:p>
        </w:tc>
      </w:tr>
      <w:tr w14:paraId="608CC1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85" w:hRule="atLeast"/>
        </w:trPr>
        <w:tc>
          <w:tcPr>
            <w:tcW w:w="6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B388B4">
            <w:pPr>
              <w:jc w:val="center"/>
              <w:rPr>
                <w:rFonts w:hint="eastAsia" w:ascii="宋体" w:hAnsi="宋体" w:eastAsia="宋体" w:cs="宋体"/>
                <w:i w:val="0"/>
                <w:iCs w:val="0"/>
                <w:color w:val="000000"/>
                <w:sz w:val="18"/>
                <w:szCs w:val="18"/>
                <w:u w:val="none"/>
              </w:rPr>
            </w:pPr>
          </w:p>
        </w:tc>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E3BE3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5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02016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1.70</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4CE52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1.34</w:t>
            </w:r>
          </w:p>
        </w:tc>
        <w:tc>
          <w:tcPr>
            <w:tcW w:w="194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986ACC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1.34</w:t>
            </w:r>
          </w:p>
        </w:tc>
        <w:tc>
          <w:tcPr>
            <w:tcW w:w="9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202BC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4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EE294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3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ABA5B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2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6F9EA0">
            <w:pPr>
              <w:rPr>
                <w:rFonts w:hint="eastAsia" w:ascii="黑体" w:hAnsi="黑体" w:eastAsia="黑体" w:cs="黑体"/>
                <w:i/>
                <w:iCs/>
                <w:color w:val="000000"/>
                <w:sz w:val="18"/>
                <w:szCs w:val="18"/>
                <w:u w:val="none"/>
              </w:rPr>
            </w:pPr>
          </w:p>
        </w:tc>
      </w:tr>
      <w:tr w14:paraId="14F3F6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85" w:hRule="atLeast"/>
        </w:trPr>
        <w:tc>
          <w:tcPr>
            <w:tcW w:w="6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CEA3F7">
            <w:pPr>
              <w:jc w:val="center"/>
              <w:rPr>
                <w:rFonts w:hint="eastAsia" w:ascii="宋体" w:hAnsi="宋体" w:eastAsia="宋体" w:cs="宋体"/>
                <w:i w:val="0"/>
                <w:iCs w:val="0"/>
                <w:color w:val="000000"/>
                <w:sz w:val="18"/>
                <w:szCs w:val="18"/>
                <w:u w:val="none"/>
              </w:rPr>
            </w:pPr>
          </w:p>
        </w:tc>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98B73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5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6F263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F163F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94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11C776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9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E0F94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4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E2EAA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3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5E897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2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8D0710">
            <w:pPr>
              <w:rPr>
                <w:rFonts w:hint="eastAsia" w:ascii="黑体" w:hAnsi="黑体" w:eastAsia="黑体" w:cs="黑体"/>
                <w:i/>
                <w:iCs/>
                <w:color w:val="000000"/>
                <w:sz w:val="18"/>
                <w:szCs w:val="18"/>
                <w:u w:val="none"/>
              </w:rPr>
            </w:pPr>
          </w:p>
        </w:tc>
      </w:tr>
      <w:tr w14:paraId="3BE573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3" w:hRule="atLeast"/>
        </w:trPr>
        <w:tc>
          <w:tcPr>
            <w:tcW w:w="6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956425">
            <w:pPr>
              <w:jc w:val="center"/>
              <w:rPr>
                <w:rFonts w:hint="eastAsia" w:ascii="宋体" w:hAnsi="宋体" w:eastAsia="宋体" w:cs="宋体"/>
                <w:i w:val="0"/>
                <w:iCs w:val="0"/>
                <w:color w:val="000000"/>
                <w:sz w:val="18"/>
                <w:szCs w:val="18"/>
                <w:u w:val="none"/>
              </w:rPr>
            </w:pPr>
          </w:p>
        </w:tc>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84C60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5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32FFC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4A58E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94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13003F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9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CFB2A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4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FB3E3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3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F789C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2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BCC87D">
            <w:pPr>
              <w:rPr>
                <w:rFonts w:hint="eastAsia" w:ascii="黑体" w:hAnsi="黑体" w:eastAsia="黑体" w:cs="黑体"/>
                <w:i/>
                <w:iCs/>
                <w:color w:val="000000"/>
                <w:sz w:val="18"/>
                <w:szCs w:val="18"/>
                <w:u w:val="none"/>
              </w:rPr>
            </w:pPr>
          </w:p>
        </w:tc>
      </w:tr>
      <w:tr w14:paraId="53BBF4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3" w:hRule="atLeast"/>
        </w:trPr>
        <w:tc>
          <w:tcPr>
            <w:tcW w:w="6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3B0E40">
            <w:pPr>
              <w:jc w:val="center"/>
              <w:rPr>
                <w:rFonts w:hint="eastAsia" w:ascii="宋体" w:hAnsi="宋体" w:eastAsia="宋体" w:cs="宋体"/>
                <w:i w:val="0"/>
                <w:iCs w:val="0"/>
                <w:color w:val="000000"/>
                <w:sz w:val="18"/>
                <w:szCs w:val="18"/>
                <w:u w:val="none"/>
              </w:rPr>
            </w:pPr>
          </w:p>
        </w:tc>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217CB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5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681C90">
            <w:pPr>
              <w:jc w:val="center"/>
              <w:rPr>
                <w:rFonts w:hint="eastAsia" w:ascii="微软雅黑" w:hAnsi="微软雅黑" w:eastAsia="微软雅黑" w:cs="微软雅黑"/>
                <w:i/>
                <w:iCs/>
                <w:color w:val="000000"/>
                <w:sz w:val="16"/>
                <w:szCs w:val="16"/>
                <w:u w:val="none"/>
              </w:rPr>
            </w:pP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720395">
            <w:pPr>
              <w:jc w:val="center"/>
              <w:rPr>
                <w:rFonts w:hint="eastAsia" w:ascii="微软雅黑" w:hAnsi="微软雅黑" w:eastAsia="微软雅黑" w:cs="微软雅黑"/>
                <w:i/>
                <w:iCs/>
                <w:color w:val="000000"/>
                <w:sz w:val="16"/>
                <w:szCs w:val="16"/>
                <w:u w:val="none"/>
              </w:rPr>
            </w:pPr>
          </w:p>
        </w:tc>
        <w:tc>
          <w:tcPr>
            <w:tcW w:w="194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1804EA4">
            <w:pPr>
              <w:jc w:val="center"/>
              <w:rPr>
                <w:rFonts w:hint="eastAsia" w:ascii="微软雅黑" w:hAnsi="微软雅黑" w:eastAsia="微软雅黑" w:cs="微软雅黑"/>
                <w:i/>
                <w:iCs/>
                <w:color w:val="000000"/>
                <w:sz w:val="16"/>
                <w:szCs w:val="16"/>
                <w:u w:val="none"/>
              </w:rPr>
            </w:pPr>
          </w:p>
        </w:tc>
        <w:tc>
          <w:tcPr>
            <w:tcW w:w="9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A59B6A">
            <w:pPr>
              <w:jc w:val="center"/>
              <w:rPr>
                <w:rFonts w:hint="eastAsia" w:ascii="微软雅黑" w:hAnsi="微软雅黑" w:eastAsia="微软雅黑" w:cs="微软雅黑"/>
                <w:i/>
                <w:iCs/>
                <w:color w:val="000000"/>
                <w:sz w:val="16"/>
                <w:szCs w:val="16"/>
                <w:u w:val="none"/>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DF1D2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3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3C971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2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5ED9DD">
            <w:pPr>
              <w:rPr>
                <w:rFonts w:hint="eastAsia" w:ascii="黑体" w:hAnsi="黑体" w:eastAsia="黑体" w:cs="黑体"/>
                <w:i/>
                <w:iCs/>
                <w:color w:val="000000"/>
                <w:sz w:val="18"/>
                <w:szCs w:val="18"/>
                <w:u w:val="none"/>
              </w:rPr>
            </w:pPr>
          </w:p>
        </w:tc>
      </w:tr>
      <w:tr w14:paraId="3486D3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50" w:hRule="atLeast"/>
        </w:trPr>
        <w:tc>
          <w:tcPr>
            <w:tcW w:w="60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9A6548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D0E06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5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C38F3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680C6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E4C71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1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EE468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3B455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9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41E25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4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810CB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3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9402F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8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E07F7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337483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3" w:hRule="atLeast"/>
        </w:trPr>
        <w:tc>
          <w:tcPr>
            <w:tcW w:w="6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FCEABA">
            <w:pPr>
              <w:jc w:val="center"/>
              <w:rPr>
                <w:rFonts w:hint="eastAsia" w:ascii="宋体" w:hAnsi="宋体" w:eastAsia="宋体" w:cs="宋体"/>
                <w:i w:val="0"/>
                <w:iCs w:val="0"/>
                <w:color w:val="000000"/>
                <w:sz w:val="18"/>
                <w:szCs w:val="18"/>
                <w:u w:val="none"/>
              </w:rPr>
            </w:pPr>
          </w:p>
        </w:tc>
        <w:tc>
          <w:tcPr>
            <w:tcW w:w="10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9BCD11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5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6A44D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CBCE5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项目检查完成率</w:t>
            </w: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65200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06EF9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90</w:t>
            </w:r>
          </w:p>
        </w:tc>
        <w:tc>
          <w:tcPr>
            <w:tcW w:w="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7A916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38925D">
            <w:pPr>
              <w:jc w:val="center"/>
              <w:rPr>
                <w:rFonts w:hint="default" w:ascii="微软雅黑" w:hAnsi="微软雅黑" w:eastAsia="微软雅黑" w:cs="微软雅黑"/>
                <w:i/>
                <w:iCs/>
                <w:color w:val="000000"/>
                <w:sz w:val="16"/>
                <w:szCs w:val="16"/>
                <w:u w:val="none"/>
                <w:lang w:val="en-US" w:eastAsia="zh-CN"/>
              </w:rPr>
            </w:pPr>
            <w:r>
              <w:rPr>
                <w:rFonts w:ascii="宋体" w:hAnsi="宋体" w:eastAsia="宋体" w:cs="宋体"/>
                <w:i w:val="0"/>
                <w:iCs w:val="0"/>
                <w:color w:val="000000"/>
                <w:kern w:val="0"/>
                <w:sz w:val="18"/>
                <w:szCs w:val="18"/>
                <w:u w:val="none"/>
                <w:lang w:val="en-US" w:eastAsia="zh-CN" w:bidi="ar"/>
              </w:rPr>
              <w:t>≥</w:t>
            </w:r>
            <w:r>
              <w:rPr>
                <w:rFonts w:hint="eastAsia" w:ascii="微软雅黑" w:hAnsi="微软雅黑" w:eastAsia="微软雅黑" w:cs="微软雅黑"/>
                <w:i/>
                <w:iCs/>
                <w:color w:val="000000"/>
                <w:sz w:val="16"/>
                <w:szCs w:val="16"/>
                <w:u w:val="none"/>
                <w:lang w:val="en-US" w:eastAsia="zh-CN"/>
              </w:rPr>
              <w:t>90%</w:t>
            </w:r>
          </w:p>
        </w:tc>
        <w:tc>
          <w:tcPr>
            <w:tcW w:w="4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A5B92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3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2475E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8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54CB62">
            <w:pPr>
              <w:jc w:val="center"/>
              <w:rPr>
                <w:rFonts w:hint="eastAsia" w:ascii="微软雅黑" w:hAnsi="微软雅黑" w:eastAsia="微软雅黑" w:cs="微软雅黑"/>
                <w:i/>
                <w:iCs/>
                <w:color w:val="000000"/>
                <w:sz w:val="16"/>
                <w:szCs w:val="16"/>
                <w:u w:val="none"/>
              </w:rPr>
            </w:pPr>
          </w:p>
        </w:tc>
      </w:tr>
      <w:tr w14:paraId="143EEA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5" w:hRule="atLeast"/>
        </w:trPr>
        <w:tc>
          <w:tcPr>
            <w:tcW w:w="6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0364CC">
            <w:pPr>
              <w:jc w:val="center"/>
              <w:rPr>
                <w:rFonts w:hint="eastAsia" w:ascii="宋体" w:hAnsi="宋体" w:eastAsia="宋体" w:cs="宋体"/>
                <w:i w:val="0"/>
                <w:iCs w:val="0"/>
                <w:color w:val="000000"/>
                <w:sz w:val="18"/>
                <w:szCs w:val="18"/>
                <w:u w:val="none"/>
              </w:rPr>
            </w:pPr>
          </w:p>
        </w:tc>
        <w:tc>
          <w:tcPr>
            <w:tcW w:w="10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6E5EA8">
            <w:pPr>
              <w:jc w:val="center"/>
              <w:rPr>
                <w:rFonts w:hint="eastAsia" w:ascii="宋体" w:hAnsi="宋体" w:eastAsia="宋体" w:cs="宋体"/>
                <w:i w:val="0"/>
                <w:iCs w:val="0"/>
                <w:color w:val="000000"/>
                <w:sz w:val="18"/>
                <w:szCs w:val="18"/>
                <w:u w:val="none"/>
              </w:rPr>
            </w:pPr>
          </w:p>
        </w:tc>
        <w:tc>
          <w:tcPr>
            <w:tcW w:w="15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4CB16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70560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林草工程检查验收规范率</w:t>
            </w: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095B1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157A9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90</w:t>
            </w:r>
          </w:p>
        </w:tc>
        <w:tc>
          <w:tcPr>
            <w:tcW w:w="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49763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2BE826">
            <w:pPr>
              <w:jc w:val="center"/>
              <w:rPr>
                <w:rFonts w:hint="eastAsia" w:ascii="微软雅黑" w:hAnsi="微软雅黑" w:eastAsia="微软雅黑" w:cs="微软雅黑"/>
                <w:i/>
                <w:iCs/>
                <w:color w:val="000000"/>
                <w:sz w:val="16"/>
                <w:szCs w:val="16"/>
                <w:u w:val="none"/>
              </w:rPr>
            </w:pPr>
            <w:r>
              <w:rPr>
                <w:rFonts w:ascii="宋体" w:hAnsi="宋体" w:eastAsia="宋体" w:cs="宋体"/>
                <w:i w:val="0"/>
                <w:iCs w:val="0"/>
                <w:color w:val="000000"/>
                <w:kern w:val="0"/>
                <w:sz w:val="18"/>
                <w:szCs w:val="18"/>
                <w:u w:val="none"/>
                <w:lang w:val="en-US" w:eastAsia="zh-CN" w:bidi="ar"/>
              </w:rPr>
              <w:t>≥</w:t>
            </w:r>
            <w:r>
              <w:rPr>
                <w:rFonts w:hint="eastAsia" w:ascii="微软雅黑" w:hAnsi="微软雅黑" w:eastAsia="微软雅黑" w:cs="微软雅黑"/>
                <w:i/>
                <w:iCs/>
                <w:color w:val="000000"/>
                <w:sz w:val="16"/>
                <w:szCs w:val="16"/>
                <w:u w:val="none"/>
                <w:lang w:val="en-US" w:eastAsia="zh-CN"/>
              </w:rPr>
              <w:t>90%</w:t>
            </w:r>
          </w:p>
        </w:tc>
        <w:tc>
          <w:tcPr>
            <w:tcW w:w="4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7E1DA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3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701FF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8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2064D0">
            <w:pPr>
              <w:jc w:val="center"/>
              <w:rPr>
                <w:rFonts w:hint="eastAsia" w:ascii="微软雅黑" w:hAnsi="微软雅黑" w:eastAsia="微软雅黑" w:cs="微软雅黑"/>
                <w:i/>
                <w:iCs/>
                <w:color w:val="000000"/>
                <w:sz w:val="16"/>
                <w:szCs w:val="16"/>
                <w:u w:val="none"/>
              </w:rPr>
            </w:pPr>
          </w:p>
        </w:tc>
      </w:tr>
      <w:tr w14:paraId="4E3138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3" w:hRule="atLeast"/>
        </w:trPr>
        <w:tc>
          <w:tcPr>
            <w:tcW w:w="6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BE5D24">
            <w:pPr>
              <w:jc w:val="center"/>
              <w:rPr>
                <w:rFonts w:hint="eastAsia" w:ascii="宋体" w:hAnsi="宋体" w:eastAsia="宋体" w:cs="宋体"/>
                <w:i w:val="0"/>
                <w:iCs w:val="0"/>
                <w:color w:val="000000"/>
                <w:sz w:val="18"/>
                <w:szCs w:val="18"/>
                <w:u w:val="none"/>
              </w:rPr>
            </w:pPr>
          </w:p>
        </w:tc>
        <w:tc>
          <w:tcPr>
            <w:tcW w:w="10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0798C9">
            <w:pPr>
              <w:jc w:val="center"/>
              <w:rPr>
                <w:rFonts w:hint="eastAsia" w:ascii="宋体" w:hAnsi="宋体" w:eastAsia="宋体" w:cs="宋体"/>
                <w:i w:val="0"/>
                <w:iCs w:val="0"/>
                <w:color w:val="000000"/>
                <w:sz w:val="18"/>
                <w:szCs w:val="18"/>
                <w:u w:val="none"/>
              </w:rPr>
            </w:pPr>
          </w:p>
        </w:tc>
        <w:tc>
          <w:tcPr>
            <w:tcW w:w="15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B9524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81930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项目完成时间</w:t>
            </w: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A663F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C9785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w:t>
            </w:r>
          </w:p>
        </w:tc>
        <w:tc>
          <w:tcPr>
            <w:tcW w:w="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EDC65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w:t>
            </w:r>
          </w:p>
        </w:tc>
        <w:tc>
          <w:tcPr>
            <w:tcW w:w="9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8AD245">
            <w:pPr>
              <w:jc w:val="center"/>
              <w:rPr>
                <w:rFonts w:hint="eastAsia" w:ascii="微软雅黑" w:hAnsi="微软雅黑" w:eastAsia="微软雅黑" w:cs="微软雅黑"/>
                <w:i/>
                <w:iCs/>
                <w:color w:val="000000"/>
                <w:sz w:val="16"/>
                <w:szCs w:val="16"/>
                <w:u w:val="none"/>
                <w:lang w:eastAsia="zh-CN"/>
              </w:rPr>
            </w:pPr>
            <w:r>
              <w:rPr>
                <w:rFonts w:hint="eastAsia" w:ascii="微软雅黑" w:hAnsi="微软雅黑" w:eastAsia="微软雅黑" w:cs="微软雅黑"/>
                <w:i/>
                <w:iCs/>
                <w:color w:val="000000"/>
                <w:sz w:val="16"/>
                <w:szCs w:val="16"/>
                <w:u w:val="none"/>
                <w:lang w:eastAsia="zh-CN"/>
              </w:rPr>
              <w:t>已完成</w:t>
            </w:r>
          </w:p>
        </w:tc>
        <w:tc>
          <w:tcPr>
            <w:tcW w:w="4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5A6AA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3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5D7E2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8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E8379F">
            <w:pPr>
              <w:jc w:val="center"/>
              <w:rPr>
                <w:rFonts w:hint="eastAsia" w:ascii="微软雅黑" w:hAnsi="微软雅黑" w:eastAsia="微软雅黑" w:cs="微软雅黑"/>
                <w:i/>
                <w:iCs/>
                <w:color w:val="000000"/>
                <w:sz w:val="16"/>
                <w:szCs w:val="16"/>
                <w:u w:val="none"/>
              </w:rPr>
            </w:pPr>
          </w:p>
        </w:tc>
      </w:tr>
      <w:tr w14:paraId="3CA2C2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5" w:hRule="atLeast"/>
        </w:trPr>
        <w:tc>
          <w:tcPr>
            <w:tcW w:w="6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596572">
            <w:pPr>
              <w:jc w:val="center"/>
              <w:rPr>
                <w:rFonts w:hint="eastAsia" w:ascii="宋体" w:hAnsi="宋体" w:eastAsia="宋体" w:cs="宋体"/>
                <w:i w:val="0"/>
                <w:iCs w:val="0"/>
                <w:color w:val="000000"/>
                <w:sz w:val="18"/>
                <w:szCs w:val="18"/>
                <w:u w:val="none"/>
              </w:rPr>
            </w:pPr>
          </w:p>
        </w:tc>
        <w:tc>
          <w:tcPr>
            <w:tcW w:w="10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A2E4DA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5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7597C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234E6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强化我州造林生态监督管理</w:t>
            </w: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4FE32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1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DB3A8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明显</w:t>
            </w:r>
          </w:p>
        </w:tc>
        <w:tc>
          <w:tcPr>
            <w:tcW w:w="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612807">
            <w:pPr>
              <w:jc w:val="center"/>
              <w:rPr>
                <w:rFonts w:hint="eastAsia" w:ascii="宋体" w:hAnsi="宋体" w:eastAsia="宋体" w:cs="宋体"/>
                <w:i w:val="0"/>
                <w:iCs w:val="0"/>
                <w:color w:val="000000"/>
                <w:sz w:val="18"/>
                <w:szCs w:val="18"/>
                <w:u w:val="none"/>
              </w:rPr>
            </w:pPr>
          </w:p>
        </w:tc>
        <w:tc>
          <w:tcPr>
            <w:tcW w:w="9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A315C7">
            <w:pPr>
              <w:jc w:val="center"/>
              <w:rPr>
                <w:rFonts w:hint="eastAsia" w:ascii="微软雅黑" w:hAnsi="微软雅黑" w:eastAsia="微软雅黑" w:cs="微软雅黑"/>
                <w:i/>
                <w:iCs/>
                <w:color w:val="000000"/>
                <w:sz w:val="16"/>
                <w:szCs w:val="16"/>
                <w:u w:val="none"/>
                <w:lang w:eastAsia="zh-CN"/>
              </w:rPr>
            </w:pPr>
            <w:r>
              <w:rPr>
                <w:rFonts w:hint="eastAsia" w:ascii="微软雅黑" w:hAnsi="微软雅黑" w:eastAsia="微软雅黑" w:cs="微软雅黑"/>
                <w:i/>
                <w:iCs/>
                <w:color w:val="000000"/>
                <w:sz w:val="16"/>
                <w:szCs w:val="16"/>
                <w:u w:val="none"/>
                <w:lang w:eastAsia="zh-CN"/>
              </w:rPr>
              <w:t>明显</w:t>
            </w:r>
          </w:p>
        </w:tc>
        <w:tc>
          <w:tcPr>
            <w:tcW w:w="4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FFD81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3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56B4B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w:t>
            </w:r>
          </w:p>
        </w:tc>
        <w:tc>
          <w:tcPr>
            <w:tcW w:w="8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5A6A7F">
            <w:pPr>
              <w:jc w:val="center"/>
              <w:rPr>
                <w:rFonts w:hint="eastAsia" w:ascii="微软雅黑" w:hAnsi="微软雅黑" w:eastAsia="微软雅黑" w:cs="微软雅黑"/>
                <w:i/>
                <w:iCs/>
                <w:color w:val="000000"/>
                <w:sz w:val="16"/>
                <w:szCs w:val="16"/>
                <w:u w:val="none"/>
              </w:rPr>
            </w:pPr>
          </w:p>
        </w:tc>
      </w:tr>
      <w:tr w14:paraId="43AD18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85" w:hRule="atLeast"/>
        </w:trPr>
        <w:tc>
          <w:tcPr>
            <w:tcW w:w="6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AD71B6">
            <w:pPr>
              <w:jc w:val="center"/>
              <w:rPr>
                <w:rFonts w:hint="eastAsia" w:ascii="宋体" w:hAnsi="宋体" w:eastAsia="宋体" w:cs="宋体"/>
                <w:i w:val="0"/>
                <w:iCs w:val="0"/>
                <w:color w:val="000000"/>
                <w:sz w:val="18"/>
                <w:szCs w:val="18"/>
                <w:u w:val="none"/>
              </w:rPr>
            </w:pPr>
          </w:p>
        </w:tc>
        <w:tc>
          <w:tcPr>
            <w:tcW w:w="10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E7529E">
            <w:pPr>
              <w:jc w:val="center"/>
              <w:rPr>
                <w:rFonts w:hint="eastAsia" w:ascii="宋体" w:hAnsi="宋体" w:eastAsia="宋体" w:cs="宋体"/>
                <w:i w:val="0"/>
                <w:iCs w:val="0"/>
                <w:color w:val="000000"/>
                <w:sz w:val="18"/>
                <w:szCs w:val="18"/>
                <w:u w:val="none"/>
              </w:rPr>
            </w:pPr>
          </w:p>
        </w:tc>
        <w:tc>
          <w:tcPr>
            <w:tcW w:w="15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4A2FA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生态效益指标</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195A2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强化我州造林生态环境修复成效</w:t>
            </w: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B7430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1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4F505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明显</w:t>
            </w:r>
          </w:p>
        </w:tc>
        <w:tc>
          <w:tcPr>
            <w:tcW w:w="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766BA6">
            <w:pPr>
              <w:jc w:val="center"/>
              <w:rPr>
                <w:rFonts w:hint="eastAsia" w:ascii="宋体" w:hAnsi="宋体" w:eastAsia="宋体" w:cs="宋体"/>
                <w:i w:val="0"/>
                <w:iCs w:val="0"/>
                <w:color w:val="000000"/>
                <w:sz w:val="18"/>
                <w:szCs w:val="18"/>
                <w:u w:val="none"/>
              </w:rPr>
            </w:pPr>
          </w:p>
        </w:tc>
        <w:tc>
          <w:tcPr>
            <w:tcW w:w="9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D42D1A">
            <w:pPr>
              <w:jc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sz w:val="16"/>
                <w:szCs w:val="16"/>
                <w:u w:val="none"/>
                <w:lang w:eastAsia="zh-CN"/>
              </w:rPr>
              <w:t>明显</w:t>
            </w:r>
          </w:p>
        </w:tc>
        <w:tc>
          <w:tcPr>
            <w:tcW w:w="4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DA734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3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4E199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w:t>
            </w:r>
          </w:p>
        </w:tc>
        <w:tc>
          <w:tcPr>
            <w:tcW w:w="8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3FF490">
            <w:pPr>
              <w:jc w:val="center"/>
              <w:rPr>
                <w:rFonts w:hint="eastAsia" w:ascii="微软雅黑" w:hAnsi="微软雅黑" w:eastAsia="微软雅黑" w:cs="微软雅黑"/>
                <w:i/>
                <w:iCs/>
                <w:color w:val="000000"/>
                <w:sz w:val="16"/>
                <w:szCs w:val="16"/>
                <w:u w:val="none"/>
              </w:rPr>
            </w:pPr>
          </w:p>
        </w:tc>
      </w:tr>
      <w:tr w14:paraId="4C52D3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85" w:hRule="atLeast"/>
        </w:trPr>
        <w:tc>
          <w:tcPr>
            <w:tcW w:w="6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CC1F69">
            <w:pPr>
              <w:jc w:val="center"/>
              <w:rPr>
                <w:rFonts w:hint="eastAsia" w:ascii="宋体" w:hAnsi="宋体" w:eastAsia="宋体" w:cs="宋体"/>
                <w:i w:val="0"/>
                <w:iCs w:val="0"/>
                <w:color w:val="000000"/>
                <w:sz w:val="18"/>
                <w:szCs w:val="18"/>
                <w:u w:val="none"/>
              </w:rPr>
            </w:pPr>
          </w:p>
        </w:tc>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7E1A3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5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4643D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BD9F6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群众满意度</w:t>
            </w: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E1EE9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2176A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90</w:t>
            </w:r>
          </w:p>
        </w:tc>
        <w:tc>
          <w:tcPr>
            <w:tcW w:w="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54388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3D6CE0">
            <w:pPr>
              <w:jc w:val="center"/>
              <w:rPr>
                <w:rFonts w:hint="eastAsia" w:ascii="微软雅黑" w:hAnsi="微软雅黑" w:eastAsia="微软雅黑" w:cs="微软雅黑"/>
                <w:i/>
                <w:iCs/>
                <w:color w:val="000000"/>
                <w:sz w:val="16"/>
                <w:szCs w:val="16"/>
                <w:u w:val="none"/>
              </w:rPr>
            </w:pPr>
            <w:r>
              <w:rPr>
                <w:rFonts w:ascii="宋体" w:hAnsi="宋体" w:eastAsia="宋体" w:cs="宋体"/>
                <w:i w:val="0"/>
                <w:iCs w:val="0"/>
                <w:color w:val="000000"/>
                <w:kern w:val="0"/>
                <w:sz w:val="18"/>
                <w:szCs w:val="18"/>
                <w:u w:val="none"/>
                <w:lang w:val="en-US" w:eastAsia="zh-CN" w:bidi="ar"/>
              </w:rPr>
              <w:t>≥</w:t>
            </w:r>
            <w:r>
              <w:rPr>
                <w:rFonts w:hint="eastAsia" w:ascii="微软雅黑" w:hAnsi="微软雅黑" w:eastAsia="微软雅黑" w:cs="微软雅黑"/>
                <w:i/>
                <w:iCs/>
                <w:color w:val="000000"/>
                <w:sz w:val="16"/>
                <w:szCs w:val="16"/>
                <w:u w:val="none"/>
                <w:lang w:val="en-US" w:eastAsia="zh-CN"/>
              </w:rPr>
              <w:t>90%</w:t>
            </w:r>
          </w:p>
        </w:tc>
        <w:tc>
          <w:tcPr>
            <w:tcW w:w="4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C58C3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3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D5B70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w:t>
            </w:r>
          </w:p>
        </w:tc>
        <w:tc>
          <w:tcPr>
            <w:tcW w:w="8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93DC41">
            <w:pPr>
              <w:jc w:val="center"/>
              <w:rPr>
                <w:rFonts w:hint="eastAsia" w:ascii="微软雅黑" w:hAnsi="微软雅黑" w:eastAsia="微软雅黑" w:cs="微软雅黑"/>
                <w:i/>
                <w:iCs/>
                <w:color w:val="000000"/>
                <w:sz w:val="16"/>
                <w:szCs w:val="16"/>
                <w:u w:val="none"/>
              </w:rPr>
            </w:pPr>
          </w:p>
        </w:tc>
      </w:tr>
      <w:tr w14:paraId="3B8F3C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85" w:hRule="atLeast"/>
        </w:trPr>
        <w:tc>
          <w:tcPr>
            <w:tcW w:w="6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C853FA">
            <w:pPr>
              <w:jc w:val="center"/>
              <w:rPr>
                <w:rFonts w:hint="eastAsia" w:ascii="宋体" w:hAnsi="宋体" w:eastAsia="宋体" w:cs="宋体"/>
                <w:i w:val="0"/>
                <w:iCs w:val="0"/>
                <w:color w:val="000000"/>
                <w:sz w:val="18"/>
                <w:szCs w:val="18"/>
                <w:u w:val="none"/>
              </w:rPr>
            </w:pPr>
          </w:p>
        </w:tc>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74E00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15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4E17F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CD47C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成本控制率</w:t>
            </w: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D61A3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A430F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1.7</w:t>
            </w:r>
          </w:p>
        </w:tc>
        <w:tc>
          <w:tcPr>
            <w:tcW w:w="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F92CD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万元</w:t>
            </w:r>
          </w:p>
        </w:tc>
        <w:tc>
          <w:tcPr>
            <w:tcW w:w="9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E035A1">
            <w:pPr>
              <w:jc w:val="center"/>
              <w:rPr>
                <w:rFonts w:hint="default" w:ascii="微软雅黑" w:hAnsi="微软雅黑" w:eastAsia="微软雅黑" w:cs="微软雅黑"/>
                <w:i/>
                <w:iCs/>
                <w:color w:val="000000"/>
                <w:sz w:val="16"/>
                <w:szCs w:val="16"/>
                <w:u w:val="none"/>
                <w:lang w:val="en-US" w:eastAsia="zh-CN"/>
              </w:rPr>
            </w:pPr>
            <w:r>
              <w:rPr>
                <w:rFonts w:hint="eastAsia" w:ascii="微软雅黑" w:hAnsi="微软雅黑" w:eastAsia="微软雅黑" w:cs="微软雅黑"/>
                <w:i/>
                <w:iCs/>
                <w:color w:val="000000"/>
                <w:sz w:val="16"/>
                <w:szCs w:val="16"/>
                <w:u w:val="none"/>
                <w:lang w:val="en-US" w:eastAsia="zh-CN"/>
              </w:rPr>
              <w:t>1.34万元</w:t>
            </w:r>
          </w:p>
        </w:tc>
        <w:tc>
          <w:tcPr>
            <w:tcW w:w="4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C1CBD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3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155C9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8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C068D9">
            <w:pPr>
              <w:jc w:val="center"/>
              <w:rPr>
                <w:rFonts w:hint="eastAsia" w:ascii="微软雅黑" w:hAnsi="微软雅黑" w:eastAsia="微软雅黑" w:cs="微软雅黑"/>
                <w:i/>
                <w:iCs/>
                <w:color w:val="000000"/>
                <w:sz w:val="16"/>
                <w:szCs w:val="16"/>
                <w:u w:val="none"/>
              </w:rPr>
            </w:pPr>
          </w:p>
        </w:tc>
      </w:tr>
      <w:tr w14:paraId="7E636B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3" w:hRule="atLeast"/>
        </w:trPr>
        <w:tc>
          <w:tcPr>
            <w:tcW w:w="8142"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4CA3879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4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0522E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3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186870">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97</w:t>
            </w:r>
          </w:p>
        </w:tc>
        <w:tc>
          <w:tcPr>
            <w:tcW w:w="8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6BFB6A">
            <w:pPr>
              <w:rPr>
                <w:rFonts w:hint="eastAsia" w:ascii="宋体" w:hAnsi="宋体" w:eastAsia="宋体" w:cs="宋体"/>
                <w:i w:val="0"/>
                <w:iCs w:val="0"/>
                <w:color w:val="000000"/>
                <w:sz w:val="18"/>
                <w:szCs w:val="18"/>
                <w:u w:val="none"/>
              </w:rPr>
            </w:pPr>
          </w:p>
        </w:tc>
      </w:tr>
      <w:tr w14:paraId="4A2490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50" w:hRule="atLeast"/>
        </w:trPr>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A0C5B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9232"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0F92770">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 xml:space="preserve">    根据2025年度州级部门预算绩效自评工作的通知要求，成立了专项资金绩效自评小组，对照绩效评价体系逐项进行考评，自评结果得分97。</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  项目实施取得的成果：通过对全州营造林工程的督导检查，及时发现营造林工程中存在的栽植密度不合理、造林整地不规范、苗木质量不佳等问题，督促施工单位及时整改从而保证了造林的质量，提高了树木的存活率和保存率，督导组对营造林工程的资金使用情况进行检查，防止资金被挪用、截留及浪费，确保资金专款专用，提高资金使用效益，使有限的资金发挥最大的作用。</w:t>
            </w:r>
          </w:p>
        </w:tc>
      </w:tr>
      <w:tr w14:paraId="2E20B7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85" w:hRule="atLeast"/>
        </w:trPr>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CC4E6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9232"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EF5FFB4">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 xml:space="preserve">    春季天气多变，如遇干旱、暴雨、低温等恶劣天气，会影响造林工程的质量，也给督导工作带来困难，增加了督查的不确定性和难度。</w:t>
            </w:r>
          </w:p>
        </w:tc>
      </w:tr>
      <w:tr w14:paraId="206A8D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85" w:hRule="atLeast"/>
        </w:trPr>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18629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9232"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E2B767A">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 xml:space="preserve">     做好前期各项准备工作，确保造林质量，克服各种困难，圆满完成督导工作。</w:t>
            </w:r>
          </w:p>
        </w:tc>
      </w:tr>
      <w:tr w14:paraId="426127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2" w:hRule="atLeast"/>
        </w:trPr>
        <w:tc>
          <w:tcPr>
            <w:tcW w:w="569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2C94463">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项目负责人：何建社</w:t>
            </w:r>
          </w:p>
        </w:tc>
        <w:tc>
          <w:tcPr>
            <w:tcW w:w="414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7F4F7D9B">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财务负责人：</w:t>
            </w:r>
          </w:p>
        </w:tc>
      </w:tr>
    </w:tbl>
    <w:p w14:paraId="5595D9B5">
      <w:pPr>
        <w:keepNext w:val="0"/>
        <w:keepLines w:val="0"/>
        <w:pageBreakBefore w:val="0"/>
        <w:widowControl/>
        <w:suppressLineNumbers w:val="0"/>
        <w:kinsoku/>
        <w:wordWrap/>
        <w:overflowPunct/>
        <w:topLinePunct w:val="0"/>
        <w:autoSpaceDE/>
        <w:autoSpaceDN/>
        <w:bidi w:val="0"/>
        <w:adjustRightInd/>
        <w:snapToGrid/>
        <w:spacing w:line="578" w:lineRule="exact"/>
        <w:jc w:val="both"/>
        <w:textAlignment w:val="center"/>
        <w:outlineLvl w:val="9"/>
        <w:rPr>
          <w:rFonts w:hint="default" w:eastAsia="方正小标宋简体" w:cs="Times New Roman"/>
          <w:i w:val="0"/>
          <w:color w:val="000000"/>
          <w:kern w:val="0"/>
          <w:sz w:val="32"/>
          <w:szCs w:val="32"/>
          <w:u w:val="none"/>
          <w:lang w:val="en-US" w:eastAsia="zh-CN" w:bidi="ar"/>
        </w:rPr>
      </w:pPr>
    </w:p>
    <w:p w14:paraId="246BF6D5">
      <w:pPr>
        <w:widowControl/>
        <w:spacing w:line="578" w:lineRule="exact"/>
        <w:contextualSpacing/>
        <w:jc w:val="center"/>
        <w:rPr>
          <w:rFonts w:eastAsia="仿宋_GB2312"/>
          <w:sz w:val="32"/>
          <w:szCs w:val="32"/>
          <w:shd w:val="clear" w:color="auto" w:fill="FFFFFF"/>
        </w:rPr>
      </w:pPr>
    </w:p>
    <w:p w14:paraId="6045C2D5">
      <w:pPr>
        <w:pStyle w:val="14"/>
        <w:spacing w:line="560" w:lineRule="exact"/>
        <w:ind w:left="0" w:leftChars="0" w:firstLine="640"/>
        <w:rPr>
          <w:rFonts w:ascii="Times New Roman" w:eastAsia="仿宋_GB2312"/>
          <w:sz w:val="32"/>
          <w:lang w:val="zh-CN" w:bidi="ar"/>
        </w:rPr>
      </w:pPr>
    </w:p>
    <w:p w14:paraId="1AF29094">
      <w:pPr>
        <w:pStyle w:val="14"/>
        <w:spacing w:line="560" w:lineRule="exact"/>
        <w:ind w:left="0" w:leftChars="0" w:firstLine="0" w:firstLineChars="0"/>
        <w:rPr>
          <w:rFonts w:ascii="Times New Roman"/>
          <w:sz w:val="32"/>
          <w:highlight w:val="yellow"/>
          <w:lang w:val="zh-CN"/>
        </w:rPr>
      </w:pPr>
    </w:p>
    <w:p w14:paraId="4895F157">
      <w:pPr>
        <w:pStyle w:val="2"/>
        <w:spacing w:before="93"/>
        <w:rPr>
          <w:rFonts w:ascii="Times New Roman" w:cs="宋体"/>
          <w:color w:val="FF0000"/>
          <w:sz w:val="32"/>
          <w:szCs w:val="32"/>
          <w:highlight w:val="yellow"/>
          <w:shd w:val="clear" w:color="auto" w:fill="FFFFFF"/>
          <w:lang w:val="zh-CN"/>
        </w:rPr>
      </w:pPr>
    </w:p>
    <w:p w14:paraId="5BD1BB60">
      <w:pPr>
        <w:rPr>
          <w:rFonts w:eastAsia="黑体" w:cs="黑体"/>
          <w:kern w:val="0"/>
          <w:sz w:val="32"/>
          <w:szCs w:val="32"/>
          <w:shd w:val="clear" w:color="auto" w:fill="FFFFFF"/>
          <w:lang w:val="zh-CN"/>
        </w:rPr>
      </w:pPr>
      <w:r>
        <w:rPr>
          <w:rFonts w:hint="eastAsia" w:eastAsia="黑体" w:cs="黑体"/>
          <w:kern w:val="0"/>
          <w:sz w:val="32"/>
          <w:szCs w:val="32"/>
          <w:shd w:val="clear" w:color="auto" w:fill="FFFFFF"/>
          <w:lang w:val="zh-CN"/>
        </w:rPr>
        <w:br w:type="page"/>
      </w:r>
    </w:p>
    <w:p w14:paraId="415AFF5F">
      <w:pPr>
        <w:spacing w:line="578" w:lineRule="exact"/>
        <w:ind w:firstLine="640"/>
        <w:rPr>
          <w:rFonts w:eastAsia="仿宋_GB2312" w:cs="仿宋_GB2312"/>
          <w:kern w:val="0"/>
          <w:sz w:val="32"/>
          <w:szCs w:val="32"/>
        </w:rPr>
      </w:pPr>
    </w:p>
    <w:p w14:paraId="61AD9ADC">
      <w:pPr>
        <w:spacing w:line="578" w:lineRule="exact"/>
        <w:outlineLvl w:val="0"/>
        <w:rPr>
          <w:rFonts w:eastAsia="仿宋"/>
        </w:rPr>
      </w:pPr>
      <w:bookmarkStart w:id="75" w:name="_Toc22244"/>
      <w:bookmarkStart w:id="76" w:name="_Toc15396618"/>
      <w:r>
        <w:rPr>
          <w:rFonts w:hint="eastAsia" w:eastAsia="黑体"/>
          <w:sz w:val="44"/>
          <w:szCs w:val="44"/>
        </w:rPr>
        <w:t>第</w:t>
      </w:r>
      <w:r>
        <w:rPr>
          <w:rStyle w:val="30"/>
          <w:rFonts w:hint="eastAsia" w:eastAsia="黑体"/>
          <w:b w:val="0"/>
        </w:rPr>
        <w:t>五部分 附表</w:t>
      </w:r>
      <w:bookmarkEnd w:id="72"/>
      <w:bookmarkEnd w:id="75"/>
      <w:bookmarkEnd w:id="76"/>
      <w:bookmarkStart w:id="77" w:name="_Toc15396619"/>
    </w:p>
    <w:p w14:paraId="55E3763A">
      <w:pPr>
        <w:pStyle w:val="15"/>
        <w:adjustRightInd w:val="0"/>
        <w:snapToGrid w:val="0"/>
        <w:spacing w:line="560" w:lineRule="exact"/>
        <w:jc w:val="left"/>
        <w:rPr>
          <w:rFonts w:eastAsia="仿宋_GB2312" w:cs="仿宋_GB2312"/>
          <w:sz w:val="32"/>
          <w:szCs w:val="32"/>
        </w:rPr>
      </w:pPr>
    </w:p>
    <w:p w14:paraId="443AB3B8">
      <w:pPr>
        <w:pStyle w:val="15"/>
        <w:adjustRightInd w:val="0"/>
        <w:snapToGrid w:val="0"/>
        <w:spacing w:line="560" w:lineRule="exact"/>
        <w:jc w:val="left"/>
        <w:outlineLvl w:val="9"/>
        <w:rPr>
          <w:rFonts w:eastAsia="仿宋_GB2312" w:cs="仿宋_GB2312"/>
          <w:sz w:val="32"/>
          <w:szCs w:val="32"/>
        </w:rPr>
      </w:pPr>
      <w:r>
        <w:rPr>
          <w:rFonts w:hint="eastAsia" w:eastAsia="仿宋_GB2312" w:cs="仿宋_GB2312"/>
          <w:sz w:val="32"/>
          <w:szCs w:val="32"/>
        </w:rPr>
        <w:t>一、收入支出决算总表</w:t>
      </w:r>
      <w:bookmarkEnd w:id="77"/>
    </w:p>
    <w:p w14:paraId="4C5B628C">
      <w:pPr>
        <w:pStyle w:val="15"/>
        <w:adjustRightInd w:val="0"/>
        <w:snapToGrid w:val="0"/>
        <w:spacing w:line="560" w:lineRule="exact"/>
        <w:jc w:val="left"/>
        <w:outlineLvl w:val="9"/>
        <w:rPr>
          <w:rFonts w:eastAsia="仿宋_GB2312" w:cs="仿宋_GB2312"/>
          <w:sz w:val="32"/>
          <w:szCs w:val="32"/>
        </w:rPr>
      </w:pPr>
      <w:bookmarkStart w:id="78" w:name="_Toc15396620"/>
      <w:r>
        <w:rPr>
          <w:rFonts w:hint="eastAsia" w:eastAsia="仿宋_GB2312" w:cs="仿宋_GB2312"/>
          <w:sz w:val="32"/>
          <w:szCs w:val="32"/>
        </w:rPr>
        <w:t>二、收入决算表</w:t>
      </w:r>
      <w:bookmarkEnd w:id="78"/>
    </w:p>
    <w:p w14:paraId="0CF614F4">
      <w:pPr>
        <w:pStyle w:val="15"/>
        <w:adjustRightInd w:val="0"/>
        <w:snapToGrid w:val="0"/>
        <w:spacing w:line="560" w:lineRule="exact"/>
        <w:jc w:val="left"/>
        <w:outlineLvl w:val="9"/>
        <w:rPr>
          <w:rFonts w:eastAsia="仿宋_GB2312" w:cs="仿宋_GB2312"/>
          <w:sz w:val="32"/>
          <w:szCs w:val="32"/>
        </w:rPr>
      </w:pPr>
      <w:bookmarkStart w:id="79" w:name="_Toc15396621"/>
      <w:r>
        <w:rPr>
          <w:rFonts w:hint="eastAsia" w:eastAsia="仿宋_GB2312" w:cs="仿宋_GB2312"/>
          <w:sz w:val="32"/>
          <w:szCs w:val="32"/>
        </w:rPr>
        <w:t>三、支出决算表</w:t>
      </w:r>
      <w:bookmarkEnd w:id="79"/>
    </w:p>
    <w:p w14:paraId="1EC5DB4E">
      <w:pPr>
        <w:pStyle w:val="15"/>
        <w:adjustRightInd w:val="0"/>
        <w:snapToGrid w:val="0"/>
        <w:spacing w:line="560" w:lineRule="exact"/>
        <w:jc w:val="left"/>
        <w:outlineLvl w:val="9"/>
        <w:rPr>
          <w:rFonts w:eastAsia="仿宋_GB2312" w:cs="仿宋_GB2312"/>
          <w:sz w:val="32"/>
          <w:szCs w:val="32"/>
        </w:rPr>
      </w:pPr>
      <w:bookmarkStart w:id="80" w:name="_Toc15396622"/>
      <w:r>
        <w:rPr>
          <w:rFonts w:hint="eastAsia" w:eastAsia="仿宋_GB2312" w:cs="仿宋_GB2312"/>
          <w:sz w:val="32"/>
          <w:szCs w:val="32"/>
        </w:rPr>
        <w:t>四、财政拨款收入支出决算总表</w:t>
      </w:r>
      <w:bookmarkEnd w:id="80"/>
    </w:p>
    <w:p w14:paraId="7A1DE1BE">
      <w:pPr>
        <w:pStyle w:val="15"/>
        <w:adjustRightInd w:val="0"/>
        <w:snapToGrid w:val="0"/>
        <w:spacing w:line="560" w:lineRule="exact"/>
        <w:jc w:val="left"/>
        <w:outlineLvl w:val="9"/>
        <w:rPr>
          <w:rFonts w:eastAsia="仿宋_GB2312" w:cs="仿宋_GB2312"/>
          <w:sz w:val="32"/>
          <w:szCs w:val="32"/>
        </w:rPr>
      </w:pPr>
      <w:bookmarkStart w:id="81" w:name="_Toc15396623"/>
      <w:r>
        <w:rPr>
          <w:rFonts w:hint="eastAsia" w:eastAsia="仿宋_GB2312" w:cs="仿宋_GB2312"/>
          <w:sz w:val="32"/>
          <w:szCs w:val="32"/>
        </w:rPr>
        <w:t>五、财政拨款支出决算明细表</w:t>
      </w:r>
      <w:bookmarkEnd w:id="81"/>
      <w:bookmarkStart w:id="82" w:name="_Toc15396624"/>
    </w:p>
    <w:p w14:paraId="6BC44AF3">
      <w:pPr>
        <w:pStyle w:val="15"/>
        <w:adjustRightInd w:val="0"/>
        <w:snapToGrid w:val="0"/>
        <w:spacing w:line="560" w:lineRule="exact"/>
        <w:jc w:val="left"/>
        <w:outlineLvl w:val="9"/>
        <w:rPr>
          <w:rFonts w:eastAsia="仿宋_GB2312" w:cs="仿宋_GB2312"/>
          <w:sz w:val="32"/>
          <w:szCs w:val="32"/>
        </w:rPr>
      </w:pPr>
      <w:r>
        <w:rPr>
          <w:rFonts w:hint="eastAsia" w:eastAsia="仿宋_GB2312" w:cs="仿宋_GB2312"/>
          <w:sz w:val="32"/>
          <w:szCs w:val="32"/>
        </w:rPr>
        <w:t>六、一般公共预算财政拨款支出决算表</w:t>
      </w:r>
      <w:bookmarkEnd w:id="82"/>
    </w:p>
    <w:p w14:paraId="20BE552D">
      <w:pPr>
        <w:pStyle w:val="15"/>
        <w:adjustRightInd w:val="0"/>
        <w:snapToGrid w:val="0"/>
        <w:spacing w:line="560" w:lineRule="exact"/>
        <w:jc w:val="left"/>
        <w:outlineLvl w:val="9"/>
        <w:rPr>
          <w:rFonts w:eastAsia="仿宋_GB2312" w:cs="仿宋_GB2312"/>
          <w:sz w:val="32"/>
          <w:szCs w:val="32"/>
        </w:rPr>
      </w:pPr>
      <w:bookmarkStart w:id="83" w:name="_Toc15396625"/>
      <w:r>
        <w:rPr>
          <w:rFonts w:hint="eastAsia" w:eastAsia="仿宋_GB2312" w:cs="仿宋_GB2312"/>
          <w:sz w:val="32"/>
          <w:szCs w:val="32"/>
        </w:rPr>
        <w:t>七、一般公共预算财政拨款支出决算明细表</w:t>
      </w:r>
      <w:bookmarkEnd w:id="83"/>
    </w:p>
    <w:p w14:paraId="29BE8877">
      <w:pPr>
        <w:pStyle w:val="15"/>
        <w:adjustRightInd w:val="0"/>
        <w:snapToGrid w:val="0"/>
        <w:spacing w:line="560" w:lineRule="exact"/>
        <w:jc w:val="left"/>
        <w:outlineLvl w:val="9"/>
        <w:rPr>
          <w:rFonts w:eastAsia="仿宋_GB2312" w:cs="仿宋_GB2312"/>
          <w:sz w:val="32"/>
          <w:szCs w:val="32"/>
        </w:rPr>
      </w:pPr>
      <w:bookmarkStart w:id="84" w:name="_Toc15396626"/>
      <w:r>
        <w:rPr>
          <w:rFonts w:hint="eastAsia" w:eastAsia="仿宋_GB2312" w:cs="仿宋_GB2312"/>
          <w:sz w:val="32"/>
          <w:szCs w:val="32"/>
        </w:rPr>
        <w:t>八、一般公共预算财政拨款基本支出决算表</w:t>
      </w:r>
      <w:bookmarkEnd w:id="84"/>
    </w:p>
    <w:p w14:paraId="2DB4F208">
      <w:pPr>
        <w:pStyle w:val="15"/>
        <w:adjustRightInd w:val="0"/>
        <w:snapToGrid w:val="0"/>
        <w:spacing w:line="560" w:lineRule="exact"/>
        <w:jc w:val="left"/>
        <w:outlineLvl w:val="9"/>
        <w:rPr>
          <w:rFonts w:eastAsia="仿宋_GB2312" w:cs="仿宋_GB2312"/>
          <w:sz w:val="32"/>
          <w:szCs w:val="32"/>
        </w:rPr>
      </w:pPr>
      <w:bookmarkStart w:id="85" w:name="_Toc15396627"/>
      <w:r>
        <w:rPr>
          <w:rFonts w:hint="eastAsia" w:eastAsia="仿宋_GB2312" w:cs="仿宋_GB2312"/>
          <w:sz w:val="32"/>
          <w:szCs w:val="32"/>
        </w:rPr>
        <w:t>九、一般公共预算财政拨款项目支出决算表</w:t>
      </w:r>
      <w:bookmarkEnd w:id="85"/>
    </w:p>
    <w:p w14:paraId="58514A3F">
      <w:pPr>
        <w:pStyle w:val="15"/>
        <w:adjustRightInd w:val="0"/>
        <w:snapToGrid w:val="0"/>
        <w:spacing w:line="560" w:lineRule="exact"/>
        <w:jc w:val="left"/>
        <w:outlineLvl w:val="9"/>
        <w:rPr>
          <w:rFonts w:eastAsia="仿宋_GB2312" w:cs="仿宋_GB2312"/>
          <w:sz w:val="32"/>
          <w:szCs w:val="32"/>
        </w:rPr>
      </w:pPr>
      <w:bookmarkStart w:id="86" w:name="_Toc15396628"/>
      <w:r>
        <w:rPr>
          <w:rFonts w:hint="eastAsia" w:eastAsia="仿宋_GB2312" w:cs="仿宋_GB2312"/>
          <w:sz w:val="32"/>
          <w:szCs w:val="32"/>
        </w:rPr>
        <w:t>十、</w:t>
      </w:r>
      <w:bookmarkEnd w:id="86"/>
      <w:r>
        <w:rPr>
          <w:rFonts w:hint="eastAsia" w:eastAsia="仿宋_GB2312" w:cs="仿宋_GB2312"/>
          <w:sz w:val="32"/>
          <w:szCs w:val="32"/>
        </w:rPr>
        <w:t>政府性基金预算财政拨款收入支出决算表</w:t>
      </w:r>
    </w:p>
    <w:p w14:paraId="2AC623A4">
      <w:pPr>
        <w:pStyle w:val="15"/>
        <w:adjustRightInd w:val="0"/>
        <w:snapToGrid w:val="0"/>
        <w:spacing w:line="560" w:lineRule="exact"/>
        <w:jc w:val="left"/>
        <w:outlineLvl w:val="9"/>
        <w:rPr>
          <w:rFonts w:eastAsia="仿宋_GB2312" w:cs="仿宋_GB2312"/>
          <w:sz w:val="32"/>
          <w:szCs w:val="32"/>
        </w:rPr>
      </w:pPr>
      <w:bookmarkStart w:id="87" w:name="_Toc15396629"/>
      <w:r>
        <w:rPr>
          <w:rFonts w:hint="eastAsia" w:eastAsia="仿宋_GB2312" w:cs="仿宋_GB2312"/>
          <w:sz w:val="32"/>
          <w:szCs w:val="32"/>
        </w:rPr>
        <w:t>十一、</w:t>
      </w:r>
      <w:bookmarkEnd w:id="87"/>
      <w:r>
        <w:rPr>
          <w:rFonts w:hint="eastAsia" w:eastAsia="仿宋_GB2312" w:cs="仿宋_GB2312"/>
          <w:sz w:val="32"/>
          <w:szCs w:val="32"/>
        </w:rPr>
        <w:t>国有资本经营预算财政拨款收入支出决算表</w:t>
      </w:r>
    </w:p>
    <w:p w14:paraId="448EA48E">
      <w:pPr>
        <w:pStyle w:val="15"/>
        <w:adjustRightInd w:val="0"/>
        <w:snapToGrid w:val="0"/>
        <w:spacing w:line="560" w:lineRule="exact"/>
        <w:jc w:val="left"/>
        <w:outlineLvl w:val="9"/>
        <w:rPr>
          <w:rFonts w:eastAsia="仿宋_GB2312" w:cs="仿宋_GB2312"/>
          <w:sz w:val="32"/>
          <w:szCs w:val="32"/>
        </w:rPr>
      </w:pPr>
      <w:bookmarkStart w:id="88" w:name="_Toc15396630"/>
      <w:r>
        <w:rPr>
          <w:rFonts w:hint="eastAsia" w:eastAsia="仿宋_GB2312" w:cs="仿宋_GB2312"/>
          <w:sz w:val="32"/>
          <w:szCs w:val="32"/>
        </w:rPr>
        <w:t>十二、</w:t>
      </w:r>
      <w:bookmarkEnd w:id="88"/>
      <w:r>
        <w:rPr>
          <w:rFonts w:hint="eastAsia" w:eastAsia="仿宋_GB2312" w:cs="仿宋_GB2312"/>
          <w:sz w:val="32"/>
          <w:szCs w:val="32"/>
        </w:rPr>
        <w:t>国有资本经营预算财政拨款支出决算表</w:t>
      </w:r>
    </w:p>
    <w:p w14:paraId="6C9DBE80">
      <w:pPr>
        <w:pStyle w:val="15"/>
        <w:adjustRightInd w:val="0"/>
        <w:snapToGrid w:val="0"/>
        <w:spacing w:line="560" w:lineRule="exact"/>
        <w:jc w:val="left"/>
        <w:outlineLvl w:val="9"/>
        <w:rPr>
          <w:rFonts w:eastAsia="仿宋_GB2312" w:cs="仿宋_GB2312"/>
          <w:sz w:val="32"/>
          <w:szCs w:val="32"/>
        </w:rPr>
      </w:pPr>
      <w:bookmarkStart w:id="89" w:name="_Toc15396631"/>
      <w:r>
        <w:rPr>
          <w:rFonts w:hint="eastAsia" w:eastAsia="仿宋_GB2312" w:cs="仿宋_GB2312"/>
          <w:sz w:val="32"/>
          <w:szCs w:val="32"/>
        </w:rPr>
        <w:t>十三、</w:t>
      </w:r>
      <w:bookmarkEnd w:id="89"/>
      <w:r>
        <w:rPr>
          <w:rFonts w:hint="eastAsia" w:eastAsia="仿宋_GB2312" w:cs="仿宋_GB2312"/>
          <w:sz w:val="32"/>
          <w:szCs w:val="32"/>
        </w:rPr>
        <w:t>财政拨款“三公”经费支出决算表</w:t>
      </w:r>
    </w:p>
    <w:p w14:paraId="0386F452"/>
    <w:sectPr>
      <w:footerReference r:id="rId7" w:type="first"/>
      <w:footerReference r:id="rId6" w:type="default"/>
      <w:pgSz w:w="11906" w:h="16838"/>
      <w:pgMar w:top="1440" w:right="1800" w:bottom="1440" w:left="1800" w:header="851" w:footer="992" w:gutter="0"/>
      <w:pgNumType w:fmt="decimal"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modern"/>
    <w:pitch w:val="default"/>
    <w:sig w:usb0="E00006FF" w:usb1="420024FF" w:usb2="02000000" w:usb3="00000000" w:csb0="2000019F" w:csb1="00000000"/>
  </w:font>
  <w:font w:name="仿宋_GB2312">
    <w:panose1 w:val="02010609030101010101"/>
    <w:charset w:val="86"/>
    <w:family w:val="swiss"/>
    <w:pitch w:val="default"/>
    <w:sig w:usb0="00000001" w:usb1="080E0000" w:usb2="00000000" w:usb3="00000000" w:csb0="00040000" w:csb1="00000000"/>
  </w:font>
  <w:font w:name="仿宋">
    <w:panose1 w:val="02010609060101010101"/>
    <w:charset w:val="86"/>
    <w:family w:val="swiss"/>
    <w:pitch w:val="default"/>
    <w:sig w:usb0="800002BF" w:usb1="38CF7CFA" w:usb2="00000016" w:usb3="00000000" w:csb0="00040001" w:csb1="00000000"/>
  </w:font>
  <w:font w:name="??">
    <w:altName w:val="Segoe Print"/>
    <w:panose1 w:val="00000000000000000000"/>
    <w:charset w:val="00"/>
    <w:family w:val="modern"/>
    <w:pitch w:val="default"/>
    <w:sig w:usb0="00000000" w:usb1="00000000" w:usb2="00000000" w:usb3="00000000" w:csb0="00000000" w:csb1="00000000"/>
  </w:font>
  <w:font w:name="方正小标宋简体">
    <w:panose1 w:val="03000509000000000000"/>
    <w:charset w:val="86"/>
    <w:family w:val="script"/>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EDFC2C">
    <w:pPr>
      <w:pStyle w:val="10"/>
      <w:jc w:val="cente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A6C6B10">
                          <w:pPr>
                            <w:pStyle w:val="10"/>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3A6C6B10">
                    <w:pPr>
                      <w:pStyle w:val="10"/>
                    </w:pPr>
                    <w:r>
                      <w:fldChar w:fldCharType="begin"/>
                    </w:r>
                    <w:r>
                      <w:instrText xml:space="preserve"> PAGE  \* MERGEFORMAT </w:instrText>
                    </w:r>
                    <w:r>
                      <w:fldChar w:fldCharType="separate"/>
                    </w:r>
                    <w:r>
                      <w:t>1</w:t>
                    </w:r>
                    <w:r>
                      <w:fldChar w:fldCharType="end"/>
                    </w:r>
                  </w:p>
                </w:txbxContent>
              </v:textbox>
            </v:shape>
          </w:pict>
        </mc:Fallback>
      </mc:AlternateContent>
    </w:r>
  </w:p>
  <w:p w14:paraId="79887167">
    <w:pPr>
      <w:pStyle w:val="1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A5708A">
    <w:pPr>
      <w:pStyle w:val="10"/>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F081067">
                          <w:pPr>
                            <w:pStyle w:val="10"/>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14:paraId="6F081067">
                    <w:pPr>
                      <w:pStyle w:val="10"/>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1E7819">
    <w:pPr>
      <w:pStyle w:val="10"/>
      <w:jc w:val="center"/>
      <w:rPr>
        <w:sz w:val="28"/>
        <w:szCs w:val="28"/>
      </w:rPr>
    </w:pPr>
    <w:r>
      <w:rPr>
        <w:sz w:val="28"/>
        <w:szCs w:val="2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8844630">
                          <w:pPr>
                            <w:pStyle w:val="10"/>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08844630">
                    <w:pPr>
                      <w:pStyle w:val="10"/>
                    </w:pPr>
                    <w:r>
                      <w:fldChar w:fldCharType="begin"/>
                    </w:r>
                    <w:r>
                      <w:instrText xml:space="preserve"> PAGE  \* MERGEFORMAT </w:instrText>
                    </w:r>
                    <w:r>
                      <w:fldChar w:fldCharType="separate"/>
                    </w:r>
                    <w:r>
                      <w:t>2</w:t>
                    </w:r>
                    <w:r>
                      <w:fldChar w:fldCharType="end"/>
                    </w:r>
                  </w:p>
                </w:txbxContent>
              </v:textbox>
            </v:shape>
          </w:pict>
        </mc:Fallback>
      </mc:AlternateContent>
    </w:r>
  </w:p>
  <w:p w14:paraId="338274A6">
    <w:pPr>
      <w:pStyle w:val="1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828449">
    <w:pPr>
      <w:pStyle w:val="10"/>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1BA2BB0">
                          <w:pPr>
                            <w:pStyle w:val="10"/>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51BA2BB0">
                    <w:pPr>
                      <w:pStyle w:val="10"/>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E83677">
    <w:pPr>
      <w:pStyle w:val="11"/>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0BF1446"/>
    <w:multiLevelType w:val="singleLevel"/>
    <w:tmpl w:val="B0BF1446"/>
    <w:lvl w:ilvl="0" w:tentative="0">
      <w:start w:val="2"/>
      <w:numFmt w:val="chineseCounting"/>
      <w:suff w:val="nothing"/>
      <w:lvlText w:val="（%1）"/>
      <w:lvlJc w:val="left"/>
      <w:rPr>
        <w:rFonts w:hint="eastAsia"/>
      </w:rPr>
    </w:lvl>
  </w:abstractNum>
  <w:abstractNum w:abstractNumId="1">
    <w:nsid w:val="C23BAA98"/>
    <w:multiLevelType w:val="singleLevel"/>
    <w:tmpl w:val="C23BAA98"/>
    <w:lvl w:ilvl="0" w:tentative="0">
      <w:start w:val="1"/>
      <w:numFmt w:val="decimal"/>
      <w:lvlText w:val="%1."/>
      <w:lvlJc w:val="left"/>
      <w:pPr>
        <w:tabs>
          <w:tab w:val="left" w:pos="312"/>
        </w:tabs>
      </w:pPr>
    </w:lvl>
  </w:abstractNum>
  <w:abstractNum w:abstractNumId="2">
    <w:nsid w:val="D2E1AF4D"/>
    <w:multiLevelType w:val="singleLevel"/>
    <w:tmpl w:val="D2E1AF4D"/>
    <w:lvl w:ilvl="0" w:tentative="0">
      <w:start w:val="2"/>
      <w:numFmt w:val="chineseCounting"/>
      <w:suff w:val="nothing"/>
      <w:lvlText w:val="（%1）"/>
      <w:lvlJc w:val="left"/>
      <w:rPr>
        <w:rFonts w:hint="eastAsia"/>
      </w:rPr>
    </w:lvl>
  </w:abstractNum>
  <w:abstractNum w:abstractNumId="3">
    <w:nsid w:val="1FAE7197"/>
    <w:multiLevelType w:val="singleLevel"/>
    <w:tmpl w:val="1FAE7197"/>
    <w:lvl w:ilvl="0" w:tentative="0">
      <w:start w:val="2"/>
      <w:numFmt w:val="decimal"/>
      <w:lvlText w:val="%1."/>
      <w:lvlJc w:val="left"/>
      <w:pPr>
        <w:tabs>
          <w:tab w:val="left" w:pos="312"/>
        </w:tabs>
      </w:pPr>
    </w:lvl>
  </w:abstractNum>
  <w:abstractNum w:abstractNumId="4">
    <w:nsid w:val="3703AB57"/>
    <w:multiLevelType w:val="singleLevel"/>
    <w:tmpl w:val="3703AB57"/>
    <w:lvl w:ilvl="0" w:tentative="0">
      <w:start w:val="1"/>
      <w:numFmt w:val="chineseCounting"/>
      <w:suff w:val="nothing"/>
      <w:lvlText w:val="%1、"/>
      <w:lvlJc w:val="left"/>
      <w:rPr>
        <w:rFonts w:hint="eastAsia"/>
      </w:rPr>
    </w:lvl>
  </w:abstractNum>
  <w:num w:numId="1">
    <w:abstractNumId w:val="4"/>
  </w:num>
  <w:num w:numId="2">
    <w:abstractNumId w:val="0"/>
  </w:num>
  <w:num w:numId="3">
    <w:abstractNumId w:val="3"/>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3FC3"/>
    <w:rsid w:val="000E6613"/>
    <w:rsid w:val="000E7119"/>
    <w:rsid w:val="00114E9B"/>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60C38"/>
    <w:rsid w:val="002616C0"/>
    <w:rsid w:val="00265372"/>
    <w:rsid w:val="002662AA"/>
    <w:rsid w:val="00280496"/>
    <w:rsid w:val="00294DC9"/>
    <w:rsid w:val="00295495"/>
    <w:rsid w:val="002A31DE"/>
    <w:rsid w:val="002B2613"/>
    <w:rsid w:val="002D6D05"/>
    <w:rsid w:val="002F1818"/>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40625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505A47"/>
    <w:rsid w:val="00507004"/>
    <w:rsid w:val="00512FDA"/>
    <w:rsid w:val="00520DA0"/>
    <w:rsid w:val="005664BB"/>
    <w:rsid w:val="00566FFA"/>
    <w:rsid w:val="0057481D"/>
    <w:rsid w:val="0058486E"/>
    <w:rsid w:val="00585B33"/>
    <w:rsid w:val="0059014D"/>
    <w:rsid w:val="005B5C64"/>
    <w:rsid w:val="005C5337"/>
    <w:rsid w:val="005C6BD0"/>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6343B"/>
    <w:rsid w:val="00664777"/>
    <w:rsid w:val="006748A4"/>
    <w:rsid w:val="00681A31"/>
    <w:rsid w:val="00683E73"/>
    <w:rsid w:val="006A3141"/>
    <w:rsid w:val="006A5E34"/>
    <w:rsid w:val="006B2422"/>
    <w:rsid w:val="006B2B9A"/>
    <w:rsid w:val="006C1937"/>
    <w:rsid w:val="006F020C"/>
    <w:rsid w:val="007127B7"/>
    <w:rsid w:val="0071798E"/>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E23E5"/>
    <w:rsid w:val="007F1991"/>
    <w:rsid w:val="007F2C2F"/>
    <w:rsid w:val="007F55FC"/>
    <w:rsid w:val="007F5665"/>
    <w:rsid w:val="00800112"/>
    <w:rsid w:val="00813348"/>
    <w:rsid w:val="008253BB"/>
    <w:rsid w:val="0083706E"/>
    <w:rsid w:val="0083795B"/>
    <w:rsid w:val="008408F6"/>
    <w:rsid w:val="008423A5"/>
    <w:rsid w:val="00850625"/>
    <w:rsid w:val="00853718"/>
    <w:rsid w:val="00855221"/>
    <w:rsid w:val="00860645"/>
    <w:rsid w:val="00871F71"/>
    <w:rsid w:val="00872FD8"/>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5C98"/>
    <w:rsid w:val="00946945"/>
    <w:rsid w:val="00951248"/>
    <w:rsid w:val="0095152F"/>
    <w:rsid w:val="00954C49"/>
    <w:rsid w:val="00955E37"/>
    <w:rsid w:val="0097099F"/>
    <w:rsid w:val="00971997"/>
    <w:rsid w:val="00971FFC"/>
    <w:rsid w:val="0098660A"/>
    <w:rsid w:val="009931C3"/>
    <w:rsid w:val="009B2C43"/>
    <w:rsid w:val="009B4EAE"/>
    <w:rsid w:val="009B7573"/>
    <w:rsid w:val="009C22F4"/>
    <w:rsid w:val="009C2A4B"/>
    <w:rsid w:val="009C2E98"/>
    <w:rsid w:val="009D3447"/>
    <w:rsid w:val="009D4711"/>
    <w:rsid w:val="009F1185"/>
    <w:rsid w:val="009F18CD"/>
    <w:rsid w:val="009F2A13"/>
    <w:rsid w:val="009F7527"/>
    <w:rsid w:val="00A04EB0"/>
    <w:rsid w:val="00A13CC1"/>
    <w:rsid w:val="00A16847"/>
    <w:rsid w:val="00A237D8"/>
    <w:rsid w:val="00A268C4"/>
    <w:rsid w:val="00A307CD"/>
    <w:rsid w:val="00A331C8"/>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5620"/>
    <w:rsid w:val="00AD656B"/>
    <w:rsid w:val="00AD7C1B"/>
    <w:rsid w:val="00AE16BA"/>
    <w:rsid w:val="00AE1EBE"/>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22A3"/>
    <w:rsid w:val="00B944D6"/>
    <w:rsid w:val="00BB4DF0"/>
    <w:rsid w:val="00BC289F"/>
    <w:rsid w:val="00BC2D50"/>
    <w:rsid w:val="00BC5361"/>
    <w:rsid w:val="00BC5460"/>
    <w:rsid w:val="00BC6B50"/>
    <w:rsid w:val="00BD0E25"/>
    <w:rsid w:val="00BF5BD6"/>
    <w:rsid w:val="00C03E31"/>
    <w:rsid w:val="00C33E72"/>
    <w:rsid w:val="00C354B2"/>
    <w:rsid w:val="00C35554"/>
    <w:rsid w:val="00C42709"/>
    <w:rsid w:val="00C533CC"/>
    <w:rsid w:val="00C5751C"/>
    <w:rsid w:val="00C61BFC"/>
    <w:rsid w:val="00C62B85"/>
    <w:rsid w:val="00C65438"/>
    <w:rsid w:val="00C87FD8"/>
    <w:rsid w:val="00C91381"/>
    <w:rsid w:val="00C91CBB"/>
    <w:rsid w:val="00CB4E70"/>
    <w:rsid w:val="00CC09B6"/>
    <w:rsid w:val="00CC666F"/>
    <w:rsid w:val="00CD1E3F"/>
    <w:rsid w:val="00CE44F6"/>
    <w:rsid w:val="00CE49DA"/>
    <w:rsid w:val="00CE7B61"/>
    <w:rsid w:val="00D00095"/>
    <w:rsid w:val="00D02FE1"/>
    <w:rsid w:val="00D114F0"/>
    <w:rsid w:val="00D20620"/>
    <w:rsid w:val="00D254F7"/>
    <w:rsid w:val="00D26091"/>
    <w:rsid w:val="00D2685C"/>
    <w:rsid w:val="00D34E7C"/>
    <w:rsid w:val="00D35489"/>
    <w:rsid w:val="00D36AFE"/>
    <w:rsid w:val="00D51276"/>
    <w:rsid w:val="00D5444D"/>
    <w:rsid w:val="00D7035F"/>
    <w:rsid w:val="00DA634F"/>
    <w:rsid w:val="00DA65AC"/>
    <w:rsid w:val="00DB1913"/>
    <w:rsid w:val="00DC2C99"/>
    <w:rsid w:val="00DC410D"/>
    <w:rsid w:val="00DC5A81"/>
    <w:rsid w:val="00DC68CA"/>
    <w:rsid w:val="00DC7CBA"/>
    <w:rsid w:val="00DD73B7"/>
    <w:rsid w:val="00DF28BC"/>
    <w:rsid w:val="00DF34B9"/>
    <w:rsid w:val="00E01053"/>
    <w:rsid w:val="00E07ACF"/>
    <w:rsid w:val="00E331A1"/>
    <w:rsid w:val="00E33202"/>
    <w:rsid w:val="00E336A9"/>
    <w:rsid w:val="00E472B1"/>
    <w:rsid w:val="00E50624"/>
    <w:rsid w:val="00E54633"/>
    <w:rsid w:val="00E568DF"/>
    <w:rsid w:val="00E64269"/>
    <w:rsid w:val="00E82267"/>
    <w:rsid w:val="00E853CE"/>
    <w:rsid w:val="00E867B6"/>
    <w:rsid w:val="00EA010F"/>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D3CC1"/>
    <w:rsid w:val="00FF1E02"/>
    <w:rsid w:val="00FF30B4"/>
    <w:rsid w:val="012A5EC2"/>
    <w:rsid w:val="015975B8"/>
    <w:rsid w:val="01AA1AC9"/>
    <w:rsid w:val="01C74429"/>
    <w:rsid w:val="01FD609D"/>
    <w:rsid w:val="027F4D04"/>
    <w:rsid w:val="0284056C"/>
    <w:rsid w:val="029702A0"/>
    <w:rsid w:val="02FEBE30"/>
    <w:rsid w:val="03925D68"/>
    <w:rsid w:val="03BC20BA"/>
    <w:rsid w:val="0478689E"/>
    <w:rsid w:val="04916F1E"/>
    <w:rsid w:val="04E46A2A"/>
    <w:rsid w:val="05BC001D"/>
    <w:rsid w:val="05CC108B"/>
    <w:rsid w:val="061E35DE"/>
    <w:rsid w:val="06471FDD"/>
    <w:rsid w:val="066E0107"/>
    <w:rsid w:val="06840B3B"/>
    <w:rsid w:val="06CB49BC"/>
    <w:rsid w:val="06E94E42"/>
    <w:rsid w:val="06EA58C6"/>
    <w:rsid w:val="07505258"/>
    <w:rsid w:val="07996F6E"/>
    <w:rsid w:val="07AB18D9"/>
    <w:rsid w:val="07C75183"/>
    <w:rsid w:val="07DD6ABC"/>
    <w:rsid w:val="07DFD8BA"/>
    <w:rsid w:val="0854278F"/>
    <w:rsid w:val="08F16230"/>
    <w:rsid w:val="090E1896"/>
    <w:rsid w:val="09216B15"/>
    <w:rsid w:val="094F3EAC"/>
    <w:rsid w:val="09867E8F"/>
    <w:rsid w:val="099217C1"/>
    <w:rsid w:val="09B259BF"/>
    <w:rsid w:val="09EA33AB"/>
    <w:rsid w:val="0A2032A3"/>
    <w:rsid w:val="0A2F6833"/>
    <w:rsid w:val="0B5F3925"/>
    <w:rsid w:val="0B674587"/>
    <w:rsid w:val="0B7C0579"/>
    <w:rsid w:val="0BB04CBB"/>
    <w:rsid w:val="0C240AE4"/>
    <w:rsid w:val="0C3B7EEE"/>
    <w:rsid w:val="0C5965C6"/>
    <w:rsid w:val="0CA8290A"/>
    <w:rsid w:val="0CB22F6E"/>
    <w:rsid w:val="0CDB4E4A"/>
    <w:rsid w:val="0D1644B7"/>
    <w:rsid w:val="0D2546FA"/>
    <w:rsid w:val="0D35B1ED"/>
    <w:rsid w:val="0D9F44AC"/>
    <w:rsid w:val="0DB93F3C"/>
    <w:rsid w:val="0DFC7D9D"/>
    <w:rsid w:val="0E254B6B"/>
    <w:rsid w:val="0F452E31"/>
    <w:rsid w:val="0F98263C"/>
    <w:rsid w:val="0FA45DAA"/>
    <w:rsid w:val="0FBC7598"/>
    <w:rsid w:val="0FDD12BC"/>
    <w:rsid w:val="101860EC"/>
    <w:rsid w:val="101F47CC"/>
    <w:rsid w:val="103C4234"/>
    <w:rsid w:val="106D0892"/>
    <w:rsid w:val="10C055FF"/>
    <w:rsid w:val="10F33DE4"/>
    <w:rsid w:val="11002D49"/>
    <w:rsid w:val="11694EBD"/>
    <w:rsid w:val="11772AA4"/>
    <w:rsid w:val="118107EC"/>
    <w:rsid w:val="11965BC6"/>
    <w:rsid w:val="11C42733"/>
    <w:rsid w:val="11EB7CC0"/>
    <w:rsid w:val="121200DD"/>
    <w:rsid w:val="1214466C"/>
    <w:rsid w:val="12154D3D"/>
    <w:rsid w:val="12301B77"/>
    <w:rsid w:val="1255782F"/>
    <w:rsid w:val="128B3251"/>
    <w:rsid w:val="12E24EE2"/>
    <w:rsid w:val="12F11EAC"/>
    <w:rsid w:val="13436DD5"/>
    <w:rsid w:val="1347361C"/>
    <w:rsid w:val="13710699"/>
    <w:rsid w:val="13B011C1"/>
    <w:rsid w:val="13D50BC4"/>
    <w:rsid w:val="141A2ADF"/>
    <w:rsid w:val="14973315"/>
    <w:rsid w:val="14A95935"/>
    <w:rsid w:val="14B17F78"/>
    <w:rsid w:val="14C36CD2"/>
    <w:rsid w:val="155362A8"/>
    <w:rsid w:val="160E0421"/>
    <w:rsid w:val="16247C45"/>
    <w:rsid w:val="165E0673"/>
    <w:rsid w:val="169A1CB5"/>
    <w:rsid w:val="16B831D5"/>
    <w:rsid w:val="16BB723D"/>
    <w:rsid w:val="16EB42BE"/>
    <w:rsid w:val="17BB0135"/>
    <w:rsid w:val="17E50567"/>
    <w:rsid w:val="18504D21"/>
    <w:rsid w:val="186504BB"/>
    <w:rsid w:val="18F25DD8"/>
    <w:rsid w:val="19426F04"/>
    <w:rsid w:val="1963182A"/>
    <w:rsid w:val="19650358"/>
    <w:rsid w:val="19A445FC"/>
    <w:rsid w:val="1A94329E"/>
    <w:rsid w:val="1AB344DA"/>
    <w:rsid w:val="1B2827DE"/>
    <w:rsid w:val="1BC17CE4"/>
    <w:rsid w:val="1BE8440E"/>
    <w:rsid w:val="1C4050AC"/>
    <w:rsid w:val="1CC6347C"/>
    <w:rsid w:val="1D155CEE"/>
    <w:rsid w:val="1D1638FE"/>
    <w:rsid w:val="1D24052A"/>
    <w:rsid w:val="1D2B18B9"/>
    <w:rsid w:val="1E312DEB"/>
    <w:rsid w:val="1E320A25"/>
    <w:rsid w:val="1E6A1215"/>
    <w:rsid w:val="1E740ACF"/>
    <w:rsid w:val="1EA00E89"/>
    <w:rsid w:val="1EF04B68"/>
    <w:rsid w:val="1F1330A4"/>
    <w:rsid w:val="1F507C9C"/>
    <w:rsid w:val="1F52137F"/>
    <w:rsid w:val="1F615A66"/>
    <w:rsid w:val="1F76795B"/>
    <w:rsid w:val="1FA47700"/>
    <w:rsid w:val="1FC16504"/>
    <w:rsid w:val="1FCB70A4"/>
    <w:rsid w:val="1FF35744"/>
    <w:rsid w:val="1FF6BC77"/>
    <w:rsid w:val="20541126"/>
    <w:rsid w:val="20AF2801"/>
    <w:rsid w:val="20C4005A"/>
    <w:rsid w:val="21165337"/>
    <w:rsid w:val="211B7B5B"/>
    <w:rsid w:val="21613AFB"/>
    <w:rsid w:val="217D7D6D"/>
    <w:rsid w:val="2186353C"/>
    <w:rsid w:val="21DC13D3"/>
    <w:rsid w:val="21EF4716"/>
    <w:rsid w:val="22105521"/>
    <w:rsid w:val="226513C9"/>
    <w:rsid w:val="23860B96"/>
    <w:rsid w:val="240371BF"/>
    <w:rsid w:val="2426102C"/>
    <w:rsid w:val="2435126F"/>
    <w:rsid w:val="244F3473"/>
    <w:rsid w:val="24C97D99"/>
    <w:rsid w:val="24CC41D5"/>
    <w:rsid w:val="255E0351"/>
    <w:rsid w:val="256E2FC7"/>
    <w:rsid w:val="258C1362"/>
    <w:rsid w:val="25A718F0"/>
    <w:rsid w:val="25BB59F6"/>
    <w:rsid w:val="26025181"/>
    <w:rsid w:val="260F557C"/>
    <w:rsid w:val="26153106"/>
    <w:rsid w:val="263435E5"/>
    <w:rsid w:val="263D7F73"/>
    <w:rsid w:val="26663961"/>
    <w:rsid w:val="26793695"/>
    <w:rsid w:val="26970054"/>
    <w:rsid w:val="269B7AAF"/>
    <w:rsid w:val="273745A7"/>
    <w:rsid w:val="273D2914"/>
    <w:rsid w:val="276031D7"/>
    <w:rsid w:val="281408E2"/>
    <w:rsid w:val="28DC7F0B"/>
    <w:rsid w:val="294066EC"/>
    <w:rsid w:val="29FD04D3"/>
    <w:rsid w:val="2A234871"/>
    <w:rsid w:val="2B193698"/>
    <w:rsid w:val="2B296225"/>
    <w:rsid w:val="2BDB094E"/>
    <w:rsid w:val="2BFF7BC6"/>
    <w:rsid w:val="2C8A61B5"/>
    <w:rsid w:val="2D630BFB"/>
    <w:rsid w:val="2DF04E50"/>
    <w:rsid w:val="2E17533E"/>
    <w:rsid w:val="2E313E9D"/>
    <w:rsid w:val="2E3D769E"/>
    <w:rsid w:val="2E586DFA"/>
    <w:rsid w:val="2E897E2A"/>
    <w:rsid w:val="2EBC05C2"/>
    <w:rsid w:val="2EC1207D"/>
    <w:rsid w:val="2ED022C0"/>
    <w:rsid w:val="2F040D46"/>
    <w:rsid w:val="2F3E547B"/>
    <w:rsid w:val="2F6B035B"/>
    <w:rsid w:val="2F8E047C"/>
    <w:rsid w:val="2FAE5751"/>
    <w:rsid w:val="2FB1A395"/>
    <w:rsid w:val="2FD9A7D8"/>
    <w:rsid w:val="2FDBF714"/>
    <w:rsid w:val="2FE8266C"/>
    <w:rsid w:val="306453B6"/>
    <w:rsid w:val="30AB6865"/>
    <w:rsid w:val="313352B6"/>
    <w:rsid w:val="314F3970"/>
    <w:rsid w:val="318B2BC8"/>
    <w:rsid w:val="319F7F4E"/>
    <w:rsid w:val="31A57A34"/>
    <w:rsid w:val="322546D1"/>
    <w:rsid w:val="32BD1EF1"/>
    <w:rsid w:val="3304709D"/>
    <w:rsid w:val="332C1E5A"/>
    <w:rsid w:val="335A484E"/>
    <w:rsid w:val="336631F3"/>
    <w:rsid w:val="33A773CB"/>
    <w:rsid w:val="349D6851"/>
    <w:rsid w:val="34BD4F0D"/>
    <w:rsid w:val="34DB1A90"/>
    <w:rsid w:val="350902DA"/>
    <w:rsid w:val="353A4937"/>
    <w:rsid w:val="356C2FFF"/>
    <w:rsid w:val="35E6413B"/>
    <w:rsid w:val="364A2958"/>
    <w:rsid w:val="36625EF3"/>
    <w:rsid w:val="36AA5135"/>
    <w:rsid w:val="36B85B13"/>
    <w:rsid w:val="36BE0DA7"/>
    <w:rsid w:val="375A306E"/>
    <w:rsid w:val="376665E7"/>
    <w:rsid w:val="376B6AA6"/>
    <w:rsid w:val="376D39B2"/>
    <w:rsid w:val="378F705B"/>
    <w:rsid w:val="37E16F03"/>
    <w:rsid w:val="37F53A3B"/>
    <w:rsid w:val="389B6C89"/>
    <w:rsid w:val="38D469F0"/>
    <w:rsid w:val="39627CCD"/>
    <w:rsid w:val="397BAF1F"/>
    <w:rsid w:val="39DA592E"/>
    <w:rsid w:val="3A184B1B"/>
    <w:rsid w:val="3AB46F3A"/>
    <w:rsid w:val="3AB79AF3"/>
    <w:rsid w:val="3AE834C0"/>
    <w:rsid w:val="3AFE01A2"/>
    <w:rsid w:val="3B7EF35A"/>
    <w:rsid w:val="3B893F22"/>
    <w:rsid w:val="3B9FDB6C"/>
    <w:rsid w:val="3BF5BC2F"/>
    <w:rsid w:val="3C5462DE"/>
    <w:rsid w:val="3C9E57AB"/>
    <w:rsid w:val="3CEBA265"/>
    <w:rsid w:val="3D2837E0"/>
    <w:rsid w:val="3D4A76E1"/>
    <w:rsid w:val="3D803103"/>
    <w:rsid w:val="3D874491"/>
    <w:rsid w:val="3D98207C"/>
    <w:rsid w:val="3DEE7CF3"/>
    <w:rsid w:val="3E4D2B9C"/>
    <w:rsid w:val="3E740A63"/>
    <w:rsid w:val="3E78745D"/>
    <w:rsid w:val="3EDB4A95"/>
    <w:rsid w:val="3EE17838"/>
    <w:rsid w:val="3F55381A"/>
    <w:rsid w:val="3F7F7599"/>
    <w:rsid w:val="3FF4CAE0"/>
    <w:rsid w:val="3FF7B227"/>
    <w:rsid w:val="40316936"/>
    <w:rsid w:val="40A610D2"/>
    <w:rsid w:val="423D7815"/>
    <w:rsid w:val="429F402B"/>
    <w:rsid w:val="439A11E1"/>
    <w:rsid w:val="43C81360"/>
    <w:rsid w:val="43E5284B"/>
    <w:rsid w:val="44DA759D"/>
    <w:rsid w:val="44E268DA"/>
    <w:rsid w:val="450D13D7"/>
    <w:rsid w:val="454964D0"/>
    <w:rsid w:val="45506656"/>
    <w:rsid w:val="46396545"/>
    <w:rsid w:val="467C4DAF"/>
    <w:rsid w:val="474E0C19"/>
    <w:rsid w:val="475A5199"/>
    <w:rsid w:val="476F0470"/>
    <w:rsid w:val="477912EF"/>
    <w:rsid w:val="48382F58"/>
    <w:rsid w:val="486A6C7A"/>
    <w:rsid w:val="48877A3B"/>
    <w:rsid w:val="4900334A"/>
    <w:rsid w:val="492D2391"/>
    <w:rsid w:val="493556E9"/>
    <w:rsid w:val="4A0A53EF"/>
    <w:rsid w:val="4A627F82"/>
    <w:rsid w:val="4A8A4E39"/>
    <w:rsid w:val="4AF97D49"/>
    <w:rsid w:val="4B0E749A"/>
    <w:rsid w:val="4B2477C4"/>
    <w:rsid w:val="4B4F25DA"/>
    <w:rsid w:val="4B5300A9"/>
    <w:rsid w:val="4B871E51"/>
    <w:rsid w:val="4BE068DB"/>
    <w:rsid w:val="4C1415E6"/>
    <w:rsid w:val="4C854292"/>
    <w:rsid w:val="4C88018E"/>
    <w:rsid w:val="4CBB5F06"/>
    <w:rsid w:val="4D577224"/>
    <w:rsid w:val="4DBF1CEB"/>
    <w:rsid w:val="4DCB3F26"/>
    <w:rsid w:val="4DF0007C"/>
    <w:rsid w:val="4DFF0074"/>
    <w:rsid w:val="4E4F4B57"/>
    <w:rsid w:val="4E774D23"/>
    <w:rsid w:val="4E8567CB"/>
    <w:rsid w:val="4E8E1906"/>
    <w:rsid w:val="4EAB630A"/>
    <w:rsid w:val="4ECE2238"/>
    <w:rsid w:val="4EE40EC6"/>
    <w:rsid w:val="4EFD0A57"/>
    <w:rsid w:val="4F1A4144"/>
    <w:rsid w:val="4F833267"/>
    <w:rsid w:val="4FE9BD67"/>
    <w:rsid w:val="4FFB052F"/>
    <w:rsid w:val="50666188"/>
    <w:rsid w:val="50A373DC"/>
    <w:rsid w:val="52666914"/>
    <w:rsid w:val="52CB49C9"/>
    <w:rsid w:val="53436CB1"/>
    <w:rsid w:val="535E583D"/>
    <w:rsid w:val="537E6D0A"/>
    <w:rsid w:val="539A6875"/>
    <w:rsid w:val="53F74C96"/>
    <w:rsid w:val="546D3F89"/>
    <w:rsid w:val="54BA6AA3"/>
    <w:rsid w:val="54D758A7"/>
    <w:rsid w:val="55170BA8"/>
    <w:rsid w:val="553218C9"/>
    <w:rsid w:val="55C776C9"/>
    <w:rsid w:val="567E1AA5"/>
    <w:rsid w:val="569C2904"/>
    <w:rsid w:val="56E47B74"/>
    <w:rsid w:val="57175D52"/>
    <w:rsid w:val="57686C8A"/>
    <w:rsid w:val="577218B7"/>
    <w:rsid w:val="57BD3DD4"/>
    <w:rsid w:val="58074213"/>
    <w:rsid w:val="58727DC0"/>
    <w:rsid w:val="592D1F39"/>
    <w:rsid w:val="597102E2"/>
    <w:rsid w:val="59837DAB"/>
    <w:rsid w:val="59F6057D"/>
    <w:rsid w:val="5A105AE3"/>
    <w:rsid w:val="5AF92295"/>
    <w:rsid w:val="5B250254"/>
    <w:rsid w:val="5BA364E3"/>
    <w:rsid w:val="5BB71F8E"/>
    <w:rsid w:val="5BC052E6"/>
    <w:rsid w:val="5BDD79E6"/>
    <w:rsid w:val="5BE523F7"/>
    <w:rsid w:val="5BF561CA"/>
    <w:rsid w:val="5BFF5DFC"/>
    <w:rsid w:val="5C013209"/>
    <w:rsid w:val="5C532FB0"/>
    <w:rsid w:val="5C78171D"/>
    <w:rsid w:val="5CCE758F"/>
    <w:rsid w:val="5CD30355"/>
    <w:rsid w:val="5CD71FC4"/>
    <w:rsid w:val="5D092CEB"/>
    <w:rsid w:val="5D1F11B5"/>
    <w:rsid w:val="5D695134"/>
    <w:rsid w:val="5DAE1B18"/>
    <w:rsid w:val="5DC944B4"/>
    <w:rsid w:val="5DE7D9E5"/>
    <w:rsid w:val="5ECEC941"/>
    <w:rsid w:val="5EE0069A"/>
    <w:rsid w:val="5F16521D"/>
    <w:rsid w:val="5F610B8F"/>
    <w:rsid w:val="5FBF9FF3"/>
    <w:rsid w:val="5FCD4E2C"/>
    <w:rsid w:val="5FD62FE5"/>
    <w:rsid w:val="5FEE695B"/>
    <w:rsid w:val="5FEF394A"/>
    <w:rsid w:val="5FF67715"/>
    <w:rsid w:val="60793CB6"/>
    <w:rsid w:val="608E137D"/>
    <w:rsid w:val="61BA27D8"/>
    <w:rsid w:val="62637FE8"/>
    <w:rsid w:val="62BF3928"/>
    <w:rsid w:val="63643FB9"/>
    <w:rsid w:val="63B3701E"/>
    <w:rsid w:val="647F5392"/>
    <w:rsid w:val="64CC0858"/>
    <w:rsid w:val="650A1380"/>
    <w:rsid w:val="65181CEF"/>
    <w:rsid w:val="656F2769"/>
    <w:rsid w:val="659F35CA"/>
    <w:rsid w:val="65B1236E"/>
    <w:rsid w:val="65E66580"/>
    <w:rsid w:val="66086565"/>
    <w:rsid w:val="664B1D71"/>
    <w:rsid w:val="664B4E8E"/>
    <w:rsid w:val="667411A7"/>
    <w:rsid w:val="6681025D"/>
    <w:rsid w:val="66DB1B7A"/>
    <w:rsid w:val="672524A2"/>
    <w:rsid w:val="67277B67"/>
    <w:rsid w:val="67281F92"/>
    <w:rsid w:val="67563D68"/>
    <w:rsid w:val="677156E7"/>
    <w:rsid w:val="67876CB8"/>
    <w:rsid w:val="67AA3209"/>
    <w:rsid w:val="688F051A"/>
    <w:rsid w:val="689A0C6D"/>
    <w:rsid w:val="68A5389A"/>
    <w:rsid w:val="68AA0EB0"/>
    <w:rsid w:val="69083E29"/>
    <w:rsid w:val="69196036"/>
    <w:rsid w:val="69335FEA"/>
    <w:rsid w:val="698D0931"/>
    <w:rsid w:val="6A301889"/>
    <w:rsid w:val="6A7A0D56"/>
    <w:rsid w:val="6A7FE5F3"/>
    <w:rsid w:val="6AA61BC8"/>
    <w:rsid w:val="6AE12B83"/>
    <w:rsid w:val="6B053271"/>
    <w:rsid w:val="6B4F5D3F"/>
    <w:rsid w:val="6B8F0831"/>
    <w:rsid w:val="6BDD78B3"/>
    <w:rsid w:val="6C360CAD"/>
    <w:rsid w:val="6C4A05C8"/>
    <w:rsid w:val="6C8742B8"/>
    <w:rsid w:val="6D7D3037"/>
    <w:rsid w:val="6DA71E62"/>
    <w:rsid w:val="6DAF0D17"/>
    <w:rsid w:val="6DBF5E93"/>
    <w:rsid w:val="6DD24A05"/>
    <w:rsid w:val="6DE22E9A"/>
    <w:rsid w:val="6DFF077E"/>
    <w:rsid w:val="6E3B256F"/>
    <w:rsid w:val="6E541CC1"/>
    <w:rsid w:val="6E714EF0"/>
    <w:rsid w:val="6E7E3605"/>
    <w:rsid w:val="6E7FDCC7"/>
    <w:rsid w:val="6ED053E9"/>
    <w:rsid w:val="6ED6A62E"/>
    <w:rsid w:val="6EE00B15"/>
    <w:rsid w:val="6EF849F0"/>
    <w:rsid w:val="6F5558EE"/>
    <w:rsid w:val="6F6FB3EB"/>
    <w:rsid w:val="6F7E6BF3"/>
    <w:rsid w:val="6F8731EA"/>
    <w:rsid w:val="6FCE6052"/>
    <w:rsid w:val="6FD57C00"/>
    <w:rsid w:val="6FDC2BA3"/>
    <w:rsid w:val="6FEFFFD8"/>
    <w:rsid w:val="6FF5CC65"/>
    <w:rsid w:val="6FFB47EC"/>
    <w:rsid w:val="6FFF034A"/>
    <w:rsid w:val="70194B6E"/>
    <w:rsid w:val="70484440"/>
    <w:rsid w:val="70903082"/>
    <w:rsid w:val="70C745CA"/>
    <w:rsid w:val="70FC24C5"/>
    <w:rsid w:val="712A28F1"/>
    <w:rsid w:val="715C0E4B"/>
    <w:rsid w:val="71992E7C"/>
    <w:rsid w:val="71A14E1B"/>
    <w:rsid w:val="71C7125F"/>
    <w:rsid w:val="71DE7E1D"/>
    <w:rsid w:val="71FD64F5"/>
    <w:rsid w:val="72233669"/>
    <w:rsid w:val="7255716E"/>
    <w:rsid w:val="726A345E"/>
    <w:rsid w:val="72734D90"/>
    <w:rsid w:val="72AF5315"/>
    <w:rsid w:val="730D6C0C"/>
    <w:rsid w:val="73160E6D"/>
    <w:rsid w:val="7332FE48"/>
    <w:rsid w:val="7338355D"/>
    <w:rsid w:val="73577E87"/>
    <w:rsid w:val="735E1215"/>
    <w:rsid w:val="736E5163"/>
    <w:rsid w:val="73AB61DA"/>
    <w:rsid w:val="73AD73D5"/>
    <w:rsid w:val="73AF1A71"/>
    <w:rsid w:val="73B6EB34"/>
    <w:rsid w:val="73EA131B"/>
    <w:rsid w:val="73EE6941"/>
    <w:rsid w:val="73FA497D"/>
    <w:rsid w:val="7440091B"/>
    <w:rsid w:val="744731E5"/>
    <w:rsid w:val="744A1799"/>
    <w:rsid w:val="74620891"/>
    <w:rsid w:val="74B42760"/>
    <w:rsid w:val="74BBD01D"/>
    <w:rsid w:val="74DF2E92"/>
    <w:rsid w:val="74ED5379"/>
    <w:rsid w:val="75DEEEC2"/>
    <w:rsid w:val="75E32345"/>
    <w:rsid w:val="76C92E49"/>
    <w:rsid w:val="76E3355F"/>
    <w:rsid w:val="76F03730"/>
    <w:rsid w:val="76FF5125"/>
    <w:rsid w:val="77316C41"/>
    <w:rsid w:val="774B1AB0"/>
    <w:rsid w:val="776F6FFA"/>
    <w:rsid w:val="778769C8"/>
    <w:rsid w:val="77A75DCA"/>
    <w:rsid w:val="77DC22F5"/>
    <w:rsid w:val="77E65C7D"/>
    <w:rsid w:val="78016613"/>
    <w:rsid w:val="78197582"/>
    <w:rsid w:val="781F4CEB"/>
    <w:rsid w:val="783E271A"/>
    <w:rsid w:val="784A1D68"/>
    <w:rsid w:val="784E3C31"/>
    <w:rsid w:val="78616DE9"/>
    <w:rsid w:val="78C7160B"/>
    <w:rsid w:val="78E875D7"/>
    <w:rsid w:val="79086DAD"/>
    <w:rsid w:val="795B1D53"/>
    <w:rsid w:val="799C4845"/>
    <w:rsid w:val="79D7FD79"/>
    <w:rsid w:val="79EE5BA4"/>
    <w:rsid w:val="7A624B2D"/>
    <w:rsid w:val="7A894339"/>
    <w:rsid w:val="7AD284E8"/>
    <w:rsid w:val="7AFF7572"/>
    <w:rsid w:val="7B0A1C83"/>
    <w:rsid w:val="7B25543F"/>
    <w:rsid w:val="7B6C7DFB"/>
    <w:rsid w:val="7B851222"/>
    <w:rsid w:val="7BBFBED0"/>
    <w:rsid w:val="7BC3E394"/>
    <w:rsid w:val="7BDF0A19"/>
    <w:rsid w:val="7C1F3737"/>
    <w:rsid w:val="7C482A62"/>
    <w:rsid w:val="7CBFC87B"/>
    <w:rsid w:val="7CFE0F48"/>
    <w:rsid w:val="7D272ABC"/>
    <w:rsid w:val="7D39684F"/>
    <w:rsid w:val="7D3B4375"/>
    <w:rsid w:val="7D7EC23E"/>
    <w:rsid w:val="7DD24CD9"/>
    <w:rsid w:val="7DEB18F7"/>
    <w:rsid w:val="7E0C058A"/>
    <w:rsid w:val="7E8ADEBF"/>
    <w:rsid w:val="7EC516A2"/>
    <w:rsid w:val="7EEF11D3"/>
    <w:rsid w:val="7EFE4840"/>
    <w:rsid w:val="7F080287"/>
    <w:rsid w:val="7F0971A6"/>
    <w:rsid w:val="7F1D62E7"/>
    <w:rsid w:val="7F3F679B"/>
    <w:rsid w:val="7F4FC4EF"/>
    <w:rsid w:val="7F594F87"/>
    <w:rsid w:val="7F5E4D54"/>
    <w:rsid w:val="7F6E0135"/>
    <w:rsid w:val="7F79F205"/>
    <w:rsid w:val="7FA30C79"/>
    <w:rsid w:val="7FA79C44"/>
    <w:rsid w:val="7FAF8ABF"/>
    <w:rsid w:val="7FB7269E"/>
    <w:rsid w:val="7FC96657"/>
    <w:rsid w:val="7FDA9588"/>
    <w:rsid w:val="7FDF220F"/>
    <w:rsid w:val="7FEC7BA9"/>
    <w:rsid w:val="7FEDC5F7"/>
    <w:rsid w:val="7FEDD9DE"/>
    <w:rsid w:val="7FF5890D"/>
    <w:rsid w:val="7FF93490"/>
    <w:rsid w:val="99FF2014"/>
    <w:rsid w:val="A6DD0D7F"/>
    <w:rsid w:val="ACFF4FBB"/>
    <w:rsid w:val="ADC6F725"/>
    <w:rsid w:val="B7CF06AB"/>
    <w:rsid w:val="B7CFA926"/>
    <w:rsid w:val="B7F8786B"/>
    <w:rsid w:val="BABB6AA1"/>
    <w:rsid w:val="BB2F4199"/>
    <w:rsid w:val="BCFFB442"/>
    <w:rsid w:val="BD079C78"/>
    <w:rsid w:val="BD733540"/>
    <w:rsid w:val="BF3735D5"/>
    <w:rsid w:val="BF7F09AC"/>
    <w:rsid w:val="BFD475C3"/>
    <w:rsid w:val="BFDE5EA6"/>
    <w:rsid w:val="CF6FC6F3"/>
    <w:rsid w:val="CFD3D3D7"/>
    <w:rsid w:val="CFDF1009"/>
    <w:rsid w:val="D7D7B16A"/>
    <w:rsid w:val="D8D6DB89"/>
    <w:rsid w:val="DB6F4CAB"/>
    <w:rsid w:val="DB777682"/>
    <w:rsid w:val="DD1FB521"/>
    <w:rsid w:val="DEFBFEAE"/>
    <w:rsid w:val="DF1F3B80"/>
    <w:rsid w:val="DF6F9789"/>
    <w:rsid w:val="DFE9BE81"/>
    <w:rsid w:val="DFFFA9E8"/>
    <w:rsid w:val="E5F4E9DC"/>
    <w:rsid w:val="E70FE695"/>
    <w:rsid w:val="EB2E368B"/>
    <w:rsid w:val="ECFED1BC"/>
    <w:rsid w:val="ED1D69BB"/>
    <w:rsid w:val="ED7FD312"/>
    <w:rsid w:val="EF2E1AC6"/>
    <w:rsid w:val="EF53993F"/>
    <w:rsid w:val="EF6FD633"/>
    <w:rsid w:val="EFBFB2F4"/>
    <w:rsid w:val="EFBFFA21"/>
    <w:rsid w:val="F2BEBCB8"/>
    <w:rsid w:val="F36FB518"/>
    <w:rsid w:val="F3DE1A04"/>
    <w:rsid w:val="F3F722E5"/>
    <w:rsid w:val="F4FBCD07"/>
    <w:rsid w:val="FA5F1E70"/>
    <w:rsid w:val="FA5FDB97"/>
    <w:rsid w:val="FB7F486A"/>
    <w:rsid w:val="FBFF5B2E"/>
    <w:rsid w:val="FD7FFE2B"/>
    <w:rsid w:val="FDEE196B"/>
    <w:rsid w:val="FDFE6575"/>
    <w:rsid w:val="FEDFDDC2"/>
    <w:rsid w:val="FEED32F6"/>
    <w:rsid w:val="FEF781DD"/>
    <w:rsid w:val="FF3F7E3F"/>
    <w:rsid w:val="FFBA12D7"/>
    <w:rsid w:val="FFCBD314"/>
    <w:rsid w:val="FFDFF91C"/>
    <w:rsid w:val="FFDFFAEE"/>
    <w:rsid w:val="FFEF6777"/>
    <w:rsid w:val="FFF9B57B"/>
    <w:rsid w:val="FFFD61D9"/>
    <w:rsid w:val="FFFD8F59"/>
    <w:rsid w:val="FFFF2BB1"/>
    <w:rsid w:val="FFFFB04D"/>
  </w:rsids>
  <m:mathPr>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30"/>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31"/>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5">
    <w:name w:val="heading 3"/>
    <w:basedOn w:val="1"/>
    <w:next w:val="1"/>
    <w:link w:val="34"/>
    <w:unhideWhenUsed/>
    <w:qFormat/>
    <w:uiPriority w:val="9"/>
    <w:pPr>
      <w:keepNext/>
      <w:keepLines/>
      <w:spacing w:before="260" w:after="260" w:line="416" w:lineRule="auto"/>
      <w:outlineLvl w:val="2"/>
    </w:pPr>
    <w:rPr>
      <w:b/>
      <w:bCs/>
      <w:sz w:val="32"/>
      <w:szCs w:val="32"/>
    </w:rPr>
  </w:style>
  <w:style w:type="character" w:default="1" w:styleId="18">
    <w:name w:val="Default Paragraph Font"/>
    <w:unhideWhenUsed/>
    <w:qFormat/>
    <w:uiPriority w:val="1"/>
  </w:style>
  <w:style w:type="table" w:default="1" w:styleId="17">
    <w:name w:val="Normal Table"/>
    <w:unhideWhenUsed/>
    <w:qFormat/>
    <w:uiPriority w:val="99"/>
    <w:tblPr>
      <w:tblCellMar>
        <w:top w:w="0" w:type="dxa"/>
        <w:left w:w="108" w:type="dxa"/>
        <w:bottom w:w="0" w:type="dxa"/>
        <w:right w:w="108" w:type="dxa"/>
      </w:tblCellMar>
    </w:tblPr>
  </w:style>
  <w:style w:type="paragraph" w:styleId="2">
    <w:name w:val="Body Text"/>
    <w:basedOn w:val="1"/>
    <w:next w:val="1"/>
    <w:link w:val="27"/>
    <w:qFormat/>
    <w:uiPriority w:val="99"/>
    <w:pPr>
      <w:spacing w:beforeLines="30"/>
    </w:pPr>
    <w:rPr>
      <w:rFonts w:ascii="仿宋_GB2312" w:eastAsia="仿宋_GB2312"/>
      <w:kern w:val="0"/>
      <w:sz w:val="30"/>
    </w:rPr>
  </w:style>
  <w:style w:type="paragraph" w:styleId="6">
    <w:name w:val="Body Text Indent"/>
    <w:basedOn w:val="1"/>
    <w:qFormat/>
    <w:uiPriority w:val="0"/>
    <w:pPr>
      <w:spacing w:after="120"/>
      <w:ind w:left="200" w:leftChars="200"/>
    </w:pPr>
    <w:rPr>
      <w:rFonts w:ascii="仿宋_GB2312"/>
      <w:szCs w:val="32"/>
    </w:rPr>
  </w:style>
  <w:style w:type="paragraph" w:styleId="7">
    <w:name w:val="toc 3"/>
    <w:basedOn w:val="1"/>
    <w:next w:val="1"/>
    <w:unhideWhenUsed/>
    <w:qFormat/>
    <w:uiPriority w:val="39"/>
    <w:pPr>
      <w:tabs>
        <w:tab w:val="right" w:leader="dot" w:pos="8296"/>
      </w:tabs>
      <w:ind w:left="840" w:leftChars="400"/>
    </w:pPr>
  </w:style>
  <w:style w:type="paragraph" w:styleId="8">
    <w:name w:val="Body Text Indent 2"/>
    <w:basedOn w:val="1"/>
    <w:qFormat/>
    <w:uiPriority w:val="0"/>
    <w:pPr>
      <w:spacing w:after="120" w:line="480" w:lineRule="auto"/>
      <w:ind w:left="420" w:leftChars="200" w:firstLine="0" w:firstLineChars="0"/>
    </w:pPr>
    <w:rPr>
      <w:rFonts w:ascii="Calibri" w:hAnsi="Calibri" w:eastAsia="宋体"/>
      <w:sz w:val="21"/>
      <w:szCs w:val="21"/>
    </w:rPr>
  </w:style>
  <w:style w:type="paragraph" w:styleId="9">
    <w:name w:val="Balloon Text"/>
    <w:basedOn w:val="1"/>
    <w:link w:val="33"/>
    <w:unhideWhenUsed/>
    <w:qFormat/>
    <w:uiPriority w:val="99"/>
    <w:rPr>
      <w:sz w:val="18"/>
      <w:szCs w:val="18"/>
    </w:rPr>
  </w:style>
  <w:style w:type="paragraph" w:styleId="10">
    <w:name w:val="footer"/>
    <w:basedOn w:val="1"/>
    <w:link w:val="25"/>
    <w:qFormat/>
    <w:uiPriority w:val="99"/>
    <w:pPr>
      <w:tabs>
        <w:tab w:val="center" w:pos="4153"/>
        <w:tab w:val="right" w:pos="8306"/>
      </w:tabs>
      <w:snapToGrid w:val="0"/>
      <w:jc w:val="left"/>
    </w:pPr>
    <w:rPr>
      <w:rFonts w:ascii="Calibri" w:hAnsi="Calibri"/>
      <w:kern w:val="0"/>
      <w:sz w:val="18"/>
      <w:szCs w:val="18"/>
    </w:rPr>
  </w:style>
  <w:style w:type="paragraph" w:styleId="11">
    <w:name w:val="header"/>
    <w:basedOn w:val="1"/>
    <w:link w:val="23"/>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2">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3">
    <w:name w:val="footnote text"/>
    <w:basedOn w:val="1"/>
    <w:next w:val="14"/>
    <w:semiHidden/>
    <w:qFormat/>
    <w:uiPriority w:val="0"/>
    <w:pPr>
      <w:snapToGrid w:val="0"/>
      <w:jc w:val="left"/>
    </w:pPr>
    <w:rPr>
      <w:sz w:val="18"/>
      <w:szCs w:val="18"/>
    </w:rPr>
  </w:style>
  <w:style w:type="paragraph" w:styleId="14">
    <w:name w:val="Body Text First Indent 2"/>
    <w:basedOn w:val="6"/>
    <w:unhideWhenUsed/>
    <w:qFormat/>
    <w:uiPriority w:val="99"/>
    <w:pPr>
      <w:ind w:firstLine="420" w:firstLineChars="200"/>
    </w:pPr>
  </w:style>
  <w:style w:type="paragraph" w:styleId="15">
    <w:name w:val="toc 2"/>
    <w:basedOn w:val="1"/>
    <w:next w:val="1"/>
    <w:unhideWhenUsed/>
    <w:qFormat/>
    <w:uiPriority w:val="39"/>
    <w:pPr>
      <w:tabs>
        <w:tab w:val="right" w:leader="dot" w:pos="8296"/>
      </w:tabs>
      <w:ind w:left="420" w:leftChars="200"/>
    </w:pPr>
  </w:style>
  <w:style w:type="paragraph" w:styleId="16">
    <w:name w:val="Normal (Web)"/>
    <w:basedOn w:val="1"/>
    <w:qFormat/>
    <w:uiPriority w:val="0"/>
    <w:pPr>
      <w:spacing w:before="100" w:beforeAutospacing="1" w:after="100" w:afterAutospacing="1"/>
    </w:pPr>
  </w:style>
  <w:style w:type="character" w:styleId="19">
    <w:name w:val="Strong"/>
    <w:basedOn w:val="18"/>
    <w:qFormat/>
    <w:uiPriority w:val="99"/>
    <w:rPr>
      <w:b/>
    </w:rPr>
  </w:style>
  <w:style w:type="character" w:styleId="20">
    <w:name w:val="Hyperlink"/>
    <w:basedOn w:val="18"/>
    <w:unhideWhenUsed/>
    <w:qFormat/>
    <w:uiPriority w:val="99"/>
    <w:rPr>
      <w:color w:val="0000FF" w:themeColor="hyperlink"/>
      <w:u w:val="single"/>
      <w14:textFill>
        <w14:solidFill>
          <w14:schemeClr w14:val="hlink"/>
        </w14:solidFill>
      </w14:textFill>
    </w:rPr>
  </w:style>
  <w:style w:type="paragraph" w:customStyle="1" w:styleId="21">
    <w:name w:val="标题 5（有编号）（绿盟科技）"/>
    <w:next w:val="1"/>
    <w:qFormat/>
    <w:uiPriority w:val="99"/>
    <w:pPr>
      <w:keepNext/>
      <w:keepLines/>
      <w:widowControl w:val="0"/>
      <w:spacing w:before="280" w:after="156" w:line="377" w:lineRule="auto"/>
      <w:outlineLvl w:val="4"/>
    </w:pPr>
    <w:rPr>
      <w:rFonts w:ascii="Arial" w:hAnsi="Arial" w:eastAsia="黑体" w:cs="Times New Roman"/>
      <w:b/>
      <w:kern w:val="2"/>
      <w:sz w:val="24"/>
      <w:szCs w:val="28"/>
      <w:lang w:val="en-US" w:eastAsia="zh-CN" w:bidi="ar-SA"/>
    </w:rPr>
  </w:style>
  <w:style w:type="character" w:customStyle="1" w:styleId="22">
    <w:name w:val="Header Char"/>
    <w:basedOn w:val="18"/>
    <w:semiHidden/>
    <w:qFormat/>
    <w:uiPriority w:val="99"/>
    <w:rPr>
      <w:rFonts w:ascii="Times New Roman" w:hAnsi="Times New Roman"/>
      <w:sz w:val="18"/>
      <w:szCs w:val="18"/>
    </w:rPr>
  </w:style>
  <w:style w:type="character" w:customStyle="1" w:styleId="23">
    <w:name w:val="页眉 字符"/>
    <w:link w:val="11"/>
    <w:semiHidden/>
    <w:qFormat/>
    <w:locked/>
    <w:uiPriority w:val="99"/>
    <w:rPr>
      <w:sz w:val="18"/>
    </w:rPr>
  </w:style>
  <w:style w:type="character" w:customStyle="1" w:styleId="24">
    <w:name w:val="Footer Char"/>
    <w:basedOn w:val="18"/>
    <w:semiHidden/>
    <w:qFormat/>
    <w:uiPriority w:val="99"/>
    <w:rPr>
      <w:rFonts w:ascii="Times New Roman" w:hAnsi="Times New Roman"/>
      <w:sz w:val="18"/>
      <w:szCs w:val="18"/>
    </w:rPr>
  </w:style>
  <w:style w:type="character" w:customStyle="1" w:styleId="25">
    <w:name w:val="页脚 字符"/>
    <w:link w:val="10"/>
    <w:qFormat/>
    <w:locked/>
    <w:uiPriority w:val="99"/>
    <w:rPr>
      <w:sz w:val="18"/>
    </w:rPr>
  </w:style>
  <w:style w:type="character" w:customStyle="1" w:styleId="26">
    <w:name w:val="Body Text Char"/>
    <w:basedOn w:val="18"/>
    <w:semiHidden/>
    <w:qFormat/>
    <w:uiPriority w:val="99"/>
    <w:rPr>
      <w:rFonts w:ascii="Times New Roman" w:hAnsi="Times New Roman"/>
      <w:szCs w:val="24"/>
    </w:rPr>
  </w:style>
  <w:style w:type="character" w:customStyle="1" w:styleId="27">
    <w:name w:val="正文文本 字符"/>
    <w:link w:val="2"/>
    <w:qFormat/>
    <w:locked/>
    <w:uiPriority w:val="99"/>
    <w:rPr>
      <w:rFonts w:ascii="仿宋_GB2312" w:hAnsi="Times New Roman" w:eastAsia="仿宋_GB2312"/>
      <w:sz w:val="24"/>
    </w:rPr>
  </w:style>
  <w:style w:type="paragraph" w:customStyle="1" w:styleId="28">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customStyle="1" w:styleId="29">
    <w:name w:val="List Paragraph"/>
    <w:basedOn w:val="1"/>
    <w:qFormat/>
    <w:uiPriority w:val="34"/>
    <w:pPr>
      <w:ind w:firstLine="420" w:firstLineChars="200"/>
    </w:pPr>
  </w:style>
  <w:style w:type="character" w:customStyle="1" w:styleId="30">
    <w:name w:val="标题 1 字符"/>
    <w:basedOn w:val="18"/>
    <w:link w:val="3"/>
    <w:qFormat/>
    <w:uiPriority w:val="9"/>
    <w:rPr>
      <w:rFonts w:ascii="Times New Roman" w:hAnsi="Times New Roman"/>
      <w:b/>
      <w:bCs/>
      <w:kern w:val="44"/>
      <w:sz w:val="44"/>
      <w:szCs w:val="44"/>
    </w:rPr>
  </w:style>
  <w:style w:type="character" w:customStyle="1" w:styleId="31">
    <w:name w:val="标题 2 字符"/>
    <w:basedOn w:val="18"/>
    <w:link w:val="4"/>
    <w:qFormat/>
    <w:uiPriority w:val="9"/>
    <w:rPr>
      <w:rFonts w:asciiTheme="majorHAnsi" w:hAnsiTheme="majorHAnsi" w:eastAsiaTheme="majorEastAsia" w:cstheme="majorBidi"/>
      <w:b/>
      <w:bCs/>
      <w:kern w:val="2"/>
      <w:sz w:val="32"/>
      <w:szCs w:val="32"/>
    </w:rPr>
  </w:style>
  <w:style w:type="paragraph" w:customStyle="1" w:styleId="32">
    <w:name w:val="TOC 标题1"/>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3">
    <w:name w:val="批注框文本 字符"/>
    <w:basedOn w:val="18"/>
    <w:link w:val="9"/>
    <w:semiHidden/>
    <w:qFormat/>
    <w:uiPriority w:val="99"/>
    <w:rPr>
      <w:rFonts w:ascii="Times New Roman" w:hAnsi="Times New Roman"/>
      <w:kern w:val="2"/>
      <w:sz w:val="18"/>
      <w:szCs w:val="18"/>
    </w:rPr>
  </w:style>
  <w:style w:type="character" w:customStyle="1" w:styleId="34">
    <w:name w:val="标题 3 字符"/>
    <w:basedOn w:val="18"/>
    <w:link w:val="5"/>
    <w:qFormat/>
    <w:uiPriority w:val="9"/>
    <w:rPr>
      <w:rFonts w:ascii="Times New Roman" w:hAnsi="Times New Roman"/>
      <w:b/>
      <w:bCs/>
      <w:kern w:val="2"/>
      <w:sz w:val="32"/>
      <w:szCs w:val="32"/>
    </w:rPr>
  </w:style>
  <w:style w:type="paragraph" w:customStyle="1" w:styleId="35">
    <w:name w:val="TOC 标题2"/>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paragraph" w:customStyle="1" w:styleId="36">
    <w:name w:val="四号正文"/>
    <w:basedOn w:val="1"/>
    <w:qFormat/>
    <w:uiPriority w:val="0"/>
    <w:pPr>
      <w:spacing w:line="360" w:lineRule="auto"/>
    </w:pPr>
    <w:rPr>
      <w:rFonts w:ascii="??" w:hAnsi="??"/>
      <w:color w:val="000000"/>
      <w:kern w:val="0"/>
      <w:sz w:val="28"/>
      <w:szCs w:val="21"/>
      <w:lang w:val="zh-CN"/>
    </w:rPr>
  </w:style>
  <w:style w:type="character" w:customStyle="1" w:styleId="37">
    <w:name w:val="17"/>
    <w:basedOn w:val="18"/>
    <w:qFormat/>
    <w:uiPriority w:val="0"/>
    <w:rPr>
      <w:rFonts w:hint="default" w:ascii="Times New Roman" w:hAnsi="Times New Roman" w:cs="Times New Roman"/>
      <w:b/>
    </w:rPr>
  </w:style>
  <w:style w:type="paragraph" w:customStyle="1" w:styleId="38">
    <w:name w:val="BodyText"/>
    <w:basedOn w:val="1"/>
    <w:qFormat/>
    <w:uiPriority w:val="99"/>
    <w:pPr>
      <w:spacing w:after="120"/>
    </w:pPr>
  </w:style>
  <w:style w:type="paragraph" w:customStyle="1" w:styleId="39">
    <w:name w:val="普通(网站) Char"/>
    <w:basedOn w:val="1"/>
    <w:qFormat/>
    <w:uiPriority w:val="0"/>
    <w:pPr>
      <w:keepNext w:val="0"/>
      <w:keepLines w:val="0"/>
      <w:widowControl/>
      <w:suppressLineNumbers w:val="0"/>
      <w:spacing w:before="0" w:beforeAutospacing="1" w:after="0" w:afterAutospacing="1"/>
      <w:ind w:left="0" w:right="0"/>
      <w:jc w:val="left"/>
    </w:pPr>
    <w:rPr>
      <w:rFonts w:hint="eastAsia" w:ascii="宋体" w:hAnsi="宋体" w:eastAsia="宋体" w:cs="宋体"/>
      <w:kern w:val="0"/>
      <w:sz w:val="24"/>
      <w:szCs w:val="24"/>
      <w:lang w:val="en-US" w:eastAsia="zh-CN" w:bidi="ar"/>
    </w:rPr>
  </w:style>
</w:styles>
</file>

<file path=word/_rels/document.xml.rels><?xml version="1.0" encoding="UTF-8" standalone="yes"?>
<Relationships xmlns="http://schemas.openxmlformats.org/package/2006/relationships"><Relationship Id="rId9" Type="http://schemas.openxmlformats.org/officeDocument/2006/relationships/chart" Target="charts/chart1.xml"/><Relationship Id="rId8" Type="http://schemas.openxmlformats.org/officeDocument/2006/relationships/theme" Target="theme/theme1.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chart" Target="charts/chart7.xml"/><Relationship Id="rId14" Type="http://schemas.openxmlformats.org/officeDocument/2006/relationships/chart" Target="charts/chart6.xml"/><Relationship Id="rId13" Type="http://schemas.openxmlformats.org/officeDocument/2006/relationships/chart" Target="charts/chart5.xml"/><Relationship Id="rId12" Type="http://schemas.openxmlformats.org/officeDocument/2006/relationships/chart" Target="charts/chart4.xml"/><Relationship Id="rId11" Type="http://schemas.openxmlformats.org/officeDocument/2006/relationships/chart" Target="charts/chart3.xml"/><Relationship Id="rId10" Type="http://schemas.openxmlformats.org/officeDocument/2006/relationships/chart" Target="charts/chart2.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Administrator\Desktop\&#26032;&#24314;%20XLS%20&#24037;&#20316;&#34920;.xls"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Administrator\Desktop\&#26032;&#24314;%20XLS%20&#24037;&#20316;&#34920;.xls"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Administrator\Desktop\&#26032;&#24314;%20XLS%20&#24037;&#20316;&#34920;.xls"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Administrator\Desktop\&#26032;&#24314;%20XLS%20&#24037;&#20316;&#34920;.xls" TargetMode="External"/></Relationships>
</file>

<file path=word/charts/_rels/chart5.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oleObject" Target="file:///C:\Users\Administrator\Desktop\&#26032;&#24314;%20XLS%20&#24037;&#20316;&#34920;.xls" TargetMode="External"/></Relationships>
</file>

<file path=word/charts/_rels/chart6.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file:///C:\Users\Administrator\Desktop\&#26032;&#24314;%20XLS%20&#24037;&#20316;&#34920;.xls" TargetMode="External"/></Relationships>
</file>

<file path=word/charts/_rels/chart7.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oleObject" Target="file:///C:\Users\Administrator\Desktop\&#26032;&#24314;%20XLS%20&#24037;&#20316;&#34920;.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rPr lang="en-US" altLang="zh-CN" sz="1400" b="1" i="0" u="none" strike="noStrike" baseline="0">
                <a:solidFill>
                  <a:srgbClr val="333333"/>
                </a:solidFill>
                <a:latin typeface="Calibri" panose="020F0502020204030204" pitchFamily="2" charset="0"/>
                <a:ea typeface="Calibri" panose="020F0502020204030204" pitchFamily="2" charset="0"/>
                <a:cs typeface="Calibri" panose="020F0502020204030204" pitchFamily="2" charset="0"/>
              </a:rPr>
              <a:t>2024</a:t>
            </a:r>
            <a:r>
              <a:rPr altLang="en-US" sz="1400" b="1" i="0" u="none" strike="noStrike" baseline="0">
                <a:solidFill>
                  <a:srgbClr val="333333"/>
                </a:solidFill>
                <a:latin typeface="宋体" panose="02010600030101010101" charset="-122"/>
                <a:ea typeface="宋体" panose="02010600030101010101" charset="-122"/>
                <a:cs typeface="宋体" panose="02010600030101010101" charset="-122"/>
              </a:rPr>
              <a:t>年</a:t>
            </a:r>
            <a:r>
              <a:rPr sz="1400" b="1" i="0" u="none" strike="noStrike" baseline="0">
                <a:solidFill>
                  <a:srgbClr val="333333"/>
                </a:solidFill>
                <a:latin typeface="宋体" panose="02010600030101010101" charset="-122"/>
                <a:ea typeface="宋体" panose="02010600030101010101" charset="-122"/>
                <a:cs typeface="宋体" panose="02010600030101010101" charset="-122"/>
              </a:rPr>
              <a:t>收入、支出决算总计变动情况图</a:t>
            </a:r>
            <a:endParaRPr sz="1200" b="0" i="0" u="none" strike="noStrike" baseline="0">
              <a:solidFill>
                <a:srgbClr val="000000"/>
              </a:solidFill>
              <a:latin typeface="宋体" panose="02010600030101010101" charset="-122"/>
              <a:ea typeface="宋体" panose="02010600030101010101" charset="-122"/>
              <a:cs typeface="宋体" panose="02010600030101010101" charset="-122"/>
            </a:endParaRPr>
          </a:p>
        </c:rich>
      </c:tx>
      <c:layout/>
      <c:overlay val="0"/>
      <c:spPr>
        <a:noFill/>
        <a:ln>
          <a:noFill/>
        </a:ln>
        <a:effectLst/>
      </c:spPr>
    </c:title>
    <c:autoTitleDeleted val="0"/>
    <c:plotArea>
      <c:layout/>
      <c:barChart>
        <c:barDir val="col"/>
        <c:grouping val="clustered"/>
        <c:varyColors val="0"/>
        <c:ser>
          <c:idx val="0"/>
          <c:order val="0"/>
          <c:spPr>
            <a:solidFill>
              <a:schemeClr val="accent1"/>
            </a:solidFill>
            <a:ln>
              <a:noFill/>
            </a:ln>
            <a:effectLst/>
          </c:spPr>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'[新建 XLS 工作表.xls]Sheet1'!$E$6:$F$6</c:f>
              <c:strCache>
                <c:ptCount val="2"/>
                <c:pt idx="0">
                  <c:v>2024年收入640.96万元</c:v>
                </c:pt>
                <c:pt idx="1">
                  <c:v>2024年支出629.2万元</c:v>
                </c:pt>
              </c:strCache>
            </c:strRef>
          </c:cat>
          <c:val>
            <c:numRef>
              <c:f>'[新建 XLS 工作表.xls]Sheet1'!$E$7:$F$7</c:f>
              <c:numCache>
                <c:formatCode>General</c:formatCode>
                <c:ptCount val="2"/>
                <c:pt idx="0">
                  <c:v>640.96</c:v>
                </c:pt>
                <c:pt idx="1">
                  <c:v>629.2</c:v>
                </c:pt>
              </c:numCache>
            </c:numRef>
          </c:val>
        </c:ser>
        <c:dLbls>
          <c:showLegendKey val="0"/>
          <c:showVal val="0"/>
          <c:showCatName val="0"/>
          <c:showSerName val="0"/>
          <c:showPercent val="0"/>
          <c:showBubbleSize val="0"/>
        </c:dLbls>
        <c:gapWidth val="246"/>
        <c:overlap val="-28"/>
        <c:axId val="777704991"/>
        <c:axId val="756666455"/>
      </c:barChart>
      <c:catAx>
        <c:axId val="777704991"/>
        <c:scaling>
          <c:orientation val="minMax"/>
        </c:scaling>
        <c:delete val="0"/>
        <c:axPos val="b"/>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756666455"/>
        <c:crosses val="autoZero"/>
        <c:auto val="1"/>
        <c:lblAlgn val="ctr"/>
        <c:lblOffset val="100"/>
        <c:noMultiLvlLbl val="0"/>
      </c:catAx>
      <c:valAx>
        <c:axId val="756666455"/>
        <c:scaling>
          <c:orientation val="minMax"/>
        </c:scaling>
        <c:delete val="0"/>
        <c:axPos val="l"/>
        <c:majorGridlines>
          <c:spPr>
            <a:ln w="9525" cap="flat" cmpd="sng" algn="ctr">
              <a:solidFill>
                <a:schemeClr val="lt1">
                  <a:lumMod val="90200"/>
                </a:schemeClr>
              </a:solidFill>
              <a:prstDash val="solid"/>
              <a:round/>
            </a:ln>
            <a:effectLst/>
          </c:spPr>
        </c:majorGridlines>
        <c:numFmt formatCode="General" sourceLinked="1"/>
        <c:majorTickMark val="none"/>
        <c:minorTickMark val="none"/>
        <c:tickLblPos val="nextTo"/>
        <c:spPr>
          <a:noFill/>
          <a:ln w="12700"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777704991"/>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b2a99431-e223-4e0b-8c9e-38ea8e132c2c}"/>
      </c:ext>
    </c:extLst>
  </c:chart>
  <c:spPr>
    <a:solidFill>
      <a:schemeClr val="bg1"/>
    </a:solidFill>
    <a:ln w="9525" cap="flat" cmpd="sng" algn="ctr">
      <a:solidFill>
        <a:schemeClr val="tx1">
          <a:lumMod val="15000"/>
          <a:lumOff val="85000"/>
        </a:schemeClr>
      </a:solidFill>
      <a:prstDash val="solid"/>
      <a:round/>
    </a:ln>
    <a:effectLst/>
  </c:spPr>
  <c:txPr>
    <a:bodyPr wrap="square"/>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rPr lang="en-US" altLang="zh-CN" sz="1400" b="1" i="0" u="none" strike="noStrike" baseline="0">
                <a:solidFill>
                  <a:srgbClr val="333333"/>
                </a:solidFill>
                <a:latin typeface="Calibri" panose="020F0502020204030204" pitchFamily="2" charset="0"/>
                <a:ea typeface="Calibri" panose="020F0502020204030204" pitchFamily="2" charset="0"/>
                <a:cs typeface="Calibri" panose="020F0502020204030204" pitchFamily="2" charset="0"/>
              </a:rPr>
              <a:t>2024</a:t>
            </a:r>
            <a:r>
              <a:rPr altLang="en-US" sz="1400" b="1" i="0" u="none" strike="noStrike" baseline="0">
                <a:solidFill>
                  <a:srgbClr val="333333"/>
                </a:solidFill>
                <a:latin typeface="宋体" panose="02010600030101010101" charset="-122"/>
                <a:ea typeface="宋体" panose="02010600030101010101" charset="-122"/>
                <a:cs typeface="宋体" panose="02010600030101010101" charset="-122"/>
              </a:rPr>
              <a:t>年</a:t>
            </a:r>
            <a:r>
              <a:rPr sz="1400" b="1" i="0" u="none" strike="noStrike" baseline="0">
                <a:solidFill>
                  <a:srgbClr val="333333"/>
                </a:solidFill>
                <a:latin typeface="宋体" panose="02010600030101010101" charset="-122"/>
                <a:ea typeface="宋体" panose="02010600030101010101" charset="-122"/>
                <a:cs typeface="宋体" panose="02010600030101010101" charset="-122"/>
              </a:rPr>
              <a:t>收入决算结构图</a:t>
            </a:r>
            <a:endParaRPr sz="1200" b="0" i="0" u="none" strike="noStrike" baseline="0">
              <a:solidFill>
                <a:srgbClr val="000000"/>
              </a:solidFill>
              <a:latin typeface="宋体" panose="02010600030101010101" charset="-122"/>
              <a:ea typeface="宋体" panose="02010600030101010101" charset="-122"/>
              <a:cs typeface="宋体" panose="02010600030101010101" charset="-122"/>
            </a:endParaRPr>
          </a:p>
        </c:rich>
      </c:tx>
      <c:layout/>
      <c:overlay val="0"/>
      <c:spPr>
        <a:noFill/>
        <a:ln>
          <a:noFill/>
        </a:ln>
        <a:effectLst/>
      </c:spPr>
    </c:title>
    <c:autoTitleDeleted val="0"/>
    <c:plotArea>
      <c:layout/>
      <c:pieChart>
        <c:varyColors val="1"/>
        <c:ser>
          <c:idx val="0"/>
          <c:order val="0"/>
          <c:explosion val="0"/>
          <c:dPt>
            <c:idx val="0"/>
            <c:bubble3D val="0"/>
            <c:explosion val="0"/>
            <c:spPr>
              <a:solidFill>
                <a:schemeClr val="accent1"/>
              </a:solidFill>
              <a:ln>
                <a:solidFill>
                  <a:schemeClr val="bg1"/>
                </a:solidFill>
              </a:ln>
              <a:effectLst/>
            </c:spPr>
          </c:dPt>
          <c:dPt>
            <c:idx val="1"/>
            <c:bubble3D val="0"/>
            <c:explosion val="0"/>
            <c:spPr>
              <a:solidFill>
                <a:schemeClr val="accent2"/>
              </a:solidFill>
              <a:ln>
                <a:solidFill>
                  <a:schemeClr val="bg1"/>
                </a:solidFill>
              </a:ln>
              <a:effectLst/>
            </c:spPr>
          </c:dPt>
          <c:dLbls>
            <c:numFmt formatCode="0.0%" sourceLinked="0"/>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ext>
            </c:extLst>
          </c:dLbls>
          <c:cat>
            <c:strRef>
              <c:f>'[新建 XLS 工作表.xls]Sheet2'!$D$12:$E$12</c:f>
              <c:strCache>
                <c:ptCount val="2"/>
                <c:pt idx="0">
                  <c:v>一般公共预算财政拨款收入617.21万元</c:v>
                </c:pt>
                <c:pt idx="1">
                  <c:v>其他收入23.75万元</c:v>
                </c:pt>
              </c:strCache>
            </c:strRef>
          </c:cat>
          <c:val>
            <c:numRef>
              <c:f>'[新建 XLS 工作表.xls]Sheet2'!$D$13:$E$13</c:f>
              <c:numCache>
                <c:formatCode>General</c:formatCode>
                <c:ptCount val="2"/>
                <c:pt idx="0">
                  <c:v>617.21</c:v>
                </c:pt>
                <c:pt idx="1">
                  <c:v>23.75</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64d86010-1c0b-4bc3-96cc-358ca62926bf}"/>
      </c:ext>
    </c:extLst>
  </c:chart>
  <c:spPr>
    <a:solidFill>
      <a:schemeClr val="bg1"/>
    </a:solidFill>
    <a:ln w="9525" cap="flat" cmpd="sng" algn="ctr">
      <a:solidFill>
        <a:schemeClr val="tx1">
          <a:lumMod val="15000"/>
          <a:lumOff val="85000"/>
        </a:schemeClr>
      </a:solidFill>
      <a:prstDash val="solid"/>
      <a:round/>
    </a:ln>
    <a:effectLst/>
  </c:spPr>
  <c:txPr>
    <a:bodyPr wrap="square"/>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rPr lang="en-US" altLang="zh-CN" sz="1400" b="1" i="0" u="none" strike="noStrike" baseline="0">
                <a:solidFill>
                  <a:srgbClr val="333333"/>
                </a:solidFill>
                <a:latin typeface="Calibri" panose="020F0502020204030204" pitchFamily="2" charset="0"/>
                <a:ea typeface="Calibri" panose="020F0502020204030204" pitchFamily="2" charset="0"/>
                <a:cs typeface="Calibri" panose="020F0502020204030204" pitchFamily="2" charset="0"/>
              </a:rPr>
              <a:t>2024</a:t>
            </a:r>
            <a:r>
              <a:rPr altLang="en-US" sz="1400" b="1" i="0" u="none" strike="noStrike" baseline="0">
                <a:solidFill>
                  <a:srgbClr val="333333"/>
                </a:solidFill>
                <a:latin typeface="宋体" panose="02010600030101010101" charset="-122"/>
                <a:ea typeface="宋体" panose="02010600030101010101" charset="-122"/>
                <a:cs typeface="宋体" panose="02010600030101010101" charset="-122"/>
              </a:rPr>
              <a:t>年</a:t>
            </a:r>
            <a:r>
              <a:rPr sz="1400" b="1" i="0" u="none" strike="noStrike" baseline="0">
                <a:solidFill>
                  <a:srgbClr val="333333"/>
                </a:solidFill>
                <a:latin typeface="宋体" panose="02010600030101010101" charset="-122"/>
                <a:ea typeface="宋体" panose="02010600030101010101" charset="-122"/>
                <a:cs typeface="宋体" panose="02010600030101010101" charset="-122"/>
              </a:rPr>
              <a:t>支出决算结构图</a:t>
            </a:r>
            <a:endParaRPr sz="1200" b="0" i="0" u="none" strike="noStrike" baseline="0">
              <a:solidFill>
                <a:srgbClr val="000000"/>
              </a:solidFill>
              <a:latin typeface="宋体" panose="02010600030101010101" charset="-122"/>
              <a:ea typeface="宋体" panose="02010600030101010101" charset="-122"/>
              <a:cs typeface="宋体" panose="02010600030101010101" charset="-122"/>
            </a:endParaRPr>
          </a:p>
        </c:rich>
      </c:tx>
      <c:layout/>
      <c:overlay val="0"/>
      <c:spPr>
        <a:noFill/>
        <a:ln>
          <a:noFill/>
        </a:ln>
        <a:effectLst/>
      </c:spPr>
    </c:title>
    <c:autoTitleDeleted val="0"/>
    <c:plotArea>
      <c:layout/>
      <c:pieChart>
        <c:varyColors val="1"/>
        <c:ser>
          <c:idx val="0"/>
          <c:order val="0"/>
          <c:explosion val="0"/>
          <c:dPt>
            <c:idx val="0"/>
            <c:bubble3D val="0"/>
            <c:explosion val="0"/>
            <c:spPr>
              <a:solidFill>
                <a:schemeClr val="accent1"/>
              </a:solidFill>
              <a:ln>
                <a:solidFill>
                  <a:schemeClr val="bg1"/>
                </a:solidFill>
              </a:ln>
              <a:effectLst/>
            </c:spPr>
          </c:dPt>
          <c:dPt>
            <c:idx val="1"/>
            <c:bubble3D val="0"/>
            <c:explosion val="0"/>
            <c:spPr>
              <a:solidFill>
                <a:schemeClr val="accent2"/>
              </a:solidFill>
              <a:ln>
                <a:solidFill>
                  <a:schemeClr val="bg1"/>
                </a:solidFill>
              </a:ln>
              <a:effectLst/>
            </c:spPr>
          </c:dPt>
          <c:dLbls>
            <c:dLbl>
              <c:idx val="1"/>
              <c:layout/>
              <c:dLblPos val="outEnd"/>
              <c:showLegendKey val="0"/>
              <c:showVal val="0"/>
              <c:showCatName val="0"/>
              <c:showSerName val="0"/>
              <c:showPercent val="1"/>
              <c:showBubbleSize val="0"/>
              <c:extLst>
                <c:ext xmlns:c15="http://schemas.microsoft.com/office/drawing/2012/chart" uri="{CE6537A1-D6FC-4f65-9D91-7224C49458BB}"/>
              </c:extLst>
            </c:dLbl>
            <c:numFmt formatCode="0.00%" sourceLinked="0"/>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inEnd"/>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rgbClr val="969696">
                          <a:alpha val="100000"/>
                        </a:srgbClr>
                      </a:solidFill>
                      <a:prstDash val="solid"/>
                      <a:round/>
                    </a:ln>
                  </c:spPr>
                </c15:leaderLines>
              </c:ext>
            </c:extLst>
          </c:dLbls>
          <c:cat>
            <c:strRef>
              <c:f>'[新建 XLS 工作表.xls]Sheet3'!$C$6:$D$6</c:f>
              <c:strCache>
                <c:ptCount val="2"/>
                <c:pt idx="0">
                  <c:v>基本支出442.03万元</c:v>
                </c:pt>
                <c:pt idx="1">
                  <c:v>项目支出187.17万元</c:v>
                </c:pt>
              </c:strCache>
            </c:strRef>
          </c:cat>
          <c:val>
            <c:numRef>
              <c:f>'[新建 XLS 工作表.xls]Sheet3'!$C$7:$D$7</c:f>
              <c:numCache>
                <c:formatCode>General</c:formatCode>
                <c:ptCount val="2"/>
                <c:pt idx="0">
                  <c:v>442.03</c:v>
                </c:pt>
                <c:pt idx="1">
                  <c:v>187.17</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c95cb821-b834-4d0c-b3c3-ddd81fcece3b}"/>
      </c:ext>
    </c:extLst>
  </c:chart>
  <c:spPr>
    <a:solidFill>
      <a:schemeClr val="bg1"/>
    </a:solidFill>
    <a:ln w="9525" cap="flat" cmpd="sng" algn="ctr">
      <a:solidFill>
        <a:schemeClr val="tx1">
          <a:lumMod val="15000"/>
          <a:lumOff val="85000"/>
        </a:schemeClr>
      </a:solidFill>
      <a:prstDash val="solid"/>
      <a:round/>
    </a:ln>
    <a:effectLst/>
  </c:spPr>
  <c:txPr>
    <a:bodyPr wrap="square"/>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rPr lang="en-US" altLang="zh-CN" sz="1400" b="1" i="0" u="none" strike="noStrike" baseline="0">
                <a:solidFill>
                  <a:srgbClr val="333333"/>
                </a:solidFill>
                <a:latin typeface="Calibri" panose="020F0502020204030204" pitchFamily="2" charset="0"/>
                <a:ea typeface="Calibri" panose="020F0502020204030204" pitchFamily="2" charset="0"/>
                <a:cs typeface="Calibri" panose="020F0502020204030204" pitchFamily="2" charset="0"/>
              </a:rPr>
              <a:t>2023</a:t>
            </a:r>
            <a:r>
              <a:rPr altLang="en-US" sz="1400" b="1" i="0" u="none" strike="noStrike" baseline="0">
                <a:solidFill>
                  <a:srgbClr val="333333"/>
                </a:solidFill>
                <a:latin typeface="宋体" panose="02010600030101010101" charset="-122"/>
                <a:ea typeface="宋体" panose="02010600030101010101" charset="-122"/>
                <a:cs typeface="宋体" panose="02010600030101010101" charset="-122"/>
              </a:rPr>
              <a:t>年、</a:t>
            </a:r>
            <a:r>
              <a:rPr lang="en-US" altLang="zh-CN" sz="1400" b="1" i="0" u="none" strike="noStrike" baseline="0">
                <a:solidFill>
                  <a:srgbClr val="333333"/>
                </a:solidFill>
                <a:latin typeface="Calibri" panose="020F0502020204030204" pitchFamily="2" charset="0"/>
                <a:ea typeface="Calibri" panose="020F0502020204030204" pitchFamily="2" charset="0"/>
                <a:cs typeface="Calibri" panose="020F0502020204030204" pitchFamily="2" charset="0"/>
              </a:rPr>
              <a:t>2024</a:t>
            </a:r>
            <a:r>
              <a:rPr altLang="en-US" sz="1400" b="1" i="0" u="none" strike="noStrike" baseline="0">
                <a:solidFill>
                  <a:srgbClr val="333333"/>
                </a:solidFill>
                <a:latin typeface="宋体" panose="02010600030101010101" charset="-122"/>
                <a:ea typeface="宋体" panose="02010600030101010101" charset="-122"/>
                <a:cs typeface="宋体" panose="02010600030101010101" charset="-122"/>
              </a:rPr>
              <a:t>年</a:t>
            </a:r>
            <a:r>
              <a:rPr sz="1400" b="1" i="0" u="none" strike="noStrike" baseline="0">
                <a:solidFill>
                  <a:srgbClr val="333333"/>
                </a:solidFill>
                <a:latin typeface="宋体" panose="02010600030101010101" charset="-122"/>
                <a:ea typeface="宋体" panose="02010600030101010101" charset="-122"/>
                <a:cs typeface="宋体" panose="02010600030101010101" charset="-122"/>
              </a:rPr>
              <a:t>财政拨款收入支出决算总体情况</a:t>
            </a:r>
            <a:endParaRPr sz="1200" b="0" i="0" u="none" strike="noStrike" baseline="0">
              <a:solidFill>
                <a:srgbClr val="000000"/>
              </a:solidFill>
              <a:latin typeface="宋体" panose="02010600030101010101" charset="-122"/>
              <a:ea typeface="宋体" panose="02010600030101010101" charset="-122"/>
              <a:cs typeface="宋体" panose="02010600030101010101" charset="-122"/>
            </a:endParaRPr>
          </a:p>
        </c:rich>
      </c:tx>
      <c:layout/>
      <c:overlay val="0"/>
      <c:spPr>
        <a:noFill/>
        <a:ln>
          <a:noFill/>
        </a:ln>
        <a:effectLst/>
      </c:spPr>
    </c:title>
    <c:autoTitleDeleted val="0"/>
    <c:plotArea>
      <c:layout/>
      <c:barChart>
        <c:barDir val="col"/>
        <c:grouping val="clustered"/>
        <c:varyColors val="0"/>
        <c:ser>
          <c:idx val="0"/>
          <c:order val="0"/>
          <c:spPr>
            <a:solidFill>
              <a:schemeClr val="accent1"/>
            </a:solidFill>
            <a:ln>
              <a:noFill/>
            </a:ln>
            <a:effectLst/>
          </c:spPr>
          <c:invertIfNegative val="0"/>
          <c:dLbls>
            <c:delete val="1"/>
          </c:dLbls>
          <c:cat>
            <c:strRef>
              <c:f>'[新建 XLS 工作表.xls]Sheet4'!$H$13:$I$13</c:f>
              <c:strCache>
                <c:ptCount val="2"/>
                <c:pt idx="0">
                  <c:v>2024年度财政拨款收入、支出总计均为617.21万元</c:v>
                </c:pt>
                <c:pt idx="1">
                  <c:v>2023年度财政拨款收入、支出总计均为606.53万元</c:v>
                </c:pt>
              </c:strCache>
            </c:strRef>
          </c:cat>
          <c:val>
            <c:numRef>
              <c:f>'[新建 XLS 工作表.xls]Sheet4'!$H$14:$I$14</c:f>
              <c:numCache>
                <c:formatCode>General</c:formatCode>
                <c:ptCount val="2"/>
                <c:pt idx="0">
                  <c:v>617.21</c:v>
                </c:pt>
                <c:pt idx="1">
                  <c:v>606.53</c:v>
                </c:pt>
              </c:numCache>
            </c:numRef>
          </c:val>
        </c:ser>
        <c:dLbls>
          <c:showLegendKey val="0"/>
          <c:showVal val="0"/>
          <c:showCatName val="0"/>
          <c:showSerName val="0"/>
          <c:showPercent val="0"/>
          <c:showBubbleSize val="0"/>
        </c:dLbls>
        <c:gapWidth val="246"/>
        <c:overlap val="-28"/>
        <c:axId val="159872095"/>
        <c:axId val="201848736"/>
      </c:barChart>
      <c:catAx>
        <c:axId val="159872095"/>
        <c:scaling>
          <c:orientation val="minMax"/>
        </c:scaling>
        <c:delete val="0"/>
        <c:axPos val="b"/>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01848736"/>
        <c:crosses val="autoZero"/>
        <c:auto val="1"/>
        <c:lblAlgn val="ctr"/>
        <c:lblOffset val="100"/>
        <c:noMultiLvlLbl val="0"/>
      </c:catAx>
      <c:valAx>
        <c:axId val="201848736"/>
        <c:scaling>
          <c:orientation val="minMax"/>
        </c:scaling>
        <c:delete val="0"/>
        <c:axPos val="l"/>
        <c:majorGridlines>
          <c:spPr>
            <a:ln w="9525" cap="flat" cmpd="sng" algn="ctr">
              <a:solidFill>
                <a:schemeClr val="lt1">
                  <a:lumMod val="90200"/>
                </a:schemeClr>
              </a:solidFill>
              <a:prstDash val="solid"/>
              <a:round/>
            </a:ln>
            <a:effectLst/>
          </c:spPr>
        </c:majorGridlines>
        <c:numFmt formatCode="General" sourceLinked="1"/>
        <c:majorTickMark val="none"/>
        <c:minorTickMark val="none"/>
        <c:tickLblPos val="nextTo"/>
        <c:spPr>
          <a:noFill/>
          <a:ln w="12700"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59872095"/>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802070a5-67fe-4731-99ab-1a74e54e70fc}"/>
      </c:ext>
    </c:extLst>
  </c:chart>
  <c:spPr>
    <a:solidFill>
      <a:schemeClr val="bg1"/>
    </a:solidFill>
    <a:ln w="9525" cap="flat" cmpd="sng" algn="ctr">
      <a:solidFill>
        <a:schemeClr val="tx1">
          <a:lumMod val="15000"/>
          <a:lumOff val="85000"/>
        </a:schemeClr>
      </a:solidFill>
      <a:prstDash val="solid"/>
      <a:round/>
    </a:ln>
    <a:effectLst/>
  </c:spPr>
  <c:txPr>
    <a:bodyPr wrap="square"/>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t>2023年、2024年一般公共预算财政拨款支出决算变动情况</a:t>
            </a:r>
          </a:p>
        </c:rich>
      </c:tx>
      <c:layout/>
      <c:overlay val="0"/>
      <c:spPr>
        <a:noFill/>
        <a:ln>
          <a:noFill/>
        </a:ln>
        <a:effectLst/>
      </c:spPr>
    </c:title>
    <c:autoTitleDeleted val="0"/>
    <c:plotArea>
      <c:layout/>
      <c:barChart>
        <c:barDir val="col"/>
        <c:grouping val="clustered"/>
        <c:varyColors val="0"/>
        <c:ser>
          <c:idx val="0"/>
          <c:order val="0"/>
          <c:spPr>
            <a:solidFill>
              <a:schemeClr val="accent1"/>
            </a:solidFill>
            <a:ln>
              <a:noFill/>
            </a:ln>
            <a:effectLst/>
          </c:spPr>
          <c:invertIfNegative val="0"/>
          <c:dLbls>
            <c:delete val="1"/>
          </c:dLbls>
          <c:cat>
            <c:strRef>
              <c:f>'[新建 XLS 工作表.xls]Sheet5'!$G$10:$H$10</c:f>
              <c:strCache>
                <c:ptCount val="2"/>
                <c:pt idx="0">
                  <c:v>2024年度一般公共预算财政拨款支出356.6万元</c:v>
                </c:pt>
                <c:pt idx="1">
                  <c:v>2023年度一般公共预算财政拨款支出271.7万元</c:v>
                </c:pt>
              </c:strCache>
            </c:strRef>
          </c:cat>
          <c:val>
            <c:numRef>
              <c:f>'[新建 XLS 工作表.xls]Sheet5'!$G$11:$H$11</c:f>
              <c:numCache>
                <c:formatCode>General</c:formatCode>
                <c:ptCount val="2"/>
                <c:pt idx="0">
                  <c:v>617.21</c:v>
                </c:pt>
                <c:pt idx="1">
                  <c:v>606.53</c:v>
                </c:pt>
              </c:numCache>
            </c:numRef>
          </c:val>
        </c:ser>
        <c:dLbls>
          <c:showLegendKey val="0"/>
          <c:showVal val="0"/>
          <c:showCatName val="0"/>
          <c:showSerName val="0"/>
          <c:showPercent val="0"/>
          <c:showBubbleSize val="0"/>
        </c:dLbls>
        <c:gapWidth val="246"/>
        <c:overlap val="-28"/>
        <c:axId val="446649920"/>
        <c:axId val="681539760"/>
      </c:barChart>
      <c:catAx>
        <c:axId val="446649920"/>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81539760"/>
        <c:crosses val="autoZero"/>
        <c:auto val="1"/>
        <c:lblAlgn val="ctr"/>
        <c:lblOffset val="100"/>
        <c:noMultiLvlLbl val="0"/>
      </c:catAx>
      <c:valAx>
        <c:axId val="681539760"/>
        <c:scaling>
          <c:orientation val="minMax"/>
        </c:scaling>
        <c:delete val="0"/>
        <c:axPos val="l"/>
        <c:majorGridlines>
          <c:spPr>
            <a:ln w="9525" cap="flat" cmpd="sng" algn="ctr">
              <a:solidFill>
                <a:schemeClr val="lt1">
                  <a:lumMod val="902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46649920"/>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90c34289-2d11-4d16-8fa6-032b7e590424}"/>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t>2024年一般公共预算财政拨款支出决算结构图</a:t>
            </a:r>
          </a:p>
        </c:rich>
      </c:tx>
      <c:layout/>
      <c:overlay val="0"/>
      <c:spPr>
        <a:noFill/>
        <a:ln>
          <a:noFill/>
        </a:ln>
        <a:effectLst/>
      </c:spPr>
    </c:title>
    <c:autoTitleDeleted val="0"/>
    <c:plotArea>
      <c:layout/>
      <c:pieChart>
        <c:varyColors val="1"/>
        <c:ser>
          <c:idx val="0"/>
          <c:order val="0"/>
          <c:spPr/>
          <c:explosion val="0"/>
          <c:dPt>
            <c:idx val="0"/>
            <c:bubble3D val="0"/>
            <c:spPr>
              <a:solidFill>
                <a:schemeClr val="accent1"/>
              </a:solidFill>
              <a:ln>
                <a:solidFill>
                  <a:schemeClr val="bg1"/>
                </a:solidFill>
              </a:ln>
              <a:effectLst/>
            </c:spPr>
          </c:dPt>
          <c:dPt>
            <c:idx val="1"/>
            <c:bubble3D val="0"/>
            <c:spPr>
              <a:solidFill>
                <a:schemeClr val="accent2"/>
              </a:solidFill>
              <a:ln>
                <a:solidFill>
                  <a:schemeClr val="bg1"/>
                </a:solidFill>
              </a:ln>
              <a:effectLst/>
            </c:spPr>
          </c:dPt>
          <c:dPt>
            <c:idx val="2"/>
            <c:bubble3D val="0"/>
            <c:spPr>
              <a:solidFill>
                <a:schemeClr val="accent3"/>
              </a:solidFill>
              <a:ln>
                <a:solidFill>
                  <a:schemeClr val="bg1"/>
                </a:solidFill>
              </a:ln>
              <a:effectLst/>
            </c:spPr>
          </c:dPt>
          <c:dPt>
            <c:idx val="3"/>
            <c:bubble3D val="0"/>
            <c:spPr>
              <a:solidFill>
                <a:schemeClr val="accent4"/>
              </a:solidFill>
              <a:ln>
                <a:solidFill>
                  <a:schemeClr val="bg1"/>
                </a:solidFill>
              </a:ln>
              <a:effectLst/>
            </c:spPr>
          </c:dPt>
          <c:dPt>
            <c:idx val="4"/>
            <c:bubble3D val="0"/>
            <c:spPr>
              <a:solidFill>
                <a:schemeClr val="accent5"/>
              </a:solidFill>
              <a:ln>
                <a:solidFill>
                  <a:schemeClr val="bg1"/>
                </a:solidFill>
              </a:ln>
              <a:effectLst/>
            </c:spPr>
          </c:dPt>
          <c:dLbls>
            <c:numFmt formatCode="0.0%" sourceLinked="0"/>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bestFit"/>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'[新建 XLS 工作表.xls]Sheet6'!$D$8:$D$12</c:f>
              <c:strCache>
                <c:ptCount val="5"/>
                <c:pt idx="0">
                  <c:v>科学技术支出23.65万元</c:v>
                </c:pt>
                <c:pt idx="1">
                  <c:v>社会保障和就业支出48.26万元</c:v>
                </c:pt>
                <c:pt idx="2">
                  <c:v>卫生健康支出23.85万元</c:v>
                </c:pt>
                <c:pt idx="3">
                  <c:v>农林水支出492.77万元</c:v>
                </c:pt>
                <c:pt idx="4">
                  <c:v>住房保障支出28.68万元</c:v>
                </c:pt>
              </c:strCache>
            </c:strRef>
          </c:cat>
          <c:val>
            <c:numRef>
              <c:f>'[新建 XLS 工作表.xls]Sheet6'!$E$8:$E$12</c:f>
              <c:numCache>
                <c:formatCode>General</c:formatCode>
                <c:ptCount val="5"/>
                <c:pt idx="0">
                  <c:v>23.65</c:v>
                </c:pt>
                <c:pt idx="1">
                  <c:v>48.26</c:v>
                </c:pt>
                <c:pt idx="2">
                  <c:v>23.85</c:v>
                </c:pt>
                <c:pt idx="3">
                  <c:v>492.77</c:v>
                </c:pt>
                <c:pt idx="4">
                  <c:v>28.68</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3469e607-6d51-4d28-b6a7-22bc8c284a13}"/>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rPr lang="en-US" altLang="zh-CN"/>
              <a:t>2024</a:t>
            </a:r>
            <a:r>
              <a:rPr altLang="en-US"/>
              <a:t>年</a:t>
            </a:r>
            <a:r>
              <a:t>“三公”经费财政拨款支出结构</a:t>
            </a:r>
          </a:p>
        </c:rich>
      </c:tx>
      <c:layout/>
      <c:overlay val="0"/>
      <c:spPr>
        <a:noFill/>
        <a:ln>
          <a:noFill/>
        </a:ln>
        <a:effectLst/>
      </c:spPr>
    </c:title>
    <c:autoTitleDeleted val="0"/>
    <c:plotArea>
      <c:layout/>
      <c:pieChart>
        <c:varyColors val="1"/>
        <c:ser>
          <c:idx val="0"/>
          <c:order val="0"/>
          <c:spPr/>
          <c:explosion val="0"/>
          <c:dPt>
            <c:idx val="0"/>
            <c:bubble3D val="0"/>
            <c:spPr>
              <a:solidFill>
                <a:schemeClr val="accent1"/>
              </a:solidFill>
              <a:ln>
                <a:solidFill>
                  <a:schemeClr val="bg1"/>
                </a:solidFill>
              </a:ln>
              <a:effectLst/>
            </c:spPr>
          </c:dPt>
          <c:dPt>
            <c:idx val="1"/>
            <c:bubble3D val="0"/>
            <c:spPr>
              <a:solidFill>
                <a:schemeClr val="accent2"/>
              </a:solidFill>
              <a:ln>
                <a:solidFill>
                  <a:schemeClr val="bg1"/>
                </a:solidFill>
              </a:ln>
              <a:effectLst/>
            </c:spPr>
          </c:dPt>
          <c:dLbls>
            <c:numFmt formatCode="0.0%" sourceLinked="0"/>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bestFit"/>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'[新建 XLS 工作表.xls]Sheet7'!$E$10:$F$10</c:f>
              <c:strCache>
                <c:ptCount val="2"/>
                <c:pt idx="0">
                  <c:v>公务用车运行维护费支出2.1万元</c:v>
                </c:pt>
                <c:pt idx="1">
                  <c:v>公务接待费支出决算0.04万元</c:v>
                </c:pt>
              </c:strCache>
            </c:strRef>
          </c:cat>
          <c:val>
            <c:numRef>
              <c:f>'[新建 XLS 工作表.xls]Sheet7'!$E$11:$F$11</c:f>
              <c:numCache>
                <c:formatCode>General</c:formatCode>
                <c:ptCount val="2"/>
                <c:pt idx="0">
                  <c:v>2.1</c:v>
                </c:pt>
                <c:pt idx="1">
                  <c:v>0.04</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86b9d1d4-0d47-424b-8763-4d57948dab80}"/>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1008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1008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32</Pages>
  <Words>6224</Words>
  <Characters>6958</Characters>
  <Lines>60</Lines>
  <Paragraphs>17</Paragraphs>
  <TotalTime>2</TotalTime>
  <ScaleCrop>false</ScaleCrop>
  <LinksUpToDate>false</LinksUpToDate>
  <CharactersWithSpaces>7045</CharactersWithSpaces>
  <Application>WPS Office_12.8.2.18913_F1E327BC-269C-435d-A152-05C5408002CA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2020-08-09T09:49:00Z</dcterms:created>
  <dc:creator>曹颖</dc:creator>
  <cp:lastModifiedBy>是小星星呀！</cp:lastModifiedBy>
  <cp:lastPrinted>2025-09-08T08:19:00Z</cp:lastPrinted>
  <dcterms:modified xsi:type="dcterms:W3CDTF">2026-04-17T02:44:30Z</dcterms:modified>
  <dc:title>四川省***</dc:title>
  <cp:revision>35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2052-12.8.2.18913</vt:lpwstr>
  </property>
  <property fmtid="{D5CDD505-2E9C-101B-9397-08002B2CF9AE}" pid="3" name="ICV">
    <vt:lpwstr>FCE03ED40B914800BB85D0272FADD4C6_13</vt:lpwstr>
  </property>
  <property fmtid="{D5CDD505-2E9C-101B-9397-08002B2CF9AE}" pid="4" name="KSOTemplateDocerSaveRecord">
    <vt:lpwstr>eyJoZGlkIjoiNDQ4M2EwNmY2NTBiMzY4YjY0NWI0M2E5MmFhOWUyNDAiLCJ1c2VySWQiOiI0MDkxNzgzNTQifQ==</vt:lpwstr>
  </property>
</Properties>
</file>