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黑体" w:hAnsi="黑体" w:eastAsia="黑体" w:cs="黑体"/>
          <w:color w:val="auto"/>
          <w:kern w:val="2"/>
          <w:sz w:val="32"/>
          <w:szCs w:val="32"/>
          <w:highlight w:val="none"/>
          <w:lang w:val="en-US" w:eastAsia="zh-CN" w:bidi="ar-SA"/>
        </w:rPr>
      </w:pPr>
      <w:bookmarkStart w:id="0" w:name="_Toc15378441"/>
      <w:bookmarkStart w:id="1" w:name="_Toc15377193"/>
      <w:bookmarkStart w:id="2" w:name="_Toc15306267"/>
      <w:bookmarkStart w:id="3" w:name="_Toc15377425"/>
      <w:bookmarkStart w:id="4" w:name="_Toc15396597"/>
      <w:bookmarkStart w:id="5" w:name="_Toc15396475"/>
      <w:r>
        <w:rPr>
          <w:rFonts w:hint="eastAsia" w:ascii="黑体" w:hAnsi="黑体" w:eastAsia="黑体" w:cs="黑体"/>
          <w:color w:val="auto"/>
          <w:kern w:val="2"/>
          <w:sz w:val="32"/>
          <w:szCs w:val="32"/>
          <w:highlight w:val="none"/>
          <w:lang w:val="en-US" w:eastAsia="zh-CN" w:bidi="ar-SA"/>
        </w:rPr>
        <w:t>附件4</w:t>
      </w: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2025年度阿坝州文化广播电视和旅游局</w:t>
      </w: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决算公开</w:t>
      </w:r>
      <w:r>
        <w:rPr>
          <w:rFonts w:hint="eastAsia" w:ascii="Times New Roman" w:eastAsia="方正小标宋简体" w:cs="Times New Roman"/>
          <w:color w:val="auto"/>
          <w:kern w:val="2"/>
          <w:sz w:val="44"/>
          <w:szCs w:val="44"/>
          <w:highlight w:val="none"/>
          <w:lang w:val="en-US" w:eastAsia="zh-CN" w:bidi="ar-SA"/>
        </w:rPr>
        <w:t>说明</w:t>
      </w:r>
    </w:p>
    <w:p>
      <w:pPr>
        <w:spacing w:line="600" w:lineRule="exact"/>
        <w:jc w:val="center"/>
        <w:outlineLvl w:val="0"/>
        <w:rPr>
          <w:rFonts w:ascii="Times New Roman" w:hAnsi="Times New Roman" w:eastAsia="方正小标宋简体"/>
          <w:color w:val="auto"/>
          <w:sz w:val="72"/>
          <w:szCs w:val="72"/>
          <w:highlight w:val="none"/>
        </w:rPr>
      </w:pPr>
    </w:p>
    <w:p>
      <w:pPr>
        <w:pStyle w:val="2"/>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widowControl/>
        <w:ind w:firstLine="3840" w:firstLineChars="800"/>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17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both"/>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一、</w:t>
      </w:r>
      <w:r>
        <w:rPr>
          <w:rFonts w:hint="eastAsia" w:ascii="Times New Roman" w:hAnsi="Times New Roman" w:eastAsia="仿宋_GB2312" w:cs="仿宋_GB2312"/>
          <w:color w:val="auto"/>
          <w:sz w:val="28"/>
          <w:szCs w:val="28"/>
          <w:highlight w:val="none"/>
          <w:lang w:eastAsia="zh-CN"/>
        </w:rPr>
        <w:t>部门职责</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both"/>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二、机构设置</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5</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一、收入支出决算总体情况说明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28"/>
          <w:szCs w:val="28"/>
          <w:highlight w:val="none"/>
        </w:rPr>
        <w:t>二、收入决算情况说明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28"/>
          <w:szCs w:val="28"/>
          <w:highlight w:val="none"/>
        </w:rPr>
        <w:t>三、支出决算情况说明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宋体" w:hAnsi="宋体" w:eastAsia="宋体" w:cs="宋体"/>
          <w:color w:val="auto"/>
          <w:sz w:val="32"/>
          <w:szCs w:val="32"/>
          <w:highlight w:val="none"/>
          <w:lang w:val="en-US" w:eastAsia="zh-CN"/>
        </w:rPr>
      </w:pPr>
      <w:r>
        <w:rPr>
          <w:rFonts w:hint="eastAsia" w:ascii="Times New Roman" w:hAnsi="Times New Roman" w:eastAsia="仿宋_GB2312" w:cs="仿宋_GB2312"/>
          <w:color w:val="auto"/>
          <w:sz w:val="28"/>
          <w:szCs w:val="28"/>
          <w:highlight w:val="none"/>
        </w:rPr>
        <w:t>四、财政拨款收入支出决算总体情况说明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9</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4"/>
          <w:szCs w:val="24"/>
          <w:highlight w:val="none"/>
          <w:lang w:val="en-US"/>
        </w:rPr>
      </w:pPr>
      <w:r>
        <w:rPr>
          <w:rFonts w:hint="eastAsia" w:ascii="Times New Roman" w:hAnsi="Times New Roman" w:eastAsia="仿宋_GB2312" w:cs="仿宋_GB2312"/>
          <w:color w:val="auto"/>
          <w:sz w:val="28"/>
          <w:szCs w:val="28"/>
          <w:highlight w:val="none"/>
        </w:rPr>
        <w:t>五、一般公共预算财政拨款支出决算情况说明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9</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宋体" w:hAnsi="宋体" w:eastAsia="宋体" w:cs="宋体"/>
          <w:color w:val="auto"/>
          <w:sz w:val="32"/>
          <w:szCs w:val="32"/>
          <w:highlight w:val="none"/>
          <w:lang w:val="en-US" w:eastAsia="zh-CN"/>
        </w:rPr>
      </w:pPr>
      <w:r>
        <w:rPr>
          <w:rFonts w:hint="eastAsia" w:ascii="Times New Roman" w:hAnsi="Times New Roman" w:eastAsia="仿宋_GB2312" w:cs="仿宋_GB2312"/>
          <w:color w:val="auto"/>
          <w:sz w:val="28"/>
          <w:szCs w:val="28"/>
          <w:highlight w:val="none"/>
        </w:rPr>
        <w:t>六、一般公共预算财政拨款基本支出决算情况说明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13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七、财政拨款</w:t>
      </w:r>
      <w:r>
        <w:rPr>
          <w:rFonts w:hint="eastAsia" w:ascii="Times New Roman" w:hAnsi="Times New Roman" w:eastAsia="仿宋_GB2312" w:cs="仿宋_GB2312"/>
          <w:color w:val="auto"/>
          <w:sz w:val="28"/>
          <w:szCs w:val="28"/>
          <w:highlight w:val="none"/>
          <w:lang w:eastAsia="zh-CN"/>
        </w:rPr>
        <w:t>“</w:t>
      </w:r>
      <w:r>
        <w:rPr>
          <w:rFonts w:hint="eastAsia" w:ascii="Times New Roman" w:hAnsi="Times New Roman" w:eastAsia="仿宋_GB2312" w:cs="仿宋_GB2312"/>
          <w:color w:val="auto"/>
          <w:sz w:val="28"/>
          <w:szCs w:val="28"/>
          <w:highlight w:val="none"/>
        </w:rPr>
        <w:t>三公”经费支出决算情况说明</w:t>
      </w:r>
      <w:r>
        <w:rPr>
          <w:rFonts w:hint="eastAsia" w:eastAsia="仿宋_GB2312" w:cs="仿宋_GB2312"/>
          <w:color w:val="auto"/>
          <w:sz w:val="28"/>
          <w:szCs w:val="28"/>
          <w:highlight w:val="none"/>
          <w:lang w:val="en-US" w:eastAsia="zh-CN"/>
        </w:rPr>
        <w:t xml:space="preserve">  </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14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八、政府性基金预算支出决算情况说明</w:t>
      </w:r>
      <w:r>
        <w:rPr>
          <w:rFonts w:hint="eastAsia" w:eastAsia="仿宋_GB2312" w:cs="仿宋_GB2312"/>
          <w:color w:val="auto"/>
          <w:sz w:val="28"/>
          <w:szCs w:val="28"/>
          <w:highlight w:val="none"/>
          <w:lang w:val="en-US" w:eastAsia="zh-CN"/>
        </w:rPr>
        <w:t xml:space="preserve"> </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16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九、</w:t>
      </w:r>
      <w:r>
        <w:rPr>
          <w:rFonts w:hint="eastAsia" w:ascii="Times New Roman" w:hAnsi="Times New Roman" w:eastAsia="仿宋_GB2312" w:cs="仿宋_GB2312"/>
          <w:color w:val="auto"/>
          <w:sz w:val="28"/>
          <w:szCs w:val="28"/>
          <w:highlight w:val="none"/>
          <w:lang w:eastAsia="zh-CN"/>
        </w:rPr>
        <w:t>国</w:t>
      </w:r>
      <w:r>
        <w:rPr>
          <w:rFonts w:hint="eastAsia" w:ascii="Times New Roman" w:hAnsi="Times New Roman" w:eastAsia="仿宋_GB2312" w:cs="仿宋_GB2312"/>
          <w:color w:val="auto"/>
          <w:sz w:val="28"/>
          <w:szCs w:val="28"/>
          <w:highlight w:val="none"/>
        </w:rPr>
        <w:t>有资本经营预算支出决算情况说明</w:t>
      </w:r>
      <w:r>
        <w:rPr>
          <w:rFonts w:hint="eastAsia" w:eastAsia="仿宋_GB2312" w:cs="仿宋_GB2312"/>
          <w:color w:val="auto"/>
          <w:sz w:val="28"/>
          <w:szCs w:val="28"/>
          <w:highlight w:val="none"/>
          <w:lang w:val="en-US" w:eastAsia="zh-CN"/>
        </w:rPr>
        <w:t xml:space="preserve"> </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17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宋体" w:hAnsi="宋体" w:eastAsia="宋体" w:cs="宋体"/>
          <w:color w:val="auto"/>
          <w:sz w:val="32"/>
          <w:szCs w:val="32"/>
          <w:highlight w:val="none"/>
          <w:lang w:val="en-US" w:eastAsia="zh-CN"/>
        </w:rPr>
      </w:pPr>
      <w:r>
        <w:rPr>
          <w:rFonts w:hint="eastAsia" w:ascii="Times New Roman" w:hAnsi="Times New Roman" w:eastAsia="仿宋_GB2312" w:cs="仿宋_GB2312"/>
          <w:color w:val="auto"/>
          <w:sz w:val="28"/>
          <w:szCs w:val="28"/>
          <w:highlight w:val="none"/>
          <w:lang w:eastAsia="zh-CN"/>
        </w:rPr>
        <w:t>十</w:t>
      </w:r>
      <w:r>
        <w:rPr>
          <w:rFonts w:hint="eastAsia" w:ascii="Times New Roman" w:hAnsi="Times New Roman" w:eastAsia="仿宋_GB2312" w:cs="仿宋_GB2312"/>
          <w:color w:val="auto"/>
          <w:sz w:val="28"/>
          <w:szCs w:val="28"/>
          <w:highlight w:val="none"/>
        </w:rPr>
        <w:t>、其他重要事项的情况说明</w:t>
      </w:r>
      <w:r>
        <w:rPr>
          <w:rFonts w:hint="eastAsia" w:eastAsia="仿宋_GB2312" w:cs="仿宋_GB2312"/>
          <w:color w:val="auto"/>
          <w:sz w:val="28"/>
          <w:szCs w:val="28"/>
          <w:highlight w:val="none"/>
          <w:lang w:val="en-US" w:eastAsia="zh-CN"/>
        </w:rPr>
        <w:t xml:space="preserve">  </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17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八、一般公</w:t>
      </w:r>
      <w:bookmarkStart w:id="66" w:name="_GoBack"/>
      <w:bookmarkEnd w:id="66"/>
      <w:r>
        <w:rPr>
          <w:rFonts w:hint="eastAsia" w:ascii="Times New Roman" w:hAnsi="Times New Roman" w:eastAsia="仿宋_GB2312" w:cs="仿宋_GB2312"/>
          <w:color w:val="auto"/>
          <w:sz w:val="28"/>
          <w:szCs w:val="28"/>
          <w:highlight w:val="none"/>
        </w:rPr>
        <w:t>共预算财政拨款基本支出决算</w:t>
      </w:r>
      <w:r>
        <w:rPr>
          <w:rFonts w:hint="eastAsia" w:ascii="Times New Roman" w:hAnsi="Times New Roman" w:eastAsia="仿宋_GB2312" w:cs="仿宋_GB2312"/>
          <w:color w:val="auto"/>
          <w:sz w:val="28"/>
          <w:szCs w:val="28"/>
          <w:highlight w:val="none"/>
          <w:lang w:eastAsia="zh-CN"/>
        </w:rPr>
        <w:t>明细</w:t>
      </w:r>
      <w:r>
        <w:rPr>
          <w:rFonts w:hint="eastAsia" w:ascii="Times New Roman" w:hAnsi="Times New Roman" w:eastAsia="仿宋_GB2312" w:cs="仿宋_GB2312"/>
          <w:color w:val="auto"/>
          <w:sz w:val="28"/>
          <w:szCs w:val="28"/>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十二、</w:t>
      </w:r>
      <w:r>
        <w:rPr>
          <w:rFonts w:hint="eastAsia" w:ascii="Times New Roman" w:hAnsi="Times New Roman" w:eastAsia="仿宋_GB2312" w:cs="仿宋_GB2312"/>
          <w:color w:val="auto"/>
          <w:sz w:val="28"/>
          <w:szCs w:val="28"/>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十三、财政拨款“三公”经费支出决算表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3"/>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pPr>
        <w:pStyle w:val="4"/>
        <w:numPr>
          <w:ilvl w:val="0"/>
          <w:numId w:val="1"/>
        </w:numPr>
        <w:rPr>
          <w:rFonts w:hint="eastAsia" w:ascii="CESI仿宋-GB2312" w:hAnsi="CESI仿宋-GB2312" w:eastAsia="CESI仿宋-GB2312" w:cs="CESI仿宋-GB2312"/>
          <w:sz w:val="32"/>
          <w:szCs w:val="32"/>
        </w:rPr>
      </w:pPr>
      <w:r>
        <w:rPr>
          <w:rFonts w:hint="eastAsia" w:ascii="Times New Roman" w:hAnsi="Times New Roman" w:eastAsia="黑体"/>
          <w:b w:val="0"/>
          <w:color w:val="auto"/>
          <w:highlight w:val="none"/>
          <w:lang w:eastAsia="zh-CN"/>
        </w:rPr>
        <w:t>部门职责</w:t>
      </w:r>
      <w:bookmarkStart w:id="8" w:name="_Toc15377200"/>
      <w:bookmarkStart w:id="9" w:name="_Toc15396601"/>
    </w:p>
    <w:p>
      <w:pPr>
        <w:pStyle w:val="4"/>
        <w:numPr>
          <w:ilvl w:val="0"/>
          <w:numId w:val="0"/>
        </w:numPr>
        <w:ind w:firstLine="68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0"/>
          <w:sz w:val="32"/>
          <w:szCs w:val="32"/>
        </w:rPr>
        <w:t>1.拟订文化、广电和旅游政策措施，拟订全州网 络</w:t>
      </w:r>
      <w:r>
        <w:rPr>
          <w:rFonts w:hint="eastAsia" w:ascii="仿宋_GB2312" w:hAnsi="仿宋_GB2312" w:eastAsia="仿宋_GB2312" w:cs="仿宋_GB2312"/>
          <w:b w:val="0"/>
          <w:bCs w:val="0"/>
          <w:spacing w:val="-3"/>
          <w:sz w:val="32"/>
          <w:szCs w:val="32"/>
        </w:rPr>
        <w:t>视听节目服务管理的政策措施。起草文化、广电和旅游自</w:t>
      </w:r>
      <w:r>
        <w:rPr>
          <w:rFonts w:hint="eastAsia" w:ascii="仿宋_GB2312" w:hAnsi="仿宋_GB2312" w:eastAsia="仿宋_GB2312" w:cs="仿宋_GB2312"/>
          <w:b w:val="0"/>
          <w:bCs w:val="0"/>
          <w:spacing w:val="5"/>
          <w:sz w:val="32"/>
          <w:szCs w:val="32"/>
        </w:rPr>
        <w:t>治法规、规范性文件草案，负责本部门依法行政工作。</w:t>
      </w:r>
    </w:p>
    <w:p>
      <w:pPr>
        <w:keepNext w:val="0"/>
        <w:keepLines w:val="0"/>
        <w:pageBreakBefore w:val="0"/>
        <w:widowControl w:val="0"/>
        <w:kinsoku/>
        <w:wordWrap/>
        <w:overflowPunct/>
        <w:topLinePunct w:val="0"/>
        <w:autoSpaceDE/>
        <w:autoSpaceDN/>
        <w:bidi w:val="0"/>
        <w:adjustRightInd/>
        <w:snapToGrid/>
        <w:spacing w:line="560" w:lineRule="exact"/>
        <w:ind w:left="4" w:right="47" w:firstLine="648"/>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2.加强广播电视阵地建设，把握正确的舆论导向和创作 导</w:t>
      </w:r>
      <w:r>
        <w:rPr>
          <w:rFonts w:hint="eastAsia" w:ascii="仿宋_GB2312" w:hAnsi="仿宋_GB2312" w:eastAsia="仿宋_GB2312" w:cs="仿宋_GB2312"/>
          <w:sz w:val="32"/>
          <w:szCs w:val="32"/>
        </w:rPr>
        <w:t>向。负责利用广播电视加强党和政府的声音传播力，抢占舆论 高</w:t>
      </w:r>
      <w:r>
        <w:rPr>
          <w:rFonts w:hint="eastAsia" w:ascii="仿宋_GB2312" w:hAnsi="仿宋_GB2312" w:eastAsia="仿宋_GB2312" w:cs="仿宋_GB2312"/>
          <w:spacing w:val="5"/>
          <w:sz w:val="32"/>
          <w:szCs w:val="32"/>
        </w:rPr>
        <w:t>地，强化舆论反制，巩固意识形态阵地。</w:t>
      </w:r>
    </w:p>
    <w:p>
      <w:pPr>
        <w:keepNext w:val="0"/>
        <w:keepLines w:val="0"/>
        <w:pageBreakBefore w:val="0"/>
        <w:widowControl w:val="0"/>
        <w:kinsoku/>
        <w:wordWrap/>
        <w:overflowPunct/>
        <w:topLinePunct w:val="0"/>
        <w:autoSpaceDE/>
        <w:autoSpaceDN/>
        <w:bidi w:val="0"/>
        <w:adjustRightInd/>
        <w:snapToGrid/>
        <w:spacing w:line="560" w:lineRule="exact"/>
        <w:ind w:left="6" w:right="47" w:firstLine="66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3.推进文化、广电、旅游体制机制改革。组织推动</w:t>
      </w:r>
      <w:r>
        <w:rPr>
          <w:rFonts w:hint="eastAsia" w:ascii="仿宋_GB2312" w:hAnsi="仿宋_GB2312" w:eastAsia="仿宋_GB2312" w:cs="仿宋_GB2312"/>
          <w:spacing w:val="-5"/>
          <w:sz w:val="32"/>
          <w:szCs w:val="32"/>
        </w:rPr>
        <w:t>全州文化、广电事业和旅游业发展，拟订发展规划并组</w:t>
      </w:r>
      <w:r>
        <w:rPr>
          <w:rFonts w:hint="eastAsia" w:ascii="仿宋_GB2312" w:hAnsi="仿宋_GB2312" w:eastAsia="仿宋_GB2312" w:cs="仿宋_GB2312"/>
          <w:spacing w:val="-6"/>
          <w:sz w:val="32"/>
          <w:szCs w:val="32"/>
        </w:rPr>
        <w:t xml:space="preserve"> 织</w:t>
      </w:r>
      <w:r>
        <w:rPr>
          <w:rFonts w:hint="eastAsia" w:ascii="仿宋_GB2312" w:hAnsi="仿宋_GB2312" w:eastAsia="仿宋_GB2312" w:cs="仿宋_GB2312"/>
          <w:spacing w:val="5"/>
          <w:sz w:val="32"/>
          <w:szCs w:val="32"/>
        </w:rPr>
        <w:t>实施。推进文化、广电和旅游产业融合发展，促进文化、广电和旅游与相关产业融合发展。</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4.组织实施全州文化、广电和旅游资源的普查</w:t>
      </w: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rPr>
        <w:t>保护与利用。管理全州性重大文化、广电和旅游活动，组织全州重点文化、广电和旅游设施建设。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5.组织实施全州文化、广电和旅游整体形象推广，促进文化、广电和旅游产业市场推广和对外合作交流。制定文化、广电和旅游市场开发战略并组织实施。负责管理文化、广电和旅游国内外交流合作与宣传推广工作，组织大型文化、广电和旅游对外及对港澳台交流活动。</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6.负责对全州各类广播电视机构进行业务指导和行业监管，会同有关部门对网络视听节目服务机构进行管理。组织实施广播电视节目评价工作，监督管理、审查广播电视和网络视听节目的内容和质量，指导、监管广播电视广告播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7.负责指导推进电视剧行业发展和创作生产。推进广播 电视与新媒体技术新业态融合发展、推进广电网与电信网、互联 网三网融合。负责广播电视节目传输覆盖、检测和安全播出的监 督管理，指导、推进应急广播体系建设。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8.弘扬优秀传统文化，推动阿坝本地特色文化传承发展。 指导管理文艺事业，把握正确的创作导向，推动文化艺术创作生产，扶持体现社会主义核心价值观、具有导向性代表性示范性的文化艺术作品，推动各门类艺术、各艺术品种发展。</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9.负责公共文化、广电事业发展，推进全州公共文化、广电服务体系建设和旅游公共服务建设，深入实施 惠民工程，统筹推进文化、广电和旅游基本公共服务标准化、均等化。</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10.负责文化、广电和旅游行业信息化、标准化建设，推进文化、广电和旅游科技创新。</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11.负责非物质文化遗产保护工作，推动非物质文化遗 产的传承、普及、弘扬和振兴。</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12.管理和指导全州文物保护、利用和考古工作，组织  开展文物资源调查工作。协调、指导和监督全州文物安全工作，履行文物行政督察职能。负责全州世界文化遗产保护和管理工作，协同相关部门开展世界文化与自然遗产、历史文化名城(镇、村)申报和管理工作。负责全州文物和博物馆公共服务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lang w:val="en-US" w:eastAsia="zh-CN"/>
        </w:rPr>
        <w:t>3</w:t>
      </w:r>
      <w:r>
        <w:rPr>
          <w:rFonts w:hint="eastAsia" w:ascii="仿宋_GB2312" w:hAnsi="仿宋_GB2312" w:eastAsia="仿宋_GB2312" w:cs="仿宋_GB2312"/>
          <w:spacing w:val="10"/>
          <w:sz w:val="32"/>
          <w:szCs w:val="32"/>
        </w:rPr>
        <w:t>.推动全州文化、广电和旅游市场发展，对全州文化、广电和旅游市场依法进行行业监管，依法规范文化、广电和旅游市场。推进文化、广电和旅游行业信用体系建设。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lang w:val="en-US" w:eastAsia="zh-CN"/>
        </w:rPr>
        <w:t>4</w:t>
      </w:r>
      <w:r>
        <w:rPr>
          <w:rFonts w:hint="eastAsia" w:ascii="仿宋_GB2312" w:hAnsi="仿宋_GB2312" w:eastAsia="仿宋_GB2312" w:cs="仿宋_GB2312"/>
          <w:spacing w:val="10"/>
          <w:sz w:val="32"/>
          <w:szCs w:val="32"/>
        </w:rPr>
        <w:t>.负责全州旅游景区管理机构、文旅企业的行业管理 和标准化建设。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lang w:val="en-US" w:eastAsia="zh-CN"/>
        </w:rPr>
        <w:t>5</w:t>
      </w:r>
      <w:r>
        <w:rPr>
          <w:rFonts w:hint="eastAsia" w:ascii="仿宋_GB2312" w:hAnsi="仿宋_GB2312" w:eastAsia="仿宋_GB2312" w:cs="仿宋_GB2312"/>
          <w:spacing w:val="10"/>
          <w:sz w:val="32"/>
          <w:szCs w:val="32"/>
        </w:rPr>
        <w:t>.统筹指导全州文化、广电、旅游市场综合行政执法，规范文化、广电、旅游行政执法，组织查处全州性、跨区域文化、文物、广电、旅游等违法行为，督查督办大案要案。</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lang w:val="en-US" w:eastAsia="zh-CN"/>
        </w:rPr>
        <w:t>6</w:t>
      </w:r>
      <w:r>
        <w:rPr>
          <w:rFonts w:hint="eastAsia" w:ascii="仿宋_GB2312" w:hAnsi="仿宋_GB2312" w:eastAsia="仿宋_GB2312" w:cs="仿宋_GB2312"/>
          <w:spacing w:val="10"/>
          <w:sz w:val="32"/>
          <w:szCs w:val="32"/>
        </w:rPr>
        <w:t>.负责文化、广电和旅游行业安全生产工作的综合协调与监督管理，制定职责范围内的安全生产年度监督检查 计划并组织实施。依法履行行业职业健康监管职责，承担职责范 围内生态环境保护、公共机构节能减排、审批服务便民化等工作。</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lang w:val="en-US" w:eastAsia="zh-CN"/>
        </w:rPr>
        <w:t>17</w:t>
      </w:r>
      <w:r>
        <w:rPr>
          <w:rFonts w:hint="eastAsia" w:ascii="仿宋_GB2312" w:hAnsi="仿宋_GB2312" w:eastAsia="仿宋_GB2312" w:cs="仿宋_GB2312"/>
          <w:spacing w:val="10"/>
          <w:sz w:val="32"/>
          <w:szCs w:val="32"/>
        </w:rPr>
        <w:t>.完成州委、州政府交办的其他任务。</w:t>
      </w:r>
    </w:p>
    <w:p>
      <w:pPr>
        <w:pStyle w:val="4"/>
        <w:ind w:firstLine="640" w:firstLineChars="200"/>
        <w:rPr>
          <w:rStyle w:val="30"/>
          <w:rFonts w:hint="eastAsia" w:ascii="黑体" w:hAnsi="黑体" w:eastAsia="黑体" w:cs="黑体"/>
          <w:b w:val="0"/>
          <w:bCs w:val="0"/>
          <w:color w:val="auto"/>
          <w:highlight w:val="none"/>
        </w:rPr>
      </w:pPr>
      <w:r>
        <w:rPr>
          <w:rFonts w:hint="eastAsia" w:ascii="黑体" w:hAnsi="黑体" w:eastAsia="黑体" w:cs="黑体"/>
          <w:b w:val="0"/>
          <w:color w:val="auto"/>
          <w:highlight w:val="none"/>
        </w:rPr>
        <w:t>二、机</w:t>
      </w:r>
      <w:r>
        <w:rPr>
          <w:rStyle w:val="30"/>
          <w:rFonts w:hint="eastAsia" w:ascii="黑体" w:hAnsi="黑体" w:eastAsia="黑体" w:cs="黑体"/>
          <w:b w:val="0"/>
          <w:bCs w:val="0"/>
          <w:color w:val="auto"/>
          <w:highlight w:val="none"/>
        </w:rPr>
        <w:t>构设置</w:t>
      </w:r>
      <w:bookmarkEnd w:id="8"/>
      <w:bookmarkEnd w:id="9"/>
    </w:p>
    <w:p>
      <w:pPr>
        <w:pageBreakBefore w:val="0"/>
        <w:kinsoku/>
        <w:wordWrap/>
        <w:overflowPunct/>
        <w:topLinePunct w:val="0"/>
        <w:autoSpaceDE/>
        <w:autoSpaceDN/>
        <w:bidi w:val="0"/>
        <w:spacing w:line="560" w:lineRule="atLeast"/>
        <w:ind w:firstLine="800" w:firstLineChars="25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阿坝藏族羌族自治州文化广播电视和旅游局（本级）下属二级</w:t>
      </w:r>
      <w:r>
        <w:rPr>
          <w:rFonts w:hint="eastAsia" w:ascii="仿宋_GB2312" w:hAnsi="仿宋_GB2312" w:eastAsia="仿宋_GB2312" w:cs="仿宋_GB2312"/>
          <w:color w:val="auto"/>
          <w:sz w:val="32"/>
          <w:szCs w:val="32"/>
          <w:highlight w:val="none"/>
          <w:lang w:eastAsia="zh-CN"/>
        </w:rPr>
        <w:t>预算</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个，其中行政单位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个，参照公务员法管理的事业单位</w:t>
      </w:r>
      <w:r>
        <w:rPr>
          <w:rFonts w:hint="eastAsia" w:ascii="仿宋_GB2312" w:hAnsi="仿宋_GB2312" w:eastAsia="仿宋_GB2312" w:cs="仿宋_GB2312"/>
          <w:bCs/>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个，其他事业单位</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w:t>
      </w:r>
    </w:p>
    <w:p>
      <w:pPr>
        <w:pageBreakBefore w:val="0"/>
        <w:kinsoku/>
        <w:wordWrap/>
        <w:overflowPunct/>
        <w:topLinePunct w:val="0"/>
        <w:autoSpaceDE/>
        <w:autoSpaceDN/>
        <w:bidi w:val="0"/>
        <w:spacing w:line="560" w:lineRule="atLeas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纳入阿坝藏族羌族自治州文化广播电视和旅游局（本级）</w:t>
      </w:r>
      <w:r>
        <w:rPr>
          <w:rFonts w:hint="eastAsia" w:ascii="仿宋_GB2312" w:hAnsi="仿宋_GB2312" w:eastAsia="仿宋_GB2312" w:cs="仿宋_GB2312"/>
          <w:color w:val="auto"/>
          <w:sz w:val="32"/>
          <w:szCs w:val="32"/>
          <w:highlight w:val="none"/>
          <w:lang w:eastAsia="zh-CN"/>
        </w:rPr>
        <w:t>2025年度</w:t>
      </w:r>
      <w:r>
        <w:rPr>
          <w:rFonts w:hint="eastAsia" w:ascii="仿宋_GB2312" w:hAnsi="仿宋_GB2312" w:eastAsia="仿宋_GB2312" w:cs="仿宋_GB2312"/>
          <w:color w:val="auto"/>
          <w:sz w:val="32"/>
          <w:szCs w:val="32"/>
          <w:highlight w:val="none"/>
        </w:rPr>
        <w:t>部门决算编制范围的二级预算单位包括：</w:t>
      </w:r>
    </w:p>
    <w:p>
      <w:pPr>
        <w:pStyle w:val="6"/>
        <w:pageBreakBefore w:val="0"/>
        <w:numPr>
          <w:ilvl w:val="0"/>
          <w:numId w:val="2"/>
        </w:numPr>
        <w:kinsoku/>
        <w:wordWrap/>
        <w:overflowPunct/>
        <w:topLinePunct w:val="0"/>
        <w:autoSpaceDE/>
        <w:autoSpaceDN/>
        <w:bidi w:val="0"/>
        <w:adjustRightInd w:val="0"/>
        <w:snapToGrid w:val="0"/>
        <w:spacing w:before="93" w:line="560" w:lineRule="atLeast"/>
        <w:ind w:left="1320" w:leftChars="0" w:firstLineChars="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阿坝州国家公园服务中心  2.阿坝州文化馆  </w:t>
      </w:r>
    </w:p>
    <w:p>
      <w:pPr>
        <w:pStyle w:val="6"/>
        <w:pageBreakBefore w:val="0"/>
        <w:numPr>
          <w:ilvl w:val="0"/>
          <w:numId w:val="0"/>
        </w:numPr>
        <w:kinsoku/>
        <w:wordWrap/>
        <w:overflowPunct/>
        <w:topLinePunct w:val="0"/>
        <w:autoSpaceDE/>
        <w:autoSpaceDN/>
        <w:bidi w:val="0"/>
        <w:adjustRightInd w:val="0"/>
        <w:snapToGrid w:val="0"/>
        <w:spacing w:before="93" w:line="560" w:lineRule="atLeast"/>
        <w:ind w:left="840" w:leftChars="0"/>
        <w:textAlignment w:val="auto"/>
        <w:outlineLvl w:val="2"/>
        <w:rPr>
          <w:rFonts w:hint="eastAsia" w:ascii="仿宋_GB2312" w:hAnsi="仿宋_GB2312" w:eastAsia="仿宋_GB2312" w:cs="仿宋_GB2312"/>
          <w:color w:val="auto"/>
          <w:sz w:val="32"/>
          <w:szCs w:val="32"/>
          <w:highlight w:val="none"/>
        </w:rPr>
      </w:pPr>
      <w:bookmarkStart w:id="10" w:name="_Toc15378449"/>
      <w:bookmarkStart w:id="11" w:name="_Toc15377433"/>
      <w:bookmarkStart w:id="12" w:name="_Toc15306276"/>
      <w:bookmarkStart w:id="13" w:name="_Toc15377202"/>
      <w:r>
        <w:rPr>
          <w:rFonts w:hint="eastAsia" w:ascii="仿宋_GB2312" w:hAnsi="仿宋_GB2312" w:eastAsia="仿宋_GB2312" w:cs="仿宋_GB2312"/>
          <w:color w:val="auto"/>
          <w:sz w:val="32"/>
          <w:szCs w:val="32"/>
          <w:highlight w:val="none"/>
          <w:lang w:val="en-US" w:eastAsia="zh-CN"/>
        </w:rPr>
        <w:t>3.阿坝州图书馆</w:t>
      </w:r>
      <w:bookmarkEnd w:id="10"/>
      <w:bookmarkEnd w:id="11"/>
      <w:bookmarkEnd w:id="12"/>
      <w:bookmarkEnd w:id="13"/>
      <w:r>
        <w:rPr>
          <w:rFonts w:hint="eastAsia" w:ascii="仿宋_GB2312" w:hAnsi="仿宋_GB2312" w:eastAsia="仿宋_GB2312" w:cs="仿宋_GB2312"/>
          <w:color w:val="auto"/>
          <w:sz w:val="32"/>
          <w:szCs w:val="32"/>
          <w:highlight w:val="none"/>
          <w:lang w:val="en-US" w:eastAsia="zh-CN"/>
        </w:rPr>
        <w:t xml:space="preserve">             4.阿坝州民族歌舞团</w:t>
      </w:r>
    </w:p>
    <w:p>
      <w:pPr>
        <w:pStyle w:val="6"/>
        <w:pageBreakBefore w:val="0"/>
        <w:numPr>
          <w:ilvl w:val="0"/>
          <w:numId w:val="0"/>
        </w:numPr>
        <w:kinsoku/>
        <w:wordWrap/>
        <w:overflowPunct/>
        <w:topLinePunct w:val="0"/>
        <w:autoSpaceDE/>
        <w:autoSpaceDN/>
        <w:bidi w:val="0"/>
        <w:adjustRightInd w:val="0"/>
        <w:snapToGrid w:val="0"/>
        <w:spacing w:before="93" w:line="560" w:lineRule="atLeast"/>
        <w:ind w:firstLine="960" w:firstLineChars="3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5.阿坝州文物考古研究所（博物馆）</w:t>
      </w:r>
    </w:p>
    <w:p>
      <w:pPr>
        <w:pStyle w:val="6"/>
        <w:pageBreakBefore w:val="0"/>
        <w:numPr>
          <w:ilvl w:val="0"/>
          <w:numId w:val="0"/>
        </w:numPr>
        <w:kinsoku/>
        <w:wordWrap/>
        <w:overflowPunct/>
        <w:topLinePunct w:val="0"/>
        <w:autoSpaceDE/>
        <w:autoSpaceDN/>
        <w:bidi w:val="0"/>
        <w:adjustRightInd w:val="0"/>
        <w:snapToGrid w:val="0"/>
        <w:spacing w:before="93" w:line="560" w:lineRule="atLeast"/>
        <w:ind w:left="840" w:leftChars="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6.阿坝州全域旅游研究所</w:t>
      </w:r>
    </w:p>
    <w:p>
      <w:pPr>
        <w:widowControl/>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14" w:name="_Toc15396602"/>
      <w:bookmarkStart w:id="1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4"/>
      <w:bookmarkEnd w:id="15"/>
      <w:bookmarkStart w:id="16" w:name="_Toc15377205"/>
      <w:bookmarkStart w:id="17" w:name="_Toc15396603"/>
    </w:p>
    <w:p>
      <w:pPr>
        <w:pStyle w:val="3"/>
        <w:keepNext/>
        <w:keepLines/>
        <w:pageBreakBefore w:val="0"/>
        <w:widowControl w:val="0"/>
        <w:kinsoku/>
        <w:wordWrap/>
        <w:overflowPunct/>
        <w:topLinePunct w:val="0"/>
        <w:autoSpaceDE/>
        <w:autoSpaceDN/>
        <w:bidi w:val="0"/>
        <w:adjustRightInd/>
        <w:snapToGrid/>
        <w:spacing w:line="560" w:lineRule="exact"/>
        <w:ind w:firstLine="643" w:firstLineChars="200"/>
        <w:jc w:val="both"/>
        <w:textAlignment w:val="auto"/>
        <w:rPr>
          <w:rStyle w:val="30"/>
          <w:rFonts w:hint="eastAsia" w:ascii="Times New Roman" w:hAnsi="Times New Roman" w:eastAsia="黑体"/>
          <w:b w:val="0"/>
          <w:bCs/>
          <w:color w:val="auto"/>
          <w:highlight w:val="none"/>
        </w:rPr>
      </w:pPr>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bCs/>
          <w:color w:val="auto"/>
          <w:highlight w:val="none"/>
        </w:rPr>
        <w:t>入支出决算总体情况说明</w:t>
      </w:r>
      <w:bookmarkEnd w:id="16"/>
      <w:bookmarkEnd w:id="17"/>
    </w:p>
    <w:p>
      <w:pPr>
        <w:pStyle w:val="3"/>
        <w:keepNext/>
        <w:keepLines/>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2025年度收入</w:t>
      </w:r>
      <w:r>
        <w:rPr>
          <w:rFonts w:hint="eastAsia" w:ascii="仿宋_GB2312" w:hAnsi="仿宋_GB2312" w:eastAsia="仿宋_GB2312" w:cs="仿宋_GB2312"/>
          <w:b w:val="0"/>
          <w:bCs w:val="0"/>
          <w:color w:val="auto"/>
          <w:sz w:val="32"/>
          <w:szCs w:val="32"/>
          <w:highlight w:val="none"/>
        </w:rPr>
        <w:t>、</w:t>
      </w:r>
      <w:r>
        <w:rPr>
          <w:rFonts w:hint="eastAsia" w:ascii="仿宋_GB2312" w:hAnsi="仿宋_GB2312" w:eastAsia="仿宋_GB2312" w:cs="仿宋_GB2312"/>
          <w:b w:val="0"/>
          <w:bCs w:val="0"/>
          <w:color w:val="auto"/>
          <w:sz w:val="32"/>
          <w:szCs w:val="32"/>
          <w:highlight w:val="none"/>
          <w:lang w:eastAsia="zh-CN"/>
        </w:rPr>
        <w:t>支出</w:t>
      </w:r>
      <w:r>
        <w:rPr>
          <w:rFonts w:hint="eastAsia" w:ascii="仿宋_GB2312" w:hAnsi="仿宋_GB2312" w:eastAsia="仿宋_GB2312" w:cs="仿宋_GB2312"/>
          <w:b w:val="0"/>
          <w:bCs w:val="0"/>
          <w:color w:val="auto"/>
          <w:sz w:val="32"/>
          <w:szCs w:val="32"/>
          <w:highlight w:val="none"/>
        </w:rPr>
        <w:t>总计</w:t>
      </w:r>
      <w:r>
        <w:rPr>
          <w:rFonts w:hint="eastAsia" w:ascii="仿宋_GB2312" w:hAnsi="仿宋_GB2312" w:eastAsia="仿宋_GB2312" w:cs="仿宋_GB2312"/>
          <w:b w:val="0"/>
          <w:bCs w:val="0"/>
          <w:color w:val="auto"/>
          <w:sz w:val="32"/>
          <w:szCs w:val="32"/>
          <w:highlight w:val="none"/>
          <w:lang w:eastAsia="zh-CN"/>
        </w:rPr>
        <w:t>均为</w:t>
      </w:r>
      <w:r>
        <w:rPr>
          <w:rFonts w:hint="eastAsia" w:ascii="仿宋_GB2312" w:hAnsi="仿宋_GB2312" w:eastAsia="仿宋_GB2312" w:cs="仿宋_GB2312"/>
          <w:b w:val="0"/>
          <w:bCs w:val="0"/>
          <w:sz w:val="32"/>
          <w:szCs w:val="32"/>
        </w:rPr>
        <w:t>5362.25</w:t>
      </w:r>
      <w:r>
        <w:rPr>
          <w:rFonts w:hint="eastAsia" w:ascii="仿宋_GB2312" w:hAnsi="仿宋_GB2312" w:eastAsia="仿宋_GB2312" w:cs="仿宋_GB2312"/>
          <w:b w:val="0"/>
          <w:bCs w:val="0"/>
          <w:color w:val="auto"/>
          <w:sz w:val="32"/>
          <w:szCs w:val="32"/>
          <w:highlight w:val="none"/>
        </w:rPr>
        <w:t>万元。与</w:t>
      </w:r>
      <w:r>
        <w:rPr>
          <w:rFonts w:hint="eastAsia" w:ascii="仿宋_GB2312" w:hAnsi="仿宋_GB2312" w:eastAsia="仿宋_GB2312" w:cs="仿宋_GB2312"/>
          <w:b w:val="0"/>
          <w:bCs w:val="0"/>
          <w:color w:val="auto"/>
          <w:sz w:val="32"/>
          <w:szCs w:val="32"/>
          <w:highlight w:val="none"/>
          <w:lang w:eastAsia="zh-CN"/>
        </w:rPr>
        <w:t>上</w:t>
      </w:r>
      <w:r>
        <w:rPr>
          <w:rFonts w:hint="eastAsia" w:ascii="仿宋_GB2312" w:hAnsi="仿宋_GB2312" w:eastAsia="仿宋_GB2312" w:cs="仿宋_GB2312"/>
          <w:b w:val="0"/>
          <w:bCs w:val="0"/>
          <w:color w:val="auto"/>
          <w:sz w:val="32"/>
          <w:szCs w:val="32"/>
          <w:highlight w:val="none"/>
        </w:rPr>
        <w:t>年</w:t>
      </w:r>
      <w:r>
        <w:rPr>
          <w:rFonts w:hint="eastAsia" w:ascii="仿宋_GB2312" w:hAnsi="仿宋_GB2312" w:eastAsia="仿宋_GB2312" w:cs="仿宋_GB2312"/>
          <w:b w:val="0"/>
          <w:bCs w:val="0"/>
          <w:color w:val="auto"/>
          <w:sz w:val="32"/>
          <w:szCs w:val="32"/>
          <w:highlight w:val="none"/>
          <w:lang w:eastAsia="zh-CN"/>
        </w:rPr>
        <w:t>度</w:t>
      </w:r>
      <w:r>
        <w:rPr>
          <w:rFonts w:hint="eastAsia" w:ascii="仿宋_GB2312" w:hAnsi="仿宋_GB2312" w:eastAsia="仿宋_GB2312" w:cs="仿宋_GB2312"/>
          <w:b w:val="0"/>
          <w:bCs w:val="0"/>
          <w:color w:val="auto"/>
          <w:sz w:val="32"/>
          <w:szCs w:val="32"/>
          <w:highlight w:val="none"/>
        </w:rPr>
        <w:t>相比，</w:t>
      </w:r>
      <w:r>
        <w:rPr>
          <w:rFonts w:hint="eastAsia" w:ascii="仿宋_GB2312" w:hAnsi="仿宋_GB2312" w:eastAsia="仿宋_GB2312" w:cs="仿宋_GB2312"/>
          <w:b w:val="0"/>
          <w:bCs w:val="0"/>
          <w:color w:val="auto"/>
          <w:sz w:val="32"/>
          <w:szCs w:val="32"/>
          <w:highlight w:val="none"/>
          <w:lang w:eastAsia="zh-CN"/>
        </w:rPr>
        <w:t>收入</w:t>
      </w:r>
      <w:r>
        <w:rPr>
          <w:rFonts w:hint="eastAsia" w:ascii="仿宋_GB2312" w:hAnsi="仿宋_GB2312" w:eastAsia="仿宋_GB2312" w:cs="仿宋_GB2312"/>
          <w:b w:val="0"/>
          <w:bCs w:val="0"/>
          <w:color w:val="auto"/>
          <w:sz w:val="32"/>
          <w:szCs w:val="32"/>
          <w:highlight w:val="none"/>
        </w:rPr>
        <w:t>、</w:t>
      </w:r>
      <w:r>
        <w:rPr>
          <w:rFonts w:hint="eastAsia" w:ascii="仿宋_GB2312" w:hAnsi="仿宋_GB2312" w:eastAsia="仿宋_GB2312" w:cs="仿宋_GB2312"/>
          <w:b w:val="0"/>
          <w:bCs w:val="0"/>
          <w:color w:val="auto"/>
          <w:sz w:val="32"/>
          <w:szCs w:val="32"/>
          <w:highlight w:val="none"/>
          <w:lang w:eastAsia="zh-CN"/>
        </w:rPr>
        <w:t>支出</w:t>
      </w:r>
      <w:r>
        <w:rPr>
          <w:rFonts w:hint="eastAsia" w:ascii="仿宋_GB2312" w:hAnsi="仿宋_GB2312" w:eastAsia="仿宋_GB2312" w:cs="仿宋_GB2312"/>
          <w:b w:val="0"/>
          <w:bCs w:val="0"/>
          <w:color w:val="auto"/>
          <w:sz w:val="32"/>
          <w:szCs w:val="32"/>
          <w:highlight w:val="none"/>
        </w:rPr>
        <w:t>总计各减少</w:t>
      </w:r>
      <w:r>
        <w:rPr>
          <w:rFonts w:hint="eastAsia" w:ascii="仿宋_GB2312" w:hAnsi="仿宋_GB2312" w:eastAsia="仿宋_GB2312" w:cs="仿宋_GB2312"/>
          <w:b w:val="0"/>
          <w:bCs w:val="0"/>
          <w:color w:val="auto"/>
          <w:sz w:val="32"/>
          <w:szCs w:val="32"/>
          <w:highlight w:val="none"/>
          <w:lang w:val="en-US" w:eastAsia="zh-CN"/>
        </w:rPr>
        <w:t>2870.06</w:t>
      </w:r>
      <w:r>
        <w:rPr>
          <w:rFonts w:hint="eastAsia" w:ascii="仿宋_GB2312" w:hAnsi="仿宋_GB2312" w:eastAsia="仿宋_GB2312" w:cs="仿宋_GB2312"/>
          <w:b w:val="0"/>
          <w:bCs w:val="0"/>
          <w:color w:val="auto"/>
          <w:sz w:val="32"/>
          <w:szCs w:val="32"/>
          <w:highlight w:val="none"/>
        </w:rPr>
        <w:t>万元，下降</w:t>
      </w:r>
      <w:r>
        <w:rPr>
          <w:rFonts w:hint="eastAsia" w:ascii="仿宋_GB2312" w:hAnsi="仿宋_GB2312" w:eastAsia="仿宋_GB2312" w:cs="仿宋_GB2312"/>
          <w:b w:val="0"/>
          <w:bCs w:val="0"/>
          <w:color w:val="auto"/>
          <w:sz w:val="32"/>
          <w:szCs w:val="32"/>
          <w:highlight w:val="none"/>
          <w:lang w:val="en-US" w:eastAsia="zh-CN"/>
        </w:rPr>
        <w:t>34.86</w:t>
      </w:r>
      <w:r>
        <w:rPr>
          <w:rFonts w:hint="eastAsia" w:ascii="仿宋_GB2312" w:hAnsi="仿宋_GB2312" w:eastAsia="仿宋_GB2312" w:cs="仿宋_GB2312"/>
          <w:b w:val="0"/>
          <w:bCs w:val="0"/>
          <w:color w:val="auto"/>
          <w:sz w:val="32"/>
          <w:szCs w:val="32"/>
          <w:highlight w:val="none"/>
        </w:rPr>
        <w:t>%。主要变动原因是</w:t>
      </w:r>
      <w:r>
        <w:rPr>
          <w:rFonts w:hint="eastAsia" w:ascii="仿宋_GB2312" w:hAnsi="仿宋_GB2312" w:eastAsia="仿宋_GB2312" w:cs="仿宋_GB2312"/>
          <w:b w:val="0"/>
          <w:bCs w:val="0"/>
          <w:color w:val="auto"/>
          <w:sz w:val="32"/>
          <w:szCs w:val="32"/>
          <w:highlight w:val="none"/>
          <w:lang w:val="en-US" w:eastAsia="zh-CN"/>
        </w:rPr>
        <w:t>机构改革，2025年5月体育局划转到州教体局，人员经费和项目经费一并划转；2025年预算项目的减少。</w: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rPr>
          <w:rFonts w:hint="eastAsia" w:ascii="Times New Roman" w:hAnsi="Times New Roman" w:eastAsia="仿宋_GB2312" w:cs="仿宋_GB2312"/>
          <w:color w:val="auto"/>
          <w:sz w:val="32"/>
          <w:szCs w:val="32"/>
          <w:highlight w:val="none"/>
        </w:rPr>
      </w:pPr>
      <w:r>
        <w:rPr>
          <w:rFonts w:hint="eastAsia" w:eastAsia="宋体"/>
          <w:lang w:val="en-US" w:eastAsia="zh-CN"/>
        </w:rPr>
        <w:t xml:space="preserve">            </w:t>
      </w:r>
      <w:r>
        <w:rPr>
          <w:rFonts w:hint="default" w:eastAsia="宋体"/>
          <w:lang w:val="en-US" w:eastAsia="zh-CN"/>
        </w:rPr>
        <w:drawing>
          <wp:inline distT="0" distB="0" distL="114300" distR="114300">
            <wp:extent cx="3219450" cy="2276475"/>
            <wp:effectExtent l="0" t="0" r="0" b="9525"/>
            <wp:docPr id="2" name="图片 2" descr="1788831312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88831312964"/>
                    <pic:cNvPicPr>
                      <a:picLocks noChangeAspect="1"/>
                    </pic:cNvPicPr>
                  </pic:nvPicPr>
                  <pic:blipFill>
                    <a:blip r:embed="rId9"/>
                    <a:stretch>
                      <a:fillRect/>
                    </a:stretch>
                  </pic:blipFill>
                  <pic:spPr>
                    <a:xfrm>
                      <a:off x="0" y="0"/>
                      <a:ext cx="3219450" cy="2276475"/>
                    </a:xfrm>
                    <a:prstGeom prst="rect">
                      <a:avLst/>
                    </a:prstGeom>
                  </pic:spPr>
                </pic:pic>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8" w:name="_Toc15396604"/>
      <w:bookmarkStart w:id="19" w:name="_Toc15377206"/>
      <w:r>
        <w:rPr>
          <w:rFonts w:hint="eastAsia" w:ascii="Times New Roman" w:hAnsi="Times New Roman" w:eastAsia="黑体"/>
          <w:color w:val="auto"/>
          <w:sz w:val="32"/>
          <w:szCs w:val="32"/>
          <w:highlight w:val="none"/>
          <w:lang w:eastAsia="zh-CN"/>
        </w:rPr>
        <w:t>二、收入决算情况说明</w:t>
      </w:r>
      <w:bookmarkEnd w:id="18"/>
      <w:bookmarkEnd w:id="19"/>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rPr>
        <w:t>4925.49</w:t>
      </w:r>
      <w:r>
        <w:rPr>
          <w:rFonts w:hint="eastAsia" w:ascii="仿宋_GB2312" w:hAnsi="仿宋_GB2312"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4769.24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96.82</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41.32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0.83</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114.93</w:t>
      </w:r>
      <w:r>
        <w:rPr>
          <w:rFonts w:hint="eastAsia" w:ascii="仿宋_GB2312" w:hAnsi="仿宋_GB2312" w:eastAsia="仿宋_GB2312" w:cs="仿宋_GB2312"/>
          <w:color w:val="auto"/>
          <w:sz w:val="32"/>
          <w:szCs w:val="32"/>
          <w:highlight w:val="none"/>
          <w:lang w:eastAsia="zh-CN"/>
        </w:rPr>
        <w:t>万元，</w:t>
      </w:r>
      <w:r>
        <w:rPr>
          <w:rFonts w:hint="eastAsia" w:ascii="Times New Roman" w:hAnsi="Times New Roman" w:eastAsia="仿宋_GB2312" w:cs="仿宋_GB2312"/>
          <w:color w:val="auto"/>
          <w:sz w:val="32"/>
          <w:szCs w:val="32"/>
          <w:highlight w:val="none"/>
          <w:lang w:eastAsia="zh-CN"/>
        </w:rPr>
        <w:t>占</w:t>
      </w:r>
      <w:r>
        <w:rPr>
          <w:rFonts w:hint="eastAsia" w:ascii="仿宋_GB2312" w:hAnsi="仿宋_GB2312" w:eastAsia="仿宋_GB2312" w:cs="仿宋_GB2312"/>
          <w:sz w:val="32"/>
          <w:szCs w:val="32"/>
        </w:rPr>
        <w:t>2.33</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ind w:firstLine="2108" w:firstLineChars="750"/>
        <w:rPr>
          <w:rFonts w:hint="eastAsia" w:eastAsia="仿宋_GB2312" w:cs="仿宋_GB2312"/>
          <w:b/>
          <w:bCs/>
          <w:color w:val="auto"/>
          <w:sz w:val="28"/>
          <w:szCs w:val="28"/>
          <w:highlight w:val="none"/>
          <w:lang w:val="en-US" w:eastAsia="zh-CN"/>
        </w:rPr>
      </w:pPr>
      <w:r>
        <w:rPr>
          <w:rFonts w:hint="eastAsia" w:eastAsia="仿宋_GB2312" w:cs="仿宋_GB2312"/>
          <w:b/>
          <w:bCs/>
          <w:color w:val="auto"/>
          <w:sz w:val="28"/>
          <w:szCs w:val="28"/>
          <w:highlight w:val="none"/>
          <w:lang w:val="en-US" w:eastAsia="zh-CN"/>
        </w:rPr>
        <w:t>收入、支出决算总计变动图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8"/>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val="en-US" w:eastAsia="zh-CN"/>
        </w:rPr>
        <w:drawing>
          <wp:inline distT="0" distB="0" distL="114300" distR="114300">
            <wp:extent cx="3771900" cy="2486025"/>
            <wp:effectExtent l="0" t="0" r="0" b="9525"/>
            <wp:docPr id="3" name="图片 3" descr="1788831913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88831913103"/>
                    <pic:cNvPicPr>
                      <a:picLocks noChangeAspect="1"/>
                    </pic:cNvPicPr>
                  </pic:nvPicPr>
                  <pic:blipFill>
                    <a:blip r:embed="rId10"/>
                    <a:stretch>
                      <a:fillRect/>
                    </a:stretch>
                  </pic:blipFill>
                  <pic:spPr>
                    <a:xfrm>
                      <a:off x="0" y="0"/>
                      <a:ext cx="3771900" cy="2486025"/>
                    </a:xfrm>
                    <a:prstGeom prst="rect">
                      <a:avLst/>
                    </a:prstGeom>
                  </pic:spPr>
                </pic:pic>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0" w:name="_Toc15377207"/>
      <w:bookmarkStart w:id="21"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0"/>
      <w:bookmarkEnd w:id="21"/>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rPr>
        <w:t>4999.11</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2285.88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45.72</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2713.23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54.27</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r>
        <w:rPr>
          <w:rFonts w:hint="eastAsia" w:ascii="Times New Roman" w:hAnsi="Times New Roman" w:eastAsia="仿宋_GB2312" w:cs="仿宋_GB2312"/>
          <w:color w:val="auto"/>
          <w:sz w:val="32"/>
          <w:szCs w:val="32"/>
          <w:highlight w:val="none"/>
          <w:lang w:eastAsia="zh-CN"/>
        </w:rPr>
        <w:t>（图3：支出决算结构图）（饼状图）</w:t>
      </w:r>
    </w:p>
    <w:p>
      <w:pPr>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eastAsia="zh-CN"/>
        </w:rPr>
        <w:drawing>
          <wp:inline distT="0" distB="0" distL="114300" distR="114300">
            <wp:extent cx="3571875" cy="2390775"/>
            <wp:effectExtent l="0" t="0" r="9525" b="9525"/>
            <wp:docPr id="7" name="图片 7" descr="178883306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88833062010"/>
                    <pic:cNvPicPr>
                      <a:picLocks noChangeAspect="1"/>
                    </pic:cNvPicPr>
                  </pic:nvPicPr>
                  <pic:blipFill>
                    <a:blip r:embed="rId11"/>
                    <a:stretch>
                      <a:fillRect/>
                    </a:stretch>
                  </pic:blipFill>
                  <pic:spPr>
                    <a:xfrm>
                      <a:off x="0" y="0"/>
                      <a:ext cx="3571875" cy="2390775"/>
                    </a:xfrm>
                    <a:prstGeom prst="rect">
                      <a:avLst/>
                    </a:prstGeom>
                  </pic:spPr>
                </pic:pic>
              </a:graphicData>
            </a:graphic>
          </wp:inline>
        </w:drawing>
      </w:r>
    </w:p>
    <w:p>
      <w:pPr>
        <w:spacing w:line="600" w:lineRule="exact"/>
        <w:ind w:firstLine="640" w:firstLineChars="200"/>
        <w:outlineLvl w:val="1"/>
        <w:rPr>
          <w:rStyle w:val="30"/>
          <w:rFonts w:ascii="Times New Roman" w:hAnsi="Times New Roman" w:eastAsia="黑体"/>
          <w:b w:val="0"/>
          <w:color w:val="auto"/>
          <w:highlight w:val="none"/>
        </w:rPr>
      </w:pPr>
      <w:bookmarkStart w:id="22" w:name="_Toc15377208"/>
      <w:bookmarkStart w:id="23"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2"/>
      <w:bookmarkEnd w:id="23"/>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2025年度财政拨款收入、支出总计均为</w:t>
      </w:r>
      <w:r>
        <w:rPr>
          <w:rFonts w:hint="eastAsia" w:ascii="仿宋_GB2312" w:hAnsi="仿宋_GB2312" w:eastAsia="仿宋_GB2312" w:cs="仿宋_GB2312"/>
          <w:sz w:val="32"/>
          <w:szCs w:val="32"/>
        </w:rPr>
        <w:t>4810.56</w:t>
      </w:r>
      <w:r>
        <w:rPr>
          <w:rFonts w:hint="eastAsia" w:ascii="仿宋_GB2312" w:hAnsi="仿宋_GB2312" w:eastAsia="仿宋_GB2312" w:cs="仿宋_GB2312"/>
          <w:color w:val="auto"/>
          <w:kern w:val="2"/>
          <w:sz w:val="32"/>
          <w:szCs w:val="32"/>
          <w:highlight w:val="none"/>
          <w:lang w:val="en-US" w:eastAsia="zh-CN" w:bidi="ar-SA"/>
        </w:rPr>
        <w:t>万元。与上年度相比，财政拨款收入、支出总计各减少2984.99万元，下降38.29%。主要变动原因</w:t>
      </w:r>
      <w:r>
        <w:rPr>
          <w:rFonts w:hint="eastAsia" w:ascii="仿宋_GB2312" w:hAnsi="仿宋_GB2312" w:eastAsia="仿宋_GB2312" w:cs="仿宋_GB2312"/>
          <w:color w:val="auto"/>
          <w:sz w:val="32"/>
          <w:szCs w:val="32"/>
          <w:highlight w:val="none"/>
        </w:rPr>
        <w:t>是</w:t>
      </w:r>
      <w:r>
        <w:rPr>
          <w:rFonts w:hint="eastAsia" w:ascii="仿宋_GB2312" w:hAnsi="仿宋_GB2312" w:eastAsia="仿宋_GB2312" w:cs="仿宋_GB2312"/>
          <w:color w:val="auto"/>
          <w:sz w:val="32"/>
          <w:szCs w:val="32"/>
          <w:highlight w:val="none"/>
          <w:lang w:val="en-US" w:eastAsia="zh-CN"/>
        </w:rPr>
        <w:t>机构改革，2025年5月体育局划转到州教体局，人员经费和项目经费一并划转；2025年预算项目的减少。</w:t>
      </w:r>
      <w:r>
        <w:rPr>
          <w:rFonts w:hint="eastAsia" w:ascii="仿宋_GB2312" w:hAnsi="仿宋_GB2312" w:eastAsia="仿宋_GB2312" w:cs="仿宋_GB2312"/>
          <w:color w:val="auto"/>
          <w:kern w:val="2"/>
          <w:sz w:val="32"/>
          <w:szCs w:val="32"/>
          <w:highlight w:val="none"/>
          <w:lang w:val="en-US" w:eastAsia="zh-CN" w:bidi="ar-SA"/>
        </w:rPr>
        <w:t>（图4：财政拨款收、支决算总计变动情况）（柱状图）</w:t>
      </w:r>
    </w:p>
    <w:p>
      <w:pPr>
        <w:pStyle w:val="14"/>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eastAsia="黑体"/>
          <w:color w:val="auto"/>
          <w:sz w:val="32"/>
          <w:szCs w:val="32"/>
          <w:highlight w:val="none"/>
          <w:lang w:val="en-US" w:eastAsia="zh-CN"/>
        </w:rPr>
        <w:t xml:space="preserve">   </w:t>
      </w:r>
      <w:r>
        <w:rPr>
          <w:rFonts w:hint="eastAsia" w:eastAsia="黑体"/>
          <w:color w:val="auto"/>
          <w:sz w:val="32"/>
          <w:szCs w:val="32"/>
          <w:highlight w:val="none"/>
          <w:lang w:val="en-US" w:eastAsia="zh-CN"/>
        </w:rPr>
        <w:drawing>
          <wp:inline distT="0" distB="0" distL="114300" distR="114300">
            <wp:extent cx="3467100" cy="2247900"/>
            <wp:effectExtent l="0" t="0" r="0" b="0"/>
            <wp:docPr id="12" name="图片 12" descr="1788833937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788833937433"/>
                    <pic:cNvPicPr>
                      <a:picLocks noChangeAspect="1"/>
                    </pic:cNvPicPr>
                  </pic:nvPicPr>
                  <pic:blipFill>
                    <a:blip r:embed="rId12"/>
                    <a:stretch>
                      <a:fillRect/>
                    </a:stretch>
                  </pic:blipFill>
                  <pic:spPr>
                    <a:xfrm>
                      <a:off x="0" y="0"/>
                      <a:ext cx="3467100" cy="2247900"/>
                    </a:xfrm>
                    <a:prstGeom prst="rect">
                      <a:avLst/>
                    </a:prstGeom>
                  </pic:spPr>
                </pic:pic>
              </a:graphicData>
            </a:graphic>
          </wp:inline>
        </w:drawing>
      </w:r>
    </w:p>
    <w:p>
      <w:pPr>
        <w:spacing w:line="600" w:lineRule="exact"/>
        <w:ind w:firstLine="640" w:firstLineChars="200"/>
        <w:outlineLvl w:val="1"/>
        <w:rPr>
          <w:rStyle w:val="30"/>
          <w:rFonts w:ascii="Times New Roman" w:hAnsi="Times New Roman" w:eastAsia="黑体"/>
          <w:b w:val="0"/>
          <w:color w:val="auto"/>
          <w:highlight w:val="none"/>
        </w:rPr>
      </w:pPr>
      <w:bookmarkStart w:id="24" w:name="_Toc15396607"/>
      <w:bookmarkStart w:id="25"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4"/>
      <w:bookmarkEnd w:id="25"/>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6"/>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rPr>
        <w:t>4769.24</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95.4</w:t>
      </w:r>
      <w:r>
        <w:rPr>
          <w:rFonts w:hint="eastAsia" w:ascii="仿宋_GB2312" w:hAnsi="仿宋_GB2312" w:eastAsia="仿宋_GB2312" w:cs="仿宋_GB2312"/>
          <w:color w:val="auto"/>
          <w:kern w:val="2"/>
          <w:sz w:val="32"/>
          <w:szCs w:val="32"/>
          <w:highlight w:val="none"/>
          <w:lang w:val="en-US" w:eastAsia="zh-CN" w:bidi="ar-SA"/>
        </w:rPr>
        <w:t>%。与上年度相比，一般公共预算财政拨款支出减少2649.71万元，下降35.71%。主要变动原因是</w:t>
      </w:r>
      <w:r>
        <w:rPr>
          <w:rFonts w:hint="eastAsia" w:ascii="仿宋_GB2312" w:hAnsi="仿宋_GB2312" w:eastAsia="仿宋_GB2312" w:cs="仿宋_GB2312"/>
          <w:color w:val="auto"/>
          <w:sz w:val="32"/>
          <w:szCs w:val="32"/>
          <w:highlight w:val="none"/>
          <w:lang w:val="en-US" w:eastAsia="zh-CN"/>
        </w:rPr>
        <w:t>机构改革，2025年5月体育局划转到州教体局，人员经费和项目经费一并划转；2025年预算项目的减少。</w:t>
      </w:r>
      <w:r>
        <w:rPr>
          <w:rFonts w:hint="eastAsia" w:ascii="仿宋_GB2312" w:hAnsi="仿宋_GB2312" w:eastAsia="仿宋_GB2312" w:cs="仿宋_GB2312"/>
          <w:color w:val="auto"/>
          <w:kern w:val="2"/>
          <w:sz w:val="32"/>
          <w:szCs w:val="32"/>
          <w:highlight w:val="none"/>
          <w:lang w:val="en-US" w:eastAsia="zh-CN" w:bidi="ar-SA"/>
        </w:rPr>
        <w:t>（图5：一般公共预算财政拨款支出决算变动情况）（柱状图）</w:t>
      </w:r>
    </w:p>
    <w:p>
      <w:pPr>
        <w:pStyle w:val="8"/>
        <w:ind w:left="0" w:leftChars="0" w:firstLine="0" w:firstLineChars="0"/>
        <w:rPr>
          <w:rFonts w:hint="eastAsia" w:eastAsia="宋体"/>
          <w:lang w:eastAsia="zh-CN"/>
        </w:rPr>
      </w:pPr>
      <w:r>
        <w:rPr>
          <w:rFonts w:hint="eastAsia" w:eastAsia="宋体"/>
          <w:lang w:val="en-US" w:eastAsia="zh-CN"/>
        </w:rPr>
        <w:t xml:space="preserve">           </w:t>
      </w:r>
      <w:r>
        <w:rPr>
          <w:rFonts w:hint="eastAsia" w:eastAsia="宋体"/>
          <w:lang w:eastAsia="zh-CN"/>
        </w:rPr>
        <w:drawing>
          <wp:inline distT="0" distB="0" distL="114300" distR="114300">
            <wp:extent cx="3924300" cy="2438400"/>
            <wp:effectExtent l="0" t="0" r="0" b="0"/>
            <wp:docPr id="15" name="图片 15" descr="178883487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788834871904"/>
                    <pic:cNvPicPr>
                      <a:picLocks noChangeAspect="1"/>
                    </pic:cNvPicPr>
                  </pic:nvPicPr>
                  <pic:blipFill>
                    <a:blip r:embed="rId13"/>
                    <a:stretch>
                      <a:fillRect/>
                    </a:stretch>
                  </pic:blipFill>
                  <pic:spPr>
                    <a:xfrm>
                      <a:off x="0" y="0"/>
                      <a:ext cx="3924300" cy="2438400"/>
                    </a:xfrm>
                    <a:prstGeom prst="rect">
                      <a:avLst/>
                    </a:prstGeom>
                  </pic:spPr>
                </pic:pic>
              </a:graphicData>
            </a:graphic>
          </wp:inline>
        </w:drawing>
      </w:r>
      <w:bookmarkStart w:id="27" w:name="_Toc15377211"/>
    </w:p>
    <w:p>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27"/>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rPr>
        <w:t>4769.24</w:t>
      </w:r>
      <w:r>
        <w:rPr>
          <w:rFonts w:hint="eastAsia" w:ascii="仿宋_GB2312" w:hAnsi="仿宋_GB2312" w:eastAsia="仿宋_GB2312" w:cs="仿宋_GB2312"/>
          <w:color w:val="auto"/>
          <w:kern w:val="2"/>
          <w:sz w:val="32"/>
          <w:szCs w:val="32"/>
          <w:highlight w:val="none"/>
          <w:lang w:val="en-US" w:eastAsia="zh-CN" w:bidi="ar-SA"/>
        </w:rPr>
        <w:t>万元，主要用于以下方面：一般公共服务支出0万元，占0%；教育支出0万元，占0%；科学技术支出0万元，占0%；文化旅游体育与传媒支出4289.17万元，占89.93%；社会保障和就业支出267.62万元，占5.61%；卫生健康支出86.34万元，占1.81%；住房保障支出126.11万元，占2.64%。</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r>
        <w:rPr>
          <w:rFonts w:hint="default" w:ascii="Times New Roman" w:hAnsi="Times New Roman" w:eastAsia="仿宋_GB2312" w:cs="仿宋_GB2312"/>
          <w:color w:val="auto"/>
          <w:kern w:val="2"/>
          <w:sz w:val="32"/>
          <w:szCs w:val="32"/>
          <w:highlight w:val="none"/>
          <w:lang w:val="en-US" w:eastAsia="zh-CN" w:bidi="ar-SA"/>
        </w:rPr>
        <w:drawing>
          <wp:inline distT="0" distB="0" distL="114300" distR="114300">
            <wp:extent cx="3686810" cy="2886075"/>
            <wp:effectExtent l="0" t="0" r="8890" b="9525"/>
            <wp:docPr id="19" name="图片 19" descr="1788838803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788838803672"/>
                    <pic:cNvPicPr>
                      <a:picLocks noChangeAspect="1"/>
                    </pic:cNvPicPr>
                  </pic:nvPicPr>
                  <pic:blipFill>
                    <a:blip r:embed="rId14"/>
                    <a:stretch>
                      <a:fillRect/>
                    </a:stretch>
                  </pic:blipFill>
                  <pic:spPr>
                    <a:xfrm>
                      <a:off x="0" y="0"/>
                      <a:ext cx="3686810" cy="2886075"/>
                    </a:xfrm>
                    <a:prstGeom prst="rect">
                      <a:avLst/>
                    </a:prstGeom>
                  </pic:spPr>
                </pic:pic>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8"/>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bookmarkStart w:id="29" w:name="_Toc15377444"/>
      <w:bookmarkStart w:id="30" w:name="_Toc15377213"/>
      <w:bookmarkStart w:id="31" w:name="_Toc15378460"/>
      <w:r>
        <w:rPr>
          <w:rFonts w:hint="eastAsia" w:ascii="仿宋_GB2312" w:hAnsi="仿宋_GB2312" w:eastAsia="仿宋_GB2312" w:cs="仿宋_GB2312"/>
          <w:color w:val="auto"/>
          <w:kern w:val="2"/>
          <w:sz w:val="32"/>
          <w:szCs w:val="32"/>
          <w:highlight w:val="none"/>
          <w:lang w:val="en-US" w:eastAsia="zh-CN" w:bidi="ar-SA"/>
        </w:rPr>
        <w:t>2025年度一般公共预算支出决算数为</w:t>
      </w:r>
      <w:r>
        <w:rPr>
          <w:rFonts w:hint="eastAsia" w:ascii="仿宋_GB2312" w:hAnsi="仿宋_GB2312" w:eastAsia="仿宋_GB2312" w:cs="仿宋_GB2312"/>
          <w:sz w:val="32"/>
          <w:szCs w:val="32"/>
        </w:rPr>
        <w:t>4769.24</w:t>
      </w:r>
      <w:r>
        <w:rPr>
          <w:rFonts w:hint="eastAsia" w:ascii="仿宋_GB2312" w:hAnsi="仿宋_GB2312" w:eastAsia="仿宋_GB2312" w:cs="仿宋_GB2312"/>
          <w:color w:val="auto"/>
          <w:kern w:val="2"/>
          <w:sz w:val="32"/>
          <w:szCs w:val="32"/>
          <w:highlight w:val="none"/>
          <w:lang w:val="en-US" w:eastAsia="zh-CN" w:bidi="ar-SA"/>
        </w:rPr>
        <w:t>，完成预算100%。其中：</w:t>
      </w:r>
      <w:bookmarkEnd w:id="29"/>
      <w:bookmarkEnd w:id="30"/>
      <w:bookmarkEnd w:id="31"/>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1.文化旅游体育与传媒（类）文化和旅游（款）行政运行（项）：支出决算为1805.81万元，完成预算100%，决算数等于预算数。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_GB2312" w:hAnsi="仿宋_GB2312" w:eastAsia="仿宋_GB2312" w:cs="仿宋_GB2312"/>
          <w:b w:val="0"/>
          <w:bCs/>
          <w:color w:val="auto"/>
          <w:sz w:val="32"/>
          <w:szCs w:val="32"/>
          <w:highlight w:val="none"/>
        </w:rPr>
      </w:pPr>
      <w:r>
        <w:rPr>
          <w:rStyle w:val="19"/>
          <w:rFonts w:hint="eastAsia" w:ascii="仿宋_GB2312" w:hAnsi="仿宋_GB2312" w:eastAsia="仿宋_GB2312" w:cs="仿宋_GB2312"/>
          <w:b w:val="0"/>
          <w:bCs/>
          <w:color w:val="auto"/>
          <w:sz w:val="32"/>
          <w:szCs w:val="32"/>
          <w:highlight w:val="none"/>
          <w:lang w:val="en-US" w:eastAsia="zh-CN"/>
        </w:rPr>
        <w:t>2</w:t>
      </w:r>
      <w:r>
        <w:rPr>
          <w:rStyle w:val="19"/>
          <w:rFonts w:hint="eastAsia" w:ascii="仿宋_GB2312" w:hAnsi="仿宋_GB2312" w:eastAsia="仿宋_GB2312" w:cs="仿宋_GB2312"/>
          <w:b w:val="0"/>
          <w:bCs/>
          <w:color w:val="auto"/>
          <w:sz w:val="32"/>
          <w:szCs w:val="32"/>
          <w:highlight w:val="none"/>
        </w:rPr>
        <w:t>.文化旅游体育与传媒（类）文化和旅游（款）</w:t>
      </w:r>
      <w:r>
        <w:rPr>
          <w:rStyle w:val="19"/>
          <w:rFonts w:hint="eastAsia" w:ascii="仿宋_GB2312" w:hAnsi="仿宋_GB2312" w:eastAsia="仿宋_GB2312" w:cs="仿宋_GB2312"/>
          <w:b w:val="0"/>
          <w:bCs/>
          <w:color w:val="auto"/>
          <w:sz w:val="32"/>
          <w:szCs w:val="32"/>
          <w:highlight w:val="none"/>
          <w:lang w:val="en-US" w:eastAsia="zh-CN"/>
        </w:rPr>
        <w:t>一般行政管理事务</w:t>
      </w:r>
      <w:r>
        <w:rPr>
          <w:rStyle w:val="19"/>
          <w:rFonts w:hint="eastAsia" w:ascii="仿宋_GB2312" w:hAnsi="仿宋_GB2312" w:eastAsia="仿宋_GB2312" w:cs="仿宋_GB2312"/>
          <w:b w:val="0"/>
          <w:bCs/>
          <w:color w:val="auto"/>
          <w:sz w:val="32"/>
          <w:szCs w:val="32"/>
          <w:highlight w:val="none"/>
        </w:rPr>
        <w:t>（项）: 支出决算为</w:t>
      </w:r>
      <w:r>
        <w:rPr>
          <w:rStyle w:val="19"/>
          <w:rFonts w:hint="eastAsia" w:ascii="仿宋_GB2312" w:hAnsi="仿宋_GB2312" w:eastAsia="仿宋_GB2312" w:cs="仿宋_GB2312"/>
          <w:b w:val="0"/>
          <w:bCs/>
          <w:color w:val="auto"/>
          <w:sz w:val="32"/>
          <w:szCs w:val="32"/>
          <w:highlight w:val="none"/>
          <w:lang w:val="en-US" w:eastAsia="zh-CN"/>
        </w:rPr>
        <w:t>643.56</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Style w:val="19"/>
          <w:rFonts w:hint="eastAsia" w:ascii="仿宋_GB2312" w:hAnsi="仿宋_GB2312" w:eastAsia="仿宋_GB2312" w:cs="仿宋_GB2312"/>
          <w:b w:val="0"/>
          <w:bCs/>
          <w:color w:val="auto"/>
          <w:sz w:val="32"/>
          <w:szCs w:val="32"/>
          <w:highlight w:val="none"/>
          <w:lang w:val="en-US" w:eastAsia="zh-CN"/>
        </w:rPr>
        <w:t>3</w:t>
      </w:r>
      <w:r>
        <w:rPr>
          <w:rStyle w:val="19"/>
          <w:rFonts w:hint="eastAsia" w:ascii="仿宋_GB2312" w:hAnsi="仿宋_GB2312" w:eastAsia="仿宋_GB2312" w:cs="仿宋_GB2312"/>
          <w:b w:val="0"/>
          <w:bCs/>
          <w:color w:val="auto"/>
          <w:sz w:val="32"/>
          <w:szCs w:val="32"/>
          <w:highlight w:val="none"/>
        </w:rPr>
        <w:t>.文化旅游体育与传媒（类）文化和旅游（款）</w:t>
      </w:r>
      <w:r>
        <w:rPr>
          <w:rStyle w:val="19"/>
          <w:rFonts w:hint="eastAsia" w:ascii="仿宋_GB2312" w:hAnsi="仿宋_GB2312" w:eastAsia="仿宋_GB2312" w:cs="仿宋_GB2312"/>
          <w:b w:val="0"/>
          <w:bCs/>
          <w:color w:val="auto"/>
          <w:sz w:val="32"/>
          <w:szCs w:val="32"/>
          <w:highlight w:val="none"/>
          <w:lang w:val="en-US" w:eastAsia="zh-CN"/>
        </w:rPr>
        <w:t>群众文化</w:t>
      </w:r>
      <w:r>
        <w:rPr>
          <w:rStyle w:val="19"/>
          <w:rFonts w:hint="eastAsia" w:ascii="仿宋_GB2312" w:hAnsi="仿宋_GB2312" w:eastAsia="仿宋_GB2312" w:cs="仿宋_GB2312"/>
          <w:b w:val="0"/>
          <w:bCs/>
          <w:color w:val="auto"/>
          <w:sz w:val="32"/>
          <w:szCs w:val="32"/>
          <w:highlight w:val="none"/>
        </w:rPr>
        <w:t>（项）: 支出决算为</w:t>
      </w:r>
      <w:r>
        <w:rPr>
          <w:rStyle w:val="19"/>
          <w:rFonts w:hint="eastAsia" w:ascii="仿宋_GB2312" w:hAnsi="仿宋_GB2312" w:eastAsia="仿宋_GB2312" w:cs="仿宋_GB2312"/>
          <w:b w:val="0"/>
          <w:bCs/>
          <w:color w:val="auto"/>
          <w:sz w:val="32"/>
          <w:szCs w:val="32"/>
          <w:highlight w:val="none"/>
          <w:lang w:val="en-US" w:eastAsia="zh-CN"/>
        </w:rPr>
        <w:t>4</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Style w:val="19"/>
          <w:rFonts w:hint="eastAsia" w:ascii="仿宋_GB2312" w:hAnsi="仿宋_GB2312" w:eastAsia="仿宋_GB2312" w:cs="仿宋_GB2312"/>
          <w:b w:val="0"/>
          <w:bCs/>
          <w:color w:val="auto"/>
          <w:sz w:val="32"/>
          <w:szCs w:val="32"/>
          <w:highlight w:val="none"/>
          <w:lang w:val="en-US" w:eastAsia="zh-CN"/>
        </w:rPr>
        <w:t>4</w:t>
      </w:r>
      <w:r>
        <w:rPr>
          <w:rStyle w:val="19"/>
          <w:rFonts w:hint="eastAsia" w:ascii="仿宋_GB2312" w:hAnsi="仿宋_GB2312" w:eastAsia="仿宋_GB2312" w:cs="仿宋_GB2312"/>
          <w:b w:val="0"/>
          <w:bCs/>
          <w:color w:val="auto"/>
          <w:sz w:val="32"/>
          <w:szCs w:val="32"/>
          <w:highlight w:val="none"/>
        </w:rPr>
        <w:t>.文化旅游体育与传媒（类）文化和旅游（款）</w:t>
      </w:r>
      <w:r>
        <w:rPr>
          <w:rStyle w:val="19"/>
          <w:rFonts w:hint="eastAsia" w:ascii="仿宋_GB2312" w:hAnsi="仿宋_GB2312" w:eastAsia="仿宋_GB2312" w:cs="仿宋_GB2312"/>
          <w:b w:val="0"/>
          <w:bCs/>
          <w:color w:val="auto"/>
          <w:sz w:val="32"/>
          <w:szCs w:val="32"/>
          <w:highlight w:val="none"/>
          <w:lang w:val="en-US" w:eastAsia="zh-CN"/>
        </w:rPr>
        <w:t>文化创作与保护</w:t>
      </w:r>
      <w:r>
        <w:rPr>
          <w:rStyle w:val="19"/>
          <w:rFonts w:hint="eastAsia" w:ascii="仿宋_GB2312" w:hAnsi="仿宋_GB2312" w:eastAsia="仿宋_GB2312" w:cs="仿宋_GB2312"/>
          <w:b w:val="0"/>
          <w:bCs/>
          <w:color w:val="auto"/>
          <w:sz w:val="32"/>
          <w:szCs w:val="32"/>
          <w:highlight w:val="none"/>
        </w:rPr>
        <w:t>（项）: 支出决算为</w:t>
      </w:r>
      <w:r>
        <w:rPr>
          <w:rStyle w:val="19"/>
          <w:rFonts w:hint="eastAsia" w:ascii="仿宋_GB2312" w:hAnsi="仿宋_GB2312" w:eastAsia="仿宋_GB2312" w:cs="仿宋_GB2312"/>
          <w:b w:val="0"/>
          <w:bCs/>
          <w:color w:val="auto"/>
          <w:sz w:val="32"/>
          <w:szCs w:val="32"/>
          <w:highlight w:val="none"/>
          <w:lang w:val="en-US" w:eastAsia="zh-CN"/>
        </w:rPr>
        <w:t>26.71</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Style w:val="19"/>
          <w:rFonts w:hint="eastAsia" w:ascii="仿宋_GB2312" w:hAnsi="仿宋_GB2312" w:eastAsia="仿宋_GB2312" w:cs="仿宋_GB2312"/>
          <w:b w:val="0"/>
          <w:bCs/>
          <w:color w:val="auto"/>
          <w:sz w:val="32"/>
          <w:szCs w:val="32"/>
          <w:highlight w:val="none"/>
          <w:lang w:val="en-US" w:eastAsia="zh-CN"/>
        </w:rPr>
        <w:t>5</w:t>
      </w:r>
      <w:r>
        <w:rPr>
          <w:rStyle w:val="19"/>
          <w:rFonts w:hint="eastAsia" w:ascii="仿宋_GB2312" w:hAnsi="仿宋_GB2312" w:eastAsia="仿宋_GB2312" w:cs="仿宋_GB2312"/>
          <w:b w:val="0"/>
          <w:bCs/>
          <w:color w:val="auto"/>
          <w:sz w:val="32"/>
          <w:szCs w:val="32"/>
          <w:highlight w:val="none"/>
        </w:rPr>
        <w:t>.文化旅游体育与传媒（类）文化和旅游（款）</w:t>
      </w:r>
      <w:r>
        <w:rPr>
          <w:rStyle w:val="19"/>
          <w:rFonts w:hint="eastAsia" w:ascii="仿宋_GB2312" w:hAnsi="仿宋_GB2312" w:eastAsia="仿宋_GB2312" w:cs="仿宋_GB2312"/>
          <w:b w:val="0"/>
          <w:bCs/>
          <w:color w:val="auto"/>
          <w:sz w:val="32"/>
          <w:szCs w:val="32"/>
          <w:highlight w:val="none"/>
          <w:lang w:val="en-US" w:eastAsia="zh-CN"/>
        </w:rPr>
        <w:t>文化和旅游市场管理</w:t>
      </w:r>
      <w:r>
        <w:rPr>
          <w:rStyle w:val="19"/>
          <w:rFonts w:hint="eastAsia" w:ascii="仿宋_GB2312" w:hAnsi="仿宋_GB2312" w:eastAsia="仿宋_GB2312" w:cs="仿宋_GB2312"/>
          <w:b w:val="0"/>
          <w:bCs/>
          <w:color w:val="auto"/>
          <w:sz w:val="32"/>
          <w:szCs w:val="32"/>
          <w:highlight w:val="none"/>
        </w:rPr>
        <w:t>（项）: 支出决算为</w:t>
      </w:r>
      <w:r>
        <w:rPr>
          <w:rStyle w:val="19"/>
          <w:rFonts w:hint="eastAsia" w:ascii="仿宋_GB2312" w:hAnsi="仿宋_GB2312" w:eastAsia="仿宋_GB2312" w:cs="仿宋_GB2312"/>
          <w:b w:val="0"/>
          <w:bCs/>
          <w:color w:val="auto"/>
          <w:sz w:val="32"/>
          <w:szCs w:val="32"/>
          <w:highlight w:val="none"/>
          <w:lang w:val="en-US" w:eastAsia="zh-CN"/>
        </w:rPr>
        <w:t>50</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Style w:val="19"/>
          <w:rFonts w:hint="eastAsia" w:ascii="仿宋_GB2312" w:hAnsi="仿宋_GB2312" w:eastAsia="仿宋_GB2312" w:cs="仿宋_GB2312"/>
          <w:b w:val="0"/>
          <w:bCs/>
          <w:color w:val="auto"/>
          <w:sz w:val="32"/>
          <w:szCs w:val="32"/>
          <w:highlight w:val="none"/>
          <w:lang w:val="en-US" w:eastAsia="zh-CN"/>
        </w:rPr>
        <w:t>6</w:t>
      </w:r>
      <w:r>
        <w:rPr>
          <w:rStyle w:val="19"/>
          <w:rFonts w:hint="eastAsia" w:ascii="仿宋_GB2312" w:hAnsi="仿宋_GB2312" w:eastAsia="仿宋_GB2312" w:cs="仿宋_GB2312"/>
          <w:b w:val="0"/>
          <w:bCs/>
          <w:color w:val="auto"/>
          <w:sz w:val="32"/>
          <w:szCs w:val="32"/>
          <w:highlight w:val="none"/>
        </w:rPr>
        <w:t>.文化旅游体育与传媒（类）文化和旅游（款）</w:t>
      </w:r>
      <w:r>
        <w:rPr>
          <w:rStyle w:val="19"/>
          <w:rFonts w:hint="eastAsia" w:ascii="仿宋_GB2312" w:hAnsi="仿宋_GB2312" w:eastAsia="仿宋_GB2312" w:cs="仿宋_GB2312"/>
          <w:b w:val="0"/>
          <w:bCs/>
          <w:color w:val="auto"/>
          <w:sz w:val="32"/>
          <w:szCs w:val="32"/>
          <w:highlight w:val="none"/>
          <w:lang w:val="en-US" w:eastAsia="zh-CN"/>
        </w:rPr>
        <w:t>旅游宣传</w:t>
      </w:r>
      <w:r>
        <w:rPr>
          <w:rStyle w:val="19"/>
          <w:rFonts w:hint="eastAsia" w:ascii="仿宋_GB2312" w:hAnsi="仿宋_GB2312" w:eastAsia="仿宋_GB2312" w:cs="仿宋_GB2312"/>
          <w:b w:val="0"/>
          <w:bCs/>
          <w:color w:val="auto"/>
          <w:sz w:val="32"/>
          <w:szCs w:val="32"/>
          <w:highlight w:val="none"/>
        </w:rPr>
        <w:t>（项）: 支出决算为</w:t>
      </w:r>
      <w:r>
        <w:rPr>
          <w:rStyle w:val="19"/>
          <w:rFonts w:hint="eastAsia" w:ascii="仿宋_GB2312" w:hAnsi="仿宋_GB2312" w:eastAsia="仿宋_GB2312" w:cs="仿宋_GB2312"/>
          <w:b w:val="0"/>
          <w:bCs/>
          <w:color w:val="auto"/>
          <w:sz w:val="32"/>
          <w:szCs w:val="32"/>
          <w:highlight w:val="none"/>
          <w:lang w:val="en-US" w:eastAsia="zh-CN"/>
        </w:rPr>
        <w:t>980.46</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Style w:val="19"/>
          <w:rFonts w:hint="eastAsia" w:ascii="仿宋_GB2312" w:hAnsi="仿宋_GB2312" w:eastAsia="仿宋_GB2312" w:cs="仿宋_GB2312"/>
          <w:b w:val="0"/>
          <w:bCs/>
          <w:color w:val="auto"/>
          <w:sz w:val="32"/>
          <w:szCs w:val="32"/>
          <w:highlight w:val="none"/>
          <w:lang w:val="en-US" w:eastAsia="zh-CN"/>
        </w:rPr>
        <w:t>7</w:t>
      </w:r>
      <w:r>
        <w:rPr>
          <w:rStyle w:val="19"/>
          <w:rFonts w:hint="eastAsia" w:ascii="仿宋_GB2312" w:hAnsi="仿宋_GB2312" w:eastAsia="仿宋_GB2312" w:cs="仿宋_GB2312"/>
          <w:b w:val="0"/>
          <w:bCs/>
          <w:color w:val="auto"/>
          <w:sz w:val="32"/>
          <w:szCs w:val="32"/>
          <w:highlight w:val="none"/>
        </w:rPr>
        <w:t>.文化旅游体育与传媒（类）文化和旅游（款）</w:t>
      </w:r>
      <w:r>
        <w:rPr>
          <w:rStyle w:val="19"/>
          <w:rFonts w:hint="eastAsia" w:ascii="仿宋_GB2312" w:hAnsi="仿宋_GB2312" w:eastAsia="仿宋_GB2312" w:cs="仿宋_GB2312"/>
          <w:b w:val="0"/>
          <w:bCs/>
          <w:color w:val="auto"/>
          <w:sz w:val="32"/>
          <w:szCs w:val="32"/>
          <w:highlight w:val="none"/>
          <w:lang w:val="en-US" w:eastAsia="zh-CN"/>
        </w:rPr>
        <w:t>文化和旅游管理事务</w:t>
      </w:r>
      <w:r>
        <w:rPr>
          <w:rStyle w:val="19"/>
          <w:rFonts w:hint="eastAsia" w:ascii="仿宋_GB2312" w:hAnsi="仿宋_GB2312" w:eastAsia="仿宋_GB2312" w:cs="仿宋_GB2312"/>
          <w:b w:val="0"/>
          <w:bCs/>
          <w:color w:val="auto"/>
          <w:sz w:val="32"/>
          <w:szCs w:val="32"/>
          <w:highlight w:val="none"/>
        </w:rPr>
        <w:t>（项）: 支出决算为</w:t>
      </w:r>
      <w:r>
        <w:rPr>
          <w:rStyle w:val="19"/>
          <w:rFonts w:hint="eastAsia" w:ascii="仿宋_GB2312" w:hAnsi="仿宋_GB2312" w:eastAsia="仿宋_GB2312" w:cs="仿宋_GB2312"/>
          <w:b w:val="0"/>
          <w:bCs/>
          <w:color w:val="auto"/>
          <w:sz w:val="32"/>
          <w:szCs w:val="32"/>
          <w:highlight w:val="none"/>
          <w:lang w:val="en-US" w:eastAsia="zh-CN"/>
        </w:rPr>
        <w:t>24.5</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Style w:val="19"/>
          <w:rFonts w:hint="eastAsia" w:ascii="仿宋_GB2312" w:hAnsi="仿宋_GB2312" w:eastAsia="仿宋_GB2312" w:cs="仿宋_GB2312"/>
          <w:b w:val="0"/>
          <w:bCs/>
          <w:color w:val="auto"/>
          <w:sz w:val="32"/>
          <w:szCs w:val="32"/>
          <w:highlight w:val="none"/>
          <w:lang w:val="en-US" w:eastAsia="zh-CN"/>
        </w:rPr>
        <w:t>8</w:t>
      </w:r>
      <w:r>
        <w:rPr>
          <w:rStyle w:val="19"/>
          <w:rFonts w:hint="eastAsia" w:ascii="仿宋_GB2312" w:hAnsi="仿宋_GB2312" w:eastAsia="仿宋_GB2312" w:cs="仿宋_GB2312"/>
          <w:b w:val="0"/>
          <w:bCs/>
          <w:color w:val="auto"/>
          <w:sz w:val="32"/>
          <w:szCs w:val="32"/>
          <w:highlight w:val="none"/>
        </w:rPr>
        <w:t>.文化旅游体育与传媒（类）文化和旅游（款）</w:t>
      </w:r>
      <w:r>
        <w:rPr>
          <w:rStyle w:val="19"/>
          <w:rFonts w:hint="eastAsia" w:ascii="仿宋_GB2312" w:hAnsi="仿宋_GB2312" w:eastAsia="仿宋_GB2312" w:cs="仿宋_GB2312"/>
          <w:b w:val="0"/>
          <w:bCs/>
          <w:color w:val="auto"/>
          <w:sz w:val="32"/>
          <w:szCs w:val="32"/>
          <w:highlight w:val="none"/>
          <w:lang w:val="en-US" w:eastAsia="zh-CN"/>
        </w:rPr>
        <w:t>其他文化和旅游支出</w:t>
      </w:r>
      <w:r>
        <w:rPr>
          <w:rStyle w:val="19"/>
          <w:rFonts w:hint="eastAsia" w:ascii="仿宋_GB2312" w:hAnsi="仿宋_GB2312" w:eastAsia="仿宋_GB2312" w:cs="仿宋_GB2312"/>
          <w:b w:val="0"/>
          <w:bCs/>
          <w:color w:val="auto"/>
          <w:sz w:val="32"/>
          <w:szCs w:val="32"/>
          <w:highlight w:val="none"/>
        </w:rPr>
        <w:t>（项）: 支出决算为</w:t>
      </w:r>
      <w:r>
        <w:rPr>
          <w:rStyle w:val="19"/>
          <w:rFonts w:hint="eastAsia" w:ascii="仿宋_GB2312" w:hAnsi="仿宋_GB2312" w:eastAsia="仿宋_GB2312" w:cs="仿宋_GB2312"/>
          <w:b w:val="0"/>
          <w:bCs/>
          <w:color w:val="auto"/>
          <w:sz w:val="32"/>
          <w:szCs w:val="32"/>
          <w:highlight w:val="none"/>
          <w:lang w:val="en-US" w:eastAsia="zh-CN"/>
        </w:rPr>
        <w:t>589.58</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Style w:val="19"/>
          <w:rFonts w:hint="eastAsia" w:ascii="仿宋_GB2312" w:hAnsi="仿宋_GB2312" w:eastAsia="仿宋_GB2312" w:cs="仿宋_GB2312"/>
          <w:b w:val="0"/>
          <w:bCs/>
          <w:color w:val="auto"/>
          <w:sz w:val="32"/>
          <w:szCs w:val="32"/>
          <w:highlight w:val="none"/>
        </w:rPr>
      </w:pPr>
      <w:r>
        <w:rPr>
          <w:rStyle w:val="19"/>
          <w:rFonts w:hint="eastAsia" w:ascii="仿宋_GB2312" w:hAnsi="仿宋_GB2312" w:eastAsia="仿宋_GB2312" w:cs="仿宋_GB2312"/>
          <w:b w:val="0"/>
          <w:bCs/>
          <w:color w:val="auto"/>
          <w:sz w:val="32"/>
          <w:szCs w:val="32"/>
          <w:highlight w:val="none"/>
          <w:lang w:val="en-US" w:eastAsia="zh-CN"/>
        </w:rPr>
        <w:t>9.</w:t>
      </w:r>
      <w:r>
        <w:rPr>
          <w:rStyle w:val="19"/>
          <w:rFonts w:hint="eastAsia" w:ascii="仿宋_GB2312" w:hAnsi="仿宋_GB2312" w:eastAsia="仿宋_GB2312" w:cs="仿宋_GB2312"/>
          <w:b w:val="0"/>
          <w:bCs/>
          <w:color w:val="auto"/>
          <w:sz w:val="32"/>
          <w:szCs w:val="32"/>
          <w:highlight w:val="none"/>
        </w:rPr>
        <w:t>文化旅游体育与传媒（类）</w:t>
      </w:r>
      <w:r>
        <w:rPr>
          <w:rStyle w:val="19"/>
          <w:rFonts w:hint="eastAsia" w:ascii="仿宋_GB2312" w:hAnsi="仿宋_GB2312" w:eastAsia="仿宋_GB2312" w:cs="仿宋_GB2312"/>
          <w:b w:val="0"/>
          <w:bCs/>
          <w:color w:val="auto"/>
          <w:sz w:val="32"/>
          <w:szCs w:val="32"/>
          <w:highlight w:val="none"/>
          <w:lang w:eastAsia="zh-CN"/>
        </w:rPr>
        <w:t>文物</w:t>
      </w:r>
      <w:r>
        <w:rPr>
          <w:rStyle w:val="19"/>
          <w:rFonts w:hint="eastAsia" w:ascii="仿宋_GB2312" w:hAnsi="仿宋_GB2312" w:eastAsia="仿宋_GB2312" w:cs="仿宋_GB2312"/>
          <w:b w:val="0"/>
          <w:bCs/>
          <w:color w:val="auto"/>
          <w:sz w:val="32"/>
          <w:szCs w:val="32"/>
          <w:highlight w:val="none"/>
        </w:rPr>
        <w:t>（款）</w:t>
      </w:r>
      <w:r>
        <w:rPr>
          <w:rStyle w:val="19"/>
          <w:rFonts w:hint="eastAsia" w:ascii="仿宋_GB2312" w:hAnsi="仿宋_GB2312" w:eastAsia="仿宋_GB2312" w:cs="仿宋_GB2312"/>
          <w:b w:val="0"/>
          <w:bCs/>
          <w:color w:val="auto"/>
          <w:sz w:val="32"/>
          <w:szCs w:val="32"/>
          <w:highlight w:val="none"/>
          <w:lang w:val="en-US" w:eastAsia="zh-CN"/>
        </w:rPr>
        <w:t>文物保护</w:t>
      </w:r>
      <w:r>
        <w:rPr>
          <w:rStyle w:val="19"/>
          <w:rFonts w:hint="eastAsia" w:ascii="仿宋_GB2312" w:hAnsi="仿宋_GB2312" w:eastAsia="仿宋_GB2312" w:cs="仿宋_GB2312"/>
          <w:b w:val="0"/>
          <w:bCs/>
          <w:color w:val="auto"/>
          <w:sz w:val="32"/>
          <w:szCs w:val="32"/>
          <w:highlight w:val="none"/>
        </w:rPr>
        <w:t>（项）: 支出决算为</w:t>
      </w:r>
      <w:r>
        <w:rPr>
          <w:rStyle w:val="19"/>
          <w:rFonts w:hint="eastAsia" w:ascii="仿宋_GB2312" w:hAnsi="仿宋_GB2312" w:eastAsia="仿宋_GB2312" w:cs="仿宋_GB2312"/>
          <w:b w:val="0"/>
          <w:bCs/>
          <w:color w:val="auto"/>
          <w:sz w:val="32"/>
          <w:szCs w:val="32"/>
          <w:highlight w:val="none"/>
          <w:lang w:val="en-US" w:eastAsia="zh-CN"/>
        </w:rPr>
        <w:t>19.97</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Style w:val="19"/>
          <w:rFonts w:hint="eastAsia" w:ascii="仿宋_GB2312" w:hAnsi="仿宋_GB2312" w:eastAsia="仿宋_GB2312" w:cs="仿宋_GB2312"/>
          <w:b w:val="0"/>
          <w:bCs/>
          <w:color w:val="auto"/>
          <w:sz w:val="32"/>
          <w:szCs w:val="32"/>
          <w:highlight w:val="none"/>
        </w:rPr>
      </w:pPr>
      <w:r>
        <w:rPr>
          <w:rStyle w:val="19"/>
          <w:rFonts w:hint="eastAsia" w:ascii="仿宋_GB2312" w:hAnsi="仿宋_GB2312" w:eastAsia="仿宋_GB2312" w:cs="仿宋_GB2312"/>
          <w:b w:val="0"/>
          <w:bCs/>
          <w:color w:val="auto"/>
          <w:sz w:val="32"/>
          <w:szCs w:val="32"/>
          <w:highlight w:val="none"/>
          <w:lang w:val="en-US" w:eastAsia="zh-CN"/>
        </w:rPr>
        <w:t>10.</w:t>
      </w:r>
      <w:r>
        <w:rPr>
          <w:rStyle w:val="19"/>
          <w:rFonts w:hint="eastAsia" w:ascii="仿宋_GB2312" w:hAnsi="仿宋_GB2312" w:eastAsia="仿宋_GB2312" w:cs="仿宋_GB2312"/>
          <w:b w:val="0"/>
          <w:bCs/>
          <w:color w:val="auto"/>
          <w:sz w:val="32"/>
          <w:szCs w:val="32"/>
          <w:highlight w:val="none"/>
        </w:rPr>
        <w:t>文化旅游体育与传媒（类）</w:t>
      </w:r>
      <w:r>
        <w:rPr>
          <w:rStyle w:val="19"/>
          <w:rFonts w:hint="eastAsia" w:ascii="仿宋_GB2312" w:hAnsi="仿宋_GB2312" w:eastAsia="仿宋_GB2312" w:cs="仿宋_GB2312"/>
          <w:b w:val="0"/>
          <w:bCs/>
          <w:color w:val="auto"/>
          <w:sz w:val="32"/>
          <w:szCs w:val="32"/>
          <w:highlight w:val="none"/>
          <w:lang w:val="en-US" w:eastAsia="zh-CN"/>
        </w:rPr>
        <w:t>体育</w:t>
      </w:r>
      <w:r>
        <w:rPr>
          <w:rStyle w:val="19"/>
          <w:rFonts w:hint="eastAsia" w:ascii="仿宋_GB2312" w:hAnsi="仿宋_GB2312" w:eastAsia="仿宋_GB2312" w:cs="仿宋_GB2312"/>
          <w:b w:val="0"/>
          <w:bCs/>
          <w:color w:val="auto"/>
          <w:sz w:val="32"/>
          <w:szCs w:val="32"/>
          <w:highlight w:val="none"/>
        </w:rPr>
        <w:t>（款）</w:t>
      </w:r>
      <w:r>
        <w:rPr>
          <w:rStyle w:val="19"/>
          <w:rFonts w:hint="eastAsia" w:ascii="仿宋_GB2312" w:hAnsi="仿宋_GB2312" w:eastAsia="仿宋_GB2312" w:cs="仿宋_GB2312"/>
          <w:b w:val="0"/>
          <w:bCs/>
          <w:color w:val="auto"/>
          <w:sz w:val="32"/>
          <w:szCs w:val="32"/>
          <w:highlight w:val="none"/>
          <w:lang w:val="en-US" w:eastAsia="zh-CN"/>
        </w:rPr>
        <w:t>体育竞赛</w:t>
      </w:r>
      <w:r>
        <w:rPr>
          <w:rStyle w:val="19"/>
          <w:rFonts w:hint="eastAsia" w:ascii="仿宋_GB2312" w:hAnsi="仿宋_GB2312" w:eastAsia="仿宋_GB2312" w:cs="仿宋_GB2312"/>
          <w:b w:val="0"/>
          <w:bCs/>
          <w:color w:val="auto"/>
          <w:sz w:val="32"/>
          <w:szCs w:val="32"/>
          <w:highlight w:val="none"/>
        </w:rPr>
        <w:t>（项）: 支出决算为</w:t>
      </w:r>
      <w:r>
        <w:rPr>
          <w:rStyle w:val="19"/>
          <w:rFonts w:hint="eastAsia" w:ascii="仿宋_GB2312" w:hAnsi="仿宋_GB2312" w:eastAsia="仿宋_GB2312" w:cs="仿宋_GB2312"/>
          <w:b w:val="0"/>
          <w:bCs/>
          <w:color w:val="auto"/>
          <w:sz w:val="32"/>
          <w:szCs w:val="32"/>
          <w:highlight w:val="none"/>
          <w:lang w:val="en-US" w:eastAsia="zh-CN"/>
        </w:rPr>
        <w:t>99.86</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Style w:val="19"/>
          <w:rFonts w:hint="eastAsia" w:ascii="仿宋_GB2312" w:hAnsi="仿宋_GB2312" w:eastAsia="仿宋_GB2312" w:cs="仿宋_GB2312"/>
          <w:b w:val="0"/>
          <w:bCs/>
          <w:color w:val="auto"/>
          <w:sz w:val="32"/>
          <w:szCs w:val="32"/>
          <w:highlight w:val="none"/>
        </w:rPr>
      </w:pPr>
      <w:r>
        <w:rPr>
          <w:rStyle w:val="19"/>
          <w:rFonts w:hint="eastAsia" w:ascii="仿宋_GB2312" w:hAnsi="仿宋_GB2312" w:eastAsia="仿宋_GB2312" w:cs="仿宋_GB2312"/>
          <w:b w:val="0"/>
          <w:bCs/>
          <w:color w:val="auto"/>
          <w:sz w:val="32"/>
          <w:szCs w:val="32"/>
          <w:highlight w:val="none"/>
          <w:lang w:val="en-US" w:eastAsia="zh-CN"/>
        </w:rPr>
        <w:t>11.</w:t>
      </w:r>
      <w:r>
        <w:rPr>
          <w:rStyle w:val="19"/>
          <w:rFonts w:hint="eastAsia" w:ascii="仿宋_GB2312" w:hAnsi="仿宋_GB2312" w:eastAsia="仿宋_GB2312" w:cs="仿宋_GB2312"/>
          <w:b w:val="0"/>
          <w:bCs/>
          <w:color w:val="auto"/>
          <w:sz w:val="32"/>
          <w:szCs w:val="32"/>
          <w:highlight w:val="none"/>
        </w:rPr>
        <w:t>文化旅游体育与传媒（类）</w:t>
      </w:r>
      <w:r>
        <w:rPr>
          <w:rStyle w:val="19"/>
          <w:rFonts w:hint="eastAsia" w:ascii="仿宋_GB2312" w:hAnsi="仿宋_GB2312" w:eastAsia="仿宋_GB2312" w:cs="仿宋_GB2312"/>
          <w:b w:val="0"/>
          <w:bCs/>
          <w:color w:val="auto"/>
          <w:sz w:val="32"/>
          <w:szCs w:val="32"/>
          <w:highlight w:val="none"/>
          <w:lang w:val="en-US" w:eastAsia="zh-CN"/>
        </w:rPr>
        <w:t>体育</w:t>
      </w:r>
      <w:r>
        <w:rPr>
          <w:rStyle w:val="19"/>
          <w:rFonts w:hint="eastAsia" w:ascii="仿宋_GB2312" w:hAnsi="仿宋_GB2312" w:eastAsia="仿宋_GB2312" w:cs="仿宋_GB2312"/>
          <w:b w:val="0"/>
          <w:bCs/>
          <w:color w:val="auto"/>
          <w:sz w:val="32"/>
          <w:szCs w:val="32"/>
          <w:highlight w:val="none"/>
        </w:rPr>
        <w:t>（款）</w:t>
      </w:r>
      <w:r>
        <w:rPr>
          <w:rStyle w:val="19"/>
          <w:rFonts w:hint="eastAsia" w:ascii="仿宋_GB2312" w:hAnsi="仿宋_GB2312" w:eastAsia="仿宋_GB2312" w:cs="仿宋_GB2312"/>
          <w:b w:val="0"/>
          <w:bCs/>
          <w:color w:val="auto"/>
          <w:sz w:val="32"/>
          <w:szCs w:val="32"/>
          <w:highlight w:val="none"/>
          <w:lang w:val="en-US" w:eastAsia="zh-CN"/>
        </w:rPr>
        <w:t>体育场馆</w:t>
      </w:r>
      <w:r>
        <w:rPr>
          <w:rStyle w:val="19"/>
          <w:rFonts w:hint="eastAsia" w:ascii="仿宋_GB2312" w:hAnsi="仿宋_GB2312" w:eastAsia="仿宋_GB2312" w:cs="仿宋_GB2312"/>
          <w:b w:val="0"/>
          <w:bCs/>
          <w:color w:val="auto"/>
          <w:sz w:val="32"/>
          <w:szCs w:val="32"/>
          <w:highlight w:val="none"/>
        </w:rPr>
        <w:t>（项）: 支出决算为</w:t>
      </w:r>
      <w:r>
        <w:rPr>
          <w:rStyle w:val="19"/>
          <w:rFonts w:hint="eastAsia" w:ascii="仿宋_GB2312" w:hAnsi="仿宋_GB2312" w:eastAsia="仿宋_GB2312" w:cs="仿宋_GB2312"/>
          <w:b w:val="0"/>
          <w:bCs/>
          <w:color w:val="auto"/>
          <w:sz w:val="32"/>
          <w:szCs w:val="32"/>
          <w:highlight w:val="none"/>
          <w:lang w:val="en-US" w:eastAsia="zh-CN"/>
        </w:rPr>
        <w:t>0.25</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Style w:val="19"/>
          <w:rFonts w:hint="eastAsia" w:ascii="仿宋_GB2312" w:hAnsi="仿宋_GB2312" w:eastAsia="仿宋_GB2312" w:cs="仿宋_GB2312"/>
          <w:b w:val="0"/>
          <w:bCs/>
          <w:color w:val="auto"/>
          <w:sz w:val="32"/>
          <w:szCs w:val="32"/>
          <w:highlight w:val="none"/>
        </w:rPr>
      </w:pPr>
      <w:r>
        <w:rPr>
          <w:rStyle w:val="19"/>
          <w:rFonts w:hint="eastAsia" w:ascii="仿宋_GB2312" w:hAnsi="仿宋_GB2312" w:eastAsia="仿宋_GB2312" w:cs="仿宋_GB2312"/>
          <w:b w:val="0"/>
          <w:bCs/>
          <w:color w:val="auto"/>
          <w:sz w:val="32"/>
          <w:szCs w:val="32"/>
          <w:highlight w:val="none"/>
          <w:lang w:val="en-US" w:eastAsia="zh-CN"/>
        </w:rPr>
        <w:t>12.</w:t>
      </w:r>
      <w:r>
        <w:rPr>
          <w:rStyle w:val="19"/>
          <w:rFonts w:hint="eastAsia" w:ascii="仿宋_GB2312" w:hAnsi="仿宋_GB2312" w:eastAsia="仿宋_GB2312" w:cs="仿宋_GB2312"/>
          <w:b w:val="0"/>
          <w:bCs/>
          <w:color w:val="auto"/>
          <w:sz w:val="32"/>
          <w:szCs w:val="32"/>
          <w:highlight w:val="none"/>
        </w:rPr>
        <w:t>文化旅游体育与传媒（类）</w:t>
      </w:r>
      <w:r>
        <w:rPr>
          <w:rStyle w:val="19"/>
          <w:rFonts w:hint="eastAsia" w:ascii="仿宋_GB2312" w:hAnsi="仿宋_GB2312" w:eastAsia="仿宋_GB2312" w:cs="仿宋_GB2312"/>
          <w:b w:val="0"/>
          <w:bCs/>
          <w:color w:val="auto"/>
          <w:sz w:val="32"/>
          <w:szCs w:val="32"/>
          <w:highlight w:val="none"/>
          <w:lang w:val="en-US" w:eastAsia="zh-CN"/>
        </w:rPr>
        <w:t>体育</w:t>
      </w:r>
      <w:r>
        <w:rPr>
          <w:rStyle w:val="19"/>
          <w:rFonts w:hint="eastAsia" w:ascii="仿宋_GB2312" w:hAnsi="仿宋_GB2312" w:eastAsia="仿宋_GB2312" w:cs="仿宋_GB2312"/>
          <w:b w:val="0"/>
          <w:bCs/>
          <w:color w:val="auto"/>
          <w:sz w:val="32"/>
          <w:szCs w:val="32"/>
          <w:highlight w:val="none"/>
        </w:rPr>
        <w:t>（款）</w:t>
      </w:r>
      <w:r>
        <w:rPr>
          <w:rStyle w:val="19"/>
          <w:rFonts w:hint="eastAsia" w:ascii="仿宋_GB2312" w:hAnsi="仿宋_GB2312" w:eastAsia="仿宋_GB2312" w:cs="仿宋_GB2312"/>
          <w:b w:val="0"/>
          <w:bCs/>
          <w:color w:val="auto"/>
          <w:sz w:val="32"/>
          <w:szCs w:val="32"/>
          <w:highlight w:val="none"/>
          <w:lang w:val="en-US" w:eastAsia="zh-CN"/>
        </w:rPr>
        <w:t>其他体育支出</w:t>
      </w:r>
      <w:r>
        <w:rPr>
          <w:rStyle w:val="19"/>
          <w:rFonts w:hint="eastAsia" w:ascii="仿宋_GB2312" w:hAnsi="仿宋_GB2312" w:eastAsia="仿宋_GB2312" w:cs="仿宋_GB2312"/>
          <w:b w:val="0"/>
          <w:bCs/>
          <w:color w:val="auto"/>
          <w:sz w:val="32"/>
          <w:szCs w:val="32"/>
          <w:highlight w:val="none"/>
        </w:rPr>
        <w:t>（项）: 支出决算为</w:t>
      </w:r>
      <w:r>
        <w:rPr>
          <w:rStyle w:val="19"/>
          <w:rFonts w:hint="eastAsia" w:ascii="仿宋_GB2312" w:hAnsi="仿宋_GB2312" w:eastAsia="仿宋_GB2312" w:cs="仿宋_GB2312"/>
          <w:b w:val="0"/>
          <w:bCs/>
          <w:color w:val="auto"/>
          <w:sz w:val="32"/>
          <w:szCs w:val="32"/>
          <w:highlight w:val="none"/>
          <w:lang w:val="en-US" w:eastAsia="zh-CN"/>
        </w:rPr>
        <w:t>23.67</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Style w:val="19"/>
          <w:rFonts w:hint="eastAsia" w:ascii="仿宋_GB2312" w:hAnsi="仿宋_GB2312" w:eastAsia="仿宋_GB2312" w:cs="仿宋_GB2312"/>
          <w:b w:val="0"/>
          <w:bCs/>
          <w:color w:val="auto"/>
          <w:sz w:val="32"/>
          <w:szCs w:val="32"/>
          <w:highlight w:val="none"/>
        </w:rPr>
      </w:pPr>
      <w:r>
        <w:rPr>
          <w:rStyle w:val="19"/>
          <w:rFonts w:hint="eastAsia" w:ascii="仿宋_GB2312" w:hAnsi="仿宋_GB2312" w:eastAsia="仿宋_GB2312" w:cs="仿宋_GB2312"/>
          <w:b w:val="0"/>
          <w:bCs/>
          <w:color w:val="auto"/>
          <w:sz w:val="32"/>
          <w:szCs w:val="32"/>
          <w:highlight w:val="none"/>
          <w:lang w:val="en-US" w:eastAsia="zh-CN"/>
        </w:rPr>
        <w:t>13.</w:t>
      </w:r>
      <w:r>
        <w:rPr>
          <w:rStyle w:val="19"/>
          <w:rFonts w:hint="eastAsia" w:ascii="仿宋_GB2312" w:hAnsi="仿宋_GB2312" w:eastAsia="仿宋_GB2312" w:cs="仿宋_GB2312"/>
          <w:b w:val="0"/>
          <w:bCs/>
          <w:color w:val="auto"/>
          <w:sz w:val="32"/>
          <w:szCs w:val="32"/>
          <w:highlight w:val="none"/>
        </w:rPr>
        <w:t>文化旅游体育与传媒（类）</w:t>
      </w:r>
      <w:r>
        <w:rPr>
          <w:rStyle w:val="19"/>
          <w:rFonts w:hint="eastAsia" w:ascii="仿宋_GB2312" w:hAnsi="仿宋_GB2312" w:eastAsia="仿宋_GB2312" w:cs="仿宋_GB2312"/>
          <w:b w:val="0"/>
          <w:bCs/>
          <w:color w:val="auto"/>
          <w:sz w:val="32"/>
          <w:szCs w:val="32"/>
          <w:highlight w:val="none"/>
          <w:lang w:val="en-US" w:eastAsia="zh-CN"/>
        </w:rPr>
        <w:t>广播电视</w:t>
      </w:r>
      <w:r>
        <w:rPr>
          <w:rStyle w:val="19"/>
          <w:rFonts w:hint="eastAsia" w:ascii="仿宋_GB2312" w:hAnsi="仿宋_GB2312" w:eastAsia="仿宋_GB2312" w:cs="仿宋_GB2312"/>
          <w:b w:val="0"/>
          <w:bCs/>
          <w:color w:val="auto"/>
          <w:sz w:val="32"/>
          <w:szCs w:val="32"/>
          <w:highlight w:val="none"/>
        </w:rPr>
        <w:t>（款）</w:t>
      </w:r>
      <w:r>
        <w:rPr>
          <w:rStyle w:val="19"/>
          <w:rFonts w:hint="eastAsia" w:ascii="仿宋_GB2312" w:hAnsi="仿宋_GB2312" w:eastAsia="仿宋_GB2312" w:cs="仿宋_GB2312"/>
          <w:b w:val="0"/>
          <w:bCs/>
          <w:color w:val="auto"/>
          <w:sz w:val="32"/>
          <w:szCs w:val="32"/>
          <w:highlight w:val="none"/>
          <w:lang w:val="en-US" w:eastAsia="zh-CN"/>
        </w:rPr>
        <w:t>监测监管</w:t>
      </w:r>
      <w:r>
        <w:rPr>
          <w:rStyle w:val="19"/>
          <w:rFonts w:hint="eastAsia" w:ascii="仿宋_GB2312" w:hAnsi="仿宋_GB2312" w:eastAsia="仿宋_GB2312" w:cs="仿宋_GB2312"/>
          <w:b w:val="0"/>
          <w:bCs/>
          <w:color w:val="auto"/>
          <w:sz w:val="32"/>
          <w:szCs w:val="32"/>
          <w:highlight w:val="none"/>
        </w:rPr>
        <w:t>（项）: 支出决算为</w:t>
      </w:r>
      <w:r>
        <w:rPr>
          <w:rStyle w:val="19"/>
          <w:rFonts w:hint="eastAsia" w:ascii="仿宋_GB2312" w:hAnsi="仿宋_GB2312" w:eastAsia="仿宋_GB2312" w:cs="仿宋_GB2312"/>
          <w:b w:val="0"/>
          <w:bCs/>
          <w:color w:val="auto"/>
          <w:sz w:val="32"/>
          <w:szCs w:val="32"/>
          <w:highlight w:val="none"/>
          <w:lang w:val="en-US" w:eastAsia="zh-CN"/>
        </w:rPr>
        <w:t>20.77</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_GB2312" w:hAnsi="仿宋_GB2312" w:eastAsia="仿宋_GB2312" w:cs="仿宋_GB2312"/>
          <w:b w:val="0"/>
          <w:bCs/>
          <w:color w:val="auto"/>
          <w:sz w:val="32"/>
          <w:szCs w:val="32"/>
          <w:highlight w:val="none"/>
        </w:rPr>
      </w:pPr>
      <w:r>
        <w:rPr>
          <w:rStyle w:val="19"/>
          <w:rFonts w:hint="eastAsia" w:ascii="仿宋_GB2312" w:hAnsi="仿宋_GB2312" w:eastAsia="仿宋_GB2312" w:cs="仿宋_GB2312"/>
          <w:b w:val="0"/>
          <w:bCs/>
          <w:color w:val="auto"/>
          <w:sz w:val="32"/>
          <w:szCs w:val="32"/>
          <w:highlight w:val="none"/>
          <w:lang w:val="en-US" w:eastAsia="zh-CN"/>
        </w:rPr>
        <w:t>14</w:t>
      </w:r>
      <w:r>
        <w:rPr>
          <w:rStyle w:val="19"/>
          <w:rFonts w:hint="eastAsia" w:ascii="仿宋_GB2312" w:hAnsi="仿宋_GB2312" w:eastAsia="仿宋_GB2312" w:cs="仿宋_GB2312"/>
          <w:b w:val="0"/>
          <w:bCs/>
          <w:color w:val="auto"/>
          <w:sz w:val="32"/>
          <w:szCs w:val="32"/>
          <w:highlight w:val="none"/>
        </w:rPr>
        <w:t>.社会保障和就业（类）行政事业单位养老支出（款）机关事业单位基本养老保险缴费支出（项）: 支出决算为</w:t>
      </w:r>
      <w:r>
        <w:rPr>
          <w:rStyle w:val="19"/>
          <w:rFonts w:hint="eastAsia" w:ascii="仿宋_GB2312" w:hAnsi="仿宋_GB2312" w:eastAsia="仿宋_GB2312" w:cs="仿宋_GB2312"/>
          <w:b w:val="0"/>
          <w:bCs/>
          <w:color w:val="auto"/>
          <w:sz w:val="32"/>
          <w:szCs w:val="32"/>
          <w:highlight w:val="none"/>
          <w:lang w:val="en-US" w:eastAsia="zh-CN"/>
        </w:rPr>
        <w:t>168.15</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_GB2312" w:hAnsi="仿宋_GB2312" w:eastAsia="仿宋_GB2312" w:cs="仿宋_GB2312"/>
          <w:b w:val="0"/>
          <w:bCs/>
          <w:color w:val="auto"/>
          <w:sz w:val="32"/>
          <w:szCs w:val="32"/>
          <w:highlight w:val="none"/>
        </w:rPr>
      </w:pPr>
      <w:r>
        <w:rPr>
          <w:rStyle w:val="19"/>
          <w:rFonts w:hint="eastAsia" w:ascii="仿宋_GB2312" w:hAnsi="仿宋_GB2312" w:eastAsia="仿宋_GB2312" w:cs="仿宋_GB2312"/>
          <w:b w:val="0"/>
          <w:bCs/>
          <w:color w:val="auto"/>
          <w:sz w:val="32"/>
          <w:szCs w:val="32"/>
          <w:highlight w:val="none"/>
          <w:lang w:val="en-US" w:eastAsia="zh-CN"/>
        </w:rPr>
        <w:t>15</w:t>
      </w:r>
      <w:r>
        <w:rPr>
          <w:rStyle w:val="19"/>
          <w:rFonts w:hint="eastAsia" w:ascii="仿宋_GB2312" w:hAnsi="仿宋_GB2312" w:eastAsia="仿宋_GB2312" w:cs="仿宋_GB2312"/>
          <w:b w:val="0"/>
          <w:bCs/>
          <w:color w:val="auto"/>
          <w:sz w:val="32"/>
          <w:szCs w:val="32"/>
          <w:highlight w:val="none"/>
        </w:rPr>
        <w:t>.社会保障和就业（类）行政事业单位养老支出（款）机关事业单位</w:t>
      </w:r>
      <w:r>
        <w:rPr>
          <w:rStyle w:val="19"/>
          <w:rFonts w:hint="eastAsia" w:ascii="仿宋_GB2312" w:hAnsi="仿宋_GB2312" w:eastAsia="仿宋_GB2312" w:cs="仿宋_GB2312"/>
          <w:b w:val="0"/>
          <w:bCs/>
          <w:color w:val="auto"/>
          <w:sz w:val="32"/>
          <w:szCs w:val="32"/>
          <w:highlight w:val="none"/>
          <w:lang w:val="en-US" w:eastAsia="zh-CN"/>
        </w:rPr>
        <w:t>职业年金</w:t>
      </w:r>
      <w:r>
        <w:rPr>
          <w:rStyle w:val="19"/>
          <w:rFonts w:hint="eastAsia" w:ascii="仿宋_GB2312" w:hAnsi="仿宋_GB2312" w:eastAsia="仿宋_GB2312" w:cs="仿宋_GB2312"/>
          <w:b w:val="0"/>
          <w:bCs/>
          <w:color w:val="auto"/>
          <w:sz w:val="32"/>
          <w:szCs w:val="32"/>
          <w:highlight w:val="none"/>
        </w:rPr>
        <w:t>缴费支出（项）: 支出决算为</w:t>
      </w:r>
      <w:r>
        <w:rPr>
          <w:rStyle w:val="19"/>
          <w:rFonts w:hint="eastAsia" w:ascii="仿宋_GB2312" w:hAnsi="仿宋_GB2312" w:eastAsia="仿宋_GB2312" w:cs="仿宋_GB2312"/>
          <w:b w:val="0"/>
          <w:bCs/>
          <w:color w:val="auto"/>
          <w:sz w:val="32"/>
          <w:szCs w:val="32"/>
          <w:highlight w:val="none"/>
          <w:lang w:val="en-US" w:eastAsia="zh-CN"/>
        </w:rPr>
        <w:t>74.73</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_GB2312" w:hAnsi="仿宋_GB2312" w:eastAsia="仿宋_GB2312" w:cs="仿宋_GB2312"/>
          <w:b w:val="0"/>
          <w:bCs/>
          <w:color w:val="auto"/>
          <w:sz w:val="32"/>
          <w:szCs w:val="32"/>
          <w:highlight w:val="none"/>
        </w:rPr>
      </w:pPr>
      <w:r>
        <w:rPr>
          <w:rStyle w:val="19"/>
          <w:rFonts w:hint="eastAsia" w:ascii="仿宋_GB2312" w:hAnsi="仿宋_GB2312" w:eastAsia="仿宋_GB2312" w:cs="仿宋_GB2312"/>
          <w:b w:val="0"/>
          <w:bCs/>
          <w:color w:val="auto"/>
          <w:sz w:val="32"/>
          <w:szCs w:val="32"/>
          <w:highlight w:val="none"/>
          <w:lang w:val="en-US" w:eastAsia="zh-CN"/>
        </w:rPr>
        <w:t>16</w:t>
      </w:r>
      <w:r>
        <w:rPr>
          <w:rStyle w:val="19"/>
          <w:rFonts w:hint="eastAsia" w:ascii="仿宋_GB2312" w:hAnsi="仿宋_GB2312" w:eastAsia="仿宋_GB2312" w:cs="仿宋_GB2312"/>
          <w:b w:val="0"/>
          <w:bCs/>
          <w:color w:val="auto"/>
          <w:sz w:val="32"/>
          <w:szCs w:val="32"/>
          <w:highlight w:val="none"/>
        </w:rPr>
        <w:t>.社会保障和就业（类）行政事业单位养老支出（款）</w:t>
      </w:r>
      <w:r>
        <w:rPr>
          <w:rStyle w:val="19"/>
          <w:rFonts w:hint="eastAsia" w:ascii="仿宋_GB2312" w:hAnsi="仿宋_GB2312" w:eastAsia="仿宋_GB2312" w:cs="仿宋_GB2312"/>
          <w:b w:val="0"/>
          <w:bCs/>
          <w:color w:val="auto"/>
          <w:sz w:val="32"/>
          <w:szCs w:val="32"/>
          <w:highlight w:val="none"/>
          <w:lang w:val="en-US" w:eastAsia="zh-CN"/>
        </w:rPr>
        <w:t>其他行政</w:t>
      </w:r>
      <w:r>
        <w:rPr>
          <w:rStyle w:val="19"/>
          <w:rFonts w:hint="eastAsia" w:ascii="仿宋_GB2312" w:hAnsi="仿宋_GB2312" w:eastAsia="仿宋_GB2312" w:cs="仿宋_GB2312"/>
          <w:b w:val="0"/>
          <w:bCs/>
          <w:color w:val="auto"/>
          <w:sz w:val="32"/>
          <w:szCs w:val="32"/>
          <w:highlight w:val="none"/>
        </w:rPr>
        <w:t>事业单位</w:t>
      </w:r>
      <w:r>
        <w:rPr>
          <w:rStyle w:val="19"/>
          <w:rFonts w:hint="eastAsia" w:ascii="仿宋_GB2312" w:hAnsi="仿宋_GB2312" w:eastAsia="仿宋_GB2312" w:cs="仿宋_GB2312"/>
          <w:b w:val="0"/>
          <w:bCs/>
          <w:color w:val="auto"/>
          <w:sz w:val="32"/>
          <w:szCs w:val="32"/>
          <w:highlight w:val="none"/>
          <w:lang w:val="en-US" w:eastAsia="zh-CN"/>
        </w:rPr>
        <w:t>养老</w:t>
      </w:r>
      <w:r>
        <w:rPr>
          <w:rStyle w:val="19"/>
          <w:rFonts w:hint="eastAsia" w:ascii="仿宋_GB2312" w:hAnsi="仿宋_GB2312" w:eastAsia="仿宋_GB2312" w:cs="仿宋_GB2312"/>
          <w:b w:val="0"/>
          <w:bCs/>
          <w:color w:val="auto"/>
          <w:sz w:val="32"/>
          <w:szCs w:val="32"/>
          <w:highlight w:val="none"/>
        </w:rPr>
        <w:t>支出（项）: 支出决算为</w:t>
      </w:r>
      <w:r>
        <w:rPr>
          <w:rStyle w:val="19"/>
          <w:rFonts w:hint="eastAsia" w:ascii="仿宋_GB2312" w:hAnsi="仿宋_GB2312" w:eastAsia="仿宋_GB2312" w:cs="仿宋_GB2312"/>
          <w:b w:val="0"/>
          <w:bCs/>
          <w:color w:val="auto"/>
          <w:sz w:val="32"/>
          <w:szCs w:val="32"/>
          <w:highlight w:val="none"/>
          <w:lang w:val="en-US" w:eastAsia="zh-CN"/>
        </w:rPr>
        <w:t>24.72</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17.</w:t>
      </w:r>
      <w:r>
        <w:rPr>
          <w:rStyle w:val="19"/>
          <w:rFonts w:hint="eastAsia" w:ascii="仿宋_GB2312" w:hAnsi="仿宋_GB2312" w:eastAsia="仿宋_GB2312" w:cs="仿宋_GB2312"/>
          <w:b w:val="0"/>
          <w:bCs/>
          <w:color w:val="auto"/>
          <w:sz w:val="32"/>
          <w:szCs w:val="32"/>
          <w:highlight w:val="none"/>
        </w:rPr>
        <w:t>卫生健康（类）行政事业单位医疗（款）行政单位医疗（项）:支出决算为</w:t>
      </w:r>
      <w:r>
        <w:rPr>
          <w:rStyle w:val="19"/>
          <w:rFonts w:hint="eastAsia" w:ascii="仿宋_GB2312" w:hAnsi="仿宋_GB2312" w:eastAsia="仿宋_GB2312" w:cs="仿宋_GB2312"/>
          <w:b w:val="0"/>
          <w:bCs/>
          <w:color w:val="auto"/>
          <w:sz w:val="32"/>
          <w:szCs w:val="32"/>
          <w:highlight w:val="none"/>
          <w:lang w:val="en-US" w:eastAsia="zh-CN"/>
        </w:rPr>
        <w:t>65.47</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_GB2312" w:hAnsi="仿宋_GB2312" w:eastAsia="仿宋_GB2312" w:cs="仿宋_GB2312"/>
          <w:b w:val="0"/>
          <w:bCs/>
          <w:color w:val="auto"/>
          <w:sz w:val="32"/>
          <w:szCs w:val="32"/>
          <w:highlight w:val="none"/>
        </w:rPr>
      </w:pPr>
      <w:r>
        <w:rPr>
          <w:rStyle w:val="19"/>
          <w:rFonts w:hint="eastAsia" w:ascii="仿宋_GB2312" w:hAnsi="仿宋_GB2312" w:eastAsia="仿宋_GB2312" w:cs="仿宋_GB2312"/>
          <w:b w:val="0"/>
          <w:bCs/>
          <w:color w:val="auto"/>
          <w:sz w:val="32"/>
          <w:szCs w:val="32"/>
          <w:highlight w:val="none"/>
          <w:lang w:val="en-US" w:eastAsia="zh-CN"/>
        </w:rPr>
        <w:t>18.</w:t>
      </w:r>
      <w:r>
        <w:rPr>
          <w:rStyle w:val="19"/>
          <w:rFonts w:hint="eastAsia" w:ascii="仿宋_GB2312" w:hAnsi="仿宋_GB2312" w:eastAsia="仿宋_GB2312" w:cs="仿宋_GB2312"/>
          <w:b w:val="0"/>
          <w:bCs/>
          <w:color w:val="auto"/>
          <w:sz w:val="32"/>
          <w:szCs w:val="32"/>
          <w:highlight w:val="none"/>
        </w:rPr>
        <w:t>卫生健康（类）行政事业单位医疗（款）公务员医疗补助（项）:支出决算为</w:t>
      </w:r>
      <w:r>
        <w:rPr>
          <w:rStyle w:val="19"/>
          <w:rFonts w:hint="eastAsia" w:ascii="仿宋_GB2312" w:hAnsi="仿宋_GB2312" w:eastAsia="仿宋_GB2312" w:cs="仿宋_GB2312"/>
          <w:b w:val="0"/>
          <w:bCs/>
          <w:color w:val="auto"/>
          <w:sz w:val="32"/>
          <w:szCs w:val="32"/>
          <w:highlight w:val="none"/>
          <w:lang w:val="en-US" w:eastAsia="zh-CN"/>
        </w:rPr>
        <w:t>20.87</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_GB2312" w:hAnsi="仿宋_GB2312" w:eastAsia="仿宋_GB2312" w:cs="仿宋_GB2312"/>
          <w:b w:val="0"/>
          <w:bCs/>
          <w:color w:val="auto"/>
          <w:sz w:val="32"/>
          <w:szCs w:val="32"/>
          <w:highlight w:val="none"/>
        </w:rPr>
      </w:pPr>
      <w:r>
        <w:rPr>
          <w:rStyle w:val="19"/>
          <w:rFonts w:hint="eastAsia" w:ascii="仿宋_GB2312" w:hAnsi="仿宋_GB2312" w:eastAsia="仿宋_GB2312" w:cs="仿宋_GB2312"/>
          <w:b w:val="0"/>
          <w:bCs/>
          <w:color w:val="auto"/>
          <w:sz w:val="32"/>
          <w:szCs w:val="32"/>
          <w:highlight w:val="none"/>
          <w:lang w:val="en-US" w:eastAsia="zh-CN"/>
        </w:rPr>
        <w:t>19</w:t>
      </w:r>
      <w:r>
        <w:rPr>
          <w:rStyle w:val="19"/>
          <w:rFonts w:hint="eastAsia" w:ascii="仿宋_GB2312" w:hAnsi="仿宋_GB2312" w:eastAsia="仿宋_GB2312" w:cs="仿宋_GB2312"/>
          <w:b w:val="0"/>
          <w:bCs/>
          <w:color w:val="auto"/>
          <w:sz w:val="32"/>
          <w:szCs w:val="32"/>
          <w:highlight w:val="none"/>
        </w:rPr>
        <w:t>.住房保障支出（类）住房改革支出（款）住房公积金（项）:支出决算为</w:t>
      </w:r>
      <w:r>
        <w:rPr>
          <w:rStyle w:val="19"/>
          <w:rFonts w:hint="eastAsia" w:ascii="仿宋_GB2312" w:hAnsi="仿宋_GB2312" w:eastAsia="仿宋_GB2312" w:cs="仿宋_GB2312"/>
          <w:b w:val="0"/>
          <w:bCs/>
          <w:color w:val="auto"/>
          <w:sz w:val="32"/>
          <w:szCs w:val="32"/>
          <w:highlight w:val="none"/>
          <w:lang w:val="en-US" w:eastAsia="zh-CN"/>
        </w:rPr>
        <w:t>122.51</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_GB2312" w:hAnsi="仿宋_GB2312" w:eastAsia="仿宋_GB2312" w:cs="仿宋_GB2312"/>
          <w:b w:val="0"/>
          <w:bCs/>
          <w:color w:val="auto"/>
          <w:sz w:val="32"/>
          <w:szCs w:val="32"/>
          <w:highlight w:val="none"/>
        </w:rPr>
      </w:pPr>
      <w:r>
        <w:rPr>
          <w:rStyle w:val="19"/>
          <w:rFonts w:hint="eastAsia" w:ascii="仿宋_GB2312" w:hAnsi="仿宋_GB2312" w:eastAsia="仿宋_GB2312" w:cs="仿宋_GB2312"/>
          <w:b w:val="0"/>
          <w:bCs/>
          <w:color w:val="auto"/>
          <w:sz w:val="32"/>
          <w:szCs w:val="32"/>
          <w:highlight w:val="none"/>
          <w:lang w:val="en-US" w:eastAsia="zh-CN"/>
        </w:rPr>
        <w:t>20</w:t>
      </w:r>
      <w:r>
        <w:rPr>
          <w:rStyle w:val="19"/>
          <w:rFonts w:hint="eastAsia" w:ascii="仿宋_GB2312" w:hAnsi="仿宋_GB2312" w:eastAsia="仿宋_GB2312" w:cs="仿宋_GB2312"/>
          <w:b w:val="0"/>
          <w:bCs/>
          <w:color w:val="auto"/>
          <w:sz w:val="32"/>
          <w:szCs w:val="32"/>
          <w:highlight w:val="none"/>
        </w:rPr>
        <w:t>.住房保障支出（类）住房改革支出（款）</w:t>
      </w:r>
      <w:r>
        <w:rPr>
          <w:rStyle w:val="19"/>
          <w:rFonts w:hint="eastAsia" w:ascii="仿宋_GB2312" w:hAnsi="仿宋_GB2312" w:eastAsia="仿宋_GB2312" w:cs="仿宋_GB2312"/>
          <w:b w:val="0"/>
          <w:bCs/>
          <w:color w:val="auto"/>
          <w:sz w:val="32"/>
          <w:szCs w:val="32"/>
          <w:highlight w:val="none"/>
          <w:lang w:val="en-US" w:eastAsia="zh-CN"/>
        </w:rPr>
        <w:t>购房补贴</w:t>
      </w:r>
      <w:r>
        <w:rPr>
          <w:rStyle w:val="19"/>
          <w:rFonts w:hint="eastAsia" w:ascii="仿宋_GB2312" w:hAnsi="仿宋_GB2312" w:eastAsia="仿宋_GB2312" w:cs="仿宋_GB2312"/>
          <w:b w:val="0"/>
          <w:bCs/>
          <w:color w:val="auto"/>
          <w:sz w:val="32"/>
          <w:szCs w:val="32"/>
          <w:highlight w:val="none"/>
        </w:rPr>
        <w:t>（项）:支出决算为</w:t>
      </w:r>
      <w:r>
        <w:rPr>
          <w:rStyle w:val="19"/>
          <w:rFonts w:hint="eastAsia" w:ascii="仿宋_GB2312" w:hAnsi="仿宋_GB2312" w:eastAsia="仿宋_GB2312" w:cs="仿宋_GB2312"/>
          <w:b w:val="0"/>
          <w:bCs/>
          <w:color w:val="auto"/>
          <w:sz w:val="32"/>
          <w:szCs w:val="32"/>
          <w:highlight w:val="none"/>
          <w:lang w:val="en-US" w:eastAsia="zh-CN"/>
        </w:rPr>
        <w:t>3.6</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spacing w:line="600" w:lineRule="exact"/>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pPr>
        <w:tabs>
          <w:tab w:val="right" w:pos="8306"/>
        </w:tabs>
        <w:spacing w:line="600" w:lineRule="exact"/>
        <w:ind w:firstLine="640" w:firstLineChars="200"/>
        <w:outlineLvl w:val="1"/>
        <w:rPr>
          <w:rStyle w:val="30"/>
          <w:rFonts w:ascii="Times New Roman" w:hAnsi="Times New Roman"/>
          <w:color w:val="000000" w:themeColor="text1"/>
          <w:highlight w:val="none"/>
          <w14:textFill>
            <w14:solidFill>
              <w14:schemeClr w14:val="tx1"/>
            </w14:solidFill>
          </w14:textFill>
        </w:rPr>
      </w:pPr>
      <w:bookmarkStart w:id="32" w:name="_Toc15396608"/>
      <w:bookmarkStart w:id="33" w:name="_Toc15377214"/>
      <w:r>
        <w:rPr>
          <w:rFonts w:hint="eastAsia" w:ascii="Times New Roman" w:hAnsi="Times New Roman" w:eastAsia="黑体"/>
          <w:color w:val="000000" w:themeColor="text1"/>
          <w:sz w:val="32"/>
          <w:szCs w:val="32"/>
          <w:highlight w:val="none"/>
          <w14:textFill>
            <w14:solidFill>
              <w14:schemeClr w14:val="tx1"/>
            </w14:solidFill>
          </w14:textFill>
        </w:rPr>
        <w:t>六</w:t>
      </w:r>
      <w:r>
        <w:rPr>
          <w:rFonts w:hint="eastAsia" w:ascii="Times New Roman" w:hAnsi="Times New Roman" w:eastAsia="黑体"/>
          <w:b/>
          <w:color w:val="000000" w:themeColor="text1"/>
          <w:sz w:val="32"/>
          <w:szCs w:val="32"/>
          <w:highlight w:val="none"/>
          <w14:textFill>
            <w14:solidFill>
              <w14:schemeClr w14:val="tx1"/>
            </w14:solidFill>
          </w14:textFill>
        </w:rPr>
        <w:t>、一</w:t>
      </w:r>
      <w:r>
        <w:rPr>
          <w:rStyle w:val="30"/>
          <w:rFonts w:hint="eastAsia" w:ascii="Times New Roman" w:hAnsi="Times New Roman" w:eastAsia="黑体"/>
          <w:b w:val="0"/>
          <w:color w:val="000000" w:themeColor="text1"/>
          <w:highlight w:val="none"/>
          <w14:textFill>
            <w14:solidFill>
              <w14:schemeClr w14:val="tx1"/>
            </w14:solidFill>
          </w14:textFill>
        </w:rPr>
        <w:t>般公共预算财政拨款基本支出决算情况说明</w:t>
      </w:r>
      <w:bookmarkEnd w:id="32"/>
      <w:bookmarkEnd w:id="33"/>
      <w:r>
        <w:rPr>
          <w:rStyle w:val="30"/>
          <w:rFonts w:ascii="Times New Roman" w:hAnsi="Times New Roman" w:eastAsia="黑体"/>
          <w:b w:val="0"/>
          <w:color w:val="000000" w:themeColor="text1"/>
          <w:highlight w:val="none"/>
          <w14:textFill>
            <w14:solidFill>
              <w14:schemeClr w14:val="tx1"/>
            </w14:solidFill>
          </w14:textFill>
        </w:rPr>
        <w:tab/>
      </w:r>
    </w:p>
    <w:p>
      <w:pPr>
        <w:pStyle w:val="14"/>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2025年度一般公共预算财政拨款基本支出</w:t>
      </w:r>
      <w:r>
        <w:rPr>
          <w:rFonts w:hint="eastAsia" w:ascii="仿宋_GB2312" w:hAnsi="仿宋_GB2312" w:eastAsia="仿宋_GB2312" w:cs="仿宋_GB2312"/>
          <w:sz w:val="32"/>
          <w:szCs w:val="32"/>
        </w:rPr>
        <w:t>2285.88</w:t>
      </w:r>
      <w:r>
        <w:rPr>
          <w:rFonts w:hint="eastAsia" w:ascii="仿宋_GB2312" w:hAnsi="仿宋_GB2312" w:eastAsia="仿宋_GB2312" w:cs="仿宋_GB2312"/>
          <w:color w:val="auto"/>
          <w:kern w:val="2"/>
          <w:sz w:val="32"/>
          <w:szCs w:val="32"/>
          <w:highlight w:val="none"/>
          <w:lang w:val="en-US" w:eastAsia="zh-CN" w:bidi="ar-SA"/>
        </w:rPr>
        <w:t>万元，其中：</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1872.61</w:t>
      </w:r>
      <w:r>
        <w:rPr>
          <w:rFonts w:hint="eastAsia" w:ascii="仿宋_GB2312" w:hAnsi="仿宋_GB2312"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w:t>
      </w:r>
      <w:r>
        <w:rPr>
          <w:rFonts w:hint="eastAsia" w:ascii="仿宋_GB2312" w:hAnsi="仿宋_GB2312"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rPr>
        <w:t>413.27</w:t>
      </w:r>
      <w:r>
        <w:rPr>
          <w:rFonts w:hint="eastAsia" w:ascii="仿宋_GB2312" w:hAnsi="仿宋_GB2312"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spacing w:line="600" w:lineRule="exact"/>
        <w:ind w:firstLine="640" w:firstLineChars="200"/>
        <w:outlineLvl w:val="1"/>
        <w:rPr>
          <w:rStyle w:val="30"/>
          <w:rFonts w:ascii="Times New Roman" w:hAnsi="Times New Roman" w:eastAsia="黑体"/>
          <w:b w:val="0"/>
          <w:color w:val="auto"/>
          <w:highlight w:val="none"/>
        </w:rPr>
      </w:pPr>
      <w:bookmarkStart w:id="34" w:name="_Toc15377215"/>
      <w:bookmarkStart w:id="35"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4"/>
      <w:bookmarkEnd w:id="35"/>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6"/>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2025年度财政拨款“三公”经费支出决算为</w:t>
      </w:r>
      <w:r>
        <w:rPr>
          <w:rFonts w:hint="eastAsia" w:ascii="仿宋_GB2312" w:hAnsi="仿宋_GB2312" w:eastAsia="仿宋_GB2312" w:cs="仿宋_GB2312"/>
          <w:sz w:val="32"/>
          <w:szCs w:val="32"/>
        </w:rPr>
        <w:t>198.99</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99.97</w:t>
      </w:r>
      <w:r>
        <w:rPr>
          <w:rFonts w:hint="eastAsia" w:ascii="仿宋_GB2312" w:hAnsi="仿宋_GB2312" w:eastAsia="仿宋_GB2312" w:cs="仿宋_GB2312"/>
          <w:color w:val="auto"/>
          <w:kern w:val="2"/>
          <w:sz w:val="32"/>
          <w:szCs w:val="32"/>
          <w:highlight w:val="none"/>
          <w:lang w:val="en-US" w:eastAsia="zh-CN" w:bidi="ar-SA"/>
        </w:rPr>
        <w:t>%，较上年度增加77.08万元，增长63.22%。决算数小于预算数（或与预算数持平）的主要原因是厉行节约，公务用车运行维护费有节余。</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7"/>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2025年度财政拨款“三公”经费支出决算中，因公出国（境）费支出决算</w:t>
      </w:r>
      <w:r>
        <w:rPr>
          <w:rFonts w:hint="eastAsia" w:ascii="仿宋_GB2312" w:hAnsi="仿宋_GB2312" w:eastAsia="仿宋_GB2312" w:cs="仿宋_GB2312"/>
          <w:sz w:val="32"/>
          <w:szCs w:val="32"/>
        </w:rPr>
        <w:t>6.45</w:t>
      </w:r>
      <w:r>
        <w:rPr>
          <w:rFonts w:hint="eastAsia" w:ascii="仿宋_GB2312" w:hAnsi="仿宋_GB2312" w:eastAsia="仿宋_GB2312" w:cs="仿宋_GB2312"/>
          <w:color w:val="auto"/>
          <w:kern w:val="2"/>
          <w:sz w:val="32"/>
          <w:szCs w:val="32"/>
          <w:highlight w:val="none"/>
          <w:lang w:val="en-US" w:eastAsia="zh-CN" w:bidi="ar-SA"/>
        </w:rPr>
        <w:t>万元，占3.24%；公务用车购置及运行维护费支出决算</w:t>
      </w:r>
      <w:r>
        <w:rPr>
          <w:rFonts w:hint="eastAsia" w:ascii="仿宋_GB2312" w:hAnsi="仿宋_GB2312" w:eastAsia="仿宋_GB2312" w:cs="仿宋_GB2312"/>
          <w:sz w:val="32"/>
          <w:szCs w:val="32"/>
        </w:rPr>
        <w:t>192.07</w:t>
      </w:r>
      <w:r>
        <w:rPr>
          <w:rFonts w:hint="eastAsia" w:ascii="仿宋_GB2312" w:hAnsi="仿宋_GB2312" w:eastAsia="仿宋_GB2312" w:cs="仿宋_GB2312"/>
          <w:color w:val="auto"/>
          <w:kern w:val="2"/>
          <w:sz w:val="32"/>
          <w:szCs w:val="32"/>
          <w:highlight w:val="none"/>
          <w:lang w:val="en-US" w:eastAsia="zh-CN" w:bidi="ar-SA"/>
        </w:rPr>
        <w:t>万元，占96.52%；公务接待费支出决算</w:t>
      </w:r>
      <w:r>
        <w:rPr>
          <w:rFonts w:hint="eastAsia" w:ascii="仿宋_GB2312" w:hAnsi="仿宋_GB2312" w:eastAsia="仿宋_GB2312" w:cs="仿宋_GB2312"/>
          <w:sz w:val="32"/>
          <w:szCs w:val="32"/>
        </w:rPr>
        <w:t>0.47</w:t>
      </w:r>
      <w:r>
        <w:rPr>
          <w:rFonts w:hint="eastAsia" w:ascii="仿宋_GB2312" w:hAnsi="仿宋_GB2312" w:eastAsia="仿宋_GB2312" w:cs="仿宋_GB2312"/>
          <w:color w:val="auto"/>
          <w:kern w:val="2"/>
          <w:sz w:val="32"/>
          <w:szCs w:val="32"/>
          <w:highlight w:val="none"/>
          <w:lang w:val="en-US" w:eastAsia="zh-CN" w:bidi="ar-SA"/>
        </w:rPr>
        <w:t>万元，占0.24%。具体情况如下：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pStyle w:val="14"/>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p>
    <w:p>
      <w:pPr>
        <w:pStyle w:val="14"/>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2905125" cy="2200275"/>
            <wp:effectExtent l="0" t="0" r="9525" b="9525"/>
            <wp:docPr id="20" name="图片 20" descr="1788855829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788855829095"/>
                    <pic:cNvPicPr>
                      <a:picLocks noChangeAspect="1"/>
                    </pic:cNvPicPr>
                  </pic:nvPicPr>
                  <pic:blipFill>
                    <a:blip r:embed="rId15"/>
                    <a:stretch>
                      <a:fillRect/>
                    </a:stretch>
                  </pic:blipFill>
                  <pic:spPr>
                    <a:xfrm>
                      <a:off x="0" y="0"/>
                      <a:ext cx="2905125" cy="2200275"/>
                    </a:xfrm>
                    <a:prstGeom prst="rect">
                      <a:avLst/>
                    </a:prstGeom>
                  </pic:spPr>
                </pic:pic>
              </a:graphicData>
            </a:graphic>
          </wp:inline>
        </w:drawing>
      </w:r>
    </w:p>
    <w:p>
      <w:pPr>
        <w:pStyle w:val="8"/>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6.45</w:t>
      </w:r>
      <w:r>
        <w:rPr>
          <w:rFonts w:hint="eastAsia" w:ascii="仿宋_GB2312" w:hAnsi="仿宋_GB2312" w:eastAsia="仿宋_GB2312" w:cs="仿宋_GB2312"/>
          <w:b/>
          <w:bCs/>
          <w:color w:val="auto"/>
          <w:kern w:val="2"/>
          <w:sz w:val="32"/>
          <w:szCs w:val="32"/>
          <w:highlight w:val="none"/>
          <w:lang w:val="en-US" w:eastAsia="zh-CN" w:bidi="ar-SA"/>
        </w:rPr>
        <w:t xml:space="preserve">万元，完成预算100%。 </w:t>
      </w:r>
      <w:r>
        <w:rPr>
          <w:rFonts w:hint="eastAsia" w:ascii="Times New Roman" w:eastAsia="仿宋_GB2312" w:cs="仿宋_GB2312"/>
          <w:b/>
          <w:bCs/>
          <w:color w:val="auto"/>
          <w:kern w:val="2"/>
          <w:sz w:val="32"/>
          <w:szCs w:val="32"/>
          <w:highlight w:val="none"/>
          <w:lang w:val="en-US" w:eastAsia="zh-CN" w:bidi="ar-SA"/>
        </w:rPr>
        <w:t xml:space="preserve">   </w:t>
      </w:r>
      <w:r>
        <w:rPr>
          <w:rFonts w:hint="eastAsia" w:ascii="仿宋_GB2312" w:hAnsi="仿宋_GB2312"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人。因公出国（境）支出决算比上年度增加6.45万元，增长100*%。主要原因是2025年有两次因公出国（境）支出。杨飞副局长6月30日-7月5日分别到泰国、马来西亚开展对外交流活动出访，出访费用3.7万元，组团单位中共阿坝州委宣传部，团组名称为中共阿坝州委宣传部关于赴马来西亚、泰国开展文旅交流合作出访团组，在泰国曼谷、马来西亚槟州各举办1场“天下九寨沟·大美阿坝州”优势资源推介会，发布一系列展示我州生态文化旅游优势的新型旅游线路产品，提升入境游。韩孝10月25日-10月28日到埃及开罗，出访费用2.75万元，组团单位阿坝州经济合作和外事局，团组名称阿坝州经济合作和外事局团组，开展文旅合作交流。通过以上两次出访文旅交流工作，外国旅行商到我州进行实地考察旅游线路，入境游客量显著提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color w:val="auto"/>
          <w:kern w:val="2"/>
          <w:sz w:val="32"/>
          <w:szCs w:val="32"/>
          <w:highlight w:val="none"/>
          <w:lang w:val="en-US" w:eastAsia="zh-CN" w:bidi="ar-SA"/>
        </w:rPr>
        <w:t>2.公务用车购置及运行维护费支出192.07万元，完成预算99.96%。</w:t>
      </w:r>
      <w:r>
        <w:rPr>
          <w:rFonts w:hint="eastAsia" w:ascii="仿宋_GB2312" w:hAnsi="仿宋_GB2312" w:eastAsia="仿宋_GB2312" w:cs="仿宋_GB2312"/>
          <w:color w:val="auto"/>
          <w:kern w:val="2"/>
          <w:sz w:val="32"/>
          <w:szCs w:val="32"/>
          <w:highlight w:val="none"/>
          <w:lang w:val="en-US" w:eastAsia="zh-CN" w:bidi="ar-SA"/>
        </w:rPr>
        <w:t>公务用车购置及运行维护费支出决算比上年度增加70.51万元，增长58%。主要原因是2025年新购置了1辆公务用车何和车辆大修费用。</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58.59</w:t>
      </w:r>
      <w:r>
        <w:rPr>
          <w:rFonts w:hint="eastAsia" w:ascii="仿宋_GB2312" w:hAnsi="仿宋_GB2312" w:eastAsia="仿宋_GB2312" w:cs="仿宋_GB2312"/>
          <w:color w:val="auto"/>
          <w:kern w:val="2"/>
          <w:sz w:val="32"/>
          <w:szCs w:val="32"/>
          <w:highlight w:val="none"/>
          <w:lang w:val="en-US" w:eastAsia="zh-CN" w:bidi="ar-SA"/>
        </w:rPr>
        <w:t>万元。全年按规定更新购置公务用车1辆，其中：轿车0辆、金额0万元，越野车1辆、金额58.59万元，载客汽车0辆、金额0万元，主要用于公务外出。截至2025年12月31日，单位共有公务用车16辆，其中：轿车3辆、越野车13辆、载客汽车0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133.48</w:t>
      </w:r>
      <w:r>
        <w:rPr>
          <w:rFonts w:hint="eastAsia" w:ascii="仿宋_GB2312" w:hAnsi="仿宋_GB2312" w:eastAsia="仿宋_GB2312" w:cs="仿宋_GB2312"/>
          <w:color w:val="auto"/>
          <w:kern w:val="2"/>
          <w:sz w:val="32"/>
          <w:szCs w:val="32"/>
          <w:highlight w:val="none"/>
          <w:lang w:val="en-US" w:eastAsia="zh-CN" w:bidi="ar-SA"/>
        </w:rPr>
        <w:t>万元。主要用于公务外出所需的公务用车燃料费、过路过桥费、维修费、保险费等支出。</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3.公务接待费支出0.47万元，完成预算100%。</w:t>
      </w:r>
      <w:r>
        <w:rPr>
          <w:rFonts w:hint="eastAsia" w:ascii="仿宋_GB2312" w:hAnsi="仿宋_GB2312" w:eastAsia="仿宋_GB2312" w:cs="仿宋_GB2312"/>
          <w:color w:val="auto"/>
          <w:kern w:val="2"/>
          <w:sz w:val="32"/>
          <w:szCs w:val="32"/>
          <w:highlight w:val="none"/>
          <w:lang w:val="en-US" w:eastAsia="zh-CN" w:bidi="ar-SA"/>
        </w:rPr>
        <w:t>公务接待费支出决算比上年度增加0.12万元，增长34.28%。主要原因是公务用餐支出。其中：</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0.47</w:t>
      </w:r>
      <w:r>
        <w:rPr>
          <w:rFonts w:hint="eastAsia" w:ascii="仿宋_GB2312" w:hAnsi="仿宋_GB2312" w:eastAsia="仿宋_GB2312" w:cs="仿宋_GB2312"/>
          <w:color w:val="auto"/>
          <w:kern w:val="2"/>
          <w:sz w:val="32"/>
          <w:szCs w:val="32"/>
          <w:highlight w:val="none"/>
          <w:lang w:val="en-US" w:eastAsia="zh-CN" w:bidi="ar-SA"/>
        </w:rPr>
        <w:t>万元，主要用于接待西藏日喀则市南木林县考察团0.16万元、汶川县学习组赴马尔康考察阿来书屋0.07万元、省文旅厅财务处调研统计工作及开展专项预算绩效评价0.06万元、四川爱乐乐团开展音乐文化交流0.08万元、浙江美术馆等执行公务0.1万元、开展业务活动开支的用餐费。国内公务接待</w:t>
      </w:r>
      <w:r>
        <w:rPr>
          <w:rFonts w:hint="eastAsia" w:ascii="仿宋_GB2312" w:hAnsi="仿宋_GB2312" w:eastAsia="仿宋_GB2312" w:cs="仿宋_GB2312"/>
          <w:sz w:val="32"/>
          <w:szCs w:val="32"/>
        </w:rPr>
        <w:t>5</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57</w:t>
      </w:r>
      <w:r>
        <w:rPr>
          <w:rFonts w:hint="eastAsia" w:ascii="仿宋_GB2312" w:hAnsi="仿宋_GB2312" w:eastAsia="仿宋_GB2312" w:cs="仿宋_GB2312"/>
          <w:color w:val="auto"/>
          <w:kern w:val="2"/>
          <w:sz w:val="32"/>
          <w:szCs w:val="32"/>
          <w:highlight w:val="none"/>
          <w:lang w:val="en-US" w:eastAsia="zh-CN" w:bidi="ar-SA"/>
        </w:rPr>
        <w:t>人次（包括陪同人员），共计支出0.47万元。</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万元，2025年无外事接待支出。外事接待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30"/>
          <w:rFonts w:hint="eastAsia" w:ascii="仿宋_GB2312" w:hAnsi="仿宋_GB2312" w:eastAsia="仿宋_GB2312" w:cs="仿宋_GB2312"/>
          <w:color w:val="000000" w:themeColor="text1"/>
          <w:sz w:val="32"/>
          <w:szCs w:val="32"/>
          <w:highlight w:val="none"/>
          <w14:textFill>
            <w14:solidFill>
              <w14:schemeClr w14:val="tx1"/>
            </w14:solidFill>
          </w14:textFill>
        </w:rPr>
      </w:pPr>
      <w:bookmarkStart w:id="38" w:name="_Toc15396610"/>
      <w:bookmarkStart w:id="39" w:name="_Toc15377218"/>
      <w:r>
        <w:rPr>
          <w:rFonts w:hint="eastAsia" w:ascii="仿宋_GB2312" w:hAnsi="仿宋_GB2312" w:eastAsia="仿宋_GB2312" w:cs="仿宋_GB2312"/>
          <w:color w:val="000000" w:themeColor="text1"/>
          <w:sz w:val="32"/>
          <w:szCs w:val="32"/>
          <w:highlight w:val="none"/>
          <w14:textFill>
            <w14:solidFill>
              <w14:schemeClr w14:val="tx1"/>
            </w14:solidFill>
          </w14:textFill>
        </w:rPr>
        <w:t>八、</w:t>
      </w:r>
      <w:r>
        <w:rPr>
          <w:rStyle w:val="30"/>
          <w:rFonts w:hint="eastAsia" w:ascii="仿宋_GB2312" w:hAnsi="仿宋_GB2312" w:eastAsia="仿宋_GB2312" w:cs="仿宋_GB2312"/>
          <w:b w:val="0"/>
          <w:color w:val="000000" w:themeColor="text1"/>
          <w:sz w:val="32"/>
          <w:szCs w:val="32"/>
          <w:highlight w:val="none"/>
          <w14:textFill>
            <w14:solidFill>
              <w14:schemeClr w14:val="tx1"/>
            </w14:solidFill>
          </w14:textFill>
        </w:rPr>
        <w:t>政府性基金预算支出决算情况说明</w:t>
      </w:r>
      <w:bookmarkEnd w:id="38"/>
      <w:bookmarkEnd w:id="39"/>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41.32</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0.82</w:t>
      </w:r>
      <w:r>
        <w:rPr>
          <w:rFonts w:hint="eastAsia" w:ascii="仿宋_GB2312" w:hAnsi="仿宋_GB2312" w:eastAsia="仿宋_GB2312" w:cs="仿宋_GB2312"/>
          <w:color w:val="auto"/>
          <w:kern w:val="2"/>
          <w:sz w:val="32"/>
          <w:szCs w:val="32"/>
          <w:highlight w:val="none"/>
          <w:lang w:val="en-US" w:eastAsia="zh-CN" w:bidi="ar-SA"/>
        </w:rPr>
        <w:t>%。与上年度相比，政府性基金预算财政拨款支出减少350.22万元，下降89.45%。主要变动原因是机构改革，2025年5月体育局划转到州教体局，2025年体育彩票公益金指标财政下到州教体局，故同比下降较多。</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0" w:name="_Toc15396611"/>
      <w:bookmarkStart w:id="41"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0"/>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numPr>
          <w:ilvl w:val="0"/>
          <w:numId w:val="0"/>
        </w:numPr>
        <w:spacing w:line="600" w:lineRule="exact"/>
        <w:ind w:firstLine="640" w:firstLineChars="200"/>
        <w:outlineLvl w:val="1"/>
        <w:rPr>
          <w:rStyle w:val="30"/>
          <w:rFonts w:hint="eastAsia" w:ascii="Times New Roman" w:hAnsi="Times New Roman" w:eastAsia="黑体"/>
          <w:b w:val="0"/>
          <w:color w:val="auto"/>
          <w:highlight w:val="none"/>
        </w:rPr>
      </w:pPr>
      <w:bookmarkStart w:id="42" w:name="_Toc15377221"/>
      <w:bookmarkStart w:id="43"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2"/>
      <w:bookmarkEnd w:id="43"/>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22"/>
      <w:r>
        <w:rPr>
          <w:rFonts w:hint="eastAsia" w:ascii="Times New Roman" w:hAnsi="Times New Roman" w:eastAsia="楷体_GB2312" w:cs="楷体_GB2312"/>
          <w:b/>
          <w:color w:val="auto"/>
          <w:sz w:val="32"/>
          <w:szCs w:val="32"/>
          <w:highlight w:val="none"/>
        </w:rPr>
        <w:t>（一）机关运行经费支出情况</w:t>
      </w:r>
      <w:bookmarkEnd w:id="44"/>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阿坝藏族羌族自治州文化广播电视和旅游局（本级）</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413.27</w:t>
      </w:r>
      <w:r>
        <w:rPr>
          <w:rFonts w:hint="eastAsia" w:ascii="仿宋_GB2312" w:hAnsi="仿宋_GB2312" w:eastAsia="仿宋_GB2312" w:cs="仿宋_GB2312"/>
          <w:color w:val="auto"/>
          <w:kern w:val="2"/>
          <w:sz w:val="32"/>
          <w:szCs w:val="32"/>
          <w:highlight w:val="none"/>
          <w:lang w:val="en-US" w:eastAsia="zh-CN" w:bidi="ar-SA"/>
        </w:rPr>
        <w:t>万元，比上年度减少143.82万元，下降25.81%。主要原因是机构改革，2025年5月体育局划转到州教体局，人员经费和公共经费一并划转。</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23"/>
      <w:r>
        <w:rPr>
          <w:rFonts w:hint="eastAsia" w:ascii="Times New Roman" w:hAnsi="Times New Roman" w:eastAsia="楷体_GB2312" w:cs="楷体_GB2312"/>
          <w:b/>
          <w:color w:val="auto"/>
          <w:sz w:val="32"/>
          <w:szCs w:val="32"/>
          <w:highlight w:val="none"/>
        </w:rPr>
        <w:t>（二）政府采购支出情况</w:t>
      </w:r>
      <w:bookmarkEnd w:id="45"/>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阿坝藏族羌族自治州文化广播电视和旅游局（本级）</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2069.83</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2.1</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2067.74</w:t>
      </w:r>
      <w:r>
        <w:rPr>
          <w:rFonts w:hint="eastAsia" w:ascii="仿宋_GB2312" w:hAnsi="仿宋_GB2312" w:eastAsia="仿宋_GB2312" w:cs="仿宋_GB2312"/>
          <w:color w:val="auto"/>
          <w:kern w:val="2"/>
          <w:sz w:val="32"/>
          <w:szCs w:val="32"/>
          <w:highlight w:val="none"/>
          <w:lang w:val="en-US" w:eastAsia="zh-CN" w:bidi="ar-SA"/>
        </w:rPr>
        <w:t>万元。主要用于阿坝州2025年冬季及2026年春季旅游宣传营销项目、“天下九寨沟 大美阿坝州”全国行广州站宣传推介活动、非遗与旅游深度融合暨非遗品牌建设系列活动项目、“天下九寨沟 大美阿坝州”全国行上海站系列宣传推介活动项目、高原粮仓·净土阿坝——2025年阿坝州农牧品牌之夜活动项目、阿坝藏族羌族自治州文化广播电视和旅游局上海旅游节花车巡展服务项目、2025年度至2026年度文化旅游新媒体宣传服务项目、“天下九寨沟 大美阿坝州”全国行活动浙江站宣传推广项目、阿坝州2025年'童话公路'自行车赛项目、“天下九寨沟 大美阿坝州”全国行北京站宣传推介活动、《阿坝州民宿产业发展规划》编制及相关标准起草、车辆维修、车辆保养。授予中小企业合同金额</w:t>
      </w:r>
      <w:r>
        <w:rPr>
          <w:rFonts w:hint="eastAsia" w:ascii="仿宋_GB2312" w:hAnsi="仿宋_GB2312" w:eastAsia="仿宋_GB2312" w:cs="仿宋_GB2312"/>
          <w:sz w:val="32"/>
          <w:szCs w:val="32"/>
          <w:lang w:val="en-US" w:eastAsia="zh-CN"/>
        </w:rPr>
        <w:t>1988.86</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lang w:val="en-US" w:eastAsia="zh-CN"/>
        </w:rPr>
        <w:t>96</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lang w:val="en-US" w:eastAsia="zh-CN"/>
        </w:rPr>
        <w:t>22.76</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lang w:val="en-US" w:eastAsia="zh-CN"/>
        </w:rPr>
        <w:t>1.09</w:t>
      </w:r>
      <w:r>
        <w:rPr>
          <w:rFonts w:hint="eastAsia" w:ascii="仿宋_GB2312" w:hAnsi="仿宋_GB2312"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4"/>
      <w:r>
        <w:rPr>
          <w:rFonts w:hint="eastAsia" w:ascii="Times New Roman" w:hAnsi="Times New Roman" w:eastAsia="楷体_GB2312" w:cs="楷体_GB2312"/>
          <w:b/>
          <w:color w:val="auto"/>
          <w:sz w:val="32"/>
          <w:szCs w:val="32"/>
          <w:highlight w:val="none"/>
        </w:rPr>
        <w:t>（三）国有资产占有使用情况</w:t>
      </w:r>
      <w:bookmarkEnd w:id="46"/>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阿坝藏族羌族自治州文化广播电视和旅游局（本级）</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16</w:t>
      </w:r>
      <w:r>
        <w:rPr>
          <w:rFonts w:hint="eastAsia" w:ascii="仿宋_GB2312" w:hAnsi="仿宋_GB2312"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16</w:t>
      </w:r>
      <w:r>
        <w:rPr>
          <w:rFonts w:hint="eastAsia" w:ascii="仿宋_GB2312" w:hAnsi="仿宋_GB2312" w:eastAsia="仿宋_GB2312" w:cs="仿宋_GB2312"/>
          <w:color w:val="auto"/>
          <w:kern w:val="2"/>
          <w:sz w:val="32"/>
          <w:szCs w:val="32"/>
          <w:highlight w:val="none"/>
          <w:lang w:val="en-US" w:eastAsia="zh-CN" w:bidi="ar-SA"/>
        </w:rPr>
        <w:t>辆，其他用车主要是用于日常公务外出。单价100万元（含）以上设备（不含车辆）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根据预算绩效管理要求，本单位在2025年度</w:t>
      </w:r>
      <w:r>
        <w:rPr>
          <w:rFonts w:hint="eastAsia" w:ascii="仿宋_GB2312" w:hAnsi="仿宋_GB2312" w:eastAsia="仿宋_GB2312" w:cs="仿宋_GB2312"/>
          <w:color w:val="000000" w:themeColor="text1"/>
          <w:sz w:val="32"/>
          <w:szCs w:val="32"/>
          <w:highlight w:val="none"/>
          <w14:textFill>
            <w14:solidFill>
              <w14:schemeClr w14:val="tx1"/>
            </w14:solidFill>
          </w14:textFill>
        </w:rPr>
        <w:t>预算编制阶段</w:t>
      </w:r>
      <w:r>
        <w:rPr>
          <w:rFonts w:hint="eastAsia" w:ascii="仿宋_GB2312" w:hAnsi="仿宋_GB2312" w:eastAsia="仿宋_GB2312" w:cs="仿宋_GB2312"/>
          <w:color w:val="auto"/>
          <w:kern w:val="2"/>
          <w:sz w:val="32"/>
          <w:szCs w:val="32"/>
          <w:highlight w:val="none"/>
          <w:lang w:val="en-US" w:eastAsia="zh-CN" w:bidi="ar-SA"/>
        </w:rPr>
        <w:t>，组织对文化广播电视体育和旅游事业发展及宣传经费、2025年国家级羌族文化生态保护区建设补助资金、阿坝财教（2023）40号-2023年国家非物质文化遗产保护资金（羌文化生态保护区建设补助）、高原粮仓·净土阿坝——2025年阿坝州农牧品牌之夜活动项目等45个项目涉及金额***万元开展了事前绩效评估，对45个项目编制了绩效目标，预算执行过程中，选取45个项目开展绩效监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组织对2025年度一般公共预算全面开展绩效自评，形成</w:t>
      </w:r>
      <w:r>
        <w:rPr>
          <w:rFonts w:hint="eastAsia" w:ascii="仿宋_GB2312" w:hAnsi="仿宋_GB2312" w:eastAsia="仿宋_GB2312" w:cs="仿宋_GB2312"/>
          <w:color w:val="000000" w:themeColor="text1"/>
          <w:sz w:val="32"/>
          <w:szCs w:val="32"/>
          <w:lang w:eastAsia="zh-CN"/>
          <w14:textFill>
            <w14:solidFill>
              <w14:schemeClr w14:val="tx1"/>
            </w14:solidFill>
          </w14:textFill>
        </w:rPr>
        <w:t>阿坝州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文化广播电视和旅游局</w:t>
      </w:r>
      <w:r>
        <w:rPr>
          <w:rFonts w:hint="eastAsia" w:ascii="仿宋_GB2312" w:hAnsi="仿宋_GB2312" w:eastAsia="仿宋_GB2312" w:cs="仿宋_GB2312"/>
          <w:color w:val="000000" w:themeColor="text1"/>
          <w:sz w:val="32"/>
          <w:szCs w:val="32"/>
          <w14:textFill>
            <w14:solidFill>
              <w14:schemeClr w14:val="tx1"/>
            </w14:solidFill>
          </w14:textFill>
        </w:rPr>
        <w:t>部门整体绩效自评报告、专项预算项目绩效自评报告</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，其中，</w:t>
      </w:r>
      <w:r>
        <w:rPr>
          <w:rFonts w:hint="eastAsia" w:ascii="仿宋_GB2312" w:hAnsi="仿宋_GB2312" w:eastAsia="仿宋_GB2312" w:cs="仿宋_GB2312"/>
          <w:color w:val="000000" w:themeColor="text1"/>
          <w:sz w:val="32"/>
          <w:szCs w:val="32"/>
          <w14:textFill>
            <w14:solidFill>
              <w14:schemeClr w14:val="tx1"/>
            </w14:solidFill>
          </w14:textFill>
        </w:rPr>
        <w:t>部门整体（含部门预算项目）绩效自评得分为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90</w:t>
      </w:r>
      <w:r>
        <w:rPr>
          <w:rFonts w:hint="eastAsia" w:ascii="仿宋_GB2312" w:hAnsi="仿宋_GB2312" w:eastAsia="仿宋_GB2312" w:cs="仿宋_GB2312"/>
          <w:color w:val="000000" w:themeColor="text1"/>
          <w:sz w:val="32"/>
          <w:szCs w:val="32"/>
          <w14:textFill>
            <w14:solidFill>
              <w14:schemeClr w14:val="tx1"/>
            </w14:solidFill>
          </w14:textFill>
        </w:rPr>
        <w:t>分，资金管理规范，项目管理到位，政策执行有力，有效发挥了财政资金的使用效率，顺利完成了各项任务。三公经费严格控制在预算范围内，严格落实了厉行节约的原则</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p>
    <w:p>
      <w:pPr>
        <w:pStyle w:val="2"/>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p>
    <w:p>
      <w:pPr>
        <w:rPr>
          <w:rFonts w:hint="eastAsia"/>
          <w:color w:val="000000" w:themeColor="text1"/>
          <w:lang w:val="en-US" w:eastAsia="zh-CN"/>
          <w14:textFill>
            <w14:solidFill>
              <w14:schemeClr w14:val="tx1"/>
            </w14:solidFill>
          </w14:textFill>
        </w:rPr>
      </w:pPr>
    </w:p>
    <w:p>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7" w:name="_Toc15396613"/>
      <w:bookmarkStart w:id="48" w:name="_Toc15377225"/>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7"/>
      <w:bookmarkEnd w:id="48"/>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pPr>
        <w:spacing w:line="600" w:lineRule="exact"/>
        <w:jc w:val="center"/>
        <w:rPr>
          <w:rStyle w:val="29"/>
          <w:rFonts w:hint="eastAsia" w:ascii="Times New Roman" w:hAnsi="Times New Roman" w:eastAsia="黑体"/>
          <w:b w:val="0"/>
          <w:color w:val="auto"/>
          <w:highlight w:val="none"/>
          <w:lang w:eastAsia="zh-CN"/>
        </w:rPr>
      </w:pPr>
      <w:bookmarkStart w:id="49"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0"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0"/>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val="0"/>
        <w:kinsoku/>
        <w:wordWrap/>
        <w:overflowPunct/>
        <w:topLinePunct w:val="0"/>
        <w:autoSpaceDE/>
        <w:autoSpaceDN/>
        <w:bidi w:val="0"/>
        <w:adjustRightInd/>
        <w:snapToGrid/>
        <w:spacing w:line="560" w:lineRule="exact"/>
        <w:ind w:left="29" w:right="506" w:firstLine="63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_GB2312" w:hAnsi="仿宋_GB2312" w:eastAsia="仿宋_GB2312" w:cs="仿宋_GB2312"/>
          <w:spacing w:val="5"/>
          <w:sz w:val="32"/>
          <w:szCs w:val="32"/>
        </w:rPr>
        <w:t>州文广旅局部门内设</w:t>
      </w:r>
      <w:r>
        <w:rPr>
          <w:rFonts w:hint="eastAsia" w:ascii="仿宋_GB2312" w:hAnsi="仿宋_GB2312" w:eastAsia="仿宋_GB2312" w:cs="仿宋_GB2312"/>
          <w:spacing w:val="-69"/>
          <w:sz w:val="32"/>
          <w:szCs w:val="32"/>
        </w:rPr>
        <w:t xml:space="preserve"> </w:t>
      </w:r>
      <w:r>
        <w:rPr>
          <w:rFonts w:hint="eastAsia" w:ascii="仿宋_GB2312" w:hAnsi="仿宋_GB2312" w:eastAsia="仿宋_GB2312" w:cs="仿宋_GB2312"/>
          <w:spacing w:val="-69"/>
          <w:sz w:val="32"/>
          <w:szCs w:val="32"/>
          <w:lang w:val="en-US" w:eastAsia="zh-CN"/>
        </w:rPr>
        <w:t>17</w:t>
      </w:r>
      <w:r>
        <w:rPr>
          <w:rFonts w:hint="eastAsia" w:ascii="仿宋_GB2312" w:hAnsi="仿宋_GB2312" w:eastAsia="仿宋_GB2312" w:cs="仿宋_GB2312"/>
          <w:spacing w:val="4"/>
          <w:sz w:val="32"/>
          <w:szCs w:val="32"/>
        </w:rPr>
        <w:t>个处室及</w:t>
      </w:r>
      <w:r>
        <w:rPr>
          <w:rFonts w:hint="eastAsia" w:ascii="仿宋_GB2312" w:hAnsi="仿宋_GB2312" w:eastAsia="仿宋_GB2312" w:cs="仿宋_GB2312"/>
          <w:spacing w:val="-36"/>
          <w:sz w:val="32"/>
          <w:szCs w:val="32"/>
        </w:rPr>
        <w:t xml:space="preserve"> </w:t>
      </w:r>
      <w:r>
        <w:rPr>
          <w:rFonts w:hint="eastAsia" w:ascii="仿宋_GB2312" w:hAnsi="仿宋_GB2312" w:eastAsia="仿宋_GB2312" w:cs="仿宋_GB2312"/>
          <w:spacing w:val="4"/>
          <w:sz w:val="32"/>
          <w:szCs w:val="32"/>
          <w:lang w:val="en-US" w:eastAsia="zh-CN"/>
        </w:rPr>
        <w:t>10</w:t>
      </w:r>
      <w:r>
        <w:rPr>
          <w:rFonts w:hint="eastAsia" w:ascii="仿宋_GB2312" w:hAnsi="仿宋_GB2312" w:eastAsia="仿宋_GB2312" w:cs="仿宋_GB2312"/>
          <w:spacing w:val="5"/>
          <w:sz w:val="32"/>
          <w:szCs w:val="32"/>
        </w:rPr>
        <w:t>个下属单位，其中独立预算单位</w:t>
      </w:r>
      <w:r>
        <w:rPr>
          <w:rFonts w:hint="eastAsia" w:ascii="仿宋_GB2312" w:hAnsi="仿宋_GB2312" w:eastAsia="仿宋_GB2312" w:cs="仿宋_GB2312"/>
          <w:spacing w:val="-56"/>
          <w:sz w:val="32"/>
          <w:szCs w:val="32"/>
        </w:rPr>
        <w:t xml:space="preserve"> </w:t>
      </w:r>
      <w:r>
        <w:rPr>
          <w:rFonts w:hint="eastAsia" w:ascii="仿宋_GB2312" w:hAnsi="仿宋_GB2312" w:eastAsia="仿宋_GB2312" w:cs="仿宋_GB2312"/>
          <w:spacing w:val="5"/>
          <w:sz w:val="32"/>
          <w:szCs w:val="32"/>
        </w:rPr>
        <w:t>6个，非独立预算单位</w:t>
      </w:r>
      <w:r>
        <w:rPr>
          <w:rFonts w:hint="eastAsia" w:ascii="仿宋_GB2312" w:hAnsi="仿宋_GB2312" w:eastAsia="仿宋_GB2312" w:cs="仿宋_GB2312"/>
          <w:spacing w:val="5"/>
          <w:sz w:val="32"/>
          <w:szCs w:val="32"/>
          <w:lang w:val="en-US" w:eastAsia="zh-CN"/>
        </w:rPr>
        <w:t>5</w:t>
      </w:r>
      <w:r>
        <w:rPr>
          <w:rFonts w:hint="eastAsia" w:ascii="仿宋_GB2312" w:hAnsi="仿宋_GB2312" w:eastAsia="仿宋_GB2312" w:cs="仿宋_GB2312"/>
          <w:spacing w:val="5"/>
          <w:sz w:val="32"/>
          <w:szCs w:val="32"/>
        </w:rPr>
        <w:t>个。</w:t>
      </w:r>
    </w:p>
    <w:p>
      <w:pPr>
        <w:keepNext w:val="0"/>
        <w:keepLines w:val="0"/>
        <w:pageBreakBefore w:val="0"/>
        <w:widowControl w:val="0"/>
        <w:kinsoku/>
        <w:wordWrap/>
        <w:overflowPunct/>
        <w:topLinePunct w:val="0"/>
        <w:autoSpaceDE/>
        <w:autoSpaceDN/>
        <w:bidi w:val="0"/>
        <w:adjustRightInd/>
        <w:snapToGrid/>
        <w:spacing w:line="560" w:lineRule="exact"/>
        <w:ind w:left="27" w:right="20" w:firstLine="641"/>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其中内设科室分别为：办公室、政策法规科（行政审批科）、</w:t>
      </w:r>
      <w:r>
        <w:rPr>
          <w:rFonts w:hint="eastAsia" w:ascii="仿宋_GB2312" w:hAnsi="仿宋_GB2312" w:eastAsia="仿宋_GB2312" w:cs="仿宋_GB2312"/>
          <w:spacing w:val="9"/>
          <w:sz w:val="32"/>
          <w:szCs w:val="32"/>
        </w:rPr>
        <w:t>规划指导科(科技教育科)</w:t>
      </w:r>
      <w:r>
        <w:rPr>
          <w:rFonts w:hint="eastAsia" w:ascii="仿宋_GB2312" w:hAnsi="仿宋_GB2312" w:eastAsia="仿宋_GB2312" w:cs="仿宋_GB2312"/>
          <w:spacing w:val="-40"/>
          <w:sz w:val="32"/>
          <w:szCs w:val="32"/>
        </w:rPr>
        <w:t xml:space="preserve"> </w:t>
      </w:r>
      <w:r>
        <w:rPr>
          <w:rFonts w:hint="eastAsia" w:ascii="仿宋_GB2312" w:hAnsi="仿宋_GB2312" w:eastAsia="仿宋_GB2312" w:cs="仿宋_GB2312"/>
          <w:spacing w:val="9"/>
          <w:sz w:val="32"/>
          <w:szCs w:val="32"/>
        </w:rPr>
        <w:t>、产业发展科、公共服务科</w:t>
      </w:r>
      <w:r>
        <w:rPr>
          <w:rFonts w:hint="eastAsia" w:ascii="仿宋_GB2312" w:hAnsi="仿宋_GB2312" w:eastAsia="仿宋_GB2312" w:cs="仿宋_GB2312"/>
          <w:spacing w:val="8"/>
          <w:sz w:val="32"/>
          <w:szCs w:val="32"/>
        </w:rPr>
        <w:t>、艺术科、</w:t>
      </w:r>
      <w:r>
        <w:rPr>
          <w:rFonts w:hint="eastAsia" w:ascii="仿宋_GB2312" w:hAnsi="仿宋_GB2312" w:eastAsia="仿宋_GB2312" w:cs="仿宋_GB2312"/>
          <w:spacing w:val="5"/>
          <w:sz w:val="32"/>
          <w:szCs w:val="32"/>
        </w:rPr>
        <w:t>非物质文化遗产科、文物科、传媒管理科、广电技术科、资源开</w:t>
      </w:r>
      <w:r>
        <w:rPr>
          <w:rFonts w:hint="eastAsia" w:ascii="仿宋_GB2312" w:hAnsi="仿宋_GB2312" w:eastAsia="仿宋_GB2312" w:cs="仿宋_GB2312"/>
          <w:spacing w:val="4"/>
          <w:sz w:val="32"/>
          <w:szCs w:val="32"/>
        </w:rPr>
        <w:t>发科、市场管理科(安全监管科)、综合执法监督科、宣传营销科、</w:t>
      </w:r>
      <w:r>
        <w:rPr>
          <w:rFonts w:hint="eastAsia" w:ascii="仿宋_GB2312" w:hAnsi="仿宋_GB2312" w:eastAsia="仿宋_GB2312" w:cs="仿宋_GB2312"/>
          <w:spacing w:val="7"/>
          <w:sz w:val="32"/>
          <w:szCs w:val="32"/>
        </w:rPr>
        <w:t>财务科、人事科、机</w:t>
      </w:r>
      <w:r>
        <w:rPr>
          <w:rFonts w:hint="eastAsia" w:ascii="仿宋_GB2312" w:hAnsi="仿宋_GB2312" w:eastAsia="仿宋_GB2312" w:cs="仿宋_GB2312"/>
          <w:spacing w:val="4"/>
          <w:sz w:val="32"/>
          <w:szCs w:val="32"/>
        </w:rPr>
        <w:t>关党委。</w:t>
      </w:r>
    </w:p>
    <w:p>
      <w:pPr>
        <w:keepNext w:val="0"/>
        <w:keepLines w:val="0"/>
        <w:pageBreakBefore w:val="0"/>
        <w:widowControl w:val="0"/>
        <w:kinsoku/>
        <w:wordWrap/>
        <w:overflowPunct/>
        <w:topLinePunct w:val="0"/>
        <w:autoSpaceDE/>
        <w:autoSpaceDN/>
        <w:bidi w:val="0"/>
        <w:adjustRightInd/>
        <w:snapToGrid/>
        <w:spacing w:line="560" w:lineRule="exact"/>
        <w:ind w:left="20" w:right="232" w:firstLine="662"/>
        <w:jc w:val="both"/>
        <w:textAlignment w:val="auto"/>
        <w:rPr>
          <w:rFonts w:hint="eastAsia" w:ascii="仿宋_GB2312" w:hAnsi="仿宋_GB2312" w:eastAsia="仿宋_GB2312" w:cs="仿宋_GB2312"/>
          <w:spacing w:val="9"/>
          <w:sz w:val="32"/>
          <w:szCs w:val="32"/>
        </w:rPr>
      </w:pPr>
      <w:r>
        <w:rPr>
          <w:rFonts w:hint="eastAsia" w:ascii="仿宋_GB2312" w:hAnsi="仿宋_GB2312" w:eastAsia="仿宋_GB2312" w:cs="仿宋_GB2312"/>
          <w:spacing w:val="2"/>
          <w:sz w:val="32"/>
          <w:szCs w:val="32"/>
        </w:rPr>
        <w:t>下属独立预算单位</w:t>
      </w:r>
      <w:r>
        <w:rPr>
          <w:rFonts w:hint="eastAsia" w:ascii="仿宋_GB2312" w:hAnsi="仿宋_GB2312" w:eastAsia="仿宋_GB2312" w:cs="仿宋_GB2312"/>
          <w:spacing w:val="-32"/>
          <w:sz w:val="32"/>
          <w:szCs w:val="32"/>
        </w:rPr>
        <w:t xml:space="preserve"> </w:t>
      </w:r>
      <w:r>
        <w:rPr>
          <w:rFonts w:hint="eastAsia" w:ascii="仿宋_GB2312" w:hAnsi="仿宋_GB2312" w:eastAsia="仿宋_GB2312" w:cs="仿宋_GB2312"/>
          <w:spacing w:val="-32"/>
          <w:sz w:val="32"/>
          <w:szCs w:val="32"/>
          <w:lang w:val="en-US" w:eastAsia="zh-CN"/>
        </w:rPr>
        <w:t>5</w:t>
      </w:r>
      <w:r>
        <w:rPr>
          <w:rFonts w:hint="eastAsia" w:ascii="仿宋_GB2312" w:hAnsi="仿宋_GB2312" w:eastAsia="仿宋_GB2312" w:cs="仿宋_GB2312"/>
          <w:spacing w:val="-59"/>
          <w:sz w:val="32"/>
          <w:szCs w:val="32"/>
        </w:rPr>
        <w:t xml:space="preserve"> </w:t>
      </w:r>
      <w:r>
        <w:rPr>
          <w:rFonts w:hint="eastAsia" w:ascii="仿宋_GB2312" w:hAnsi="仿宋_GB2312" w:eastAsia="仿宋_GB2312" w:cs="仿宋_GB2312"/>
          <w:spacing w:val="2"/>
          <w:sz w:val="32"/>
          <w:szCs w:val="32"/>
        </w:rPr>
        <w:t>个，分别为阿坝州歌舞团、阿坝州文化</w:t>
      </w:r>
      <w:r>
        <w:rPr>
          <w:rFonts w:hint="eastAsia" w:ascii="仿宋_GB2312" w:hAnsi="仿宋_GB2312" w:eastAsia="仿宋_GB2312" w:cs="仿宋_GB2312"/>
          <w:spacing w:val="6"/>
          <w:sz w:val="32"/>
          <w:szCs w:val="32"/>
        </w:rPr>
        <w:t>馆、阿坝州图书馆、阿坝州考古研究所（州</w:t>
      </w:r>
      <w:r>
        <w:rPr>
          <w:rFonts w:hint="eastAsia" w:ascii="仿宋_GB2312" w:hAnsi="仿宋_GB2312" w:eastAsia="仿宋_GB2312" w:cs="仿宋_GB2312"/>
          <w:spacing w:val="5"/>
          <w:sz w:val="32"/>
          <w:szCs w:val="32"/>
        </w:rPr>
        <w:t>博物馆）、阿坝州全</w:t>
      </w:r>
      <w:r>
        <w:rPr>
          <w:rFonts w:hint="eastAsia" w:ascii="仿宋_GB2312" w:hAnsi="仿宋_GB2312" w:eastAsia="仿宋_GB2312" w:cs="仿宋_GB2312"/>
          <w:spacing w:val="9"/>
          <w:sz w:val="32"/>
          <w:szCs w:val="32"/>
        </w:rPr>
        <w:t>域旅游研究所。</w:t>
      </w:r>
    </w:p>
    <w:p>
      <w:pPr>
        <w:keepNext w:val="0"/>
        <w:keepLines w:val="0"/>
        <w:pageBreakBefore w:val="0"/>
        <w:widowControl w:val="0"/>
        <w:kinsoku/>
        <w:wordWrap/>
        <w:overflowPunct/>
        <w:topLinePunct w:val="0"/>
        <w:autoSpaceDE/>
        <w:autoSpaceDN/>
        <w:bidi w:val="0"/>
        <w:adjustRightInd/>
        <w:snapToGrid/>
        <w:spacing w:line="560" w:lineRule="exact"/>
        <w:ind w:left="6" w:firstLine="656"/>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4"/>
          <w:sz w:val="32"/>
          <w:szCs w:val="32"/>
        </w:rPr>
        <w:t>下属非独立核算事业单位</w:t>
      </w:r>
      <w:r>
        <w:rPr>
          <w:rFonts w:hint="eastAsia" w:ascii="仿宋_GB2312" w:hAnsi="仿宋_GB2312" w:eastAsia="仿宋_GB2312" w:cs="仿宋_GB2312"/>
          <w:spacing w:val="-31"/>
          <w:sz w:val="32"/>
          <w:szCs w:val="32"/>
        </w:rPr>
        <w:t xml:space="preserve"> </w:t>
      </w:r>
      <w:r>
        <w:rPr>
          <w:rFonts w:hint="eastAsia" w:ascii="仿宋_GB2312" w:hAnsi="仿宋_GB2312" w:eastAsia="仿宋_GB2312" w:cs="仿宋_GB2312"/>
          <w:spacing w:val="-31"/>
          <w:sz w:val="32"/>
          <w:szCs w:val="32"/>
          <w:lang w:val="en-US" w:eastAsia="zh-CN"/>
        </w:rPr>
        <w:t>5</w:t>
      </w:r>
      <w:r>
        <w:rPr>
          <w:rFonts w:hint="eastAsia" w:ascii="仿宋_GB2312" w:hAnsi="仿宋_GB2312" w:eastAsia="仿宋_GB2312" w:cs="仿宋_GB2312"/>
          <w:spacing w:val="-60"/>
          <w:sz w:val="32"/>
          <w:szCs w:val="32"/>
        </w:rPr>
        <w:t xml:space="preserve"> </w:t>
      </w:r>
      <w:r>
        <w:rPr>
          <w:rFonts w:hint="eastAsia" w:ascii="仿宋_GB2312" w:hAnsi="仿宋_GB2312" w:eastAsia="仿宋_GB2312" w:cs="仿宋_GB2312"/>
          <w:spacing w:val="4"/>
          <w:sz w:val="32"/>
          <w:szCs w:val="32"/>
        </w:rPr>
        <w:t>个，分别为</w:t>
      </w:r>
      <w:r>
        <w:rPr>
          <w:rFonts w:hint="eastAsia" w:ascii="仿宋_GB2312" w:hAnsi="仿宋_GB2312" w:eastAsia="仿宋_GB2312" w:cs="仿宋_GB2312"/>
          <w:spacing w:val="5"/>
          <w:sz w:val="32"/>
          <w:szCs w:val="32"/>
        </w:rPr>
        <w:t>全域旅游产业发展中心、全域旅游营销中心、州国家文化公园服</w:t>
      </w:r>
      <w:r>
        <w:rPr>
          <w:rFonts w:hint="eastAsia" w:ascii="仿宋_GB2312" w:hAnsi="仿宋_GB2312" w:eastAsia="仿宋_GB2312" w:cs="仿宋_GB2312"/>
          <w:spacing w:val="9"/>
          <w:sz w:val="32"/>
          <w:szCs w:val="32"/>
        </w:rPr>
        <w:t>务中心、州文化生态保护区服务中心、州旅游质量促进中心。</w:t>
      </w:r>
    </w:p>
    <w:p>
      <w:pPr>
        <w:keepNext w:val="0"/>
        <w:keepLines w:val="0"/>
        <w:pageBreakBefore w:val="0"/>
        <w:widowControl w:val="0"/>
        <w:kinsoku/>
        <w:wordWrap/>
        <w:overflowPunct/>
        <w:topLinePunct w:val="0"/>
        <w:autoSpaceDE/>
        <w:autoSpaceDN/>
        <w:bidi w:val="0"/>
        <w:adjustRightInd/>
        <w:snapToGrid/>
        <w:spacing w:line="560" w:lineRule="exact"/>
        <w:ind w:right="42" w:firstLine="643" w:firstLineChars="200"/>
        <w:textAlignment w:val="auto"/>
        <w:rPr>
          <w:rFonts w:hint="eastAsia" w:ascii="仿宋_GB2312" w:hAnsi="仿宋_GB2312" w:eastAsia="仿宋_GB2312" w:cs="仿宋_GB2312"/>
          <w:sz w:val="32"/>
          <w:szCs w:val="32"/>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仿宋_GB2312" w:hAnsi="仿宋_GB2312" w:eastAsia="仿宋_GB2312" w:cs="仿宋_GB2312"/>
          <w:spacing w:val="3"/>
          <w:sz w:val="32"/>
          <w:szCs w:val="32"/>
        </w:rPr>
        <w:t>《中共阿坝州委办公室阿坝州人民政府办</w:t>
      </w:r>
      <w:r>
        <w:rPr>
          <w:rFonts w:hint="eastAsia" w:ascii="仿宋_GB2312" w:hAnsi="仿宋_GB2312" w:eastAsia="仿宋_GB2312" w:cs="仿宋_GB2312"/>
          <w:sz w:val="32"/>
          <w:szCs w:val="32"/>
        </w:rPr>
        <w:t>公室 关于印发&lt;阿坝州文化广播电视和旅游局 职能配置、内</w:t>
      </w:r>
      <w:r>
        <w:rPr>
          <w:rFonts w:hint="eastAsia" w:ascii="仿宋_GB2312" w:hAnsi="仿宋_GB2312" w:eastAsia="仿宋_GB2312" w:cs="仿宋_GB2312"/>
          <w:spacing w:val="-1"/>
          <w:sz w:val="32"/>
          <w:szCs w:val="32"/>
        </w:rPr>
        <w:t>设机构和人员编制规定&gt;的通知》（</w:t>
      </w:r>
      <w:r>
        <w:rPr>
          <w:rFonts w:hint="eastAsia" w:ascii="仿宋_GB2312" w:hAnsi="仿宋_GB2312" w:eastAsia="仿宋_GB2312" w:cs="仿宋_GB2312"/>
          <w:spacing w:val="-69"/>
          <w:sz w:val="32"/>
          <w:szCs w:val="32"/>
        </w:rPr>
        <w:t xml:space="preserve"> </w:t>
      </w:r>
      <w:r>
        <w:rPr>
          <w:rFonts w:hint="eastAsia" w:ascii="仿宋_GB2312" w:hAnsi="仿宋_GB2312" w:eastAsia="仿宋_GB2312" w:cs="仿宋_GB2312"/>
          <w:spacing w:val="-1"/>
          <w:sz w:val="32"/>
          <w:szCs w:val="32"/>
        </w:rPr>
        <w:t>阿委办发[2024]38</w:t>
      </w:r>
      <w:r>
        <w:rPr>
          <w:rFonts w:hint="eastAsia" w:ascii="仿宋_GB2312" w:hAnsi="仿宋_GB2312" w:eastAsia="仿宋_GB2312" w:cs="仿宋_GB2312"/>
          <w:spacing w:val="-46"/>
          <w:sz w:val="32"/>
          <w:szCs w:val="32"/>
        </w:rPr>
        <w:t xml:space="preserve"> </w:t>
      </w:r>
      <w:r>
        <w:rPr>
          <w:rFonts w:hint="eastAsia" w:ascii="仿宋_GB2312" w:hAnsi="仿宋_GB2312" w:eastAsia="仿宋_GB2312" w:cs="仿宋_GB2312"/>
          <w:spacing w:val="-1"/>
          <w:sz w:val="32"/>
          <w:szCs w:val="32"/>
        </w:rPr>
        <w:t>号）文</w:t>
      </w:r>
      <w:r>
        <w:rPr>
          <w:rFonts w:hint="eastAsia" w:ascii="仿宋_GB2312" w:hAnsi="仿宋_GB2312" w:eastAsia="仿宋_GB2312" w:cs="仿宋_GB2312"/>
          <w:spacing w:val="9"/>
          <w:sz w:val="32"/>
          <w:szCs w:val="32"/>
        </w:rPr>
        <w:t>件规定，州文广旅局负责贯彻落实党中央关于文化、广电、</w:t>
      </w:r>
      <w:r>
        <w:rPr>
          <w:rFonts w:hint="eastAsia" w:ascii="仿宋_GB2312" w:hAnsi="仿宋_GB2312" w:eastAsia="仿宋_GB2312" w:cs="仿宋_GB2312"/>
          <w:spacing w:val="11"/>
          <w:sz w:val="32"/>
          <w:szCs w:val="32"/>
        </w:rPr>
        <w:t>旅游工作的方针政策和省委、州委决策部署，把坚持和</w:t>
      </w:r>
      <w:r>
        <w:rPr>
          <w:rFonts w:hint="eastAsia" w:ascii="仿宋_GB2312" w:hAnsi="仿宋_GB2312" w:eastAsia="仿宋_GB2312" w:cs="仿宋_GB2312"/>
          <w:spacing w:val="6"/>
          <w:sz w:val="32"/>
          <w:szCs w:val="32"/>
        </w:rPr>
        <w:t>加强党中央对文化、广电、旅游工作的集中统一领导</w:t>
      </w:r>
      <w:r>
        <w:rPr>
          <w:rFonts w:hint="eastAsia" w:ascii="仿宋_GB2312" w:hAnsi="仿宋_GB2312" w:eastAsia="仿宋_GB2312" w:cs="仿宋_GB2312"/>
          <w:spacing w:val="5"/>
          <w:sz w:val="32"/>
          <w:szCs w:val="32"/>
        </w:rPr>
        <w:t>落实到履行职责过程中。主要职责是：</w:t>
      </w:r>
    </w:p>
    <w:p>
      <w:pPr>
        <w:keepNext w:val="0"/>
        <w:keepLines w:val="0"/>
        <w:pageBreakBefore w:val="0"/>
        <w:widowControl w:val="0"/>
        <w:kinsoku/>
        <w:wordWrap/>
        <w:overflowPunct/>
        <w:topLinePunct w:val="0"/>
        <w:autoSpaceDE/>
        <w:autoSpaceDN/>
        <w:bidi w:val="0"/>
        <w:adjustRightInd/>
        <w:snapToGrid/>
        <w:spacing w:line="560" w:lineRule="exact"/>
        <w:ind w:left="12" w:right="47" w:firstLine="648"/>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1.拟订文化、广电和旅游政策措施，拟订全州网 络</w:t>
      </w:r>
      <w:r>
        <w:rPr>
          <w:rFonts w:hint="eastAsia" w:ascii="仿宋_GB2312" w:hAnsi="仿宋_GB2312" w:eastAsia="仿宋_GB2312" w:cs="仿宋_GB2312"/>
          <w:spacing w:val="-3"/>
          <w:sz w:val="32"/>
          <w:szCs w:val="32"/>
        </w:rPr>
        <w:t>视听节目服务管理的政策措施。起草文化、广电和旅游自</w:t>
      </w:r>
      <w:r>
        <w:rPr>
          <w:rFonts w:hint="eastAsia" w:ascii="仿宋_GB2312" w:hAnsi="仿宋_GB2312" w:eastAsia="仿宋_GB2312" w:cs="仿宋_GB2312"/>
          <w:spacing w:val="5"/>
          <w:sz w:val="32"/>
          <w:szCs w:val="32"/>
        </w:rPr>
        <w:t>治法规、规范性文件草案，负责本部门依法行政工作。</w:t>
      </w:r>
    </w:p>
    <w:p>
      <w:pPr>
        <w:keepNext w:val="0"/>
        <w:keepLines w:val="0"/>
        <w:pageBreakBefore w:val="0"/>
        <w:widowControl w:val="0"/>
        <w:kinsoku/>
        <w:wordWrap/>
        <w:overflowPunct/>
        <w:topLinePunct w:val="0"/>
        <w:autoSpaceDE/>
        <w:autoSpaceDN/>
        <w:bidi w:val="0"/>
        <w:adjustRightInd/>
        <w:snapToGrid/>
        <w:spacing w:line="560" w:lineRule="exact"/>
        <w:ind w:left="4" w:right="47" w:firstLine="648"/>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2.加强广播电视阵地建设，把握正确的舆论导向和创作 导</w:t>
      </w:r>
      <w:r>
        <w:rPr>
          <w:rFonts w:hint="eastAsia" w:ascii="仿宋_GB2312" w:hAnsi="仿宋_GB2312" w:eastAsia="仿宋_GB2312" w:cs="仿宋_GB2312"/>
          <w:sz w:val="32"/>
          <w:szCs w:val="32"/>
        </w:rPr>
        <w:t>向。负责利用广播电视加强党和政府的声音传播力，抢占舆论 高</w:t>
      </w:r>
      <w:r>
        <w:rPr>
          <w:rFonts w:hint="eastAsia" w:ascii="仿宋_GB2312" w:hAnsi="仿宋_GB2312" w:eastAsia="仿宋_GB2312" w:cs="仿宋_GB2312"/>
          <w:spacing w:val="5"/>
          <w:sz w:val="32"/>
          <w:szCs w:val="32"/>
        </w:rPr>
        <w:t>地，强化舆论反制，巩固意识形态阵地。</w:t>
      </w:r>
    </w:p>
    <w:p>
      <w:pPr>
        <w:keepNext w:val="0"/>
        <w:keepLines w:val="0"/>
        <w:pageBreakBefore w:val="0"/>
        <w:widowControl w:val="0"/>
        <w:kinsoku/>
        <w:wordWrap/>
        <w:overflowPunct/>
        <w:topLinePunct w:val="0"/>
        <w:autoSpaceDE/>
        <w:autoSpaceDN/>
        <w:bidi w:val="0"/>
        <w:adjustRightInd/>
        <w:snapToGrid/>
        <w:spacing w:line="560" w:lineRule="exact"/>
        <w:ind w:left="6" w:right="47" w:firstLine="66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3.推进文化、广电、旅游体制机制改革。组织推动</w:t>
      </w:r>
      <w:r>
        <w:rPr>
          <w:rFonts w:hint="eastAsia" w:ascii="仿宋_GB2312" w:hAnsi="仿宋_GB2312" w:eastAsia="仿宋_GB2312" w:cs="仿宋_GB2312"/>
          <w:spacing w:val="-5"/>
          <w:sz w:val="32"/>
          <w:szCs w:val="32"/>
        </w:rPr>
        <w:t>全州文化、广电事业和旅游业发展，拟订发展规划并组</w:t>
      </w:r>
      <w:r>
        <w:rPr>
          <w:rFonts w:hint="eastAsia" w:ascii="仿宋_GB2312" w:hAnsi="仿宋_GB2312" w:eastAsia="仿宋_GB2312" w:cs="仿宋_GB2312"/>
          <w:spacing w:val="-6"/>
          <w:sz w:val="32"/>
          <w:szCs w:val="32"/>
        </w:rPr>
        <w:t xml:space="preserve"> 织</w:t>
      </w:r>
      <w:r>
        <w:rPr>
          <w:rFonts w:hint="eastAsia" w:ascii="仿宋_GB2312" w:hAnsi="仿宋_GB2312" w:eastAsia="仿宋_GB2312" w:cs="仿宋_GB2312"/>
          <w:spacing w:val="5"/>
          <w:sz w:val="32"/>
          <w:szCs w:val="32"/>
        </w:rPr>
        <w:t>实施。推进文化、广电和旅游产业融合发展，促进文化、广电和旅游与相关产业融合发展。</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4.组织实施全州文化、广电和旅游资源的普查</w:t>
      </w: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rPr>
        <w:t>保护与利用。管理全州性重大文化、广电和旅游活动，组织全州重点文化、广电和旅游设施建设。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5.组织实施全州文化、广电和旅游整体形象推广，促进文化、广电和旅游产业市场推广和对外合作交流。制定文化、广电和旅游市场开发战略并组织实施。负责管理文化、广电和旅游国内外交流合作与宣传推广工作，组织大型文化、广电和旅游对外及对港澳台交流活动。</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6.负责对全州各类广播电视机构进行业务指导和行业监管，会同有关部门对网络视听节目服务机构进行管理。组织实施广播电视节目评价工作，监督管理、审查广播电视和网络视听节目的内容和质量，指导、监管广播电视广告播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7.负责指导推进电视剧行业发展和创作生产。推进广播 电视与新媒体技术新业态融合发展、推进广电网与电信网、互联 网三网融合。负责广播电视节目传输覆盖、检测和安全播出的监 督管理，指导、推进应急广播体系建设。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8.弘扬优秀传统文化，推动阿坝本地特色文化传承发展。 指导管理文艺事业，把握正确的创作导向，推动文化艺术创作生产，扶持体现社会主义核心价值观、具有导向性代表性示范性的文化艺术作品，推动各门类艺术、各艺术品种发展。</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9.负责公共文化、广电事业发展，推进全州公共文化、广电服务体系建设和旅游公共服务建设，深入实施 惠民工程，统筹推进文化、广电和旅游基本公共服务标准化、均等化。</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10.负责文化、广电和旅游行业信息化、标准化建设，推进文化、广电和旅游科技创新。</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11.负责非物质文化遗产保护工作，推动非物质文化遗 产的传承、普及、弘扬和振兴。</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12.管理和指导全州文物保护、利用和考古工作，组织  开展文物资源调查工作。协调、指导和监督全州文物安全工作，履行文物行政督察职能。负责全州世界文化遗产保护和管理工作，协同相关部门开展世界文化与自然遗产、历史文化名城(镇、村)申报和管理工作。负责全州文物和博物馆公共服务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lang w:val="en-US" w:eastAsia="zh-CN"/>
        </w:rPr>
        <w:t>3</w:t>
      </w:r>
      <w:r>
        <w:rPr>
          <w:rFonts w:hint="eastAsia" w:ascii="仿宋_GB2312" w:hAnsi="仿宋_GB2312" w:eastAsia="仿宋_GB2312" w:cs="仿宋_GB2312"/>
          <w:spacing w:val="10"/>
          <w:sz w:val="32"/>
          <w:szCs w:val="32"/>
        </w:rPr>
        <w:t>.推动全州文化、广电和旅游市场发展，对全州文化、广电和旅游市场依法进行行业监管，依法规范文化、广电和旅游市场。推进文化、广电和旅游行业信用体系建设。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lang w:val="en-US" w:eastAsia="zh-CN"/>
        </w:rPr>
        <w:t>4</w:t>
      </w:r>
      <w:r>
        <w:rPr>
          <w:rFonts w:hint="eastAsia" w:ascii="仿宋_GB2312" w:hAnsi="仿宋_GB2312" w:eastAsia="仿宋_GB2312" w:cs="仿宋_GB2312"/>
          <w:spacing w:val="10"/>
          <w:sz w:val="32"/>
          <w:szCs w:val="32"/>
        </w:rPr>
        <w:t>.负责全州旅游景区管理机构、文旅企业的行业管理 和标准化建设。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lang w:val="en-US" w:eastAsia="zh-CN"/>
        </w:rPr>
        <w:t>5</w:t>
      </w:r>
      <w:r>
        <w:rPr>
          <w:rFonts w:hint="eastAsia" w:ascii="仿宋_GB2312" w:hAnsi="仿宋_GB2312" w:eastAsia="仿宋_GB2312" w:cs="仿宋_GB2312"/>
          <w:spacing w:val="10"/>
          <w:sz w:val="32"/>
          <w:szCs w:val="32"/>
        </w:rPr>
        <w:t>.统筹指导全州文化、广电、旅游市场综合行政执法，规范文化、广电、旅游行政执法，组织查处全州性、跨区域文化、文物、广电、旅游等违法行为，督查督办大案要案。</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lang w:val="en-US" w:eastAsia="zh-CN"/>
        </w:rPr>
        <w:t>6</w:t>
      </w:r>
      <w:r>
        <w:rPr>
          <w:rFonts w:hint="eastAsia" w:ascii="仿宋_GB2312" w:hAnsi="仿宋_GB2312" w:eastAsia="仿宋_GB2312" w:cs="仿宋_GB2312"/>
          <w:spacing w:val="10"/>
          <w:sz w:val="32"/>
          <w:szCs w:val="32"/>
        </w:rPr>
        <w:t>.负责文化、广电和旅游行业安全生产工作的综合协调与监督管理，制定职责范围内的安全生产年度监督检查 计划并组织实施。依法履行行业职业健康监管职责，承担职责范 围内生态环境保护、公共机构节能减排、审批服务便民化等工作。</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spacing w:val="10"/>
          <w:sz w:val="32"/>
          <w:szCs w:val="32"/>
          <w:lang w:val="en-US" w:eastAsia="zh-CN"/>
        </w:rPr>
        <w:t>17</w:t>
      </w:r>
      <w:r>
        <w:rPr>
          <w:rFonts w:hint="eastAsia" w:ascii="仿宋_GB2312" w:hAnsi="仿宋_GB2312" w:eastAsia="仿宋_GB2312" w:cs="仿宋_GB2312"/>
          <w:spacing w:val="10"/>
          <w:sz w:val="32"/>
          <w:szCs w:val="32"/>
        </w:rPr>
        <w:t>.完成州委、州政府交办的其他任务。</w:t>
      </w:r>
    </w:p>
    <w:p>
      <w:pPr>
        <w:keepNext w:val="0"/>
        <w:keepLines w:val="0"/>
        <w:pageBreakBefore w:val="0"/>
        <w:widowControl w:val="0"/>
        <w:kinsoku/>
        <w:wordWrap/>
        <w:overflowPunct/>
        <w:topLinePunct w:val="0"/>
        <w:autoSpaceDE/>
        <w:autoSpaceDN/>
        <w:bidi w:val="0"/>
        <w:adjustRightInd/>
        <w:snapToGrid/>
        <w:spacing w:line="560" w:lineRule="exact"/>
        <w:ind w:right="47" w:firstLine="643" w:firstLineChars="200"/>
        <w:textAlignment w:val="auto"/>
        <w:rPr>
          <w:rFonts w:hint="eastAsia" w:ascii="仿宋_GB2312" w:hAnsi="仿宋_GB2312" w:eastAsia="仿宋_GB2312" w:cs="仿宋_GB2312"/>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snapToGrid w:val="0"/>
          <w:color w:val="000000"/>
          <w:spacing w:val="11"/>
          <w:kern w:val="0"/>
          <w:sz w:val="32"/>
          <w:szCs w:val="32"/>
          <w:lang w:eastAsia="en-US"/>
        </w:rPr>
        <w:t>截至202</w:t>
      </w:r>
      <w:r>
        <w:rPr>
          <w:rFonts w:hint="eastAsia" w:ascii="仿宋_GB2312" w:hAnsi="仿宋_GB2312" w:eastAsia="仿宋_GB2312" w:cs="仿宋_GB2312"/>
          <w:snapToGrid w:val="0"/>
          <w:color w:val="000000"/>
          <w:spacing w:val="11"/>
          <w:kern w:val="0"/>
          <w:sz w:val="32"/>
          <w:szCs w:val="32"/>
          <w:lang w:val="en-US" w:eastAsia="zh-CN"/>
        </w:rPr>
        <w:t>5</w:t>
      </w:r>
      <w:r>
        <w:rPr>
          <w:rFonts w:hint="eastAsia" w:ascii="仿宋_GB2312" w:hAnsi="仿宋_GB2312" w:eastAsia="仿宋_GB2312" w:cs="仿宋_GB2312"/>
          <w:snapToGrid w:val="0"/>
          <w:color w:val="000000"/>
          <w:spacing w:val="11"/>
          <w:kern w:val="0"/>
          <w:sz w:val="32"/>
          <w:szCs w:val="32"/>
          <w:lang w:eastAsia="en-US"/>
        </w:rPr>
        <w:t>年末，州</w:t>
      </w:r>
      <w:r>
        <w:rPr>
          <w:rFonts w:hint="eastAsia" w:ascii="仿宋_GB2312" w:hAnsi="仿宋_GB2312" w:eastAsia="仿宋_GB2312" w:cs="仿宋_GB2312"/>
          <w:snapToGrid w:val="0"/>
          <w:color w:val="000000"/>
          <w:spacing w:val="10"/>
          <w:kern w:val="0"/>
          <w:sz w:val="32"/>
          <w:szCs w:val="32"/>
          <w:lang w:eastAsia="en-US"/>
        </w:rPr>
        <w:t>文广旅局部门（单</w:t>
      </w:r>
      <w:r>
        <w:rPr>
          <w:rFonts w:hint="eastAsia" w:ascii="仿宋_GB2312" w:hAnsi="仿宋_GB2312" w:eastAsia="仿宋_GB2312" w:cs="仿宋_GB2312"/>
          <w:snapToGrid w:val="0"/>
          <w:color w:val="000000"/>
          <w:spacing w:val="7"/>
          <w:kern w:val="0"/>
          <w:sz w:val="32"/>
          <w:szCs w:val="32"/>
          <w:lang w:eastAsia="en-US"/>
        </w:rPr>
        <w:t>位）及下属单位编制数</w:t>
      </w:r>
      <w:r>
        <w:rPr>
          <w:rFonts w:hint="eastAsia" w:ascii="仿宋_GB2312" w:hAnsi="仿宋_GB2312" w:eastAsia="仿宋_GB2312" w:cs="仿宋_GB2312"/>
          <w:snapToGrid w:val="0"/>
          <w:color w:val="000000"/>
          <w:spacing w:val="-59"/>
          <w:kern w:val="0"/>
          <w:sz w:val="32"/>
          <w:szCs w:val="32"/>
          <w:lang w:eastAsia="en-US"/>
        </w:rPr>
        <w:t xml:space="preserve"> </w:t>
      </w:r>
      <w:r>
        <w:rPr>
          <w:rFonts w:hint="eastAsia" w:ascii="仿宋_GB2312" w:hAnsi="仿宋_GB2312" w:eastAsia="仿宋_GB2312" w:cs="仿宋_GB2312"/>
          <w:snapToGrid w:val="0"/>
          <w:color w:val="000000"/>
          <w:spacing w:val="7"/>
          <w:kern w:val="0"/>
          <w:sz w:val="32"/>
          <w:szCs w:val="32"/>
          <w:lang w:eastAsia="en-US"/>
        </w:rPr>
        <w:t>299个</w:t>
      </w:r>
      <w:r>
        <w:rPr>
          <w:rFonts w:hint="eastAsia" w:ascii="仿宋_GB2312" w:hAnsi="仿宋_GB2312" w:eastAsia="仿宋_GB2312" w:cs="仿宋_GB2312"/>
          <w:snapToGrid w:val="0"/>
          <w:color w:val="000000"/>
          <w:spacing w:val="7"/>
          <w:kern w:val="0"/>
          <w:sz w:val="32"/>
          <w:szCs w:val="32"/>
          <w:lang w:val="en-US" w:eastAsia="zh-CN"/>
        </w:rPr>
        <w:t>,</w:t>
      </w:r>
      <w:r>
        <w:rPr>
          <w:rFonts w:hint="eastAsia" w:ascii="仿宋_GB2312" w:hAnsi="仿宋_GB2312" w:eastAsia="仿宋_GB2312" w:cs="仿宋_GB2312"/>
          <w:snapToGrid w:val="0"/>
          <w:color w:val="000000"/>
          <w:spacing w:val="7"/>
          <w:kern w:val="0"/>
          <w:sz w:val="32"/>
          <w:szCs w:val="32"/>
          <w:lang w:eastAsia="en-US"/>
        </w:rPr>
        <w:t>年末实有人数</w:t>
      </w:r>
      <w:r>
        <w:rPr>
          <w:rFonts w:hint="eastAsia" w:ascii="仿宋_GB2312" w:hAnsi="仿宋_GB2312" w:eastAsia="仿宋_GB2312" w:cs="仿宋_GB2312"/>
          <w:snapToGrid w:val="0"/>
          <w:color w:val="FF0000"/>
          <w:spacing w:val="-69"/>
          <w:kern w:val="0"/>
          <w:sz w:val="32"/>
          <w:szCs w:val="32"/>
          <w:lang w:eastAsia="en-US"/>
        </w:rPr>
        <w:t xml:space="preserve"> </w:t>
      </w:r>
      <w:r>
        <w:rPr>
          <w:rFonts w:hint="eastAsia" w:ascii="仿宋_GB2312" w:hAnsi="仿宋_GB2312" w:eastAsia="仿宋_GB2312" w:cs="仿宋_GB2312"/>
          <w:snapToGrid w:val="0"/>
          <w:color w:val="000000" w:themeColor="text1"/>
          <w:spacing w:val="7"/>
          <w:kern w:val="0"/>
          <w:sz w:val="32"/>
          <w:szCs w:val="32"/>
          <w:lang w:val="en-US" w:eastAsia="zh-CN"/>
          <w14:textFill>
            <w14:solidFill>
              <w14:schemeClr w14:val="tx1"/>
            </w14:solidFill>
          </w14:textFill>
        </w:rPr>
        <w:t>260</w:t>
      </w:r>
      <w:r>
        <w:rPr>
          <w:rFonts w:hint="eastAsia" w:ascii="仿宋_GB2312" w:hAnsi="仿宋_GB2312" w:eastAsia="仿宋_GB2312" w:cs="仿宋_GB2312"/>
          <w:snapToGrid w:val="0"/>
          <w:color w:val="000000"/>
          <w:spacing w:val="7"/>
          <w:kern w:val="0"/>
          <w:sz w:val="32"/>
          <w:szCs w:val="32"/>
          <w:lang w:eastAsia="en-US"/>
        </w:rPr>
        <w:t>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color w:val="auto"/>
          <w:kern w:val="2"/>
          <w:sz w:val="32"/>
          <w:szCs w:val="32"/>
          <w:highlight w:val="none"/>
          <w:lang w:val="en-US" w:eastAsia="zh-CN" w:bidi="ar-SA"/>
        </w:rPr>
        <w:t>州文广旅局</w:t>
      </w:r>
      <w:r>
        <w:rPr>
          <w:rFonts w:hint="eastAsia" w:ascii="仿宋_GB2312" w:hAnsi="仿宋_GB2312" w:eastAsia="仿宋_GB2312" w:cs="仿宋_GB2312"/>
          <w:sz w:val="32"/>
          <w:szCs w:val="32"/>
          <w:lang w:val="en-US" w:eastAsia="zh-CN"/>
        </w:rPr>
        <w:t>2025年年初预算收入5362.25万元、决算报表收入5362.25万元。</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color w:val="auto"/>
          <w:kern w:val="2"/>
          <w:sz w:val="32"/>
          <w:szCs w:val="32"/>
          <w:highlight w:val="none"/>
          <w:lang w:val="en-US" w:eastAsia="zh-CN" w:bidi="ar-SA"/>
        </w:rPr>
        <w:t>州文广旅局</w:t>
      </w:r>
      <w:r>
        <w:rPr>
          <w:rFonts w:hint="eastAsia" w:ascii="仿宋_GB2312" w:hAnsi="仿宋_GB2312" w:eastAsia="仿宋_GB2312" w:cs="仿宋_GB2312"/>
          <w:sz w:val="32"/>
          <w:szCs w:val="32"/>
          <w:lang w:val="en-US" w:eastAsia="zh-CN"/>
        </w:rPr>
        <w:t>2025年年初预算支出5362.25万元、决算报表支出5362.25万元。</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eastAsia" w:ascii="仿宋_GB2312" w:hAnsi="仿宋_GB2312"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eastAsia" w:ascii="仿宋_GB2312" w:hAnsi="仿宋_GB2312" w:eastAsia="仿宋_GB2312" w:cs="仿宋_GB2312"/>
          <w:color w:val="auto"/>
          <w:kern w:val="2"/>
          <w:sz w:val="32"/>
          <w:szCs w:val="32"/>
          <w:highlight w:val="none"/>
          <w:lang w:val="zh-CN" w:eastAsia="zh-CN" w:bidi="ar-SA"/>
        </w:rPr>
        <w:t>根据部门预算绩效评价指标体系“总体绩效”涉及二、三级指标进行逐项绩效分析并评分，依次包括履职效能、预算管理、财务管理、资产管理、采购管理等情况。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b/>
          <w:bCs/>
          <w:color w:val="auto"/>
          <w:kern w:val="2"/>
          <w:sz w:val="32"/>
          <w:szCs w:val="32"/>
          <w:highlight w:val="none"/>
          <w:lang w:val="en-US" w:eastAsia="zh-CN" w:bidi="ar-SA"/>
        </w:rPr>
        <w:t>1.</w:t>
      </w:r>
      <w:r>
        <w:rPr>
          <w:rFonts w:hint="eastAsia" w:ascii="仿宋_GB2312" w:hAnsi="仿宋_GB2312" w:eastAsia="仿宋_GB2312" w:cs="仿宋_GB2312"/>
          <w:b/>
          <w:bCs/>
          <w:color w:val="auto"/>
          <w:kern w:val="2"/>
          <w:sz w:val="32"/>
          <w:szCs w:val="32"/>
          <w:highlight w:val="none"/>
          <w:lang w:val="zh-CN" w:eastAsia="zh-CN" w:bidi="ar-SA"/>
        </w:rPr>
        <w:t>履职效能。</w:t>
      </w:r>
      <w:r>
        <w:rPr>
          <w:rFonts w:hint="eastAsia" w:ascii="仿宋_GB2312" w:hAnsi="仿宋_GB2312" w:eastAsia="仿宋_GB2312" w:cs="仿宋_GB2312"/>
          <w:color w:val="auto"/>
          <w:kern w:val="2"/>
          <w:sz w:val="32"/>
          <w:szCs w:val="32"/>
          <w:highlight w:val="none"/>
          <w:lang w:val="zh-CN" w:eastAsia="zh-CN" w:bidi="ar-SA"/>
        </w:rPr>
        <w:t>部门整体绩效目标中选定3-5个核心职能目标，对职能目标完成效果情况绩效分析。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b/>
          <w:bCs/>
          <w:color w:val="auto"/>
          <w:kern w:val="2"/>
          <w:sz w:val="32"/>
          <w:szCs w:val="32"/>
          <w:highlight w:val="none"/>
          <w:lang w:val="en-US" w:eastAsia="zh-CN" w:bidi="ar-SA"/>
        </w:rPr>
        <w:t>2.</w:t>
      </w:r>
      <w:r>
        <w:rPr>
          <w:rFonts w:hint="eastAsia" w:ascii="仿宋_GB2312" w:hAnsi="仿宋_GB2312" w:eastAsia="仿宋_GB2312" w:cs="仿宋_GB2312"/>
          <w:b/>
          <w:bCs/>
          <w:color w:val="auto"/>
          <w:kern w:val="2"/>
          <w:sz w:val="32"/>
          <w:szCs w:val="32"/>
          <w:highlight w:val="none"/>
          <w:lang w:val="zh-CN" w:eastAsia="zh-CN" w:bidi="ar-SA"/>
        </w:rPr>
        <w:t>预算管理。</w:t>
      </w:r>
      <w:r>
        <w:rPr>
          <w:rFonts w:hint="eastAsia" w:ascii="仿宋_GB2312" w:hAnsi="仿宋_GB2312" w:eastAsia="仿宋_GB2312" w:cs="仿宋_GB2312"/>
          <w:color w:val="auto"/>
          <w:kern w:val="2"/>
          <w:sz w:val="32"/>
          <w:szCs w:val="32"/>
          <w:highlight w:val="none"/>
          <w:lang w:val="zh-CN" w:eastAsia="zh-CN" w:bidi="ar-SA"/>
        </w:rPr>
        <w:t>围绕预算编制质量、单位收入统筹、支出执行进度、预算年终结余、严控一般性支出进行绩效分析。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按要求本单位</w:t>
      </w:r>
      <w:r>
        <w:rPr>
          <w:rFonts w:hint="eastAsia" w:ascii="仿宋_GB2312" w:hAnsi="仿宋_GB2312" w:eastAsia="仿宋_GB2312" w:cs="仿宋_GB2312"/>
          <w:color w:val="000000" w:themeColor="text1"/>
          <w:sz w:val="32"/>
          <w:szCs w:val="32"/>
          <w14:textFill>
            <w14:solidFill>
              <w14:schemeClr w14:val="tx1"/>
            </w14:solidFill>
          </w14:textFill>
        </w:rPr>
        <w:t>编制了202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年部门预算，并设立部门绩效总体目标：</w:t>
      </w:r>
      <w:r>
        <w:rPr>
          <w:rFonts w:hint="eastAsia" w:ascii="仿宋_GB2312" w:hAnsi="仿宋_GB2312" w:eastAsia="仿宋_GB2312" w:cs="仿宋_GB2312"/>
          <w:color w:val="000000"/>
          <w:kern w:val="0"/>
          <w:sz w:val="32"/>
          <w:szCs w:val="32"/>
        </w:rPr>
        <w:t>2025年，</w:t>
      </w:r>
      <w:r>
        <w:rPr>
          <w:rFonts w:hint="eastAsia" w:ascii="仿宋_GB2312" w:hAnsi="仿宋_GB2312" w:eastAsia="仿宋_GB2312" w:cs="仿宋_GB2312"/>
          <w:color w:val="000000"/>
          <w:kern w:val="0"/>
          <w:sz w:val="32"/>
          <w:szCs w:val="32"/>
          <w:lang w:val="en-US" w:eastAsia="zh-CN"/>
        </w:rPr>
        <w:t>本单位</w:t>
      </w:r>
      <w:r>
        <w:rPr>
          <w:rFonts w:hint="eastAsia" w:ascii="仿宋_GB2312" w:hAnsi="仿宋_GB2312" w:eastAsia="仿宋_GB2312" w:cs="仿宋_GB2312"/>
          <w:color w:val="000000"/>
          <w:kern w:val="0"/>
          <w:sz w:val="32"/>
          <w:szCs w:val="32"/>
        </w:rPr>
        <w:t>将紧扣州委十二届五次、六次全会精神，以群众工作为牵引，切实做好依法治旅和文广旅产业发展，推进全域旅游示范引领，做强高质量发展最大优势，通过抓经济、育产业、塑品牌、扩影响，做深做实生态文化旅游大文章，深入推进国际生态文化旅游目的地建设，全力提升经济指标，重点抓好“十二项重点工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严格按照财政部门预算编制通知明确范围、标准等编制部门预算，不存在无预算、超预算、超标准、超范围列支人员经费、公用经费和项目经费等问题。并对整体目标进行了细化，且全部达标。实际部门整体绩效目标能够合理反映部门年度职责履行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b/>
          <w:bCs/>
          <w:color w:val="auto"/>
          <w:kern w:val="2"/>
          <w:sz w:val="32"/>
          <w:szCs w:val="32"/>
          <w:highlight w:val="none"/>
          <w:lang w:val="en-US" w:eastAsia="zh-CN" w:bidi="ar-SA"/>
        </w:rPr>
        <w:t>3.</w:t>
      </w:r>
      <w:r>
        <w:rPr>
          <w:rFonts w:hint="eastAsia" w:ascii="仿宋_GB2312" w:hAnsi="仿宋_GB2312" w:eastAsia="仿宋_GB2312" w:cs="仿宋_GB2312"/>
          <w:b/>
          <w:bCs/>
          <w:color w:val="auto"/>
          <w:kern w:val="2"/>
          <w:sz w:val="32"/>
          <w:szCs w:val="32"/>
          <w:highlight w:val="none"/>
          <w:lang w:val="zh-CN" w:eastAsia="zh-CN" w:bidi="ar-SA"/>
        </w:rPr>
        <w:t>财务管理。</w:t>
      </w:r>
      <w:r>
        <w:rPr>
          <w:rFonts w:hint="eastAsia" w:ascii="仿宋_GB2312" w:hAnsi="仿宋_GB2312" w:eastAsia="仿宋_GB2312" w:cs="仿宋_GB2312"/>
          <w:color w:val="auto"/>
          <w:kern w:val="2"/>
          <w:sz w:val="32"/>
          <w:szCs w:val="32"/>
          <w:highlight w:val="none"/>
          <w:lang w:val="zh-CN" w:eastAsia="zh-CN" w:bidi="ar-SA"/>
        </w:rPr>
        <w:t>围绕财务管理制度、财务岗位设置、资金使用规范进行绩效分析。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单位严格执行《政府会计制度》和相关的法律法规，制定并完善本单位各项内控制度、岗位职责；财务岗位设置为会计1名、出纳1名、审核1名、财务机构负责人1名，严格执行不相容岗位相分离制度。资金使用方面不存在超预算或无预算安排、虚列支出、超范围超标准使用经费、违规使用“三公”经费、滥发津补贴、报销不合规等情况，资金支付严格审批流程。</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contextualSpacing/>
        <w:jc w:val="left"/>
        <w:textAlignment w:val="auto"/>
        <w:outlineLvl w:val="9"/>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b/>
          <w:bCs/>
          <w:color w:val="auto"/>
          <w:kern w:val="2"/>
          <w:sz w:val="32"/>
          <w:szCs w:val="32"/>
          <w:highlight w:val="none"/>
          <w:lang w:val="en-US" w:eastAsia="zh-CN" w:bidi="ar-SA"/>
        </w:rPr>
        <w:t>4.</w:t>
      </w:r>
      <w:r>
        <w:rPr>
          <w:rFonts w:hint="eastAsia" w:ascii="仿宋_GB2312" w:hAnsi="仿宋_GB2312" w:eastAsia="仿宋_GB2312" w:cs="仿宋_GB2312"/>
          <w:b/>
          <w:bCs/>
          <w:color w:val="auto"/>
          <w:kern w:val="2"/>
          <w:sz w:val="32"/>
          <w:szCs w:val="32"/>
          <w:highlight w:val="none"/>
          <w:lang w:val="zh-CN" w:eastAsia="zh-CN" w:bidi="ar-SA"/>
        </w:rPr>
        <w:t>资产管理。</w:t>
      </w:r>
      <w:r>
        <w:rPr>
          <w:rFonts w:hint="eastAsia" w:ascii="仿宋_GB2312" w:hAnsi="仿宋_GB2312" w:eastAsia="仿宋_GB2312" w:cs="仿宋_GB2312"/>
          <w:color w:val="auto"/>
          <w:kern w:val="2"/>
          <w:sz w:val="32"/>
          <w:szCs w:val="32"/>
          <w:highlight w:val="none"/>
          <w:lang w:val="zh-CN" w:eastAsia="zh-CN" w:bidi="ar-SA"/>
        </w:rPr>
        <w:t>围绕人均资产变化率、资产利用率、资产盘活率进行绩效分析。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i w:val="0"/>
          <w:sz w:val="32"/>
          <w:szCs w:val="32"/>
          <w:u w:val="none"/>
        </w:rPr>
        <w:t>根据《行政单位国有资产管理暂行办法》（财政部令第35号）、《事业单位国有资产管理暂行办法》（财政部令第36号）和《行政事业单位国有资产报告制度》等有关规定</w:t>
      </w:r>
      <w:r>
        <w:rPr>
          <w:rFonts w:hint="eastAsia" w:ascii="仿宋_GB2312" w:hAnsi="仿宋_GB2312" w:eastAsia="仿宋_GB2312" w:cs="仿宋_GB2312"/>
          <w:b w:val="0"/>
          <w:i w:val="0"/>
          <w:sz w:val="32"/>
          <w:szCs w:val="32"/>
          <w:u w:val="none"/>
          <w:lang w:val="en-US" w:eastAsia="zh-CN"/>
        </w:rPr>
        <w:t>对单位资产进行</w:t>
      </w:r>
      <w:r>
        <w:rPr>
          <w:rFonts w:hint="eastAsia" w:ascii="仿宋_GB2312" w:hAnsi="仿宋_GB2312" w:eastAsia="仿宋_GB2312" w:cs="仿宋_GB2312"/>
          <w:b w:val="0"/>
          <w:i w:val="0"/>
          <w:sz w:val="32"/>
          <w:szCs w:val="32"/>
          <w:u w:val="none"/>
        </w:rPr>
        <w:t>配置、使用</w:t>
      </w:r>
      <w:r>
        <w:rPr>
          <w:rFonts w:hint="eastAsia" w:ascii="仿宋_GB2312" w:hAnsi="仿宋_GB2312" w:eastAsia="仿宋_GB2312" w:cs="仿宋_GB2312"/>
          <w:b w:val="0"/>
          <w:i w:val="0"/>
          <w:sz w:val="32"/>
          <w:szCs w:val="32"/>
          <w:u w:val="none"/>
          <w:lang w:val="en-US" w:eastAsia="zh-CN"/>
        </w:rPr>
        <w:t>等管理。新购置</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固定资产、无形资产按规定及时录入资产系统，固定资产计提折旧费用，无形资产进行费用摊销。资产系统和核算系统做到了账账相符、账表相符、账实相符。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人均资产变化率：16.81%、资产利用率：100%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资产盘活率：本单位无闲置资产，故不存在资产盘活率。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b/>
          <w:bCs/>
          <w:color w:val="auto"/>
          <w:kern w:val="2"/>
          <w:sz w:val="32"/>
          <w:szCs w:val="32"/>
          <w:highlight w:val="none"/>
          <w:lang w:val="en-US" w:eastAsia="zh-CN" w:bidi="ar-SA"/>
        </w:rPr>
        <w:t>5.</w:t>
      </w:r>
      <w:r>
        <w:rPr>
          <w:rFonts w:hint="eastAsia" w:ascii="仿宋_GB2312" w:hAnsi="仿宋_GB2312" w:eastAsia="仿宋_GB2312" w:cs="仿宋_GB2312"/>
          <w:b/>
          <w:bCs/>
          <w:color w:val="auto"/>
          <w:kern w:val="2"/>
          <w:sz w:val="32"/>
          <w:szCs w:val="32"/>
          <w:highlight w:val="none"/>
          <w:lang w:val="zh-CN" w:eastAsia="zh-CN" w:bidi="ar-SA"/>
        </w:rPr>
        <w:t>采购管理。</w:t>
      </w:r>
      <w:r>
        <w:rPr>
          <w:rFonts w:hint="eastAsia" w:ascii="仿宋_GB2312" w:hAnsi="仿宋_GB2312" w:eastAsia="仿宋_GB2312" w:cs="仿宋_GB2312"/>
          <w:color w:val="auto"/>
          <w:kern w:val="2"/>
          <w:sz w:val="32"/>
          <w:szCs w:val="32"/>
          <w:highlight w:val="none"/>
          <w:lang w:val="zh-CN" w:eastAsia="zh-CN" w:bidi="ar-SA"/>
        </w:rPr>
        <w:t>围绕支持中小企业发展、采购执行率进行绩效分析。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本单位</w:t>
      </w:r>
      <w:r>
        <w:rPr>
          <w:rFonts w:hint="eastAsia" w:ascii="仿宋_GB2312" w:hAnsi="仿宋_GB2312" w:eastAsia="仿宋_GB2312" w:cs="仿宋_GB2312"/>
          <w:sz w:val="32"/>
          <w:szCs w:val="32"/>
        </w:rPr>
        <w:t>严格按照法定采购方式和</w:t>
      </w:r>
      <w:r>
        <w:rPr>
          <w:rFonts w:hint="eastAsia" w:ascii="仿宋_GB2312" w:hAnsi="仿宋_GB2312" w:eastAsia="仿宋_GB2312" w:cs="仿宋_GB2312"/>
          <w:sz w:val="32"/>
          <w:szCs w:val="32"/>
          <w:lang w:val="en-US" w:eastAsia="zh-CN"/>
        </w:rPr>
        <w:t>流程</w:t>
      </w:r>
      <w:r>
        <w:rPr>
          <w:rFonts w:hint="eastAsia" w:ascii="仿宋_GB2312" w:hAnsi="仿宋_GB2312" w:eastAsia="仿宋_GB2312" w:cs="仿宋_GB2312"/>
          <w:sz w:val="32"/>
          <w:szCs w:val="32"/>
        </w:rPr>
        <w:t>实施</w:t>
      </w:r>
      <w:r>
        <w:rPr>
          <w:rFonts w:hint="eastAsia" w:ascii="仿宋_GB2312" w:hAnsi="仿宋_GB2312" w:eastAsia="仿宋_GB2312" w:cs="仿宋_GB2312"/>
          <w:sz w:val="32"/>
          <w:szCs w:val="32"/>
          <w:lang w:val="en-US" w:eastAsia="zh-CN"/>
        </w:rPr>
        <w:t>政府</w:t>
      </w:r>
      <w:r>
        <w:rPr>
          <w:rFonts w:hint="eastAsia" w:ascii="仿宋_GB2312" w:hAnsi="仿宋_GB2312" w:eastAsia="仿宋_GB2312" w:cs="仿宋_GB2312"/>
          <w:sz w:val="32"/>
          <w:szCs w:val="32"/>
        </w:rPr>
        <w:t>采购，保证了政府采购信息的真实性和合法性，不存在无预算采购和超预算采购的情况。</w:t>
      </w:r>
      <w:r>
        <w:rPr>
          <w:rFonts w:hint="eastAsia" w:ascii="仿宋_GB2312" w:hAnsi="仿宋_GB2312" w:eastAsia="仿宋_GB2312" w:cs="仿宋_GB2312"/>
          <w:sz w:val="32"/>
          <w:szCs w:val="32"/>
          <w:lang w:val="en-US" w:eastAsia="zh-CN"/>
        </w:rPr>
        <w:t>2025年涉及采购项目为</w:t>
      </w:r>
      <w:r>
        <w:rPr>
          <w:rFonts w:hint="eastAsia" w:ascii="仿宋_GB2312" w:hAnsi="仿宋_GB2312" w:eastAsia="仿宋_GB2312" w:cs="仿宋_GB2312"/>
          <w:color w:val="auto"/>
          <w:kern w:val="2"/>
          <w:sz w:val="32"/>
          <w:szCs w:val="32"/>
          <w:highlight w:val="none"/>
          <w:lang w:val="en-US" w:eastAsia="zh-CN" w:bidi="ar-SA"/>
        </w:rPr>
        <w:t>2025年冬季及2026年春季旅游宣传营销项目、“天下九寨沟 大美阿坝州”全国行广州站宣传推介活动、非遗与旅游深度融合暨非遗品牌建设系列活动项目、“天下九寨沟 大美阿坝州”全国行上海站系列宣传推介活动项目、高原粮仓·净土阿坝——2025年阿坝州农牧品牌之夜活动项目、阿坝藏族羌族自治州文化广播电视和旅游局上海旅游节花车巡展服务项目、2025年度至2026年度文化旅游新媒体宣传服务项目、“天下九寨沟 大美阿坝州”全国行活动浙江站宣传推广项目、阿坝州2025年'童话公路'自行车赛项目、“天下九寨沟 大美阿坝州”全国行北京站宣传推介活动、《阿坝州民宿产业发展规划》编制及相关标准起草、车辆维修、车辆保养等。</w:t>
      </w:r>
      <w:r>
        <w:rPr>
          <w:rFonts w:hint="eastAsia" w:ascii="仿宋_GB2312" w:hAnsi="仿宋_GB2312" w:eastAsia="仿宋_GB2312" w:cs="仿宋_GB2312"/>
          <w:sz w:val="32"/>
          <w:szCs w:val="32"/>
          <w:lang w:val="en-US" w:eastAsia="zh-CN"/>
        </w:rPr>
        <w:t>采购中对中小企业未设定特殊限制条件。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8" w:lineRule="exact"/>
        <w:ind w:firstLine="643" w:firstLineChars="200"/>
        <w:contextualSpacing/>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仿宋_GB2312" w:hAnsi="仿宋_GB2312" w:eastAsia="仿宋_GB2312" w:cs="仿宋_GB2312"/>
          <w:color w:val="auto"/>
          <w:kern w:val="2"/>
          <w:sz w:val="32"/>
          <w:szCs w:val="32"/>
          <w:highlight w:val="none"/>
          <w:lang w:val="zh-CN" w:eastAsia="zh-CN" w:bidi="ar-SA"/>
        </w:rPr>
        <w:t>填报以下数据，并根据部门预算绩效评价指标体系“项目绩效”涉及二、三级指标进行逐项绩效分析并评分，依次包括项目</w:t>
      </w:r>
      <w:r>
        <w:rPr>
          <w:rFonts w:hint="eastAsia" w:ascii="仿宋_GB2312" w:hAnsi="仿宋_GB2312" w:eastAsia="仿宋_GB2312" w:cs="仿宋_GB2312"/>
          <w:color w:val="auto"/>
          <w:kern w:val="2"/>
          <w:sz w:val="32"/>
          <w:szCs w:val="32"/>
          <w:highlight w:val="none"/>
          <w:lang w:val="en-US" w:eastAsia="zh-CN" w:bidi="ar-SA"/>
        </w:rPr>
        <w:t>决策、项目执行、目标实现等情况。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8" w:lineRule="exact"/>
        <w:ind w:firstLine="640" w:firstLineChars="200"/>
        <w:contextualSpacing/>
        <w:jc w:val="both"/>
        <w:textAlignment w:val="auto"/>
        <w:outlineLvl w:val="9"/>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color w:val="auto"/>
          <w:kern w:val="2"/>
          <w:sz w:val="32"/>
          <w:szCs w:val="32"/>
          <w:highlight w:val="none"/>
          <w:lang w:val="en-US" w:eastAsia="zh-CN" w:bidi="ar-SA"/>
        </w:rPr>
        <w:t>常年项目绩效分析。</w:t>
      </w:r>
      <w:r>
        <w:rPr>
          <w:rFonts w:hint="eastAsia" w:ascii="仿宋_GB2312" w:hAnsi="仿宋_GB2312" w:eastAsia="仿宋_GB2312" w:cs="仿宋_GB2312"/>
          <w:color w:val="auto"/>
          <w:kern w:val="2"/>
          <w:sz w:val="32"/>
          <w:szCs w:val="32"/>
          <w:highlight w:val="none"/>
          <w:lang w:val="zh-CN" w:eastAsia="zh-CN" w:bidi="ar-SA"/>
        </w:rPr>
        <w:t>该类项目总数</w:t>
      </w:r>
      <w:r>
        <w:rPr>
          <w:rFonts w:hint="eastAsia" w:ascii="仿宋_GB2312" w:hAnsi="仿宋_GB2312" w:eastAsia="仿宋_GB2312" w:cs="仿宋_GB2312"/>
          <w:color w:val="auto"/>
          <w:kern w:val="2"/>
          <w:sz w:val="32"/>
          <w:szCs w:val="32"/>
          <w:highlight w:val="none"/>
          <w:lang w:val="en-US" w:eastAsia="zh-CN" w:bidi="ar-SA"/>
        </w:rPr>
        <w:t>31</w:t>
      </w:r>
      <w:r>
        <w:rPr>
          <w:rFonts w:hint="eastAsia" w:ascii="仿宋_GB2312" w:hAnsi="仿宋_GB2312" w:eastAsia="仿宋_GB2312" w:cs="仿宋_GB2312"/>
          <w:color w:val="auto"/>
          <w:kern w:val="2"/>
          <w:sz w:val="32"/>
          <w:szCs w:val="32"/>
          <w:highlight w:val="none"/>
          <w:lang w:val="zh-CN" w:eastAsia="zh-CN" w:bidi="ar-SA"/>
        </w:rPr>
        <w:t>个，涉及预算总金额</w:t>
      </w:r>
      <w:r>
        <w:rPr>
          <w:rFonts w:hint="eastAsia" w:ascii="仿宋_GB2312" w:hAnsi="仿宋_GB2312" w:eastAsia="仿宋_GB2312" w:cs="仿宋_GB2312"/>
          <w:color w:val="000000" w:themeColor="text1"/>
          <w:kern w:val="0"/>
          <w:sz w:val="32"/>
          <w:szCs w:val="32"/>
          <w:shd w:val="clear" w:color="auto" w:fill="FFFFFF"/>
          <w:lang w:val="en-US" w:eastAsia="zh-CN"/>
          <w14:textFill>
            <w14:solidFill>
              <w14:schemeClr w14:val="tx1"/>
            </w14:solidFill>
          </w14:textFill>
        </w:rPr>
        <w:t>1839.79</w:t>
      </w:r>
      <w:r>
        <w:rPr>
          <w:rFonts w:hint="eastAsia" w:ascii="仿宋_GB2312" w:hAnsi="仿宋_GB2312" w:eastAsia="仿宋_GB2312" w:cs="仿宋_GB2312"/>
          <w:color w:val="auto"/>
          <w:kern w:val="2"/>
          <w:sz w:val="32"/>
          <w:szCs w:val="32"/>
          <w:highlight w:val="none"/>
          <w:lang w:val="zh-CN" w:eastAsia="zh-CN" w:bidi="ar-SA"/>
        </w:rPr>
        <w:t>万元，1—1</w:t>
      </w:r>
      <w:r>
        <w:rPr>
          <w:rFonts w:hint="eastAsia" w:ascii="仿宋_GB2312" w:hAnsi="仿宋_GB2312" w:eastAsia="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kern w:val="2"/>
          <w:sz w:val="32"/>
          <w:szCs w:val="32"/>
          <w:highlight w:val="none"/>
          <w:lang w:val="zh-CN" w:eastAsia="zh-CN" w:bidi="ar-SA"/>
        </w:rPr>
        <w:t>月预算执行总体进度为</w:t>
      </w:r>
      <w:r>
        <w:rPr>
          <w:rFonts w:hint="eastAsia" w:ascii="仿宋_GB2312" w:hAnsi="仿宋_GB2312" w:eastAsia="仿宋_GB2312" w:cs="仿宋_GB2312"/>
          <w:color w:val="auto"/>
          <w:kern w:val="2"/>
          <w:sz w:val="32"/>
          <w:szCs w:val="32"/>
          <w:highlight w:val="none"/>
          <w:lang w:val="en-US" w:eastAsia="zh-CN" w:bidi="ar-SA"/>
        </w:rPr>
        <w:t>97.36</w:t>
      </w:r>
      <w:r>
        <w:rPr>
          <w:rFonts w:hint="eastAsia" w:ascii="仿宋_GB2312" w:hAnsi="仿宋_GB2312" w:eastAsia="仿宋_GB2312" w:cs="仿宋_GB2312"/>
          <w:color w:val="auto"/>
          <w:kern w:val="2"/>
          <w:sz w:val="32"/>
          <w:szCs w:val="32"/>
          <w:highlight w:val="none"/>
          <w:lang w:val="zh-CN" w:eastAsia="zh-CN" w:bidi="ar-SA"/>
        </w:rPr>
        <w:t>%，其中：预算结余率大于</w:t>
      </w:r>
      <w:r>
        <w:rPr>
          <w:rFonts w:hint="eastAsia" w:ascii="仿宋_GB2312" w:hAnsi="仿宋_GB2312" w:eastAsia="仿宋_GB2312" w:cs="仿宋_GB2312"/>
          <w:color w:val="auto"/>
          <w:kern w:val="2"/>
          <w:sz w:val="32"/>
          <w:szCs w:val="32"/>
          <w:highlight w:val="none"/>
          <w:lang w:val="en-US" w:eastAsia="zh-CN" w:bidi="ar-SA"/>
        </w:rPr>
        <w:t>10%</w:t>
      </w:r>
      <w:r>
        <w:rPr>
          <w:rFonts w:hint="eastAsia" w:ascii="仿宋_GB2312" w:hAnsi="仿宋_GB2312" w:eastAsia="仿宋_GB2312" w:cs="仿宋_GB2312"/>
          <w:color w:val="auto"/>
          <w:kern w:val="2"/>
          <w:sz w:val="32"/>
          <w:szCs w:val="32"/>
          <w:highlight w:val="none"/>
          <w:lang w:val="zh-CN" w:eastAsia="zh-CN" w:bidi="ar-SA"/>
        </w:rPr>
        <w:t>的项目共计</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8" w:lineRule="exact"/>
        <w:ind w:firstLine="640" w:firstLineChars="200"/>
        <w:contextualSpacing/>
        <w:jc w:val="both"/>
        <w:textAlignment w:val="auto"/>
        <w:outlineLvl w:val="9"/>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color w:val="auto"/>
          <w:kern w:val="2"/>
          <w:sz w:val="32"/>
          <w:szCs w:val="32"/>
          <w:highlight w:val="none"/>
          <w:lang w:val="en-US" w:eastAsia="zh-CN" w:bidi="ar-SA"/>
        </w:rPr>
        <w:t>阶段（一次性）项目绩效分析。</w:t>
      </w:r>
      <w:r>
        <w:rPr>
          <w:rFonts w:hint="eastAsia" w:ascii="仿宋_GB2312" w:hAnsi="仿宋_GB2312" w:eastAsia="仿宋_GB2312" w:cs="仿宋_GB2312"/>
          <w:color w:val="auto"/>
          <w:kern w:val="2"/>
          <w:sz w:val="32"/>
          <w:szCs w:val="32"/>
          <w:highlight w:val="none"/>
          <w:lang w:val="zh-CN" w:eastAsia="zh-CN" w:bidi="ar-SA"/>
        </w:rPr>
        <w:t>该类项目总数</w:t>
      </w:r>
      <w:r>
        <w:rPr>
          <w:rFonts w:hint="eastAsia" w:ascii="仿宋_GB2312" w:hAnsi="仿宋_GB2312" w:eastAsia="仿宋_GB2312" w:cs="仿宋_GB2312"/>
          <w:color w:val="auto"/>
          <w:kern w:val="2"/>
          <w:sz w:val="32"/>
          <w:szCs w:val="32"/>
          <w:highlight w:val="none"/>
          <w:lang w:val="en-US" w:eastAsia="zh-CN" w:bidi="ar-SA"/>
        </w:rPr>
        <w:t>108</w:t>
      </w:r>
      <w:r>
        <w:rPr>
          <w:rFonts w:hint="eastAsia" w:ascii="仿宋_GB2312" w:hAnsi="仿宋_GB2312" w:eastAsia="仿宋_GB2312" w:cs="仿宋_GB2312"/>
          <w:color w:val="auto"/>
          <w:kern w:val="2"/>
          <w:sz w:val="32"/>
          <w:szCs w:val="32"/>
          <w:highlight w:val="none"/>
          <w:lang w:val="zh-CN" w:eastAsia="zh-CN" w:bidi="ar-SA"/>
        </w:rPr>
        <w:t>个，涉及预算总金额</w:t>
      </w:r>
      <w:r>
        <w:rPr>
          <w:rFonts w:hint="eastAsia" w:ascii="仿宋_GB2312" w:hAnsi="仿宋_GB2312" w:eastAsia="仿宋_GB2312" w:cs="仿宋_GB2312"/>
          <w:color w:val="000000" w:themeColor="text1"/>
          <w:kern w:val="0"/>
          <w:sz w:val="32"/>
          <w:szCs w:val="32"/>
          <w:shd w:val="clear" w:color="auto" w:fill="FFFFFF"/>
          <w:lang w:val="en-US" w:eastAsia="zh-CN"/>
          <w14:textFill>
            <w14:solidFill>
              <w14:schemeClr w14:val="tx1"/>
            </w14:solidFill>
          </w14:textFill>
        </w:rPr>
        <w:t>5863.05</w:t>
      </w:r>
      <w:r>
        <w:rPr>
          <w:rFonts w:hint="eastAsia" w:ascii="仿宋_GB2312" w:hAnsi="仿宋_GB2312" w:eastAsia="仿宋_GB2312" w:cs="仿宋_GB2312"/>
          <w:color w:val="auto"/>
          <w:kern w:val="2"/>
          <w:sz w:val="32"/>
          <w:szCs w:val="32"/>
          <w:highlight w:val="none"/>
          <w:lang w:val="zh-CN" w:eastAsia="zh-CN" w:bidi="ar-SA"/>
        </w:rPr>
        <w:t>万元，1—1</w:t>
      </w:r>
      <w:r>
        <w:rPr>
          <w:rFonts w:hint="eastAsia" w:ascii="仿宋_GB2312" w:hAnsi="仿宋_GB2312" w:eastAsia="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kern w:val="2"/>
          <w:sz w:val="32"/>
          <w:szCs w:val="32"/>
          <w:highlight w:val="none"/>
          <w:lang w:val="zh-CN" w:eastAsia="zh-CN" w:bidi="ar-SA"/>
        </w:rPr>
        <w:t>月预算执行总体进度为</w:t>
      </w:r>
      <w:r>
        <w:rPr>
          <w:rFonts w:hint="eastAsia" w:ascii="仿宋_GB2312" w:hAnsi="仿宋_GB2312" w:eastAsia="仿宋_GB2312" w:cs="仿宋_GB2312"/>
          <w:color w:val="000000" w:themeColor="text1"/>
          <w:kern w:val="0"/>
          <w:sz w:val="32"/>
          <w:szCs w:val="32"/>
          <w:shd w:val="clear" w:color="auto" w:fill="FFFFFF"/>
          <w:lang w:val="en-US" w:eastAsia="zh-CN"/>
          <w14:textFill>
            <w14:solidFill>
              <w14:schemeClr w14:val="tx1"/>
            </w14:solidFill>
          </w14:textFill>
        </w:rPr>
        <w:t>97.86</w:t>
      </w:r>
      <w:r>
        <w:rPr>
          <w:rFonts w:hint="eastAsia" w:ascii="仿宋_GB2312" w:hAnsi="仿宋_GB2312" w:eastAsia="仿宋_GB2312" w:cs="仿宋_GB2312"/>
          <w:color w:val="auto"/>
          <w:kern w:val="2"/>
          <w:sz w:val="32"/>
          <w:szCs w:val="32"/>
          <w:highlight w:val="none"/>
          <w:lang w:val="zh-CN" w:eastAsia="zh-CN" w:bidi="ar-SA"/>
        </w:rPr>
        <w:t>%，其中：预算结余率大于</w:t>
      </w:r>
      <w:r>
        <w:rPr>
          <w:rFonts w:hint="eastAsia" w:ascii="仿宋_GB2312" w:hAnsi="仿宋_GB2312" w:eastAsia="仿宋_GB2312" w:cs="仿宋_GB2312"/>
          <w:color w:val="auto"/>
          <w:kern w:val="2"/>
          <w:sz w:val="32"/>
          <w:szCs w:val="32"/>
          <w:highlight w:val="none"/>
          <w:lang w:val="en-US" w:eastAsia="zh-CN" w:bidi="ar-SA"/>
        </w:rPr>
        <w:t>10%</w:t>
      </w:r>
      <w:r>
        <w:rPr>
          <w:rFonts w:hint="eastAsia" w:ascii="仿宋_GB2312" w:hAnsi="仿宋_GB2312" w:eastAsia="仿宋_GB2312" w:cs="仿宋_GB2312"/>
          <w:color w:val="auto"/>
          <w:kern w:val="2"/>
          <w:sz w:val="32"/>
          <w:szCs w:val="32"/>
          <w:highlight w:val="none"/>
          <w:lang w:val="zh-CN" w:eastAsia="zh-CN" w:bidi="ar-SA"/>
        </w:rPr>
        <w:t>的项目共计</w:t>
      </w:r>
      <w:r>
        <w:rPr>
          <w:rFonts w:hint="eastAsia" w:ascii="仿宋_GB2312" w:hAnsi="仿宋_GB2312" w:eastAsia="仿宋_GB2312" w:cs="仿宋_GB2312"/>
          <w:color w:val="auto"/>
          <w:kern w:val="2"/>
          <w:sz w:val="32"/>
          <w:szCs w:val="32"/>
          <w:highlight w:val="none"/>
          <w:lang w:val="en-US" w:eastAsia="zh-CN" w:bidi="ar-SA"/>
        </w:rPr>
        <w:t>13</w:t>
      </w:r>
      <w:r>
        <w:rPr>
          <w:rFonts w:hint="eastAsia" w:ascii="仿宋_GB2312" w:hAnsi="仿宋_GB2312" w:eastAsia="仿宋_GB2312" w:cs="仿宋_GB2312"/>
          <w:color w:val="auto"/>
          <w:kern w:val="2"/>
          <w:sz w:val="32"/>
          <w:szCs w:val="32"/>
          <w:highlight w:val="none"/>
          <w:lang w:val="zh-CN" w:eastAsia="zh-CN" w:bidi="ar-SA"/>
        </w:rPr>
        <w:t>个。</w:t>
      </w:r>
    </w:p>
    <w:p>
      <w:pPr>
        <w:keepNext w:val="0"/>
        <w:keepLines w:val="0"/>
        <w:pageBreakBefore w:val="0"/>
        <w:widowControl w:val="0"/>
        <w:kinsoku/>
        <w:wordWrap/>
        <w:overflowPunct/>
        <w:topLinePunct w:val="0"/>
        <w:autoSpaceDE/>
        <w:autoSpaceDN/>
        <w:bidi w:val="0"/>
        <w:adjustRightInd/>
        <w:snapToGrid/>
        <w:spacing w:line="560" w:lineRule="exact"/>
        <w:ind w:left="0" w:right="136" w:firstLine="663"/>
        <w:jc w:val="both"/>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b/>
          <w:bCs/>
          <w:color w:val="auto"/>
          <w:kern w:val="2"/>
          <w:sz w:val="32"/>
          <w:szCs w:val="32"/>
          <w:highlight w:val="none"/>
          <w:lang w:val="en-US" w:eastAsia="zh-CN" w:bidi="ar-SA"/>
        </w:rPr>
        <w:t>1.</w:t>
      </w:r>
      <w:r>
        <w:rPr>
          <w:rFonts w:hint="eastAsia" w:ascii="仿宋_GB2312" w:hAnsi="仿宋_GB2312" w:eastAsia="仿宋_GB2312" w:cs="仿宋_GB2312"/>
          <w:b/>
          <w:bCs/>
          <w:color w:val="auto"/>
          <w:kern w:val="2"/>
          <w:sz w:val="32"/>
          <w:szCs w:val="32"/>
          <w:highlight w:val="none"/>
          <w:lang w:val="zh-CN" w:eastAsia="zh-CN" w:bidi="ar-SA"/>
        </w:rPr>
        <w:t>项目决策。</w:t>
      </w:r>
      <w:r>
        <w:rPr>
          <w:rFonts w:hint="eastAsia" w:ascii="仿宋_GB2312" w:hAnsi="仿宋_GB2312" w:eastAsia="仿宋_GB2312" w:cs="仿宋_GB2312"/>
          <w:spacing w:val="4"/>
          <w:sz w:val="32"/>
          <w:szCs w:val="32"/>
        </w:rPr>
        <w:t>本</w:t>
      </w:r>
      <w:r>
        <w:rPr>
          <w:rFonts w:hint="eastAsia" w:ascii="仿宋_GB2312" w:hAnsi="仿宋_GB2312" w:eastAsia="仿宋_GB2312" w:cs="仿宋_GB2312"/>
          <w:spacing w:val="4"/>
          <w:sz w:val="32"/>
          <w:szCs w:val="32"/>
          <w:lang w:val="en-US" w:eastAsia="zh-CN"/>
        </w:rPr>
        <w:t>单位</w:t>
      </w:r>
      <w:r>
        <w:rPr>
          <w:rFonts w:hint="eastAsia" w:ascii="仿宋_GB2312" w:hAnsi="仿宋_GB2312" w:eastAsia="仿宋_GB2312" w:cs="仿宋_GB2312"/>
          <w:spacing w:val="4"/>
          <w:sz w:val="32"/>
          <w:szCs w:val="32"/>
        </w:rPr>
        <w:t>项目在编制预算时，均按照预算绩效管理设立预算绩效总体目标及细化目标，绩效目标设置科学合理，项目申报程序合规，项目及时入库。</w:t>
      </w:r>
    </w:p>
    <w:p>
      <w:pPr>
        <w:keepNext w:val="0"/>
        <w:keepLines w:val="0"/>
        <w:pageBreakBefore w:val="0"/>
        <w:widowControl w:val="0"/>
        <w:kinsoku/>
        <w:wordWrap/>
        <w:overflowPunct/>
        <w:topLinePunct w:val="0"/>
        <w:autoSpaceDE/>
        <w:autoSpaceDN/>
        <w:bidi w:val="0"/>
        <w:adjustRightInd/>
        <w:snapToGrid/>
        <w:spacing w:line="560" w:lineRule="exact"/>
        <w:ind w:left="0" w:right="136" w:firstLine="663"/>
        <w:jc w:val="both"/>
        <w:textAlignment w:val="auto"/>
        <w:rPr>
          <w:rFonts w:hint="eastAsia" w:ascii="仿宋_GB2312" w:hAnsi="仿宋_GB2312" w:eastAsia="仿宋_GB2312" w:cs="仿宋_GB2312"/>
          <w:color w:val="000000" w:themeColor="text1"/>
          <w:spacing w:val="4"/>
          <w:sz w:val="32"/>
          <w:szCs w:val="32"/>
          <w14:textFill>
            <w14:solidFill>
              <w14:schemeClr w14:val="tx1"/>
            </w14:solidFill>
          </w14:textFill>
        </w:rPr>
      </w:pPr>
      <w:r>
        <w:rPr>
          <w:rFonts w:hint="eastAsia" w:ascii="仿宋_GB2312" w:hAnsi="仿宋_GB2312" w:eastAsia="仿宋_GB2312" w:cs="仿宋_GB2312"/>
          <w:b/>
          <w:bCs/>
          <w:color w:val="auto"/>
          <w:kern w:val="2"/>
          <w:sz w:val="32"/>
          <w:szCs w:val="32"/>
          <w:highlight w:val="none"/>
          <w:lang w:val="en-US" w:eastAsia="zh-CN" w:bidi="ar-SA"/>
        </w:rPr>
        <w:t>2.项目执行</w:t>
      </w:r>
      <w:r>
        <w:rPr>
          <w:rFonts w:hint="eastAsia" w:ascii="仿宋_GB2312" w:hAnsi="仿宋_GB2312" w:eastAsia="仿宋_GB2312" w:cs="仿宋_GB2312"/>
          <w:b/>
          <w:bCs/>
          <w:color w:val="auto"/>
          <w:kern w:val="2"/>
          <w:sz w:val="32"/>
          <w:szCs w:val="32"/>
          <w:highlight w:val="none"/>
          <w:lang w:val="zh-CN" w:eastAsia="zh-CN" w:bidi="ar-SA"/>
        </w:rPr>
        <w:t>。</w:t>
      </w:r>
      <w:r>
        <w:rPr>
          <w:rFonts w:hint="eastAsia" w:ascii="仿宋_GB2312" w:hAnsi="仿宋_GB2312" w:eastAsia="仿宋_GB2312" w:cs="仿宋_GB2312"/>
          <w:color w:val="000000" w:themeColor="text1"/>
          <w:spacing w:val="4"/>
          <w:sz w:val="32"/>
          <w:szCs w:val="32"/>
          <w14:textFill>
            <w14:solidFill>
              <w14:schemeClr w14:val="tx1"/>
            </w14:solidFill>
          </w14:textFill>
        </w:rPr>
        <w:t>本</w:t>
      </w:r>
      <w:r>
        <w:rPr>
          <w:rFonts w:hint="eastAsia" w:ascii="仿宋_GB2312" w:hAnsi="仿宋_GB2312" w:eastAsia="仿宋_GB2312" w:cs="仿宋_GB2312"/>
          <w:color w:val="000000" w:themeColor="text1"/>
          <w:spacing w:val="4"/>
          <w:sz w:val="32"/>
          <w:szCs w:val="32"/>
          <w:lang w:val="en-US" w:eastAsia="zh-CN"/>
          <w14:textFill>
            <w14:solidFill>
              <w14:schemeClr w14:val="tx1"/>
            </w14:solidFill>
          </w14:textFill>
        </w:rPr>
        <w:t>单位</w:t>
      </w:r>
      <w:r>
        <w:rPr>
          <w:rFonts w:hint="eastAsia" w:ascii="仿宋_GB2312" w:hAnsi="仿宋_GB2312" w:eastAsia="仿宋_GB2312" w:cs="仿宋_GB2312"/>
          <w:color w:val="000000" w:themeColor="text1"/>
          <w:spacing w:val="4"/>
          <w:sz w:val="32"/>
          <w:szCs w:val="32"/>
          <w14:textFill>
            <w14:solidFill>
              <w14:schemeClr w14:val="tx1"/>
            </w14:solidFill>
          </w14:textFill>
        </w:rPr>
        <w:t>预算项目实际支付内容与绩效目标设置方向相符。</w:t>
      </w:r>
    </w:p>
    <w:p>
      <w:pPr>
        <w:keepNext w:val="0"/>
        <w:keepLines w:val="0"/>
        <w:pageBreakBefore w:val="0"/>
        <w:widowControl w:val="0"/>
        <w:kinsoku/>
        <w:wordWrap/>
        <w:overflowPunct/>
        <w:topLinePunct w:val="0"/>
        <w:autoSpaceDE/>
        <w:autoSpaceDN/>
        <w:bidi w:val="0"/>
        <w:adjustRightInd/>
        <w:snapToGrid/>
        <w:spacing w:line="560" w:lineRule="exact"/>
        <w:ind w:left="0" w:right="136" w:firstLine="663"/>
        <w:jc w:val="both"/>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b/>
          <w:bCs/>
          <w:color w:val="auto"/>
          <w:kern w:val="2"/>
          <w:sz w:val="32"/>
          <w:szCs w:val="32"/>
          <w:highlight w:val="none"/>
          <w:lang w:val="en-US" w:eastAsia="zh-CN" w:bidi="ar-SA"/>
        </w:rPr>
        <w:t>3.</w:t>
      </w:r>
      <w:r>
        <w:rPr>
          <w:rFonts w:hint="eastAsia" w:ascii="仿宋_GB2312" w:hAnsi="仿宋_GB2312" w:eastAsia="仿宋_GB2312" w:cs="仿宋_GB2312"/>
          <w:b/>
          <w:bCs/>
          <w:color w:val="auto"/>
          <w:kern w:val="2"/>
          <w:sz w:val="32"/>
          <w:szCs w:val="32"/>
          <w:highlight w:val="none"/>
          <w:lang w:val="zh-CN" w:eastAsia="zh-CN" w:bidi="ar-SA"/>
        </w:rPr>
        <w:t>目标实现。</w:t>
      </w:r>
      <w:r>
        <w:rPr>
          <w:rFonts w:hint="eastAsia" w:ascii="仿宋_GB2312" w:hAnsi="仿宋_GB2312" w:eastAsia="仿宋_GB2312" w:cs="仿宋_GB2312"/>
          <w:spacing w:val="4"/>
          <w:sz w:val="32"/>
          <w:szCs w:val="32"/>
        </w:rPr>
        <w:t>本</w:t>
      </w:r>
      <w:r>
        <w:rPr>
          <w:rFonts w:hint="eastAsia" w:ascii="仿宋_GB2312" w:hAnsi="仿宋_GB2312" w:eastAsia="仿宋_GB2312" w:cs="仿宋_GB2312"/>
          <w:spacing w:val="4"/>
          <w:sz w:val="32"/>
          <w:szCs w:val="32"/>
          <w:lang w:val="en-US" w:eastAsia="zh-CN"/>
        </w:rPr>
        <w:t>单位</w:t>
      </w:r>
      <w:r>
        <w:rPr>
          <w:rFonts w:hint="eastAsia" w:ascii="仿宋_GB2312" w:hAnsi="仿宋_GB2312" w:eastAsia="仿宋_GB2312" w:cs="仿宋_GB2312"/>
          <w:spacing w:val="4"/>
          <w:sz w:val="32"/>
          <w:szCs w:val="32"/>
        </w:rPr>
        <w:t>编制的预算项目和预算项目绩效目标数量指标完成率高，预算项目绩效目标数量与实现程度与预期目标的偏离度低，预算项目实施效果较好。</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围绕内部应用情况、</w:t>
      </w:r>
      <w:r>
        <w:rPr>
          <w:rFonts w:hint="default" w:ascii="Times New Roman" w:hAnsi="Times New Roman" w:eastAsia="仿宋_GB2312" w:cs="仿宋_GB2312"/>
          <w:color w:val="auto"/>
          <w:kern w:val="2"/>
          <w:sz w:val="32"/>
          <w:szCs w:val="32"/>
          <w:highlight w:val="none"/>
          <w:lang w:val="zh-CN" w:eastAsia="zh-CN" w:bidi="ar-SA"/>
        </w:rPr>
        <w:t>信息公开情况</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整改反馈情况</w:t>
      </w:r>
      <w:r>
        <w:rPr>
          <w:rFonts w:hint="eastAsia" w:ascii="Times New Roman" w:hAnsi="Times New Roman" w:eastAsia="仿宋_GB2312" w:cs="仿宋_GB2312"/>
          <w:color w:val="auto"/>
          <w:kern w:val="2"/>
          <w:sz w:val="32"/>
          <w:szCs w:val="32"/>
          <w:highlight w:val="none"/>
          <w:lang w:val="zh-CN" w:eastAsia="zh-CN" w:bidi="ar-SA"/>
        </w:rPr>
        <w:t>进行分析。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州财政局对本单位2025年部分项目进行了绩效评价，已按要求对绩效评价中提出的问题进行了整改，并按规定时间向州财政局报送了整改报告，及时上传一体化系统。在以后的工作中不再发生类似问题。按规定进行了对外公开。</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pPr>
        <w:keepNext w:val="0"/>
        <w:keepLines w:val="0"/>
        <w:pageBreakBefore w:val="0"/>
        <w:widowControl/>
        <w:kinsoku/>
        <w:wordWrap/>
        <w:overflowPunct/>
        <w:topLinePunct w:val="0"/>
        <w:autoSpaceDE/>
        <w:autoSpaceDN/>
        <w:bidi w:val="0"/>
        <w:adjustRightInd w:val="0"/>
        <w:snapToGrid w:val="0"/>
        <w:spacing w:line="558" w:lineRule="exact"/>
        <w:ind w:firstLine="640" w:firstLineChars="200"/>
        <w:contextualSpacing/>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rPr>
        <w:t>从整体上看，202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本单位</w:t>
      </w:r>
      <w:r>
        <w:rPr>
          <w:rFonts w:hint="eastAsia" w:ascii="仿宋_GB2312" w:hAnsi="仿宋_GB2312" w:eastAsia="仿宋_GB2312" w:cs="仿宋_GB2312"/>
          <w:color w:val="000000"/>
          <w:sz w:val="32"/>
          <w:szCs w:val="32"/>
        </w:rPr>
        <w:t>资金运行维护决策正确，资金管理规范，项目管理到位，政策执行有力，有效发挥了财政资金的使用效率，顺利完成了各项任务。三公经费严格控制在预算范围内，严格落实了厉行节约的原则。</w:t>
      </w:r>
      <w:r>
        <w:rPr>
          <w:rFonts w:hint="eastAsia" w:ascii="仿宋_GB2312" w:hAnsi="仿宋_GB2312" w:eastAsia="仿宋_GB2312" w:cs="仿宋_GB2312"/>
          <w:color w:val="000000"/>
          <w:sz w:val="32"/>
          <w:szCs w:val="32"/>
          <w:lang w:eastAsia="zh-CN"/>
        </w:rPr>
        <w:t>参照专项预算项目支出绩效评价指标体系计算，</w:t>
      </w:r>
      <w:r>
        <w:rPr>
          <w:rFonts w:hint="eastAsia" w:ascii="仿宋_GB2312" w:hAnsi="仿宋_GB2312" w:eastAsia="仿宋_GB2312" w:cs="仿宋_GB2312"/>
          <w:color w:val="000000"/>
          <w:sz w:val="32"/>
          <w:szCs w:val="32"/>
          <w:lang w:val="en-US" w:eastAsia="zh-CN"/>
        </w:rPr>
        <w:t>2025年整体绩效评价得分是：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92分。</w:t>
      </w:r>
    </w:p>
    <w:p>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 w:hAnsi="仿宋" w:eastAsia="仿宋" w:cs="仿宋"/>
          <w:color w:val="000000"/>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32" w:firstLineChars="200"/>
        <w:contextualSpacing/>
        <w:jc w:val="left"/>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2"/>
          <w:sz w:val="32"/>
          <w:szCs w:val="32"/>
        </w:rPr>
        <w:t>从资金来源、资金性质结转和结余情况，特别是项目经费结转和结余情况来看，一是</w:t>
      </w:r>
      <w:r>
        <w:rPr>
          <w:rFonts w:hint="eastAsia" w:ascii="仿宋_GB2312" w:hAnsi="仿宋_GB2312" w:eastAsia="仿宋_GB2312" w:cs="仿宋_GB2312"/>
          <w:bCs/>
          <w:color w:val="000000"/>
          <w:sz w:val="32"/>
          <w:szCs w:val="32"/>
          <w:shd w:val="clear" w:color="auto" w:fill="FFFFFF"/>
        </w:rPr>
        <w:t>部门预算项目执行及资金支付进度偏慢。</w:t>
      </w:r>
      <w:r>
        <w:rPr>
          <w:rFonts w:hint="eastAsia" w:ascii="仿宋_GB2312" w:hAnsi="仿宋_GB2312" w:eastAsia="仿宋_GB2312" w:cs="仿宋_GB2312"/>
          <w:bCs/>
          <w:color w:val="000000"/>
          <w:sz w:val="32"/>
          <w:szCs w:val="32"/>
          <w:shd w:val="clear" w:color="auto" w:fill="FFFFFF"/>
          <w:lang w:val="en-US" w:eastAsia="zh-CN"/>
        </w:rPr>
        <w:t>二</w:t>
      </w:r>
      <w:r>
        <w:rPr>
          <w:rFonts w:hint="eastAsia" w:ascii="仿宋_GB2312" w:hAnsi="仿宋_GB2312" w:eastAsia="仿宋_GB2312" w:cs="仿宋_GB2312"/>
          <w:color w:val="000000"/>
          <w:sz w:val="32"/>
          <w:szCs w:val="32"/>
        </w:rPr>
        <w:t>是加强财务人员的专业培训力度，提高财务业务水平，促进资金的管理更加规范化、合理化。</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51" w:name="_Hlk110546638"/>
    </w:p>
    <w:bookmarkEnd w:id="51"/>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rPr>
        <w:t>严格按照政策标准，优化支出结构，提高预算编制的科学化精细化水平。</w:t>
      </w:r>
    </w:p>
    <w:p>
      <w:pPr>
        <w:pStyle w:val="16"/>
        <w:keepNext w:val="0"/>
        <w:keepLines w:val="0"/>
        <w:pageBreakBefore w:val="0"/>
        <w:shd w:val="clear" w:color="auto" w:fill="FFFFFF"/>
        <w:kinsoku/>
        <w:wordWrap/>
        <w:overflowPunct/>
        <w:topLinePunct w:val="0"/>
        <w:autoSpaceDE/>
        <w:autoSpaceDN/>
        <w:bidi w:val="0"/>
        <w:spacing w:before="0" w:beforeAutospacing="0" w:after="0" w:afterAutospacing="0" w:line="560" w:lineRule="exact"/>
        <w:ind w:firstLine="643" w:firstLineChars="200"/>
        <w:textAlignment w:val="auto"/>
        <w:rPr>
          <w:rFonts w:ascii="仿宋_GB2312" w:eastAsia="仿宋_GB2312" w:cs="Arial"/>
          <w:color w:val="000000" w:themeColor="text1"/>
          <w:sz w:val="32"/>
          <w:szCs w:val="32"/>
          <w14:textFill>
            <w14:solidFill>
              <w14:schemeClr w14:val="tx1"/>
            </w14:solidFill>
          </w14:textFill>
        </w:rPr>
      </w:pPr>
      <w:r>
        <w:rPr>
          <w:rFonts w:hint="eastAsia" w:ascii="仿宋_GB2312" w:eastAsia="仿宋_GB2312" w:cs="Arial"/>
          <w:b/>
          <w:bCs/>
          <w:color w:val="000000" w:themeColor="text1"/>
          <w:sz w:val="32"/>
          <w:szCs w:val="32"/>
          <w14:textFill>
            <w14:solidFill>
              <w14:schemeClr w14:val="tx1"/>
            </w14:solidFill>
          </w14:textFill>
        </w:rPr>
        <w:t>1.进一步细化预算编制工作，认真做好预算的编制。</w:t>
      </w:r>
      <w:r>
        <w:rPr>
          <w:rFonts w:hint="eastAsia" w:ascii="仿宋_GB2312" w:eastAsia="仿宋_GB2312" w:cs="Arial"/>
          <w:color w:val="000000" w:themeColor="text1"/>
          <w:sz w:val="32"/>
          <w:szCs w:val="32"/>
          <w14:textFill>
            <w14:solidFill>
              <w14:schemeClr w14:val="tx1"/>
            </w14:solidFill>
          </w14:textFill>
        </w:rPr>
        <w:t>进一步加强单位内部机构的预算管理意识，严格按照预算编制的相关制度和要求进行预算编制。预算编制前根据年度内单位可预见的工作任务，确定单位年度预算目标，细化预算指标，科学合理编制部门预算。</w:t>
      </w:r>
    </w:p>
    <w:p>
      <w:pPr>
        <w:pStyle w:val="16"/>
        <w:keepNext w:val="0"/>
        <w:keepLines w:val="0"/>
        <w:pageBreakBefore w:val="0"/>
        <w:shd w:val="clear" w:color="auto" w:fill="FFFFFF"/>
        <w:kinsoku/>
        <w:wordWrap/>
        <w:overflowPunct/>
        <w:topLinePunct w:val="0"/>
        <w:autoSpaceDE/>
        <w:autoSpaceDN/>
        <w:bidi w:val="0"/>
        <w:spacing w:before="0" w:beforeAutospacing="0" w:after="0" w:afterAutospacing="0" w:line="560" w:lineRule="exact"/>
        <w:ind w:firstLine="643" w:firstLineChars="200"/>
        <w:textAlignment w:val="auto"/>
        <w:rPr>
          <w:rFonts w:ascii="仿宋_GB2312" w:eastAsia="仿宋_GB2312" w:cs="Arial"/>
          <w:color w:val="000000" w:themeColor="text1"/>
          <w:sz w:val="32"/>
          <w:szCs w:val="32"/>
          <w14:textFill>
            <w14:solidFill>
              <w14:schemeClr w14:val="tx1"/>
            </w14:solidFill>
          </w14:textFill>
        </w:rPr>
      </w:pPr>
      <w:r>
        <w:rPr>
          <w:rFonts w:hint="eastAsia" w:ascii="仿宋_GB2312" w:eastAsia="仿宋_GB2312" w:cs="Arial"/>
          <w:b/>
          <w:bCs/>
          <w:color w:val="000000" w:themeColor="text1"/>
          <w:sz w:val="32"/>
          <w:szCs w:val="32"/>
          <w14:textFill>
            <w14:solidFill>
              <w14:schemeClr w14:val="tx1"/>
            </w14:solidFill>
          </w14:textFill>
        </w:rPr>
        <w:t>2.进一步加强经费审核和控制，规范会计核算。</w:t>
      </w:r>
      <w:r>
        <w:rPr>
          <w:rFonts w:hint="eastAsia" w:ascii="仿宋_GB2312" w:eastAsia="仿宋_GB2312" w:cs="Arial"/>
          <w:color w:val="000000" w:themeColor="text1"/>
          <w:sz w:val="32"/>
          <w:szCs w:val="32"/>
          <w14:textFill>
            <w14:solidFill>
              <w14:schemeClr w14:val="tx1"/>
            </w14:solidFill>
          </w14:textFill>
        </w:rPr>
        <w:t>严格按照《会计法》、《行政事业单位会计制度》、《行政单位财务规则》、《政府会计准则》等规定执行财务核算，并结合实际情况，完整、准确地披露相关信息，做到决算与预算相衔接。</w:t>
      </w:r>
    </w:p>
    <w:p>
      <w:pPr>
        <w:pStyle w:val="16"/>
        <w:keepNext w:val="0"/>
        <w:keepLines w:val="0"/>
        <w:pageBreakBefore w:val="0"/>
        <w:shd w:val="clear" w:color="auto" w:fill="FFFFFF"/>
        <w:kinsoku/>
        <w:wordWrap/>
        <w:overflowPunct/>
        <w:topLinePunct w:val="0"/>
        <w:autoSpaceDE/>
        <w:autoSpaceDN/>
        <w:bidi w:val="0"/>
        <w:spacing w:before="0" w:beforeAutospacing="0" w:after="0" w:afterAutospacing="0" w:line="560" w:lineRule="exact"/>
        <w:ind w:firstLine="643" w:firstLineChars="200"/>
        <w:textAlignment w:val="auto"/>
        <w:rPr>
          <w:rFonts w:ascii="仿宋_GB2312" w:eastAsia="仿宋_GB2312" w:cs="Arial"/>
          <w:color w:val="000000" w:themeColor="text1"/>
          <w:sz w:val="32"/>
          <w:szCs w:val="32"/>
          <w14:textFill>
            <w14:solidFill>
              <w14:schemeClr w14:val="tx1"/>
            </w14:solidFill>
          </w14:textFill>
        </w:rPr>
      </w:pPr>
      <w:r>
        <w:rPr>
          <w:rFonts w:hint="eastAsia" w:ascii="仿宋_GB2312" w:eastAsia="仿宋_GB2312" w:cs="Arial"/>
          <w:b/>
          <w:bCs/>
          <w:color w:val="000000" w:themeColor="text1"/>
          <w:sz w:val="32"/>
          <w:szCs w:val="32"/>
          <w14:textFill>
            <w14:solidFill>
              <w14:schemeClr w14:val="tx1"/>
            </w14:solidFill>
          </w14:textFill>
        </w:rPr>
        <w:t>3.进一步加强学习，提高绩效管理意识。</w:t>
      </w:r>
      <w:r>
        <w:rPr>
          <w:rFonts w:hint="eastAsia" w:ascii="仿宋_GB2312" w:eastAsia="仿宋_GB2312" w:cs="Arial"/>
          <w:color w:val="000000" w:themeColor="text1"/>
          <w:sz w:val="32"/>
          <w:szCs w:val="32"/>
          <w14:textFill>
            <w14:solidFill>
              <w14:schemeClr w14:val="tx1"/>
            </w14:solidFill>
          </w14:textFill>
        </w:rPr>
        <w:t>组织相关人员认真学习《预算法》及全面预算绩效管理等相关法律、法规、制度，进一步加强财务管理，</w:t>
      </w:r>
      <w:r>
        <w:rPr>
          <w:rFonts w:hint="eastAsia" w:ascii="仿宋_GB2312" w:eastAsia="仿宋_GB2312"/>
          <w:color w:val="000000" w:themeColor="text1"/>
          <w:sz w:val="32"/>
          <w:szCs w:val="32"/>
          <w14:textFill>
            <w14:solidFill>
              <w14:schemeClr w14:val="tx1"/>
            </w14:solidFill>
          </w14:textFill>
        </w:rPr>
        <w:t>增强财务人员的预算意识，坚持“先预算后支出、没有预算不支出”。预算编制前根据年度内单位可预见的工作任务，确定单位年度预算目标，细化预算指标，科学合理编制部门预算。</w:t>
      </w:r>
      <w:r>
        <w:rPr>
          <w:rFonts w:hint="eastAsia" w:ascii="仿宋_GB2312" w:eastAsia="仿宋_GB2312" w:cs="Arial"/>
          <w:color w:val="000000" w:themeColor="text1"/>
          <w:sz w:val="32"/>
          <w:szCs w:val="32"/>
          <w14:textFill>
            <w14:solidFill>
              <w14:schemeClr w14:val="tx1"/>
            </w14:solidFill>
          </w14:textFill>
        </w:rPr>
        <w:t>规范会计核算，提高绩效管理意识，开展项目事前绩效评估、过程绩效监控及事后绩效评价，重视项目实施效果统计分析，使绩效管理理念贯穿于预算管理全过程。</w:t>
      </w:r>
    </w:p>
    <w:p>
      <w:pPr>
        <w:pStyle w:val="8"/>
        <w:keepNext w:val="0"/>
        <w:keepLines w:val="0"/>
        <w:pageBreakBefore w:val="0"/>
        <w:numPr>
          <w:ilvl w:val="0"/>
          <w:numId w:val="0"/>
        </w:numPr>
        <w:kinsoku/>
        <w:wordWrap/>
        <w:overflowPunct/>
        <w:topLinePunct w:val="0"/>
        <w:autoSpaceDE/>
        <w:autoSpaceDN/>
        <w:bidi w:val="0"/>
        <w:spacing w:line="560" w:lineRule="exact"/>
        <w:ind w:firstLine="643" w:firstLineChars="200"/>
        <w:textAlignment w:val="auto"/>
        <w:rPr>
          <w:rFonts w:hint="default" w:ascii="Times New Roman" w:hAnsi="Times New Roman" w:eastAsia="仿宋_GB2312" w:cs="Times New Roman"/>
          <w:b/>
          <w:bCs/>
          <w:kern w:val="2"/>
          <w:sz w:val="32"/>
          <w:szCs w:val="32"/>
          <w:u w:val="none"/>
          <w:lang w:val="en-US" w:eastAsia="zh-CN" w:bidi="ar"/>
        </w:rPr>
      </w:pPr>
      <w:r>
        <w:rPr>
          <w:rFonts w:hint="eastAsia" w:ascii="Times New Roman" w:eastAsia="仿宋_GB2312" w:cs="Times New Roman"/>
          <w:b/>
          <w:bCs/>
          <w:kern w:val="2"/>
          <w:sz w:val="32"/>
          <w:szCs w:val="32"/>
          <w:u w:val="none"/>
          <w:lang w:val="en-US" w:eastAsia="zh-CN" w:bidi="ar"/>
        </w:rPr>
        <w:t>注：绩效公开报告及绩效自评表详见附件。</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部门需公开部门预算绩效自评报告和部门预算项目支出绩效自评表（2025年度），各下属单位需公开部门预算项目支出绩效自评表（2025年度）。</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w:t>
      </w:r>
      <w:r>
        <w:rPr>
          <w:rFonts w:hint="eastAsia" w:ascii="宋体" w:hAnsi="宋体" w:eastAsia="仿宋_GB2312" w:cs="仿宋_GB2312"/>
          <w:b w:val="0"/>
          <w:sz w:val="32"/>
          <w:szCs w:val="32"/>
          <w:highlight w:val="none"/>
          <w:u w:val="none"/>
          <w:lang w:eastAsia="zh-CN"/>
        </w:rPr>
        <w:t>部门评价项目数量</w:t>
      </w:r>
      <w:r>
        <w:rPr>
          <w:rFonts w:hint="eastAsia" w:ascii="宋体" w:hAnsi="宋体" w:cs="仿宋_GB2312"/>
          <w:b w:val="0"/>
          <w:sz w:val="32"/>
          <w:szCs w:val="32"/>
          <w:highlight w:val="none"/>
          <w:u w:val="none"/>
          <w:lang w:eastAsia="zh-CN"/>
        </w:rPr>
        <w:t>在</w:t>
      </w:r>
      <w:r>
        <w:rPr>
          <w:rFonts w:hint="eastAsia" w:ascii="宋体" w:hAnsi="宋体" w:eastAsia="仿宋_GB2312" w:cs="仿宋_GB2312"/>
          <w:b w:val="0"/>
          <w:sz w:val="32"/>
          <w:szCs w:val="32"/>
          <w:highlight w:val="none"/>
          <w:u w:val="none"/>
          <w:lang w:val="en-US" w:eastAsia="zh-CN"/>
        </w:rPr>
        <w:t>3个以内的，</w:t>
      </w:r>
      <w:r>
        <w:rPr>
          <w:rFonts w:hint="eastAsia" w:ascii="宋体" w:hAnsi="宋体" w:eastAsia="仿宋_GB2312" w:cs="仿宋_GB2312"/>
          <w:sz w:val="32"/>
          <w:szCs w:val="32"/>
          <w:highlight w:val="none"/>
          <w:u w:val="none"/>
        </w:rPr>
        <w:t>至少将1个部门评价报告向社会公开</w:t>
      </w:r>
      <w:r>
        <w:rPr>
          <w:rFonts w:hint="eastAsia" w:ascii="宋体" w:hAnsi="宋体" w:eastAsia="仿宋_GB2312" w:cs="仿宋_GB2312"/>
          <w:sz w:val="32"/>
          <w:szCs w:val="32"/>
          <w:highlight w:val="none"/>
          <w:u w:val="none"/>
          <w:lang w:eastAsia="zh-CN"/>
        </w:rPr>
        <w:t>；</w:t>
      </w:r>
      <w:r>
        <w:rPr>
          <w:rFonts w:hint="eastAsia" w:ascii="宋体" w:hAnsi="宋体" w:eastAsia="仿宋_GB2312" w:cs="仿宋_GB2312"/>
          <w:b w:val="0"/>
          <w:sz w:val="32"/>
          <w:szCs w:val="32"/>
          <w:highlight w:val="none"/>
          <w:u w:val="none"/>
          <w:lang w:eastAsia="zh-CN"/>
        </w:rPr>
        <w:t>部门评价项目数量大于</w:t>
      </w:r>
      <w:r>
        <w:rPr>
          <w:rFonts w:hint="eastAsia" w:ascii="宋体" w:hAnsi="宋体" w:eastAsia="仿宋_GB2312" w:cs="仿宋_GB2312"/>
          <w:b w:val="0"/>
          <w:sz w:val="32"/>
          <w:szCs w:val="32"/>
          <w:highlight w:val="none"/>
          <w:u w:val="none"/>
          <w:lang w:val="en-US" w:eastAsia="zh-CN"/>
        </w:rPr>
        <w:t>3个的，</w:t>
      </w:r>
      <w:r>
        <w:rPr>
          <w:rFonts w:hint="eastAsia" w:ascii="宋体" w:hAnsi="宋体" w:eastAsia="仿宋_GB2312" w:cs="仿宋_GB2312"/>
          <w:sz w:val="32"/>
          <w:szCs w:val="32"/>
          <w:highlight w:val="none"/>
          <w:u w:val="none"/>
        </w:rPr>
        <w:t>至少将</w:t>
      </w:r>
      <w:r>
        <w:rPr>
          <w:rFonts w:hint="eastAsia" w:ascii="宋体" w:hAnsi="宋体" w:eastAsia="仿宋_GB2312" w:cs="仿宋_GB2312"/>
          <w:sz w:val="32"/>
          <w:szCs w:val="32"/>
          <w:highlight w:val="none"/>
          <w:u w:val="none"/>
          <w:lang w:val="en-US" w:eastAsia="zh-CN"/>
        </w:rPr>
        <w:t>2</w:t>
      </w:r>
      <w:r>
        <w:rPr>
          <w:rFonts w:hint="eastAsia" w:ascii="宋体" w:hAnsi="宋体" w:eastAsia="仿宋_GB2312" w:cs="仿宋_GB2312"/>
          <w:sz w:val="32"/>
          <w:szCs w:val="32"/>
          <w:highlight w:val="none"/>
          <w:u w:val="none"/>
        </w:rPr>
        <w:t>个部门评价报告向社会公开</w:t>
      </w:r>
      <w:r>
        <w:rPr>
          <w:rFonts w:hint="eastAsia" w:ascii="宋体" w:hAnsi="宋体" w:eastAsia="仿宋_GB2312" w:cs="仿宋_GB2312"/>
          <w:sz w:val="32"/>
          <w:szCs w:val="32"/>
          <w:highlight w:val="none"/>
          <w:u w:val="none"/>
          <w:lang w:eastAsia="zh-CN"/>
        </w:rPr>
        <w:t>。</w:t>
      </w:r>
      <w:r>
        <w:rPr>
          <w:rFonts w:hint="eastAsia" w:ascii="Times New Roman" w:eastAsia="仿宋_GB2312" w:cs="仿宋_GB2312"/>
          <w:b w:val="0"/>
          <w:bCs w:val="0"/>
          <w:kern w:val="0"/>
          <w:position w:val="0"/>
          <w:sz w:val="32"/>
          <w:szCs w:val="32"/>
          <w:highlight w:val="none"/>
          <w:lang w:val="en-US" w:eastAsia="zh-CN" w:bidi="ar-SA"/>
        </w:rPr>
        <w:t>各下属单位需公开部门预算项目支出绩效自评表（2025年度）。</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6"/>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根据项目情况和评价重点，用来收集相关材料和开展具体评价的方法。包括：采用成本效益分析法、标杆管理法、案卷研究法、单位自评法、实地勘察法、问卷调查法、座谈调研法等多种方法。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Times New Roman" w:hAnsi="Times New Roman" w:eastAsia="仿宋_GB2312" w:cs="仿宋_GB2312"/>
          <w:b w:val="0"/>
          <w:bCs w:val="0"/>
          <w:kern w:val="0"/>
          <w:position w:val="0"/>
          <w:sz w:val="32"/>
          <w:szCs w:val="32"/>
          <w:highlight w:val="none"/>
          <w:lang w:val="zh-CN" w:eastAsia="zh-CN" w:bidi="ar-SA"/>
        </w:rPr>
        <w:t>项目实施情况。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简要阐述专项预算项目绩效自评发现的主要问题。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简要阐述专项预算项目在</w:t>
      </w:r>
      <w:r>
        <w:rPr>
          <w:rFonts w:hint="eastAsia" w:ascii="Times New Roman" w:hAnsi="Times New Roman" w:eastAsia="仿宋_GB2312" w:cs="仿宋_GB2312"/>
          <w:b w:val="0"/>
          <w:bCs w:val="0"/>
          <w:kern w:val="0"/>
          <w:position w:val="0"/>
          <w:sz w:val="32"/>
          <w:szCs w:val="32"/>
          <w:highlight w:val="none"/>
          <w:lang w:val="en" w:eastAsia="zh-CN" w:bidi="ar-SA"/>
        </w:rPr>
        <w:t>预算安排、完善政策、改进管理等方面的</w:t>
      </w:r>
      <w:r>
        <w:rPr>
          <w:rFonts w:hint="eastAsia" w:ascii="Times New Roman" w:hAnsi="Times New Roman" w:eastAsia="仿宋_GB2312" w:cs="仿宋_GB2312"/>
          <w:b w:val="0"/>
          <w:bCs w:val="0"/>
          <w:kern w:val="0"/>
          <w:position w:val="0"/>
          <w:sz w:val="32"/>
          <w:szCs w:val="32"/>
          <w:highlight w:val="none"/>
          <w:lang w:val="en-US" w:eastAsia="zh-CN" w:bidi="ar-SA"/>
        </w:rPr>
        <w:t>措施</w:t>
      </w:r>
      <w:r>
        <w:rPr>
          <w:rFonts w:hint="eastAsia" w:ascii="Times New Roman" w:hAnsi="Times New Roman" w:eastAsia="仿宋_GB2312" w:cs="仿宋_GB2312"/>
          <w:b w:val="0"/>
          <w:bCs w:val="0"/>
          <w:kern w:val="0"/>
          <w:position w:val="0"/>
          <w:sz w:val="32"/>
          <w:szCs w:val="32"/>
          <w:highlight w:val="none"/>
          <w:lang w:val="en" w:eastAsia="zh-CN" w:bidi="ar-SA"/>
        </w:rPr>
        <w:t>建议，其中</w:t>
      </w:r>
      <w:r>
        <w:rPr>
          <w:rFonts w:hint="eastAsia" w:ascii="Times New Roman" w:hAnsi="Times New Roman" w:eastAsia="仿宋_GB2312" w:cs="仿宋_GB2312"/>
          <w:b w:val="0"/>
          <w:bCs w:val="0"/>
          <w:kern w:val="0"/>
          <w:position w:val="0"/>
          <w:sz w:val="32"/>
          <w:szCs w:val="32"/>
          <w:highlight w:val="none"/>
          <w:lang w:val="en-US" w:eastAsia="zh-CN" w:bidi="ar-SA"/>
        </w:rPr>
        <w:t>必须对应评价发现的主要问题一一提出措施建议。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pPr>
      <w:bookmarkStart w:id="52" w:name="_Toc15396618"/>
    </w:p>
    <w:p>
      <w:pPr>
        <w:pStyle w:val="2"/>
        <w:rPr>
          <w:rFonts w:hint="eastAsia"/>
        </w:rPr>
      </w:pPr>
    </w:p>
    <w:p>
      <w:pPr>
        <w:widowControl/>
        <w:ind w:firstLine="2200" w:firstLineChars="500"/>
        <w:jc w:val="both"/>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9"/>
      <w:bookmarkEnd w:id="52"/>
      <w:bookmarkStart w:id="53"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0"/>
      <w:r>
        <w:rPr>
          <w:rFonts w:hint="eastAsia" w:ascii="Times New Roman" w:hAnsi="Times New Roman" w:eastAsia="仿宋_GB2312" w:cs="仿宋_GB2312"/>
          <w:color w:val="auto"/>
          <w:sz w:val="32"/>
          <w:szCs w:val="32"/>
          <w:highlight w:val="none"/>
        </w:rPr>
        <w:t>二、收入决算表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1"/>
      <w:r>
        <w:rPr>
          <w:rFonts w:hint="eastAsia" w:ascii="Times New Roman" w:hAnsi="Times New Roman" w:eastAsia="仿宋_GB2312" w:cs="仿宋_GB2312"/>
          <w:color w:val="auto"/>
          <w:sz w:val="32"/>
          <w:szCs w:val="32"/>
          <w:highlight w:val="none"/>
        </w:rPr>
        <w:t>三、支出决算表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2"/>
      <w:r>
        <w:rPr>
          <w:rFonts w:hint="eastAsia" w:ascii="Times New Roman" w:hAnsi="Times New Roman" w:eastAsia="仿宋_GB2312" w:cs="仿宋_GB2312"/>
          <w:color w:val="auto"/>
          <w:sz w:val="32"/>
          <w:szCs w:val="32"/>
          <w:highlight w:val="none"/>
        </w:rPr>
        <w:t>四、财政拨款收入支出决算总表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3"/>
      <w:r>
        <w:rPr>
          <w:rFonts w:hint="eastAsia" w:ascii="Times New Roman" w:hAnsi="Times New Roman" w:eastAsia="仿宋_GB2312" w:cs="仿宋_GB2312"/>
          <w:color w:val="auto"/>
          <w:sz w:val="32"/>
          <w:szCs w:val="32"/>
          <w:highlight w:val="none"/>
        </w:rPr>
        <w:t>五、财政拨款支出决算明细表</w:t>
      </w:r>
      <w:bookmarkEnd w:id="57"/>
      <w:bookmarkStart w:id="58"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5"/>
      <w:r>
        <w:rPr>
          <w:rFonts w:hint="eastAsia" w:ascii="Times New Roman" w:hAnsi="Times New Roman" w:eastAsia="仿宋_GB2312" w:cs="仿宋_GB2312"/>
          <w:color w:val="auto"/>
          <w:sz w:val="32"/>
          <w:szCs w:val="32"/>
          <w:highlight w:val="none"/>
        </w:rPr>
        <w:t>七、一般公共预算财政拨款支出决算明细表</w:t>
      </w:r>
      <w:bookmarkEnd w:id="5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6"/>
      <w:r>
        <w:rPr>
          <w:rFonts w:hint="eastAsia" w:ascii="Times New Roman" w:hAnsi="Times New Roman" w:eastAsia="仿宋_GB2312" w:cs="仿宋_GB2312"/>
          <w:color w:val="auto"/>
          <w:sz w:val="32"/>
          <w:szCs w:val="32"/>
          <w:highlight w:val="none"/>
        </w:rPr>
        <w:t>八、一般公共预算财政拨款基本支出决算表</w:t>
      </w:r>
      <w:bookmarkEnd w:id="6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7"/>
      <w:r>
        <w:rPr>
          <w:rFonts w:hint="eastAsia" w:ascii="Times New Roman" w:hAnsi="Times New Roman" w:eastAsia="仿宋_GB2312" w:cs="仿宋_GB2312"/>
          <w:color w:val="auto"/>
          <w:sz w:val="32"/>
          <w:szCs w:val="32"/>
          <w:highlight w:val="none"/>
        </w:rPr>
        <w:t>九、一般公共预算财政拨款项目支出决算表</w:t>
      </w:r>
      <w:bookmarkEnd w:id="6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8"/>
      <w:r>
        <w:rPr>
          <w:rFonts w:hint="eastAsia" w:ascii="Times New Roman" w:hAnsi="Times New Roman" w:eastAsia="仿宋_GB2312" w:cs="仿宋_GB2312"/>
          <w:color w:val="auto"/>
          <w:sz w:val="32"/>
          <w:szCs w:val="32"/>
          <w:highlight w:val="none"/>
        </w:rPr>
        <w:t>十、</w:t>
      </w:r>
      <w:bookmarkEnd w:id="62"/>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9"/>
      <w:r>
        <w:rPr>
          <w:rFonts w:hint="eastAsia" w:ascii="Times New Roman" w:hAnsi="Times New Roman" w:eastAsia="仿宋_GB2312" w:cs="仿宋_GB2312"/>
          <w:color w:val="auto"/>
          <w:sz w:val="32"/>
          <w:szCs w:val="32"/>
          <w:highlight w:val="none"/>
        </w:rPr>
        <w:t>十一、</w:t>
      </w:r>
      <w:bookmarkEnd w:id="6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30"/>
      <w:r>
        <w:rPr>
          <w:rFonts w:hint="eastAsia" w:ascii="Times New Roman" w:hAnsi="Times New Roman" w:eastAsia="仿宋_GB2312" w:cs="仿宋_GB2312"/>
          <w:color w:val="auto"/>
          <w:sz w:val="32"/>
          <w:szCs w:val="32"/>
          <w:highlight w:val="none"/>
        </w:rPr>
        <w:t>十二、</w:t>
      </w:r>
      <w:bookmarkEnd w:id="64"/>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5" w:name="_Toc15396631"/>
      <w:r>
        <w:rPr>
          <w:rFonts w:hint="eastAsia" w:ascii="Times New Roman" w:hAnsi="Times New Roman" w:eastAsia="仿宋_GB2312" w:cs="仿宋_GB2312"/>
          <w:color w:val="auto"/>
          <w:sz w:val="32"/>
          <w:szCs w:val="32"/>
          <w:highlight w:val="none"/>
        </w:rPr>
        <w:t>十三、</w:t>
      </w:r>
      <w:bookmarkEnd w:id="65"/>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DFE90A3"/>
    <w:multiLevelType w:val="singleLevel"/>
    <w:tmpl w:val="9DFE90A3"/>
    <w:lvl w:ilvl="0" w:tentative="0">
      <w:start w:val="1"/>
      <w:numFmt w:val="decimal"/>
      <w:lvlText w:val="%1."/>
      <w:lvlJc w:val="left"/>
      <w:pPr>
        <w:tabs>
          <w:tab w:val="left" w:pos="312"/>
        </w:tabs>
      </w:pPr>
    </w:lvl>
  </w:abstractNum>
  <w:abstractNum w:abstractNumId="1">
    <w:nsid w:val="1F227F2E"/>
    <w:multiLevelType w:val="singleLevel"/>
    <w:tmpl w:val="1F227F2E"/>
    <w:lvl w:ilvl="0" w:tentative="0">
      <w:start w:val="2"/>
      <w:numFmt w:val="chineseCounting"/>
      <w:suff w:val="nothing"/>
      <w:lvlText w:val="（%1）"/>
      <w:lvlJc w:val="left"/>
      <w:rPr>
        <w:rFonts w:hint="eastAsia"/>
      </w:rPr>
    </w:lvl>
  </w:abstractNum>
  <w:abstractNum w:abstractNumId="2">
    <w:nsid w:val="32CC2E8E"/>
    <w:multiLevelType w:val="singleLevel"/>
    <w:tmpl w:val="32CC2E8E"/>
    <w:lvl w:ilvl="0" w:tentative="0">
      <w:start w:val="1"/>
      <w:numFmt w:val="chineseCounting"/>
      <w:suff w:val="nothing"/>
      <w:lvlText w:val="%1、"/>
      <w:lvlJc w:val="left"/>
      <w:rPr>
        <w:rFonts w:hint="eastAsia"/>
      </w:rPr>
    </w:lvl>
  </w:abstractNum>
  <w:abstractNum w:abstractNumId="3">
    <w:nsid w:val="62621CDC"/>
    <w:multiLevelType w:val="multilevel"/>
    <w:tmpl w:val="62621CDC"/>
    <w:lvl w:ilvl="0" w:tentative="0">
      <w:start w:val="1"/>
      <w:numFmt w:val="decimal"/>
      <w:lvlText w:val="%1."/>
      <w:lvlJc w:val="left"/>
      <w:pPr>
        <w:ind w:left="1320"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790A08"/>
    <w:rsid w:val="02237045"/>
    <w:rsid w:val="02317B1B"/>
    <w:rsid w:val="023E468E"/>
    <w:rsid w:val="02FEBE30"/>
    <w:rsid w:val="05427866"/>
    <w:rsid w:val="061E35DE"/>
    <w:rsid w:val="066E0107"/>
    <w:rsid w:val="06732EE2"/>
    <w:rsid w:val="06D20A7C"/>
    <w:rsid w:val="06FF22B0"/>
    <w:rsid w:val="07996F6E"/>
    <w:rsid w:val="07CA72E5"/>
    <w:rsid w:val="07DFD8BA"/>
    <w:rsid w:val="08DB07E4"/>
    <w:rsid w:val="09786720"/>
    <w:rsid w:val="09867E8F"/>
    <w:rsid w:val="0A2032A3"/>
    <w:rsid w:val="0AD40999"/>
    <w:rsid w:val="0AF9403F"/>
    <w:rsid w:val="0C3B0838"/>
    <w:rsid w:val="0C536900"/>
    <w:rsid w:val="0C6C4794"/>
    <w:rsid w:val="0CA8290A"/>
    <w:rsid w:val="0D35B1ED"/>
    <w:rsid w:val="0DE07E2B"/>
    <w:rsid w:val="0F98263C"/>
    <w:rsid w:val="0FC31142"/>
    <w:rsid w:val="101860EC"/>
    <w:rsid w:val="10C055FF"/>
    <w:rsid w:val="11772AA4"/>
    <w:rsid w:val="118107EC"/>
    <w:rsid w:val="11E32FC5"/>
    <w:rsid w:val="12AE50E2"/>
    <w:rsid w:val="13286653"/>
    <w:rsid w:val="13D50BC4"/>
    <w:rsid w:val="14022904"/>
    <w:rsid w:val="14774A2C"/>
    <w:rsid w:val="152F2A07"/>
    <w:rsid w:val="157C5079"/>
    <w:rsid w:val="158D27F8"/>
    <w:rsid w:val="165E0673"/>
    <w:rsid w:val="16BB723D"/>
    <w:rsid w:val="1739377E"/>
    <w:rsid w:val="177C5B56"/>
    <w:rsid w:val="182D7A02"/>
    <w:rsid w:val="186504BB"/>
    <w:rsid w:val="1866058D"/>
    <w:rsid w:val="1938089F"/>
    <w:rsid w:val="195C6146"/>
    <w:rsid w:val="19A445FC"/>
    <w:rsid w:val="1AFE4656"/>
    <w:rsid w:val="1B603F05"/>
    <w:rsid w:val="1B7D550C"/>
    <w:rsid w:val="1BE8440E"/>
    <w:rsid w:val="1D155CEE"/>
    <w:rsid w:val="1D7B66D9"/>
    <w:rsid w:val="1E083438"/>
    <w:rsid w:val="1E740ACF"/>
    <w:rsid w:val="1E790400"/>
    <w:rsid w:val="1ED11377"/>
    <w:rsid w:val="1F62156A"/>
    <w:rsid w:val="1FC83155"/>
    <w:rsid w:val="1FF35744"/>
    <w:rsid w:val="1FF6BC77"/>
    <w:rsid w:val="213613D2"/>
    <w:rsid w:val="21962A9E"/>
    <w:rsid w:val="21AE7C77"/>
    <w:rsid w:val="223B5280"/>
    <w:rsid w:val="22BC3C41"/>
    <w:rsid w:val="22DB0D0E"/>
    <w:rsid w:val="23135F87"/>
    <w:rsid w:val="23860B96"/>
    <w:rsid w:val="240371BF"/>
    <w:rsid w:val="24F10F79"/>
    <w:rsid w:val="25426B96"/>
    <w:rsid w:val="25636224"/>
    <w:rsid w:val="260513F9"/>
    <w:rsid w:val="260F557C"/>
    <w:rsid w:val="26D20952"/>
    <w:rsid w:val="278122DD"/>
    <w:rsid w:val="281408E2"/>
    <w:rsid w:val="282E78C5"/>
    <w:rsid w:val="29FD04D3"/>
    <w:rsid w:val="2A502C6E"/>
    <w:rsid w:val="2A6A7FFC"/>
    <w:rsid w:val="2A9D0609"/>
    <w:rsid w:val="2BFF7BC6"/>
    <w:rsid w:val="2C097DC7"/>
    <w:rsid w:val="2C0F0C0A"/>
    <w:rsid w:val="2C8A61B5"/>
    <w:rsid w:val="2D2E01CF"/>
    <w:rsid w:val="2DF04E50"/>
    <w:rsid w:val="2E9545B0"/>
    <w:rsid w:val="2EB9401B"/>
    <w:rsid w:val="2F040D46"/>
    <w:rsid w:val="2FA71EB3"/>
    <w:rsid w:val="2FAE5751"/>
    <w:rsid w:val="2FB1A395"/>
    <w:rsid w:val="2FD9A7D8"/>
    <w:rsid w:val="30201DD8"/>
    <w:rsid w:val="30A14BF0"/>
    <w:rsid w:val="319F7F4E"/>
    <w:rsid w:val="321B2544"/>
    <w:rsid w:val="323A3FA7"/>
    <w:rsid w:val="32792E3A"/>
    <w:rsid w:val="3304709D"/>
    <w:rsid w:val="34281836"/>
    <w:rsid w:val="349D6851"/>
    <w:rsid w:val="35BA6CAF"/>
    <w:rsid w:val="35D07C23"/>
    <w:rsid w:val="364D14C1"/>
    <w:rsid w:val="36AA5135"/>
    <w:rsid w:val="36BE0DA7"/>
    <w:rsid w:val="37430CD0"/>
    <w:rsid w:val="376B6AA6"/>
    <w:rsid w:val="376D39B2"/>
    <w:rsid w:val="37E16F03"/>
    <w:rsid w:val="37F53A3B"/>
    <w:rsid w:val="381F0E99"/>
    <w:rsid w:val="389B6C89"/>
    <w:rsid w:val="38D469F0"/>
    <w:rsid w:val="39627CCD"/>
    <w:rsid w:val="397BAF1F"/>
    <w:rsid w:val="3A3251DA"/>
    <w:rsid w:val="3AB79AF3"/>
    <w:rsid w:val="3ABB302E"/>
    <w:rsid w:val="3B7EF35A"/>
    <w:rsid w:val="3B9FDB6C"/>
    <w:rsid w:val="3BF5BC2F"/>
    <w:rsid w:val="3CEBA265"/>
    <w:rsid w:val="3D6702DD"/>
    <w:rsid w:val="3D98207C"/>
    <w:rsid w:val="3D9B0D99"/>
    <w:rsid w:val="3DEE7CF3"/>
    <w:rsid w:val="3DF02244"/>
    <w:rsid w:val="3E094CE5"/>
    <w:rsid w:val="3E78745D"/>
    <w:rsid w:val="3FF4CAE0"/>
    <w:rsid w:val="3FF7B227"/>
    <w:rsid w:val="40E54C45"/>
    <w:rsid w:val="41F17495"/>
    <w:rsid w:val="421D4229"/>
    <w:rsid w:val="43A407DF"/>
    <w:rsid w:val="43CC3CF0"/>
    <w:rsid w:val="44515BEA"/>
    <w:rsid w:val="44E268DA"/>
    <w:rsid w:val="453F7E5B"/>
    <w:rsid w:val="486A6C7A"/>
    <w:rsid w:val="49176D9B"/>
    <w:rsid w:val="49362D19"/>
    <w:rsid w:val="4A627F82"/>
    <w:rsid w:val="4B0E749A"/>
    <w:rsid w:val="4B4F25DA"/>
    <w:rsid w:val="4BDA0CFB"/>
    <w:rsid w:val="4BE068DB"/>
    <w:rsid w:val="4C8900EB"/>
    <w:rsid w:val="4C92707C"/>
    <w:rsid w:val="4D3C0CCC"/>
    <w:rsid w:val="4D577224"/>
    <w:rsid w:val="4DBF1CEB"/>
    <w:rsid w:val="4EAB630A"/>
    <w:rsid w:val="4ECE2238"/>
    <w:rsid w:val="4EDD4174"/>
    <w:rsid w:val="4F833267"/>
    <w:rsid w:val="4FE9BD67"/>
    <w:rsid w:val="4FFB052F"/>
    <w:rsid w:val="513A2949"/>
    <w:rsid w:val="51922C7A"/>
    <w:rsid w:val="53083A92"/>
    <w:rsid w:val="53713BB3"/>
    <w:rsid w:val="537E6D0A"/>
    <w:rsid w:val="53AF27A2"/>
    <w:rsid w:val="53F74C96"/>
    <w:rsid w:val="56E47B74"/>
    <w:rsid w:val="5775036E"/>
    <w:rsid w:val="578E770A"/>
    <w:rsid w:val="57BD3DD4"/>
    <w:rsid w:val="57D530E9"/>
    <w:rsid w:val="599F28E4"/>
    <w:rsid w:val="5AA92877"/>
    <w:rsid w:val="5AF92295"/>
    <w:rsid w:val="5B9705A8"/>
    <w:rsid w:val="5BAE3731"/>
    <w:rsid w:val="5BDD79E6"/>
    <w:rsid w:val="5BF561CA"/>
    <w:rsid w:val="5BFF5DFC"/>
    <w:rsid w:val="5CD71FC4"/>
    <w:rsid w:val="5CDE3295"/>
    <w:rsid w:val="5D1F11B5"/>
    <w:rsid w:val="5DAE1B18"/>
    <w:rsid w:val="5DE7D9E5"/>
    <w:rsid w:val="5E69093E"/>
    <w:rsid w:val="5EBE4F93"/>
    <w:rsid w:val="5ECEC941"/>
    <w:rsid w:val="5F493CB7"/>
    <w:rsid w:val="5FBF9FF3"/>
    <w:rsid w:val="5FCD4E2C"/>
    <w:rsid w:val="5FD15F49"/>
    <w:rsid w:val="5FEF394A"/>
    <w:rsid w:val="5FF67715"/>
    <w:rsid w:val="601F2630"/>
    <w:rsid w:val="602712B3"/>
    <w:rsid w:val="62BF3928"/>
    <w:rsid w:val="647F5392"/>
    <w:rsid w:val="64922384"/>
    <w:rsid w:val="664B1D71"/>
    <w:rsid w:val="66DD2950"/>
    <w:rsid w:val="67AA3209"/>
    <w:rsid w:val="681C4F0D"/>
    <w:rsid w:val="69046D0F"/>
    <w:rsid w:val="69050C30"/>
    <w:rsid w:val="696C6260"/>
    <w:rsid w:val="698D0931"/>
    <w:rsid w:val="6A993CED"/>
    <w:rsid w:val="6AE355C1"/>
    <w:rsid w:val="6B053271"/>
    <w:rsid w:val="6B275E01"/>
    <w:rsid w:val="6B532FD8"/>
    <w:rsid w:val="6BCE6674"/>
    <w:rsid w:val="6C4A05C8"/>
    <w:rsid w:val="6C8742B8"/>
    <w:rsid w:val="6C8A170F"/>
    <w:rsid w:val="6CB54609"/>
    <w:rsid w:val="6D224C8A"/>
    <w:rsid w:val="6D246DC3"/>
    <w:rsid w:val="6DBF5E93"/>
    <w:rsid w:val="6DFF077E"/>
    <w:rsid w:val="6E4261EC"/>
    <w:rsid w:val="6E4870CB"/>
    <w:rsid w:val="6E5F744E"/>
    <w:rsid w:val="6E717052"/>
    <w:rsid w:val="6E7E3605"/>
    <w:rsid w:val="6E7FDCC7"/>
    <w:rsid w:val="6E8B1DAB"/>
    <w:rsid w:val="6ED6A62E"/>
    <w:rsid w:val="6EE00B15"/>
    <w:rsid w:val="6F544B20"/>
    <w:rsid w:val="6F6FB3EB"/>
    <w:rsid w:val="6F784160"/>
    <w:rsid w:val="6F8731EA"/>
    <w:rsid w:val="6FCE6052"/>
    <w:rsid w:val="6FD57C00"/>
    <w:rsid w:val="6FEFFFD8"/>
    <w:rsid w:val="6FF5CC65"/>
    <w:rsid w:val="6FFB47EC"/>
    <w:rsid w:val="6FFF034A"/>
    <w:rsid w:val="70496804"/>
    <w:rsid w:val="711F07CC"/>
    <w:rsid w:val="712A28F1"/>
    <w:rsid w:val="71390201"/>
    <w:rsid w:val="715C0E4B"/>
    <w:rsid w:val="72233669"/>
    <w:rsid w:val="72734D90"/>
    <w:rsid w:val="731D3E46"/>
    <w:rsid w:val="7332FE48"/>
    <w:rsid w:val="73AB61DA"/>
    <w:rsid w:val="73AD73D5"/>
    <w:rsid w:val="73B6EB34"/>
    <w:rsid w:val="73E551BB"/>
    <w:rsid w:val="73FA497D"/>
    <w:rsid w:val="740277B0"/>
    <w:rsid w:val="744731E5"/>
    <w:rsid w:val="74527205"/>
    <w:rsid w:val="74BBD01D"/>
    <w:rsid w:val="74ED5379"/>
    <w:rsid w:val="74FC2395"/>
    <w:rsid w:val="7599761E"/>
    <w:rsid w:val="75DEEEC2"/>
    <w:rsid w:val="76E3355F"/>
    <w:rsid w:val="76FF5125"/>
    <w:rsid w:val="776F6FFA"/>
    <w:rsid w:val="778769C8"/>
    <w:rsid w:val="77CC36CE"/>
    <w:rsid w:val="77DC22F5"/>
    <w:rsid w:val="79086DAD"/>
    <w:rsid w:val="79974F09"/>
    <w:rsid w:val="79D7FD79"/>
    <w:rsid w:val="79EE5BA4"/>
    <w:rsid w:val="7A894339"/>
    <w:rsid w:val="7AFF7572"/>
    <w:rsid w:val="7B6C7DFB"/>
    <w:rsid w:val="7BBFBED0"/>
    <w:rsid w:val="7BC3E394"/>
    <w:rsid w:val="7BE34A11"/>
    <w:rsid w:val="7C1F3737"/>
    <w:rsid w:val="7CBFC87B"/>
    <w:rsid w:val="7CFE0F48"/>
    <w:rsid w:val="7D7EC23E"/>
    <w:rsid w:val="7D916348"/>
    <w:rsid w:val="7E8ADEBF"/>
    <w:rsid w:val="7EEF11D3"/>
    <w:rsid w:val="7F0971A6"/>
    <w:rsid w:val="7F157781"/>
    <w:rsid w:val="7F3F679B"/>
    <w:rsid w:val="7F4FC4EF"/>
    <w:rsid w:val="7F5E4D54"/>
    <w:rsid w:val="7F6E0135"/>
    <w:rsid w:val="7F954DBA"/>
    <w:rsid w:val="7FA30C79"/>
    <w:rsid w:val="7FAF8ABF"/>
    <w:rsid w:val="7FB7269E"/>
    <w:rsid w:val="7FBC1CCA"/>
    <w:rsid w:val="7FC96657"/>
    <w:rsid w:val="7FD9145F"/>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1299</Words>
  <Characters>7410</Characters>
  <Lines>61</Lines>
  <Paragraphs>17</Paragraphs>
  <TotalTime>1</TotalTime>
  <ScaleCrop>false</ScaleCrop>
  <LinksUpToDate>false</LinksUpToDate>
  <CharactersWithSpaces>8692</CharactersWithSpaces>
  <Application>WPS Office_..._F1E327BC-269C-435d-A152-05C5408002CA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China</cp:lastModifiedBy>
  <cp:lastPrinted>2026-08-03T09:27:00Z</cp:lastPrinted>
  <dcterms:modified xsi:type="dcterms:W3CDTF">2026-09-17T02:49:44Z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vt:lpwstr>
  </property>
  <property fmtid="{D5CDD505-2E9C-101B-9397-08002B2CF9AE}" pid="3" name="ICV">
    <vt:lpwstr>3BF536824C220DA3E40E8B68BA118B1C_42</vt:lpwstr>
  </property>
  <property fmtid="{D5CDD505-2E9C-101B-9397-08002B2CF9AE}" pid="4" name="KSOTemplateDocerSaveRecord">
    <vt:lpwstr>eyJoZGlkIjoiZjViMDk3OGYyYmM3ZWZmYmY0Yjk0YzZhMzU1Mjg3NjQifQ==</vt:lpwstr>
  </property>
</Properties>
</file>