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A4CDA">
      <w:pPr>
        <w:pStyle w:val="8"/>
        <w:pageBreakBefore w:val="0"/>
        <w:kinsoku/>
        <w:wordWrap/>
        <w:overflowPunct/>
        <w:topLinePunct w:val="0"/>
        <w:bidi w:val="0"/>
        <w:spacing w:line="560" w:lineRule="exact"/>
        <w:ind w:firstLine="640" w:firstLineChars="200"/>
        <w:rPr>
          <w:rFonts w:hint="eastAsia" w:ascii="黑体" w:hAnsi="黑体" w:eastAsia="黑体" w:cs="黑体"/>
          <w:color w:val="auto"/>
          <w:kern w:val="2"/>
          <w:sz w:val="32"/>
          <w:szCs w:val="32"/>
          <w:highlight w:val="none"/>
          <w:lang w:val="en-US" w:eastAsia="zh-CN" w:bidi="ar-SA"/>
        </w:rPr>
      </w:pPr>
      <w:bookmarkStart w:id="0" w:name="_Toc15306267"/>
      <w:bookmarkStart w:id="1" w:name="_Toc15377193"/>
      <w:bookmarkStart w:id="2" w:name="_Toc15396475"/>
      <w:bookmarkStart w:id="3" w:name="_Toc15377425"/>
      <w:bookmarkStart w:id="4" w:name="_Toc15396597"/>
      <w:bookmarkStart w:id="5" w:name="_Toc15378441"/>
      <w:r>
        <w:rPr>
          <w:rFonts w:hint="eastAsia" w:ascii="黑体" w:hAnsi="黑体" w:eastAsia="黑体" w:cs="黑体"/>
          <w:color w:val="auto"/>
          <w:kern w:val="2"/>
          <w:sz w:val="32"/>
          <w:szCs w:val="32"/>
          <w:highlight w:val="none"/>
          <w:lang w:val="en-US" w:eastAsia="zh-CN" w:bidi="ar-SA"/>
        </w:rPr>
        <w:t>附件4</w:t>
      </w:r>
    </w:p>
    <w:bookmarkEnd w:id="0"/>
    <w:bookmarkEnd w:id="1"/>
    <w:bookmarkEnd w:id="2"/>
    <w:bookmarkEnd w:id="3"/>
    <w:bookmarkEnd w:id="4"/>
    <w:bookmarkEnd w:id="5"/>
    <w:p w14:paraId="7BD79562">
      <w:pPr>
        <w:pStyle w:val="8"/>
        <w:jc w:val="center"/>
        <w:rPr>
          <w:rFonts w:hint="eastAsia" w:ascii="Times New Roman" w:hAnsi="Times New Roman" w:eastAsia="微软雅黑" w:cs="Times New Roman"/>
          <w:color w:val="auto"/>
          <w:kern w:val="2"/>
          <w:sz w:val="44"/>
          <w:szCs w:val="44"/>
          <w:highlight w:val="none"/>
          <w:lang w:val="en-US" w:eastAsia="zh-CN" w:bidi="ar-SA"/>
        </w:rPr>
      </w:pPr>
      <w:bookmarkStart w:id="6" w:name="_Toc15377196"/>
      <w:bookmarkStart w:id="7" w:name="_Toc15396599"/>
    </w:p>
    <w:p w14:paraId="6D3338A2">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2BC426DA">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51207E9A">
      <w:pPr>
        <w:pStyle w:val="8"/>
        <w:jc w:val="center"/>
        <w:rPr>
          <w:rFonts w:hint="eastAsia" w:ascii="Times New Roman" w:hAnsi="Times New Roman" w:eastAsia="微软雅黑" w:cs="Times New Roman"/>
          <w:color w:val="auto"/>
          <w:kern w:val="2"/>
          <w:sz w:val="44"/>
          <w:szCs w:val="44"/>
          <w:highlight w:val="none"/>
          <w:lang w:val="en-US" w:eastAsia="zh-CN" w:bidi="ar-SA"/>
        </w:rPr>
      </w:pPr>
      <w:r>
        <w:rPr>
          <w:rFonts w:hint="eastAsia" w:ascii="Times New Roman" w:hAnsi="Times New Roman" w:eastAsia="微软雅黑" w:cs="Times New Roman"/>
          <w:color w:val="auto"/>
          <w:kern w:val="2"/>
          <w:sz w:val="44"/>
          <w:szCs w:val="44"/>
          <w:highlight w:val="none"/>
          <w:lang w:val="en-US" w:eastAsia="zh-CN" w:bidi="ar-SA"/>
        </w:rPr>
        <w:t>202</w:t>
      </w:r>
      <w:r>
        <w:rPr>
          <w:rFonts w:hint="eastAsia" w:ascii="Times New Roman" w:eastAsia="微软雅黑" w:cs="Times New Roman"/>
          <w:color w:val="auto"/>
          <w:kern w:val="2"/>
          <w:sz w:val="44"/>
          <w:szCs w:val="44"/>
          <w:highlight w:val="none"/>
          <w:lang w:val="en-US" w:eastAsia="zh-CN" w:bidi="ar-SA"/>
        </w:rPr>
        <w:t>5</w:t>
      </w:r>
      <w:r>
        <w:rPr>
          <w:rFonts w:hint="eastAsia" w:ascii="Times New Roman" w:hAnsi="Times New Roman" w:eastAsia="微软雅黑" w:cs="Times New Roman"/>
          <w:color w:val="auto"/>
          <w:kern w:val="2"/>
          <w:sz w:val="44"/>
          <w:szCs w:val="44"/>
          <w:highlight w:val="none"/>
          <w:lang w:val="en-US" w:eastAsia="zh-CN" w:bidi="ar-SA"/>
        </w:rPr>
        <w:t>年度四川省阿坝州文化馆</w:t>
      </w:r>
    </w:p>
    <w:p w14:paraId="1481F7B9">
      <w:pPr>
        <w:pStyle w:val="8"/>
        <w:jc w:val="center"/>
        <w:rPr>
          <w:rFonts w:hint="eastAsia" w:ascii="Times New Roman" w:hAnsi="Times New Roman" w:eastAsia="微软雅黑" w:cs="Times New Roman"/>
          <w:color w:val="auto"/>
          <w:kern w:val="2"/>
          <w:sz w:val="44"/>
          <w:szCs w:val="44"/>
          <w:highlight w:val="none"/>
          <w:lang w:val="en-US" w:eastAsia="zh-CN" w:bidi="ar-SA"/>
        </w:rPr>
      </w:pPr>
      <w:r>
        <w:rPr>
          <w:rFonts w:hint="eastAsia" w:ascii="Times New Roman" w:hAnsi="Times New Roman" w:eastAsia="微软雅黑" w:cs="Times New Roman"/>
          <w:color w:val="auto"/>
          <w:kern w:val="2"/>
          <w:sz w:val="44"/>
          <w:szCs w:val="44"/>
          <w:highlight w:val="none"/>
          <w:lang w:val="en-US" w:eastAsia="zh-CN" w:bidi="ar-SA"/>
        </w:rPr>
        <w:t>决算公开</w:t>
      </w:r>
    </w:p>
    <w:p w14:paraId="42E06B5D">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3E652DA5">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3ACD9BB6">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08CD7AA9">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3107FC13">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73B3C545">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1F7F3E2C">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29FB79FD">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1D628EB8">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73FA2875">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368F88F8">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16C1D125">
      <w:pPr>
        <w:pStyle w:val="8"/>
        <w:jc w:val="center"/>
        <w:rPr>
          <w:rFonts w:hint="eastAsia" w:ascii="Times New Roman" w:hAnsi="Times New Roman" w:eastAsia="微软雅黑" w:cs="Times New Roman"/>
          <w:color w:val="auto"/>
          <w:kern w:val="2"/>
          <w:sz w:val="44"/>
          <w:szCs w:val="44"/>
          <w:highlight w:val="none"/>
          <w:lang w:val="en-US" w:eastAsia="zh-CN" w:bidi="ar-SA"/>
        </w:rPr>
      </w:pPr>
    </w:p>
    <w:p w14:paraId="05A3298A">
      <w:pPr>
        <w:pageBreakBefore w:val="0"/>
        <w:kinsoku/>
        <w:wordWrap/>
        <w:overflowPunct/>
        <w:topLinePunct w:val="0"/>
        <w:bidi w:val="0"/>
        <w:spacing w:before="0" w:beforeLines="0" w:after="0" w:afterLines="0" w:line="560" w:lineRule="exact"/>
        <w:ind w:left="0" w:leftChars="0" w:right="0" w:rightChars="0" w:firstLine="420" w:firstLineChars="200"/>
        <w:jc w:val="center"/>
        <w:rPr>
          <w:rFonts w:ascii="宋体" w:hAnsi="宋体" w:eastAsia="宋体" w:cs="Times New Roman"/>
          <w:kern w:val="2"/>
          <w:sz w:val="21"/>
          <w:szCs w:val="24"/>
          <w:lang w:val="en-US" w:eastAsia="zh-CN" w:bidi="ar-SA"/>
        </w:rPr>
        <w:sectPr>
          <w:headerReference r:id="rId3" w:type="default"/>
          <w:pgSz w:w="11906" w:h="16838"/>
          <w:pgMar w:top="1440" w:right="1800" w:bottom="1440" w:left="1800" w:header="720" w:footer="720" w:gutter="0"/>
          <w:pgNumType w:fmt="decimal" w:start="1"/>
          <w:cols w:space="720" w:num="1"/>
          <w:docGrid w:type="lines" w:linePitch="312" w:charSpace="0"/>
        </w:sectPr>
      </w:pPr>
    </w:p>
    <w:sdt>
      <w:sdtPr>
        <w:rPr>
          <w:rFonts w:ascii="宋体" w:hAnsi="宋体" w:eastAsia="宋体" w:cs="Times New Roman"/>
          <w:kern w:val="2"/>
          <w:sz w:val="32"/>
          <w:szCs w:val="32"/>
          <w:lang w:val="en-US" w:eastAsia="zh-CN" w:bidi="ar-SA"/>
        </w:rPr>
        <w:id w:val="291758703"/>
        <w15:color w:val="DBDBDB"/>
        <w:docPartObj>
          <w:docPartGallery w:val="Table of Contents"/>
          <w:docPartUnique/>
        </w:docPartObj>
      </w:sdtPr>
      <w:sdtContent>
        <w:p w14:paraId="218C90B9">
          <w:pPr>
            <w:pageBreakBefore w:val="0"/>
            <w:kinsoku/>
            <w:wordWrap/>
            <w:overflowPunct/>
            <w:topLinePunct w:val="0"/>
            <w:bidi w:val="0"/>
            <w:spacing w:before="0" w:beforeLines="0" w:after="0" w:afterLines="0" w:line="560" w:lineRule="exact"/>
            <w:ind w:left="0" w:leftChars="0" w:right="0" w:rightChars="0" w:firstLine="640" w:firstLineChars="200"/>
            <w:jc w:val="center"/>
            <w:rPr>
              <w:sz w:val="32"/>
              <w:szCs w:val="32"/>
            </w:rPr>
          </w:pPr>
          <w:r>
            <w:rPr>
              <w:rFonts w:ascii="宋体" w:hAnsi="宋体" w:eastAsia="宋体"/>
              <w:sz w:val="32"/>
              <w:szCs w:val="32"/>
            </w:rPr>
            <w:t>目录</w:t>
          </w:r>
        </w:p>
        <w:p w14:paraId="6D4F3940">
          <w:pPr>
            <w:pStyle w:val="15"/>
            <w:pageBreakBefore w:val="0"/>
            <w:tabs>
              <w:tab w:val="right" w:leader="dot" w:pos="8306"/>
              <w:tab w:val="clear" w:pos="8296"/>
            </w:tabs>
            <w:kinsoku/>
            <w:wordWrap/>
            <w:overflowPunct/>
            <w:topLinePunct w:val="0"/>
            <w:bidi w:val="0"/>
            <w:spacing w:line="560" w:lineRule="exact"/>
            <w:ind w:firstLine="560" w:firstLineChars="200"/>
          </w:pPr>
          <w:r>
            <w:fldChar w:fldCharType="begin"/>
          </w:r>
          <w:r>
            <w:instrText xml:space="preserve">TOC \o "1-2" \h \u </w:instrText>
          </w:r>
          <w:r>
            <w:fldChar w:fldCharType="separate"/>
          </w:r>
          <w:r>
            <w:fldChar w:fldCharType="begin"/>
          </w:r>
          <w:r>
            <w:instrText xml:space="preserve"> HYPERLINK \l _Toc1375315906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_Toc1375315906 \h </w:instrText>
          </w:r>
          <w:r>
            <w:fldChar w:fldCharType="separate"/>
          </w:r>
          <w:r>
            <w:t>1</w:t>
          </w:r>
          <w:r>
            <w:fldChar w:fldCharType="end"/>
          </w:r>
          <w:r>
            <w:fldChar w:fldCharType="end"/>
          </w:r>
        </w:p>
        <w:p w14:paraId="0030C5E7">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_Toc1065789535 </w:instrText>
          </w:r>
          <w:r>
            <w:fldChar w:fldCharType="separate"/>
          </w:r>
          <w:r>
            <w:rPr>
              <w:rFonts w:ascii="Times New Roman" w:hAnsi="Times New Roman" w:eastAsia="黑体"/>
              <w:highlight w:val="none"/>
              <w:lang w:eastAsia="zh-CN"/>
            </w:rPr>
            <w:t>一、</w:t>
          </w:r>
          <w:r>
            <w:rPr>
              <w:rFonts w:hint="eastAsia" w:ascii="Times New Roman" w:hAnsi="Times New Roman" w:eastAsia="黑体"/>
              <w:highlight w:val="none"/>
              <w:lang w:eastAsia="zh-CN"/>
            </w:rPr>
            <w:t>部门职责</w:t>
          </w:r>
          <w:r>
            <w:tab/>
          </w:r>
          <w:r>
            <w:fldChar w:fldCharType="begin"/>
          </w:r>
          <w:r>
            <w:instrText xml:space="preserve"> PAGEREF _Toc1065789535 \h </w:instrText>
          </w:r>
          <w:r>
            <w:fldChar w:fldCharType="separate"/>
          </w:r>
          <w:r>
            <w:t>1</w:t>
          </w:r>
          <w:r>
            <w:fldChar w:fldCharType="end"/>
          </w:r>
          <w:r>
            <w:fldChar w:fldCharType="end"/>
          </w:r>
        </w:p>
        <w:p w14:paraId="217A355D">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_Toc1066712823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_Toc1066712823 \h </w:instrText>
          </w:r>
          <w:r>
            <w:fldChar w:fldCharType="separate"/>
          </w:r>
          <w:r>
            <w:t>2</w:t>
          </w:r>
          <w:r>
            <w:fldChar w:fldCharType="end"/>
          </w:r>
          <w:r>
            <w:fldChar w:fldCharType="end"/>
          </w:r>
        </w:p>
        <w:p w14:paraId="3707C6CD">
          <w:pPr>
            <w:pStyle w:val="15"/>
            <w:pageBreakBefore w:val="0"/>
            <w:tabs>
              <w:tab w:val="right" w:leader="dot" w:pos="8306"/>
              <w:tab w:val="clear" w:pos="8296"/>
            </w:tabs>
            <w:kinsoku/>
            <w:wordWrap/>
            <w:overflowPunct/>
            <w:topLinePunct w:val="0"/>
            <w:bidi w:val="0"/>
            <w:spacing w:line="560" w:lineRule="exact"/>
            <w:ind w:firstLine="560" w:firstLineChars="200"/>
          </w:pPr>
          <w:r>
            <w:fldChar w:fldCharType="begin"/>
          </w:r>
          <w:r>
            <w:instrText xml:space="preserve"> HYPERLINK \l _Toc494075190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_Toc494075190 \h </w:instrText>
          </w:r>
          <w:r>
            <w:fldChar w:fldCharType="separate"/>
          </w:r>
          <w:r>
            <w:t>3</w:t>
          </w:r>
          <w:r>
            <w:fldChar w:fldCharType="end"/>
          </w:r>
          <w:r>
            <w:fldChar w:fldCharType="end"/>
          </w:r>
        </w:p>
        <w:p w14:paraId="635FF167">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_Toc679545881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rPr>
              <w:rFonts w:hint="eastAsia"/>
              <w:lang w:val="en-US" w:eastAsia="zh-CN"/>
            </w:rPr>
            <w:t>3</w:t>
          </w:r>
          <w:r>
            <w:fldChar w:fldCharType="end"/>
          </w:r>
        </w:p>
        <w:p w14:paraId="57A31257">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_Toc837206709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_Toc837206709 \h </w:instrText>
          </w:r>
          <w:r>
            <w:fldChar w:fldCharType="separate"/>
          </w:r>
          <w:r>
            <w:t>3</w:t>
          </w:r>
          <w:r>
            <w:fldChar w:fldCharType="end"/>
          </w:r>
          <w:r>
            <w:fldChar w:fldCharType="end"/>
          </w:r>
        </w:p>
        <w:p w14:paraId="3A70D860">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_Toc2041582274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_Toc2041582274 \h </w:instrText>
          </w:r>
          <w:r>
            <w:fldChar w:fldCharType="separate"/>
          </w:r>
          <w:r>
            <w:t>4</w:t>
          </w:r>
          <w:r>
            <w:fldChar w:fldCharType="end"/>
          </w:r>
          <w:r>
            <w:fldChar w:fldCharType="end"/>
          </w:r>
        </w:p>
        <w:p w14:paraId="3DAB4900">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_Toc342445238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_Toc342445238 \h </w:instrText>
          </w:r>
          <w:r>
            <w:fldChar w:fldCharType="separate"/>
          </w:r>
          <w:r>
            <w:t>4</w:t>
          </w:r>
          <w:r>
            <w:fldChar w:fldCharType="end"/>
          </w:r>
          <w:r>
            <w:fldChar w:fldCharType="end"/>
          </w:r>
        </w:p>
        <w:p w14:paraId="750D4207">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_Toc757778634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_Toc757778634 \h </w:instrText>
          </w:r>
          <w:r>
            <w:fldChar w:fldCharType="separate"/>
          </w:r>
          <w:r>
            <w:t>5</w:t>
          </w:r>
          <w:r>
            <w:fldChar w:fldCharType="end"/>
          </w:r>
          <w:r>
            <w:fldChar w:fldCharType="end"/>
          </w:r>
        </w:p>
        <w:p w14:paraId="7146B01C">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_Toc234707300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_Toc234707300 \h </w:instrText>
          </w:r>
          <w:r>
            <w:fldChar w:fldCharType="separate"/>
          </w:r>
          <w:r>
            <w:t>7</w:t>
          </w:r>
          <w:r>
            <w:fldChar w:fldCharType="end"/>
          </w:r>
          <w:r>
            <w:fldChar w:fldCharType="end"/>
          </w:r>
        </w:p>
        <w:p w14:paraId="209AD10F">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_Toc1732140784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_Toc1732140784 \h </w:instrText>
          </w:r>
          <w:r>
            <w:fldChar w:fldCharType="separate"/>
          </w:r>
          <w:r>
            <w:t>8</w:t>
          </w:r>
          <w:r>
            <w:fldChar w:fldCharType="end"/>
          </w:r>
          <w:r>
            <w:fldChar w:fldCharType="end"/>
          </w:r>
        </w:p>
        <w:p w14:paraId="54AFF0FA">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_Toc1392335423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_Toc1392335423 \h </w:instrText>
          </w:r>
          <w:r>
            <w:fldChar w:fldCharType="separate"/>
          </w:r>
          <w:r>
            <w:t>10</w:t>
          </w:r>
          <w:r>
            <w:fldChar w:fldCharType="end"/>
          </w:r>
          <w:r>
            <w:fldChar w:fldCharType="end"/>
          </w:r>
        </w:p>
        <w:p w14:paraId="161F3252">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_Toc1781294697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_Toc1781294697 \h </w:instrText>
          </w:r>
          <w:r>
            <w:fldChar w:fldCharType="separate"/>
          </w:r>
          <w:r>
            <w:t>10</w:t>
          </w:r>
          <w:r>
            <w:fldChar w:fldCharType="end"/>
          </w:r>
          <w:r>
            <w:fldChar w:fldCharType="end"/>
          </w:r>
        </w:p>
        <w:p w14:paraId="0E20E2BD">
          <w:pPr>
            <w:pStyle w:val="17"/>
            <w:pageBreakBefore w:val="0"/>
            <w:tabs>
              <w:tab w:val="right" w:leader="dot" w:pos="8306"/>
              <w:tab w:val="clear" w:pos="8296"/>
            </w:tabs>
            <w:kinsoku/>
            <w:wordWrap/>
            <w:overflowPunct/>
            <w:topLinePunct w:val="0"/>
            <w:bidi w:val="0"/>
            <w:spacing w:line="560" w:lineRule="exact"/>
            <w:ind w:firstLine="420" w:firstLineChars="200"/>
          </w:pPr>
          <w:r>
            <w:fldChar w:fldCharType="begin"/>
          </w:r>
          <w:r>
            <w:instrText xml:space="preserve"> HYPERLINK \l _Toc1285861464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_Toc1285861464 \h </w:instrText>
          </w:r>
          <w:r>
            <w:fldChar w:fldCharType="separate"/>
          </w:r>
          <w:r>
            <w:t>10</w:t>
          </w:r>
          <w:r>
            <w:fldChar w:fldCharType="end"/>
          </w:r>
          <w:r>
            <w:fldChar w:fldCharType="end"/>
          </w:r>
        </w:p>
        <w:p w14:paraId="3423F354">
          <w:pPr>
            <w:pStyle w:val="15"/>
            <w:pageBreakBefore w:val="0"/>
            <w:tabs>
              <w:tab w:val="right" w:leader="dot" w:pos="8306"/>
              <w:tab w:val="clear" w:pos="8296"/>
            </w:tabs>
            <w:kinsoku/>
            <w:wordWrap/>
            <w:overflowPunct/>
            <w:topLinePunct w:val="0"/>
            <w:bidi w:val="0"/>
            <w:spacing w:line="560" w:lineRule="exact"/>
            <w:ind w:firstLine="560" w:firstLineChars="200"/>
          </w:pPr>
          <w:r>
            <w:fldChar w:fldCharType="begin"/>
          </w:r>
          <w:r>
            <w:instrText xml:space="preserve"> HYPERLINK \l _Toc2047600872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_Toc2047600872 \h </w:instrText>
          </w:r>
          <w:r>
            <w:fldChar w:fldCharType="separate"/>
          </w:r>
          <w:r>
            <w:t>12</w:t>
          </w:r>
          <w:r>
            <w:fldChar w:fldCharType="end"/>
          </w:r>
          <w:r>
            <w:fldChar w:fldCharType="end"/>
          </w:r>
        </w:p>
        <w:p w14:paraId="5C055E70">
          <w:pPr>
            <w:pStyle w:val="15"/>
            <w:pageBreakBefore w:val="0"/>
            <w:tabs>
              <w:tab w:val="right" w:leader="dot" w:pos="8306"/>
              <w:tab w:val="clear" w:pos="8296"/>
            </w:tabs>
            <w:kinsoku/>
            <w:wordWrap/>
            <w:overflowPunct/>
            <w:topLinePunct w:val="0"/>
            <w:bidi w:val="0"/>
            <w:spacing w:line="560" w:lineRule="exact"/>
            <w:ind w:firstLine="560" w:firstLineChars="200"/>
          </w:pP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w:t>
          </w:r>
          <w:r>
            <w:fldChar w:fldCharType="begin"/>
          </w:r>
          <w:r>
            <w:instrText xml:space="preserve"> HYPERLINK \l _Toc2001166997 </w:instrText>
          </w:r>
          <w:r>
            <w:fldChar w:fldCharType="separate"/>
          </w:r>
          <w:r>
            <w:rPr>
              <w:rFonts w:hint="eastAsia" w:ascii="Times New Roman" w:hAnsi="Times New Roman" w:eastAsia="黑体" w:cs="黑体"/>
              <w:szCs w:val="32"/>
              <w:highlight w:val="none"/>
            </w:rPr>
            <w:t>附件</w:t>
          </w:r>
          <w:r>
            <w:rPr>
              <w:rFonts w:hint="eastAsia" w:ascii="Times New Roman" w:hAnsi="Times New Roman" w:eastAsia="黑体" w:cs="黑体"/>
              <w:szCs w:val="32"/>
              <w:highlight w:val="none"/>
              <w:lang w:val="en-US" w:eastAsia="zh-CN"/>
            </w:rPr>
            <w:t>1</w:t>
          </w:r>
          <w:r>
            <w:tab/>
          </w:r>
          <w:r>
            <w:fldChar w:fldCharType="begin"/>
          </w:r>
          <w:r>
            <w:instrText xml:space="preserve"> PAGEREF _Toc2001166997 \h </w:instrText>
          </w:r>
          <w:r>
            <w:fldChar w:fldCharType="separate"/>
          </w:r>
          <w:r>
            <w:t>16</w:t>
          </w:r>
          <w:r>
            <w:fldChar w:fldCharType="end"/>
          </w:r>
          <w:r>
            <w:fldChar w:fldCharType="end"/>
          </w:r>
        </w:p>
        <w:p w14:paraId="2CDBC056">
          <w:pPr>
            <w:pageBreakBefore w:val="0"/>
            <w:kinsoku/>
            <w:wordWrap/>
            <w:overflowPunct/>
            <w:topLinePunct w:val="0"/>
            <w:bidi w:val="0"/>
            <w:spacing w:line="560" w:lineRule="exact"/>
            <w:ind w:firstLine="400" w:firstLineChars="200"/>
            <w:rPr>
              <w:rFonts w:hint="eastAsia" w:ascii="Times New Roman" w:hAnsi="Times New Roman" w:eastAsia="方正小标宋简体" w:cs="方正小标宋简体"/>
              <w:b w:val="0"/>
              <w:color w:val="auto"/>
              <w:highlight w:val="none"/>
            </w:rPr>
            <w:sectPr>
              <w:footerReference r:id="rId4" w:type="default"/>
              <w:pgSz w:w="11906" w:h="16838"/>
              <w:pgMar w:top="1440" w:right="1800" w:bottom="1440" w:left="1800" w:header="720" w:footer="720" w:gutter="0"/>
              <w:pgNumType w:fmt="decimal" w:start="1"/>
              <w:cols w:space="720" w:num="1"/>
              <w:docGrid w:type="lines" w:linePitch="312" w:charSpace="0"/>
            </w:sectPr>
          </w:pPr>
          <w:r>
            <w:fldChar w:fldCharType="end"/>
          </w:r>
          <w:bookmarkStart w:id="112" w:name="_GoBack"/>
          <w:bookmarkEnd w:id="112"/>
          <w:bookmarkStart w:id="8" w:name="_Toc1723939739"/>
          <w:bookmarkStart w:id="9" w:name="_Toc1375315906"/>
        </w:p>
      </w:sdtContent>
    </w:sdt>
    <w:p w14:paraId="3F8C595F">
      <w:pPr>
        <w:pStyle w:val="4"/>
        <w:pageBreakBefore w:val="0"/>
        <w:kinsoku/>
        <w:wordWrap/>
        <w:overflowPunct/>
        <w:topLinePunct w:val="0"/>
        <w:bidi w:val="0"/>
        <w:spacing w:line="560" w:lineRule="exact"/>
        <w:ind w:firstLine="880" w:firstLineChars="200"/>
        <w:jc w:val="center"/>
        <w:rPr>
          <w:rStyle w:val="22"/>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2"/>
          <w:rFonts w:hint="eastAsia" w:ascii="Times New Roman" w:hAnsi="Times New Roman" w:eastAsia="方正小标宋简体" w:cs="方正小标宋简体"/>
          <w:b w:val="0"/>
          <w:bCs w:val="0"/>
          <w:color w:val="auto"/>
          <w:highlight w:val="none"/>
        </w:rPr>
        <w:t>部门概况</w:t>
      </w:r>
      <w:bookmarkEnd w:id="6"/>
      <w:bookmarkEnd w:id="7"/>
      <w:bookmarkEnd w:id="8"/>
      <w:bookmarkEnd w:id="9"/>
    </w:p>
    <w:p w14:paraId="7AC1CA9C">
      <w:pPr>
        <w:pStyle w:val="5"/>
        <w:pageBreakBefore w:val="0"/>
        <w:kinsoku/>
        <w:wordWrap/>
        <w:overflowPunct/>
        <w:topLinePunct w:val="0"/>
        <w:bidi w:val="0"/>
        <w:spacing w:line="560" w:lineRule="exact"/>
        <w:ind w:firstLine="640" w:firstLineChars="200"/>
        <w:rPr>
          <w:rFonts w:hint="eastAsia" w:ascii="Times New Roman" w:hAnsi="Times New Roman" w:eastAsia="黑体"/>
          <w:b w:val="0"/>
          <w:highlight w:val="none"/>
          <w:lang w:eastAsia="zh-CN"/>
        </w:rPr>
      </w:pPr>
      <w:bookmarkStart w:id="10" w:name="_Toc15377197"/>
      <w:bookmarkEnd w:id="10"/>
      <w:bookmarkStart w:id="11" w:name="_Toc15396600"/>
      <w:bookmarkEnd w:id="11"/>
      <w:bookmarkStart w:id="12" w:name="_Toc1449664095"/>
      <w:bookmarkStart w:id="13" w:name="_Toc1065789535"/>
      <w:r>
        <w:rPr>
          <w:rFonts w:ascii="Times New Roman" w:hAnsi="Times New Roman" w:eastAsia="黑体"/>
          <w:b w:val="0"/>
          <w:highlight w:val="none"/>
          <w:lang w:eastAsia="zh-CN"/>
        </w:rPr>
        <w:t>一、</w:t>
      </w:r>
      <w:r>
        <w:rPr>
          <w:rFonts w:hint="eastAsia" w:ascii="Times New Roman" w:hAnsi="Times New Roman" w:eastAsia="黑体"/>
          <w:b w:val="0"/>
          <w:highlight w:val="none"/>
          <w:lang w:eastAsia="zh-CN"/>
        </w:rPr>
        <w:t>部门职责</w:t>
      </w:r>
      <w:bookmarkEnd w:id="12"/>
      <w:bookmarkEnd w:id="13"/>
    </w:p>
    <w:p w14:paraId="44AE5F5D">
      <w:pPr>
        <w:pStyle w:val="5"/>
        <w:pageBreakBefore w:val="0"/>
        <w:kinsoku/>
        <w:wordWrap/>
        <w:overflowPunct/>
        <w:topLinePunct w:val="0"/>
        <w:bidi w:val="0"/>
        <w:spacing w:line="560" w:lineRule="exact"/>
        <w:ind w:firstLine="640" w:firstLineChars="200"/>
        <w:rPr>
          <w:rFonts w:hint="eastAsia" w:ascii="仿宋_GB2312" w:hAnsi="宋体" w:eastAsia="仿宋_GB2312" w:cs="宋体"/>
          <w:color w:val="000000"/>
          <w:kern w:val="0"/>
          <w:sz w:val="32"/>
          <w:szCs w:val="32"/>
        </w:rPr>
        <w:sectPr>
          <w:footerReference r:id="rId5" w:type="default"/>
          <w:pgSz w:w="11906" w:h="16838"/>
          <w:pgMar w:top="1440" w:right="1800" w:bottom="1440" w:left="1800" w:header="720" w:footer="720" w:gutter="0"/>
          <w:pgNumType w:fmt="decimal" w:start="1"/>
          <w:cols w:space="720" w:num="1"/>
          <w:docGrid w:type="lines" w:linePitch="312" w:charSpace="0"/>
        </w:sectPr>
      </w:pPr>
      <w:r>
        <w:rPr>
          <w:rFonts w:hint="eastAsia" w:ascii="仿宋_GB2312" w:hAnsi="宋体" w:eastAsia="仿宋_GB2312" w:cs="宋体"/>
          <w:b w:val="0"/>
          <w:bCs w:val="0"/>
          <w:color w:val="000000"/>
          <w:kern w:val="0"/>
          <w:sz w:val="32"/>
          <w:szCs w:val="32"/>
        </w:rPr>
        <w:t>承担综合性文化服务中心职能，对下一级文化馆站（室）、社会文艺团体进行业务指导和辅导，策划、组织群众文化活动，举办群众性文艺比赛、文艺演出和全国、省级的群文系列调演和各类艺术作品展览，开展艺术培训和社会教育；参与草拟全州非物质文化遗产保护规划和政策并组织实施，指导实施优秀民族文化遗产传承、开发和普及工作，负责组织和参加非物质文化遗产展览、展演、展示、推介等公益活动及其相关知识宣传普及活动，开展非物质文化遗产生产性保护工作，开发利用优秀的非物质文化遗产资源；调查研究、收集整理、抢救保护民族民间优秀文化，组织、辅导文艺创作，编辑出版各类民族民间文化艺术书刊，负责《阿坝文化》刊物出版交流工作；负责文化产业相关政策的宣传、咨询及文化产业人才培训，负责组织协调文化产业项目的调研策划和组织实施工作，负责文化产业方面的宣传推介和招商引资工作，负责文化产业资源的调查及文化产业项目的申报和跟踪服务工作，建立文化产业信息库，打造地域特色文化</w:t>
      </w:r>
      <w:r>
        <w:rPr>
          <w:rFonts w:ascii="仿宋_GB2312" w:hAnsi="宋体" w:eastAsia="方正兰亭黑_GBK" w:cs="宋体"/>
          <w:b w:val="0"/>
          <w:bCs w:val="0"/>
          <w:color w:val="000000"/>
          <w:kern w:val="0"/>
          <w:sz w:val="32"/>
          <w:szCs w:val="32"/>
        </w:rPr>
        <w:t>。</w:t>
      </w:r>
    </w:p>
    <w:p w14:paraId="7621CD63">
      <w:pPr>
        <w:pStyle w:val="5"/>
        <w:pageBreakBefore w:val="0"/>
        <w:kinsoku/>
        <w:wordWrap/>
        <w:overflowPunct/>
        <w:topLinePunct w:val="0"/>
        <w:bidi w:val="0"/>
        <w:spacing w:before="0" w:after="0" w:line="240" w:lineRule="auto"/>
        <w:ind w:firstLine="640" w:firstLineChars="200"/>
        <w:rPr>
          <w:rStyle w:val="23"/>
          <w:rFonts w:ascii="Times New Roman" w:hAnsi="Times New Roman"/>
          <w:b w:val="0"/>
          <w:bCs w:val="0"/>
          <w:color w:val="auto"/>
          <w:highlight w:val="none"/>
        </w:rPr>
      </w:pPr>
      <w:bookmarkStart w:id="14" w:name="_Toc15396601"/>
      <w:bookmarkStart w:id="15" w:name="_Toc15377200"/>
      <w:bookmarkStart w:id="16" w:name="_Toc1746473105"/>
      <w:bookmarkStart w:id="17" w:name="_Toc1066712823"/>
      <w:r>
        <w:rPr>
          <w:rFonts w:hint="eastAsia" w:ascii="Times New Roman" w:hAnsi="Times New Roman" w:eastAsia="黑体"/>
          <w:b w:val="0"/>
          <w:color w:val="auto"/>
          <w:highlight w:val="none"/>
        </w:rPr>
        <w:t>二、机</w:t>
      </w:r>
      <w:r>
        <w:rPr>
          <w:rStyle w:val="23"/>
          <w:rFonts w:hint="eastAsia" w:ascii="Times New Roman" w:hAnsi="Times New Roman" w:eastAsia="黑体"/>
          <w:b w:val="0"/>
          <w:bCs w:val="0"/>
          <w:color w:val="auto"/>
          <w:highlight w:val="none"/>
        </w:rPr>
        <w:t>构设置</w:t>
      </w:r>
      <w:bookmarkEnd w:id="14"/>
      <w:bookmarkEnd w:id="15"/>
      <w:bookmarkEnd w:id="16"/>
      <w:bookmarkEnd w:id="17"/>
    </w:p>
    <w:p w14:paraId="2184B51C">
      <w:pPr>
        <w:pageBreakBefore w:val="0"/>
        <w:kinsoku/>
        <w:wordWrap/>
        <w:overflowPunct/>
        <w:topLinePunct w:val="0"/>
        <w:bidi w:val="0"/>
        <w:spacing w:line="240" w:lineRule="auto"/>
        <w:ind w:firstLine="640" w:firstLineChars="200"/>
        <w:rPr>
          <w:rFonts w:ascii="仿宋_GB2312" w:hAnsi="仿宋_GB2312" w:eastAsia="仿宋"/>
          <w:sz w:val="32"/>
          <w:szCs w:val="32"/>
        </w:rPr>
      </w:pPr>
      <w:r>
        <w:rPr>
          <w:rFonts w:hint="eastAsia" w:ascii="仿宋" w:hAnsi="仿宋" w:eastAsia="仿宋" w:cs="仿宋"/>
          <w:sz w:val="32"/>
          <w:szCs w:val="32"/>
        </w:rPr>
        <w:t>阿坝州文化馆属一级预算单位，隶属于阿坝州文化</w:t>
      </w:r>
      <w:r>
        <w:rPr>
          <w:rFonts w:hint="eastAsia" w:ascii="仿宋" w:hAnsi="仿宋" w:eastAsia="仿宋" w:cs="仿宋"/>
          <w:sz w:val="32"/>
          <w:szCs w:val="32"/>
          <w:lang w:eastAsia="zh-CN"/>
        </w:rPr>
        <w:t>广播电视</w:t>
      </w:r>
      <w:r>
        <w:rPr>
          <w:rFonts w:hint="eastAsia" w:ascii="仿宋" w:hAnsi="仿宋" w:eastAsia="仿宋" w:cs="仿宋"/>
          <w:sz w:val="32"/>
          <w:szCs w:val="32"/>
        </w:rPr>
        <w:t>和旅游局下属事业单位。</w:t>
      </w:r>
      <w:r>
        <w:rPr>
          <w:rFonts w:hint="eastAsia" w:ascii="仿宋" w:hAnsi="仿宋" w:eastAsia="仿宋" w:cs="仿宋"/>
          <w:kern w:val="0"/>
          <w:sz w:val="30"/>
          <w:szCs w:val="30"/>
          <w:shd w:val="clear" w:color="auto" w:fill="FFFFFF"/>
        </w:rPr>
        <w:t>本年度纳入本套决算编制范围的独立编制机构数共1个，比上年增加0个，独立核算机构数共1个，比上年增加0个</w:t>
      </w:r>
      <w:r>
        <w:rPr>
          <w:rStyle w:val="36"/>
          <w:rFonts w:hint="eastAsia" w:ascii="仿宋" w:hAnsi="仿宋" w:eastAsia="仿宋" w:cs="仿宋"/>
          <w:b/>
          <w:bCs w:val="0"/>
          <w:sz w:val="30"/>
          <w:szCs w:val="30"/>
          <w:shd w:val="clear" w:color="auto" w:fill="FFFFFF"/>
        </w:rPr>
        <w:t>。</w:t>
      </w:r>
      <w:r>
        <w:rPr>
          <w:rFonts w:hint="eastAsia" w:ascii="仿宋_GB2312" w:eastAsia="仿宋_GB2312"/>
          <w:sz w:val="32"/>
          <w:szCs w:val="32"/>
        </w:rPr>
        <w:t>人员情况，</w:t>
      </w:r>
      <w:r>
        <w:rPr>
          <w:rFonts w:hint="eastAsia" w:ascii="仿宋" w:eastAsia="仿宋"/>
          <w:bCs/>
          <w:color w:val="000000"/>
          <w:sz w:val="32"/>
          <w:szCs w:val="32"/>
        </w:rPr>
        <w:t>202</w:t>
      </w:r>
      <w:r>
        <w:rPr>
          <w:rFonts w:ascii="Lucida Sans" w:hAnsi="Lucida Sans" w:eastAsia="仿宋"/>
          <w:bCs/>
          <w:color w:val="000000"/>
          <w:sz w:val="32"/>
          <w:szCs w:val="32"/>
        </w:rPr>
        <w:t>5</w:t>
      </w:r>
      <w:r>
        <w:rPr>
          <w:rFonts w:hint="eastAsia" w:ascii="仿宋" w:eastAsia="仿宋"/>
          <w:bCs/>
          <w:color w:val="000000"/>
          <w:sz w:val="32"/>
          <w:szCs w:val="32"/>
        </w:rPr>
        <w:t>年年末实有</w:t>
      </w:r>
      <w:r>
        <w:rPr>
          <w:rFonts w:hint="eastAsia" w:ascii="仿宋" w:eastAsia="仿宋"/>
          <w:bCs/>
          <w:color w:val="000000"/>
          <w:sz w:val="32"/>
          <w:szCs w:val="32"/>
          <w:lang w:eastAsia="zh-CN"/>
        </w:rPr>
        <w:t>人数</w:t>
      </w:r>
      <w:r>
        <w:rPr>
          <w:rFonts w:ascii="Lucida Sans" w:hAnsi="Lucida Sans" w:eastAsia="仿宋"/>
          <w:bCs/>
          <w:color w:val="000000"/>
          <w:sz w:val="32"/>
          <w:szCs w:val="32"/>
          <w:lang w:val="en-US" w:eastAsia="zh-CN"/>
        </w:rPr>
        <w:t>30</w:t>
      </w:r>
      <w:r>
        <w:rPr>
          <w:rFonts w:hint="eastAsia" w:ascii="仿宋" w:eastAsia="仿宋"/>
          <w:bCs/>
          <w:color w:val="000000"/>
          <w:sz w:val="32"/>
          <w:szCs w:val="32"/>
        </w:rPr>
        <w:t>人，其中行政人员</w:t>
      </w:r>
      <w:r>
        <w:rPr>
          <w:rFonts w:hint="eastAsia" w:ascii="仿宋" w:eastAsia="仿宋"/>
          <w:bCs/>
          <w:color w:val="000000"/>
          <w:sz w:val="32"/>
          <w:szCs w:val="32"/>
          <w:lang w:val="en-US" w:eastAsia="zh-CN"/>
        </w:rPr>
        <w:t>0</w:t>
      </w:r>
      <w:r>
        <w:rPr>
          <w:rFonts w:hint="eastAsia" w:ascii="仿宋" w:eastAsia="仿宋"/>
          <w:bCs/>
          <w:color w:val="000000"/>
          <w:sz w:val="32"/>
          <w:szCs w:val="32"/>
        </w:rPr>
        <w:t>人。</w:t>
      </w:r>
    </w:p>
    <w:p w14:paraId="02CE8AF9">
      <w:pPr>
        <w:pageBreakBefore w:val="0"/>
        <w:widowControl/>
        <w:kinsoku/>
        <w:wordWrap/>
        <w:overflowPunct/>
        <w:topLinePunct w:val="0"/>
        <w:bidi w:val="0"/>
        <w:spacing w:line="560" w:lineRule="exact"/>
        <w:ind w:firstLine="640" w:firstLineChars="200"/>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C9A05E6">
      <w:pPr>
        <w:pStyle w:val="4"/>
        <w:pageBreakBefore w:val="0"/>
        <w:kinsoku/>
        <w:wordWrap/>
        <w:overflowPunct/>
        <w:topLinePunct w:val="0"/>
        <w:bidi w:val="0"/>
        <w:spacing w:line="560" w:lineRule="exact"/>
        <w:jc w:val="center"/>
        <w:rPr>
          <w:rFonts w:hint="eastAsia" w:ascii="方正小标宋简体" w:hAnsi="方正小标宋简体" w:eastAsia="方正小标宋简体" w:cs="方正小标宋简体"/>
          <w:b w:val="0"/>
          <w:color w:val="auto"/>
          <w:highlight w:val="none"/>
        </w:rPr>
      </w:pPr>
      <w:bookmarkStart w:id="18" w:name="_Toc15377204"/>
      <w:bookmarkStart w:id="19" w:name="_Toc15396602"/>
      <w:bookmarkStart w:id="20" w:name="_Toc1521005063"/>
      <w:bookmarkStart w:id="21" w:name="_Toc494075190"/>
      <w:r>
        <w:rPr>
          <w:rFonts w:hint="eastAsia" w:ascii="方正小标宋简体" w:hAnsi="方正小标宋简体" w:eastAsia="方正小标宋简体" w:cs="方正小标宋简体"/>
          <w:b w:val="0"/>
          <w:color w:val="auto"/>
          <w:highlight w:val="none"/>
        </w:rPr>
        <w:t>第二部分</w:t>
      </w:r>
      <w:r>
        <w:rPr>
          <w:rFonts w:hint="eastAsia" w:ascii="方正小标宋简体" w:hAnsi="方正小标宋简体" w:eastAsia="方正小标宋简体" w:cs="方正小标宋简体"/>
          <w:b w:val="0"/>
          <w:color w:val="auto"/>
          <w:highlight w:val="none"/>
          <w:lang w:val="en-US" w:eastAsia="zh-CN"/>
        </w:rPr>
        <w:t xml:space="preserve"> </w:t>
      </w:r>
      <w:r>
        <w:rPr>
          <w:rFonts w:hint="eastAsia" w:ascii="方正小标宋简体" w:hAnsi="方正小标宋简体" w:eastAsia="方正小标宋简体" w:cs="方正小标宋简体"/>
          <w:b w:val="0"/>
          <w:color w:val="auto"/>
          <w:highlight w:val="none"/>
        </w:rPr>
        <w:t xml:space="preserve"> </w:t>
      </w:r>
      <w:r>
        <w:rPr>
          <w:rFonts w:hint="eastAsia" w:ascii="方正小标宋简体" w:hAnsi="方正小标宋简体" w:eastAsia="方正小标宋简体" w:cs="方正小标宋简体"/>
          <w:b w:val="0"/>
          <w:color w:val="auto"/>
          <w:highlight w:val="none"/>
          <w:lang w:val="en-US" w:eastAsia="zh-CN"/>
        </w:rPr>
        <w:t>2025年度</w:t>
      </w:r>
      <w:r>
        <w:rPr>
          <w:rFonts w:hint="eastAsia" w:ascii="方正小标宋简体" w:hAnsi="方正小标宋简体" w:eastAsia="方正小标宋简体" w:cs="方正小标宋简体"/>
          <w:b w:val="0"/>
          <w:color w:val="auto"/>
          <w:highlight w:val="none"/>
        </w:rPr>
        <w:t>部门决算情况说明</w:t>
      </w:r>
      <w:bookmarkEnd w:id="18"/>
      <w:bookmarkEnd w:id="19"/>
      <w:bookmarkEnd w:id="20"/>
      <w:bookmarkEnd w:id="21"/>
    </w:p>
    <w:p w14:paraId="22C3A56C">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Style w:val="23"/>
          <w:rFonts w:hint="eastAsia" w:ascii="Times New Roman" w:hAnsi="Times New Roman" w:eastAsia="黑体"/>
          <w:b w:val="0"/>
          <w:color w:val="auto"/>
          <w:highlight w:val="none"/>
        </w:rPr>
      </w:pPr>
      <w:bookmarkStart w:id="22" w:name="_Toc15377205"/>
      <w:bookmarkStart w:id="23" w:name="_Toc15396603"/>
      <w:bookmarkStart w:id="24" w:name="_Toc1683393665"/>
      <w:bookmarkStart w:id="25" w:name="_Toc679545881"/>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3"/>
          <w:rFonts w:hint="eastAsia" w:ascii="Times New Roman" w:hAnsi="Times New Roman" w:eastAsia="黑体"/>
          <w:b w:val="0"/>
          <w:color w:val="auto"/>
          <w:highlight w:val="none"/>
        </w:rPr>
        <w:t>入支出决算总体情况说明</w:t>
      </w:r>
      <w:bookmarkEnd w:id="22"/>
      <w:bookmarkEnd w:id="23"/>
      <w:bookmarkEnd w:id="24"/>
      <w:bookmarkEnd w:id="25"/>
    </w:p>
    <w:p w14:paraId="455DF81B">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仿宋_GB2312" w:eastAsia="仿宋_GB2312"/>
          <w:sz w:val="32"/>
          <w:szCs w:val="32"/>
          <w:lang w:val="en-US" w:eastAsia="zh-CN"/>
        </w:rPr>
      </w:pPr>
      <w:bookmarkStart w:id="26" w:name="_Toc283001145"/>
      <w:bookmarkStart w:id="27" w:name="_Toc846872160"/>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ascii="Lucida Sans" w:hAnsi="Lucida Sans" w:eastAsia="方正兰亭黑_GBK"/>
          <w:sz w:val="32"/>
          <w:szCs w:val="32"/>
        </w:rPr>
        <w:t>313.85</w:t>
      </w:r>
      <w:r>
        <w:rPr>
          <w:rFonts w:hint="eastAsia" w:ascii="仿宋_GB2312" w:eastAsia="仿宋_GB2312"/>
          <w:sz w:val="32"/>
          <w:szCs w:val="32"/>
          <w:lang w:val="en-US" w:eastAsia="zh-CN"/>
        </w:rPr>
        <w:t>万</w:t>
      </w:r>
      <w:r>
        <w:rPr>
          <w:rFonts w:hint="eastAsia" w:ascii="仿宋_GB2312" w:eastAsia="仿宋_GB2312"/>
          <w:sz w:val="32"/>
          <w:szCs w:val="32"/>
        </w:rPr>
        <w:t>元</w:t>
      </w:r>
      <w:r>
        <w:rPr>
          <w:rFonts w:hint="eastAsia" w:ascii="Times New Roman" w:hAnsi="Times New Roman" w:eastAsia="仿宋_GB2312" w:cs="仿宋_GB2312"/>
          <w:color w:val="auto"/>
          <w:sz w:val="32"/>
          <w:szCs w:val="32"/>
          <w:highlight w:val="none"/>
        </w:rPr>
        <w:t>万元，</w:t>
      </w:r>
      <w:r>
        <w:rPr>
          <w:rFonts w:ascii="仿宋_GB2312" w:hAnsi="仿宋_GB2312" w:eastAsia="方正兰亭黑_GBK"/>
          <w:sz w:val="32"/>
          <w:szCs w:val="32"/>
          <w:lang w:val="en-US" w:eastAsia="zh-CN"/>
        </w:rPr>
        <w:t>增加</w:t>
      </w:r>
      <w:r>
        <w:rPr>
          <w:rFonts w:ascii="Lucida Sans" w:hAnsi="Lucida Sans" w:eastAsia="仿宋_GB2312"/>
          <w:sz w:val="32"/>
          <w:szCs w:val="32"/>
          <w:lang w:val="en-US" w:eastAsia="zh-CN"/>
        </w:rPr>
        <w:t>22.53</w:t>
      </w:r>
      <w:r>
        <w:rPr>
          <w:rFonts w:hint="eastAsia" w:ascii="仿宋_GB2312" w:eastAsia="仿宋_GB2312"/>
          <w:sz w:val="32"/>
          <w:szCs w:val="32"/>
        </w:rPr>
        <w:t>%</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方正兰亭黑_GBK"/>
          <w:sz w:val="32"/>
          <w:szCs w:val="32"/>
          <w:lang w:eastAsia="zh-CN"/>
        </w:rPr>
        <w:t>：</w:t>
      </w:r>
      <w:r>
        <w:rPr>
          <w:rFonts w:ascii="仿宋_GB2312" w:hAnsi="仿宋_GB2312" w:eastAsia="方正兰亭黑_GBK"/>
          <w:sz w:val="32"/>
          <w:szCs w:val="32"/>
        </w:rPr>
        <w:t>本年项目比去年增加</w:t>
      </w:r>
      <w:r>
        <w:rPr>
          <w:rFonts w:hint="eastAsia" w:ascii="仿宋_GB2312" w:eastAsia="仿宋_GB2312"/>
          <w:sz w:val="32"/>
          <w:szCs w:val="32"/>
          <w:lang w:val="en-US" w:eastAsia="zh-CN"/>
        </w:rPr>
        <w:t>.</w:t>
      </w:r>
      <w:bookmarkEnd w:id="26"/>
      <w:bookmarkEnd w:id="27"/>
    </w:p>
    <w:p w14:paraId="294B637B">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rPr>
      </w:pPr>
      <w:bookmarkStart w:id="28" w:name="_Toc787642829"/>
      <w:bookmarkStart w:id="29" w:name="_Toc384437811"/>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28"/>
      <w:bookmarkEnd w:id="29"/>
    </w:p>
    <w:p w14:paraId="45B3661A">
      <w:pPr>
        <w:keepNext w:val="0"/>
        <w:keepLines w:val="0"/>
        <w:pageBreakBefore w:val="0"/>
        <w:widowControl w:val="0"/>
        <w:kinsoku/>
        <w:wordWrap/>
        <w:overflowPunct/>
        <w:topLinePunct w:val="0"/>
        <w:autoSpaceDE/>
        <w:autoSpaceDN/>
        <w:bidi w:val="0"/>
        <w:adjustRightInd/>
        <w:snapToGrid/>
        <w:spacing w:line="560" w:lineRule="exact"/>
        <w:ind w:firstLine="420" w:firstLineChars="200"/>
      </w:pPr>
      <w:r>
        <w:drawing>
          <wp:anchor distT="0" distB="0" distL="85090" distR="85090" simplePos="0" relativeHeight="251664384" behindDoc="0" locked="0" layoutInCell="1" allowOverlap="1">
            <wp:simplePos x="0" y="0"/>
            <wp:positionH relativeFrom="column">
              <wp:posOffset>827405</wp:posOffset>
            </wp:positionH>
            <wp:positionV relativeFrom="paragraph">
              <wp:posOffset>186690</wp:posOffset>
            </wp:positionV>
            <wp:extent cx="3552190" cy="1732915"/>
            <wp:effectExtent l="6350" t="6350" r="22860" b="13335"/>
            <wp:wrapSquare wrapText="bothSides"/>
            <wp:docPr id="7"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AAEE138">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30" w:name="_Toc15396604"/>
      <w:bookmarkStart w:id="31" w:name="_Toc15377206"/>
      <w:bookmarkStart w:id="32" w:name="_Toc625898923"/>
      <w:bookmarkStart w:id="33" w:name="_Toc837206709"/>
    </w:p>
    <w:p w14:paraId="41096AC1">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p>
    <w:p w14:paraId="6B819300">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p>
    <w:p w14:paraId="407D0013">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p>
    <w:p w14:paraId="7D148F13">
      <w:pPr>
        <w:pStyle w:val="30"/>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outlineLvl w:val="1"/>
        <w:rPr>
          <w:rFonts w:hint="eastAsia" w:ascii="Times New Roman" w:hAnsi="Times New Roman" w:eastAsia="黑体"/>
          <w:color w:val="auto"/>
          <w:sz w:val="32"/>
          <w:szCs w:val="32"/>
          <w:highlight w:val="none"/>
          <w:lang w:eastAsia="zh-CN"/>
        </w:rPr>
      </w:pPr>
    </w:p>
    <w:p w14:paraId="0EDDCDD6">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30"/>
      <w:bookmarkEnd w:id="31"/>
      <w:bookmarkEnd w:id="32"/>
      <w:bookmarkEnd w:id="33"/>
    </w:p>
    <w:p w14:paraId="54518C9D">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4" w:name="_Toc1628519435"/>
      <w:bookmarkStart w:id="35" w:name="_Toc185013406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34"/>
      <w:bookmarkEnd w:id="35"/>
    </w:p>
    <w:p w14:paraId="74026E0F">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6" w:name="_Toc453544712"/>
      <w:bookmarkStart w:id="37" w:name="_Toc1082836420"/>
      <w:r>
        <w:rPr>
          <w:rFonts w:hint="eastAsia" w:ascii="Times New Roman" w:hAnsi="Times New Roman" w:eastAsia="仿宋_GB2312" w:cs="仿宋_GB2312"/>
          <w:color w:val="auto"/>
          <w:sz w:val="32"/>
          <w:szCs w:val="32"/>
          <w:highlight w:val="none"/>
          <w:lang w:eastAsia="zh-CN"/>
        </w:rPr>
        <w:t>（图2：收入决算结构图）（饼状图）</w:t>
      </w:r>
      <w:bookmarkEnd w:id="36"/>
      <w:bookmarkEnd w:id="37"/>
    </w:p>
    <w:p w14:paraId="35F2C5F8">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454025</wp:posOffset>
            </wp:positionH>
            <wp:positionV relativeFrom="paragraph">
              <wp:posOffset>16510</wp:posOffset>
            </wp:positionV>
            <wp:extent cx="4563745" cy="2340610"/>
            <wp:effectExtent l="4445" t="4445" r="22860" b="17145"/>
            <wp:wrapSquare wrapText="bothSides"/>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A2D6167">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13D174C">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C361D8A">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3338F8F">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sz w:val="32"/>
          <w:szCs w:val="32"/>
          <w:highlight w:val="none"/>
          <w:lang w:eastAsia="zh-CN"/>
        </w:rPr>
      </w:pPr>
    </w:p>
    <w:p w14:paraId="2420F459">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38" w:name="_Toc15377207"/>
      <w:bookmarkStart w:id="39" w:name="_Toc15396605"/>
      <w:bookmarkStart w:id="40" w:name="_Toc1613740680"/>
      <w:bookmarkStart w:id="41" w:name="_Toc2041582274"/>
    </w:p>
    <w:p w14:paraId="5EBDF151">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p>
    <w:p w14:paraId="0354129C">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Style w:val="23"/>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3"/>
          <w:rFonts w:hint="eastAsia" w:ascii="Times New Roman" w:hAnsi="Times New Roman" w:eastAsia="黑体"/>
          <w:b w:val="0"/>
          <w:color w:val="auto"/>
          <w:highlight w:val="none"/>
        </w:rPr>
        <w:t>出决算情况说明</w:t>
      </w:r>
      <w:bookmarkEnd w:id="38"/>
      <w:bookmarkEnd w:id="39"/>
      <w:bookmarkEnd w:id="40"/>
      <w:bookmarkEnd w:id="41"/>
    </w:p>
    <w:p w14:paraId="086829E2">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42" w:name="_Toc110066573"/>
      <w:bookmarkStart w:id="43" w:name="_Toc89832851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878.12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51.45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828.53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48.54</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42"/>
      <w:bookmarkEnd w:id="43"/>
    </w:p>
    <w:p w14:paraId="289503D6">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44" w:name="_Toc1674830406"/>
      <w:bookmarkStart w:id="45" w:name="_Toc2079007592"/>
      <w:r>
        <w:rPr>
          <w:rFonts w:hint="eastAsia" w:ascii="Times New Roman" w:hAnsi="Times New Roman" w:eastAsia="仿宋_GB2312" w:cs="仿宋_GB2312"/>
          <w:color w:val="auto"/>
          <w:sz w:val="32"/>
          <w:szCs w:val="32"/>
          <w:highlight w:val="none"/>
          <w:lang w:eastAsia="zh-CN"/>
        </w:rPr>
        <w:t>（图3：支出决算结构图）（饼状图）</w:t>
      </w:r>
      <w:bookmarkEnd w:id="44"/>
      <w:bookmarkEnd w:id="45"/>
    </w:p>
    <w:p w14:paraId="4803DFAA">
      <w:pPr>
        <w:pageBreakBefore w:val="0"/>
        <w:kinsoku/>
        <w:wordWrap/>
        <w:overflowPunct/>
        <w:topLinePunct w:val="0"/>
        <w:bidi w:val="0"/>
        <w:spacing w:line="560" w:lineRule="exact"/>
        <w:ind w:firstLine="420" w:firstLineChars="200"/>
        <w:rPr>
          <w:rFonts w:hint="eastAsia" w:ascii="Times New Roman" w:hAnsi="Times New Roman" w:eastAsia="仿宋_GB2312" w:cs="仿宋_GB2312"/>
          <w:color w:val="auto"/>
          <w:sz w:val="32"/>
          <w:szCs w:val="32"/>
          <w:highlight w:val="none"/>
          <w:lang w:eastAsia="zh-CN"/>
        </w:rPr>
      </w:pPr>
      <w:r>
        <w:pict>
          <v:shape id="_x0000_s1027" o:spid="_x0000_s1027" o:spt="75" alt="image2" type="#_x0000_t75" style="position:absolute;left:0pt;margin-left:27.8pt;margin-top:4.1pt;height:141.9pt;width:323.4pt;z-index:251666432;mso-width-relative:page;mso-height-relative:page;" o:ole="t" filled="f" o:preferrelative="t" stroked="f" coordsize="21600,21600">
            <v:path/>
            <v:fill on="f" focussize="0,0"/>
            <v:stroke on="f"/>
            <v:imagedata r:id="rId12" o:title="image2"/>
            <o:lock v:ext="edit" aspectratio="t"/>
          </v:shape>
          <o:OLEObject Type="Embed" ProgID="Package" ShapeID="_x0000_s1027" DrawAspect="Content" ObjectID="_1468075725" r:id="rId11">
            <o:LockedField>false</o:LockedField>
          </o:OLEObject>
        </w:pict>
      </w:r>
    </w:p>
    <w:p w14:paraId="353BF541">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bookmarkStart w:id="46" w:name="_Toc15377208"/>
      <w:bookmarkStart w:id="47" w:name="_Toc15396606"/>
      <w:bookmarkStart w:id="48" w:name="_Toc1801356705"/>
      <w:bookmarkStart w:id="49" w:name="_Toc342445238"/>
    </w:p>
    <w:p w14:paraId="22389E74">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61263E3F">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35DCEA9C">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2EA044A4">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49F5D6FD">
      <w:pPr>
        <w:pageBreakBefore w:val="0"/>
        <w:kinsoku/>
        <w:wordWrap/>
        <w:overflowPunct/>
        <w:topLinePunct w:val="0"/>
        <w:bidi w:val="0"/>
        <w:spacing w:line="560" w:lineRule="exact"/>
        <w:ind w:firstLine="640" w:firstLineChars="200"/>
        <w:outlineLvl w:val="1"/>
        <w:rPr>
          <w:rStyle w:val="23"/>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3"/>
          <w:rFonts w:hint="eastAsia" w:ascii="Times New Roman" w:hAnsi="Times New Roman" w:eastAsia="黑体"/>
          <w:b w:val="0"/>
          <w:color w:val="auto"/>
          <w:highlight w:val="none"/>
        </w:rPr>
        <w:t>政拨款收入支出决算总体情况说明</w:t>
      </w:r>
      <w:bookmarkEnd w:id="46"/>
      <w:bookmarkEnd w:id="47"/>
      <w:bookmarkEnd w:id="48"/>
      <w:bookmarkEnd w:id="49"/>
    </w:p>
    <w:p w14:paraId="68C6FBFA">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仿宋_GB2312" w:eastAsia="仿宋_GB2312"/>
          <w:sz w:val="32"/>
          <w:szCs w:val="32"/>
          <w:lang w:val="en-US" w:eastAsia="zh-CN"/>
        </w:rPr>
      </w:pPr>
      <w:bookmarkStart w:id="50" w:name="_Toc604258095"/>
      <w:bookmarkStart w:id="51" w:name="_Toc15583663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Times New Roman" w:hAnsi="Times New Roman" w:eastAsia="仿宋_GB2312" w:cs="仿宋_GB2312"/>
          <w:color w:val="auto"/>
          <w:sz w:val="32"/>
          <w:szCs w:val="32"/>
          <w:highlight w:val="none"/>
        </w:rPr>
        <w:t>增加</w:t>
      </w:r>
      <w:r>
        <w:rPr>
          <w:rFonts w:ascii="Lucida Sans" w:hAnsi="Lucida Sans" w:eastAsia="方正兰亭黑_GBK"/>
          <w:sz w:val="32"/>
          <w:szCs w:val="32"/>
        </w:rPr>
        <w:t>313.85</w:t>
      </w:r>
      <w:r>
        <w:rPr>
          <w:rFonts w:hint="eastAsia" w:ascii="仿宋_GB2312" w:eastAsia="仿宋_GB2312"/>
          <w:sz w:val="32"/>
          <w:szCs w:val="32"/>
          <w:lang w:val="en-US" w:eastAsia="zh-CN"/>
        </w:rPr>
        <w:t>万</w:t>
      </w:r>
      <w:r>
        <w:rPr>
          <w:rFonts w:hint="eastAsia" w:ascii="仿宋_GB2312" w:eastAsia="仿宋_GB2312"/>
          <w:sz w:val="32"/>
          <w:szCs w:val="32"/>
        </w:rPr>
        <w:t>元</w:t>
      </w:r>
      <w:r>
        <w:rPr>
          <w:rFonts w:hint="eastAsia" w:ascii="Times New Roman" w:hAnsi="Times New Roman" w:eastAsia="仿宋_GB2312" w:cs="仿宋_GB2312"/>
          <w:color w:val="auto"/>
          <w:sz w:val="32"/>
          <w:szCs w:val="32"/>
          <w:highlight w:val="none"/>
        </w:rPr>
        <w:t>万元，</w:t>
      </w:r>
      <w:r>
        <w:rPr>
          <w:rFonts w:ascii="仿宋_GB2312" w:hAnsi="仿宋_GB2312" w:eastAsia="方正兰亭黑_GBK"/>
          <w:sz w:val="32"/>
          <w:szCs w:val="32"/>
          <w:lang w:val="en-US" w:eastAsia="zh-CN"/>
        </w:rPr>
        <w:t>增加</w:t>
      </w:r>
      <w:r>
        <w:rPr>
          <w:rFonts w:ascii="Lucida Sans" w:hAnsi="Lucida Sans" w:eastAsia="仿宋_GB2312"/>
          <w:sz w:val="32"/>
          <w:szCs w:val="32"/>
          <w:lang w:val="en-US" w:eastAsia="zh-CN"/>
        </w:rPr>
        <w:t>22.53</w:t>
      </w:r>
      <w:r>
        <w:rPr>
          <w:rFonts w:hint="eastAsia" w:ascii="仿宋_GB2312" w:eastAsia="仿宋_GB2312"/>
          <w:sz w:val="32"/>
          <w:szCs w:val="32"/>
        </w:rPr>
        <w:t>%</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方正兰亭黑_GBK"/>
          <w:sz w:val="32"/>
          <w:szCs w:val="32"/>
          <w:lang w:eastAsia="zh-CN"/>
        </w:rPr>
        <w:t>：</w:t>
      </w:r>
      <w:r>
        <w:rPr>
          <w:rFonts w:ascii="仿宋_GB2312" w:hAnsi="仿宋_GB2312" w:eastAsia="方正兰亭黑_GBK"/>
          <w:sz w:val="32"/>
          <w:szCs w:val="32"/>
        </w:rPr>
        <w:t>本年项目比去年增加</w:t>
      </w:r>
      <w:r>
        <w:rPr>
          <w:rFonts w:hint="eastAsia" w:ascii="仿宋_GB2312" w:eastAsia="仿宋_GB2312"/>
          <w:sz w:val="32"/>
          <w:szCs w:val="32"/>
          <w:lang w:val="en-US" w:eastAsia="zh-CN"/>
        </w:rPr>
        <w:t>.</w:t>
      </w:r>
      <w:bookmarkEnd w:id="50"/>
      <w:bookmarkEnd w:id="51"/>
    </w:p>
    <w:p w14:paraId="7BC3D450">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880701E">
      <w:pPr>
        <w:pageBreakBefore w:val="0"/>
        <w:kinsoku/>
        <w:wordWrap/>
        <w:overflowPunct/>
        <w:topLinePunct w:val="0"/>
        <w:bidi w:val="0"/>
        <w:spacing w:line="560" w:lineRule="exact"/>
        <w:ind w:firstLine="420" w:firstLineChars="200"/>
      </w:pPr>
      <w:r>
        <w:drawing>
          <wp:anchor distT="0" distB="0" distL="85090" distR="85090" simplePos="0" relativeHeight="251661312" behindDoc="0" locked="0" layoutInCell="1" allowOverlap="1">
            <wp:simplePos x="0" y="0"/>
            <wp:positionH relativeFrom="column">
              <wp:posOffset>697865</wp:posOffset>
            </wp:positionH>
            <wp:positionV relativeFrom="paragraph">
              <wp:posOffset>307975</wp:posOffset>
            </wp:positionV>
            <wp:extent cx="4403090" cy="2148205"/>
            <wp:effectExtent l="6350" t="6350" r="10160" b="17145"/>
            <wp:wrapSquare wrapText="bothSides"/>
            <wp:docPr id="2"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13549E7">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bookmarkStart w:id="52" w:name="_Toc15377209"/>
      <w:bookmarkStart w:id="53" w:name="_Toc15396607"/>
      <w:bookmarkStart w:id="54" w:name="_Toc6176991"/>
      <w:bookmarkStart w:id="55" w:name="_Toc757778634"/>
    </w:p>
    <w:p w14:paraId="3CABC3CE">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5C329215">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64AB158A">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46A6F889">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258F4D21">
      <w:pPr>
        <w:pageBreakBefore w:val="0"/>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p>
    <w:p w14:paraId="69ECD08D">
      <w:pPr>
        <w:pageBreakBefore w:val="0"/>
        <w:kinsoku/>
        <w:wordWrap/>
        <w:overflowPunct/>
        <w:topLinePunct w:val="0"/>
        <w:bidi w:val="0"/>
        <w:spacing w:line="560" w:lineRule="exact"/>
        <w:ind w:firstLine="640" w:firstLineChars="200"/>
        <w:outlineLvl w:val="1"/>
        <w:rPr>
          <w:rStyle w:val="23"/>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3"/>
          <w:rFonts w:hint="eastAsia" w:ascii="Times New Roman" w:hAnsi="Times New Roman" w:eastAsia="黑体"/>
          <w:b w:val="0"/>
          <w:color w:val="auto"/>
          <w:highlight w:val="none"/>
        </w:rPr>
        <w:t>般公共预算财政拨款支出决算情况说明</w:t>
      </w:r>
      <w:bookmarkEnd w:id="52"/>
      <w:bookmarkEnd w:id="53"/>
      <w:bookmarkEnd w:id="54"/>
      <w:bookmarkEnd w:id="55"/>
    </w:p>
    <w:p w14:paraId="60B01A3A">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6"/>
    </w:p>
    <w:p w14:paraId="65367CD4">
      <w:pPr>
        <w:pStyle w:val="30"/>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仿宋_GB2312" w:eastAsia="仿宋_GB2312"/>
          <w:sz w:val="32"/>
          <w:szCs w:val="32"/>
          <w:lang w:val="en-US" w:eastAsia="zh-CN"/>
        </w:rPr>
      </w:pPr>
      <w:bookmarkStart w:id="57" w:name="_Toc811558638"/>
      <w:bookmarkStart w:id="58" w:name="_Toc1136402675"/>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313.85</w:t>
      </w:r>
      <w:r>
        <w:rPr>
          <w:rFonts w:hint="eastAsia" w:ascii="Times New Roman" w:hAnsi="Times New Roman" w:eastAsia="仿宋_GB2312" w:cs="仿宋_GB2312"/>
          <w:color w:val="auto"/>
          <w:kern w:val="2"/>
          <w:sz w:val="32"/>
          <w:szCs w:val="32"/>
          <w:highlight w:val="none"/>
          <w:lang w:val="en-US" w:eastAsia="zh-CN" w:bidi="ar-SA"/>
        </w:rPr>
        <w:t>元，增长</w:t>
      </w:r>
      <w:r>
        <w:rPr>
          <w:rFonts w:hint="eastAsia" w:eastAsia="仿宋_GB2312" w:cs="仿宋_GB2312"/>
          <w:color w:val="auto"/>
          <w:kern w:val="2"/>
          <w:sz w:val="32"/>
          <w:szCs w:val="32"/>
          <w:highlight w:val="none"/>
          <w:lang w:val="en-US" w:eastAsia="zh-CN" w:bidi="ar-SA"/>
        </w:rPr>
        <w:t>22.53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仿宋_GB2312" w:hAnsi="仿宋_GB2312" w:eastAsia="方正兰亭黑_GBK"/>
          <w:sz w:val="32"/>
          <w:szCs w:val="32"/>
        </w:rPr>
        <w:t>本年项目比去年增加</w:t>
      </w:r>
      <w:r>
        <w:rPr>
          <w:rFonts w:hint="eastAsia" w:ascii="仿宋_GB2312" w:eastAsia="仿宋_GB2312"/>
          <w:sz w:val="32"/>
          <w:szCs w:val="32"/>
          <w:lang w:val="en-US" w:eastAsia="zh-CN"/>
        </w:rPr>
        <w:t>.</w:t>
      </w:r>
      <w:bookmarkEnd w:id="57"/>
      <w:bookmarkEnd w:id="58"/>
    </w:p>
    <w:p w14:paraId="58D4BD1A">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D992D8D">
      <w:pPr>
        <w:pageBreakBefore w:val="0"/>
        <w:kinsoku/>
        <w:wordWrap/>
        <w:overflowPunct/>
        <w:topLinePunct w:val="0"/>
        <w:bidi w:val="0"/>
        <w:spacing w:line="560" w:lineRule="exact"/>
        <w:ind w:firstLine="420" w:firstLineChars="200"/>
        <w:outlineLvl w:val="2"/>
        <w:rPr>
          <w:rFonts w:hint="eastAsia" w:ascii="Times New Roman" w:hAnsi="Times New Roman" w:eastAsia="楷体_GB2312" w:cs="楷体_GB2312"/>
          <w:b/>
          <w:color w:val="auto"/>
          <w:sz w:val="32"/>
          <w:szCs w:val="32"/>
          <w:highlight w:val="none"/>
        </w:rPr>
      </w:pPr>
      <w:bookmarkStart w:id="59" w:name="_Toc15377211"/>
      <w:r>
        <w:drawing>
          <wp:anchor distT="0" distB="0" distL="85090" distR="85090" simplePos="0" relativeHeight="251662336" behindDoc="0" locked="0" layoutInCell="1" allowOverlap="1">
            <wp:simplePos x="0" y="0"/>
            <wp:positionH relativeFrom="column">
              <wp:posOffset>357505</wp:posOffset>
            </wp:positionH>
            <wp:positionV relativeFrom="paragraph">
              <wp:posOffset>132715</wp:posOffset>
            </wp:positionV>
            <wp:extent cx="4612005" cy="2250440"/>
            <wp:effectExtent l="6350" t="6350" r="10795" b="10160"/>
            <wp:wrapSquare wrapText="bothSides"/>
            <wp:docPr id="3"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A48E94C">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p>
    <w:p w14:paraId="400BEAF6">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p>
    <w:p w14:paraId="25FD368B">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p>
    <w:p w14:paraId="2F045922">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p>
    <w:p w14:paraId="2623FDB7">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p>
    <w:p w14:paraId="0BCB6E1C">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p>
    <w:p w14:paraId="4F4C103D">
      <w:pPr>
        <w:pageBreakBefore w:val="0"/>
        <w:kinsoku/>
        <w:wordWrap/>
        <w:overflowPunct/>
        <w:topLinePunct w:val="0"/>
        <w:bidi w:val="0"/>
        <w:spacing w:line="560" w:lineRule="exact"/>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59"/>
    </w:p>
    <w:p w14:paraId="3EAB98D1">
      <w:pPr>
        <w:pageBreakBefore w:val="0"/>
        <w:kinsoku/>
        <w:wordWrap/>
        <w:overflowPunct/>
        <w:topLinePunct w:val="0"/>
        <w:bidi w:val="0"/>
        <w:spacing w:line="560" w:lineRule="exact"/>
        <w:ind w:firstLine="640" w:firstLineChars="200"/>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s="宋体"/>
          <w:sz w:val="32"/>
          <w:szCs w:val="32"/>
          <w:lang w:bidi="ar-SA"/>
        </w:rPr>
        <w:t>按照支出功能分类统计：其中社会保障和就业支出数为</w:t>
      </w:r>
      <w:r>
        <w:rPr>
          <w:rFonts w:ascii="Lucida Sans" w:hAnsi="Lucida Sans" w:eastAsia="仿宋_GB2312" w:cs="宋体"/>
          <w:sz w:val="32"/>
          <w:szCs w:val="32"/>
          <w:lang w:bidi="ar-SA"/>
        </w:rPr>
        <w:t>110.07</w:t>
      </w:r>
      <w:r>
        <w:rPr>
          <w:rFonts w:hint="eastAsia" w:ascii="仿宋_GB2312" w:eastAsia="仿宋_GB2312" w:cs="宋体"/>
          <w:sz w:val="32"/>
          <w:szCs w:val="32"/>
          <w:lang w:val="en-US" w:eastAsia="zh-CN" w:bidi="ar-SA"/>
        </w:rPr>
        <w:t>万</w:t>
      </w:r>
      <w:r>
        <w:rPr>
          <w:rFonts w:hint="eastAsia" w:ascii="仿宋_GB2312" w:eastAsia="仿宋_GB2312" w:cs="宋体"/>
          <w:sz w:val="32"/>
          <w:szCs w:val="32"/>
          <w:lang w:bidi="ar-SA"/>
        </w:rPr>
        <w:t>元，卫生健康支出数为</w:t>
      </w:r>
      <w:r>
        <w:rPr>
          <w:rFonts w:ascii="Lucida Sans" w:hAnsi="Lucida Sans" w:eastAsia="仿宋_GB2312" w:cs="宋体"/>
          <w:sz w:val="32"/>
          <w:szCs w:val="32"/>
          <w:lang w:bidi="ar-SA"/>
        </w:rPr>
        <w:t>42.97</w:t>
      </w:r>
      <w:r>
        <w:rPr>
          <w:rFonts w:hint="eastAsia" w:ascii="仿宋_GB2312" w:eastAsia="仿宋_GB2312" w:cs="宋体"/>
          <w:sz w:val="32"/>
          <w:szCs w:val="32"/>
          <w:lang w:val="en-US" w:eastAsia="zh-CN" w:bidi="ar-SA"/>
        </w:rPr>
        <w:t>万</w:t>
      </w:r>
      <w:r>
        <w:rPr>
          <w:rFonts w:hint="eastAsia" w:ascii="仿宋_GB2312" w:eastAsia="仿宋_GB2312" w:cs="宋体"/>
          <w:sz w:val="32"/>
          <w:szCs w:val="32"/>
          <w:lang w:bidi="ar-SA"/>
        </w:rPr>
        <w:t>元，住房保障支出数为</w:t>
      </w:r>
      <w:r>
        <w:rPr>
          <w:rFonts w:ascii="Lucida Sans" w:hAnsi="Lucida Sans" w:eastAsia="仿宋_GB2312" w:cs="宋体"/>
          <w:sz w:val="32"/>
          <w:szCs w:val="32"/>
          <w:lang w:bidi="ar-SA"/>
        </w:rPr>
        <w:t>55.65</w:t>
      </w:r>
      <w:r>
        <w:rPr>
          <w:rFonts w:hint="eastAsia" w:ascii="仿宋_GB2312" w:eastAsia="仿宋_GB2312" w:cs="宋体"/>
          <w:sz w:val="32"/>
          <w:szCs w:val="32"/>
          <w:lang w:val="en-US" w:eastAsia="zh-CN" w:bidi="ar-SA"/>
        </w:rPr>
        <w:t>万</w:t>
      </w:r>
      <w:r>
        <w:rPr>
          <w:rFonts w:hint="eastAsia" w:ascii="仿宋_GB2312" w:eastAsia="仿宋_GB2312" w:cs="宋体"/>
          <w:sz w:val="32"/>
          <w:szCs w:val="32"/>
          <w:lang w:bidi="ar-SA"/>
        </w:rPr>
        <w:t>元；文化旅游体育与传媒支出数为</w:t>
      </w:r>
      <w:r>
        <w:rPr>
          <w:rFonts w:ascii="Lucida Sans" w:hAnsi="Lucida Sans" w:eastAsia="仿宋_GB2312" w:cs="宋体"/>
          <w:sz w:val="32"/>
          <w:szCs w:val="32"/>
          <w:lang w:bidi="ar-SA"/>
        </w:rPr>
        <w:t>1497.96</w:t>
      </w:r>
      <w:r>
        <w:rPr>
          <w:rFonts w:hint="eastAsia" w:ascii="仿宋_GB2312" w:eastAsia="仿宋_GB2312" w:cs="宋体"/>
          <w:sz w:val="32"/>
          <w:szCs w:val="32"/>
          <w:lang w:val="en-US" w:eastAsia="zh-CN" w:bidi="ar-SA"/>
        </w:rPr>
        <w:t>万</w:t>
      </w:r>
      <w:r>
        <w:rPr>
          <w:rFonts w:hint="eastAsia" w:ascii="仿宋_GB2312" w:eastAsia="仿宋_GB2312" w:cs="宋体"/>
          <w:sz w:val="32"/>
          <w:szCs w:val="32"/>
          <w:lang w:bidi="ar-SA"/>
        </w:rPr>
        <w:t>元</w:t>
      </w:r>
      <w:r>
        <w:rPr>
          <w:rFonts w:ascii="仿宋_GB2312" w:hAnsi="仿宋_GB2312" w:eastAsia="方正兰亭黑_GBK" w:cs="宋体"/>
          <w:sz w:val="32"/>
          <w:szCs w:val="32"/>
          <w:lang w:bidi="ar-SA"/>
        </w:rPr>
        <w:t>。</w:t>
      </w:r>
    </w:p>
    <w:p w14:paraId="59345A32">
      <w:pPr>
        <w:pageBreakBefore w:val="0"/>
        <w:kinsoku/>
        <w:wordWrap/>
        <w:overflowPunct/>
        <w:topLinePunct w:val="0"/>
        <w:bidi w:val="0"/>
        <w:spacing w:line="56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78E3029F">
      <w:pPr>
        <w:pageBreakBefore w:val="0"/>
        <w:kinsoku/>
        <w:wordWrap/>
        <w:overflowPunct/>
        <w:topLinePunct w:val="0"/>
        <w:bidi w:val="0"/>
        <w:spacing w:line="56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p>
    <w:p w14:paraId="6EF1D962">
      <w:pPr>
        <w:pageBreakBefore w:val="0"/>
        <w:kinsoku/>
        <w:wordWrap/>
        <w:overflowPunct/>
        <w:topLinePunct w:val="0"/>
        <w:bidi w:val="0"/>
        <w:spacing w:line="56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p>
    <w:p w14:paraId="1A1AB92D">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6D1F2AD">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186690</wp:posOffset>
            </wp:positionH>
            <wp:positionV relativeFrom="paragraph">
              <wp:posOffset>96520</wp:posOffset>
            </wp:positionV>
            <wp:extent cx="5066665" cy="2433320"/>
            <wp:effectExtent l="4445" t="4445" r="15240" b="1968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C1E200F">
      <w:pPr>
        <w:pStyle w:val="2"/>
        <w:ind w:left="0" w:leftChars="0" w:firstLine="0" w:firstLineChars="0"/>
        <w:rPr>
          <w:rFonts w:hint="eastAsia"/>
          <w:lang w:val="en-US" w:eastAsia="zh-CN"/>
        </w:rPr>
      </w:pPr>
    </w:p>
    <w:p w14:paraId="5CDFE0B8">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0"/>
    </w:p>
    <w:p w14:paraId="1212548C">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61" w:name="_Toc15377444"/>
      <w:bookmarkStart w:id="62" w:name="_Toc15377213"/>
      <w:bookmarkStart w:id="6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1706.66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1"/>
      <w:bookmarkEnd w:id="62"/>
      <w:bookmarkEnd w:id="63"/>
    </w:p>
    <w:p w14:paraId="195077BF">
      <w:pPr>
        <w:pStyle w:val="35"/>
        <w:pageBreakBefore w:val="0"/>
        <w:kinsoku/>
        <w:wordWrap/>
        <w:overflowPunct/>
        <w:topLinePunct w:val="0"/>
        <w:bidi w:val="0"/>
        <w:spacing w:line="560" w:lineRule="exact"/>
        <w:ind w:left="0" w:leftChars="0" w:firstLine="643" w:firstLineChars="200"/>
        <w:rPr>
          <w:rStyle w:val="20"/>
          <w:rFonts w:hint="eastAsia" w:ascii="仿宋" w:eastAsia="仿宋"/>
          <w:b w:val="0"/>
          <w:bCs/>
          <w:color w:val="auto"/>
          <w:sz w:val="32"/>
          <w:szCs w:val="32"/>
          <w:highlight w:val="none"/>
        </w:rPr>
      </w:pPr>
      <w:r>
        <w:rPr>
          <w:rStyle w:val="20"/>
          <w:rFonts w:hint="eastAsia" w:ascii="仿宋" w:eastAsia="仿宋"/>
          <w:bCs/>
          <w:color w:val="auto"/>
          <w:sz w:val="32"/>
          <w:szCs w:val="32"/>
          <w:highlight w:val="none"/>
          <w:lang w:val="en-US" w:eastAsia="zh-CN"/>
        </w:rPr>
        <w:t>1、</w:t>
      </w:r>
      <w:r>
        <w:rPr>
          <w:rStyle w:val="20"/>
          <w:rFonts w:hint="eastAsia" w:ascii="仿宋" w:eastAsia="仿宋"/>
          <w:bCs/>
          <w:color w:val="auto"/>
          <w:sz w:val="32"/>
          <w:szCs w:val="32"/>
          <w:highlight w:val="none"/>
        </w:rPr>
        <w:t>文化旅游体育与传媒（</w:t>
      </w:r>
      <w:r>
        <w:rPr>
          <w:rStyle w:val="20"/>
          <w:rFonts w:hint="eastAsia" w:ascii="仿宋" w:eastAsia="仿宋"/>
          <w:bCs/>
          <w:color w:val="auto"/>
          <w:sz w:val="32"/>
          <w:szCs w:val="32"/>
          <w:highlight w:val="none"/>
          <w:lang w:val="en-US" w:eastAsia="zh-CN"/>
        </w:rPr>
        <w:t>207</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文化和旅游</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01</w:t>
      </w:r>
      <w:r>
        <w:rPr>
          <w:rStyle w:val="20"/>
          <w:rFonts w:hint="eastAsia" w:ascii="仿宋" w:eastAsia="仿宋"/>
          <w:bCs/>
          <w:color w:val="auto"/>
          <w:sz w:val="32"/>
          <w:szCs w:val="32"/>
          <w:highlight w:val="none"/>
        </w:rPr>
        <w:t>）群众文化（</w:t>
      </w:r>
      <w:r>
        <w:rPr>
          <w:rStyle w:val="20"/>
          <w:rFonts w:hint="eastAsia" w:ascii="仿宋" w:eastAsia="仿宋"/>
          <w:bCs/>
          <w:color w:val="auto"/>
          <w:sz w:val="32"/>
          <w:szCs w:val="32"/>
          <w:highlight w:val="none"/>
          <w:lang w:val="en-US" w:eastAsia="zh-CN"/>
        </w:rPr>
        <w:t>09</w:t>
      </w:r>
      <w:r>
        <w:rPr>
          <w:rStyle w:val="20"/>
          <w:rFonts w:hint="eastAsia" w:ascii="仿宋" w:eastAsia="仿宋"/>
          <w:bCs/>
          <w:color w:val="auto"/>
          <w:sz w:val="32"/>
          <w:szCs w:val="32"/>
          <w:highlight w:val="none"/>
        </w:rPr>
        <w:t>）:</w:t>
      </w:r>
      <w:r>
        <w:rPr>
          <w:rStyle w:val="20"/>
          <w:rFonts w:hint="eastAsia" w:ascii="仿宋" w:eastAsia="仿宋"/>
          <w:b w:val="0"/>
          <w:bCs/>
          <w:color w:val="auto"/>
          <w:sz w:val="32"/>
          <w:szCs w:val="32"/>
          <w:highlight w:val="none"/>
        </w:rPr>
        <w:t xml:space="preserve"> 支出决算为</w:t>
      </w:r>
      <w:r>
        <w:rPr>
          <w:rFonts w:hint="eastAsia" w:ascii="仿宋_GB2312" w:eastAsia="仿宋_GB2312" w:cs="宋体"/>
          <w:sz w:val="32"/>
          <w:szCs w:val="32"/>
          <w:lang w:val="en-US" w:eastAsia="zh-CN" w:bidi="ar-SA"/>
        </w:rPr>
        <w:t>1480.17</w:t>
      </w:r>
      <w:r>
        <w:rPr>
          <w:rStyle w:val="20"/>
          <w:rFonts w:hint="eastAsia" w:ascii="仿宋" w:eastAsia="仿宋"/>
          <w:b w:val="0"/>
          <w:bCs/>
          <w:color w:val="auto"/>
          <w:sz w:val="32"/>
          <w:szCs w:val="32"/>
          <w:highlight w:val="none"/>
        </w:rPr>
        <w:t>万元，完成预算</w:t>
      </w:r>
      <w:r>
        <w:rPr>
          <w:rStyle w:val="20"/>
          <w:rFonts w:hint="eastAsia" w:ascii="仿宋" w:eastAsia="仿宋"/>
          <w:b w:val="0"/>
          <w:bCs/>
          <w:color w:val="auto"/>
          <w:sz w:val="32"/>
          <w:szCs w:val="32"/>
          <w:highlight w:val="none"/>
          <w:lang w:val="en-US" w:eastAsia="zh-CN"/>
        </w:rPr>
        <w:t>100</w:t>
      </w:r>
      <w:r>
        <w:rPr>
          <w:rStyle w:val="20"/>
          <w:rFonts w:hint="eastAsia" w:ascii="仿宋" w:eastAsia="仿宋"/>
          <w:b w:val="0"/>
          <w:bCs/>
          <w:color w:val="auto"/>
          <w:sz w:val="32"/>
          <w:szCs w:val="32"/>
          <w:highlight w:val="none"/>
        </w:rPr>
        <w:t>%，决算数等于预算数的主要原因是</w:t>
      </w:r>
      <w:r>
        <w:rPr>
          <w:rStyle w:val="20"/>
          <w:rFonts w:hint="eastAsia" w:ascii="仿宋" w:hAnsi="仿宋" w:eastAsia="仿宋"/>
          <w:b w:val="0"/>
          <w:bCs/>
          <w:color w:val="auto"/>
          <w:sz w:val="32"/>
          <w:szCs w:val="32"/>
          <w:highlight w:val="none"/>
          <w:lang w:eastAsia="zh-CN"/>
        </w:rPr>
        <w:t>严格按预算支出执行</w:t>
      </w:r>
      <w:r>
        <w:rPr>
          <w:rStyle w:val="20"/>
          <w:rFonts w:hint="eastAsia" w:ascii="仿宋" w:eastAsia="仿宋"/>
          <w:b w:val="0"/>
          <w:bCs/>
          <w:color w:val="auto"/>
          <w:sz w:val="32"/>
          <w:szCs w:val="32"/>
          <w:highlight w:val="none"/>
        </w:rPr>
        <w:t>。</w:t>
      </w:r>
    </w:p>
    <w:p w14:paraId="7167CCB8">
      <w:pPr>
        <w:pStyle w:val="35"/>
        <w:pageBreakBefore w:val="0"/>
        <w:kinsoku/>
        <w:wordWrap/>
        <w:overflowPunct/>
        <w:topLinePunct w:val="0"/>
        <w:bidi w:val="0"/>
        <w:spacing w:line="560" w:lineRule="exact"/>
        <w:ind w:left="0" w:leftChars="0" w:firstLine="643" w:firstLineChars="200"/>
        <w:rPr>
          <w:rStyle w:val="20"/>
          <w:rFonts w:hint="eastAsia" w:ascii="仿宋" w:eastAsia="仿宋"/>
          <w:b w:val="0"/>
          <w:bCs/>
          <w:color w:val="auto"/>
          <w:sz w:val="32"/>
          <w:szCs w:val="32"/>
          <w:highlight w:val="none"/>
        </w:rPr>
      </w:pPr>
      <w:r>
        <w:rPr>
          <w:rStyle w:val="20"/>
          <w:rFonts w:hint="eastAsia" w:ascii="仿宋" w:eastAsia="仿宋"/>
          <w:bCs/>
          <w:color w:val="auto"/>
          <w:sz w:val="32"/>
          <w:szCs w:val="32"/>
          <w:highlight w:val="none"/>
          <w:lang w:val="en-US" w:eastAsia="zh-CN"/>
        </w:rPr>
        <w:t>2、</w:t>
      </w:r>
      <w:r>
        <w:rPr>
          <w:rStyle w:val="20"/>
          <w:rFonts w:hint="eastAsia" w:ascii="仿宋" w:eastAsia="仿宋"/>
          <w:bCs/>
          <w:color w:val="auto"/>
          <w:sz w:val="32"/>
          <w:szCs w:val="32"/>
          <w:highlight w:val="none"/>
        </w:rPr>
        <w:t>文化旅游体育与传媒（</w:t>
      </w:r>
      <w:r>
        <w:rPr>
          <w:rStyle w:val="20"/>
          <w:rFonts w:hint="eastAsia" w:ascii="仿宋" w:eastAsia="仿宋"/>
          <w:bCs/>
          <w:color w:val="auto"/>
          <w:sz w:val="32"/>
          <w:szCs w:val="32"/>
          <w:highlight w:val="none"/>
          <w:lang w:val="en-US" w:eastAsia="zh-CN"/>
        </w:rPr>
        <w:t>207</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文化和旅游</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01</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其他文化和旅游支出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99</w:t>
      </w:r>
      <w:r>
        <w:rPr>
          <w:rStyle w:val="20"/>
          <w:rFonts w:hint="eastAsia" w:ascii="仿宋" w:eastAsia="仿宋"/>
          <w:bCs/>
          <w:color w:val="auto"/>
          <w:sz w:val="32"/>
          <w:szCs w:val="32"/>
          <w:highlight w:val="none"/>
        </w:rPr>
        <w:t>）:</w:t>
      </w:r>
      <w:r>
        <w:rPr>
          <w:rStyle w:val="20"/>
          <w:rFonts w:hint="eastAsia" w:ascii="仿宋" w:eastAsia="仿宋"/>
          <w:b w:val="0"/>
          <w:bCs/>
          <w:color w:val="auto"/>
          <w:sz w:val="32"/>
          <w:szCs w:val="32"/>
          <w:highlight w:val="none"/>
        </w:rPr>
        <w:t xml:space="preserve"> 支出决算为</w:t>
      </w:r>
      <w:r>
        <w:rPr>
          <w:rFonts w:hint="eastAsia" w:ascii="仿宋_GB2312" w:eastAsia="仿宋_GB2312" w:cs="宋体"/>
          <w:sz w:val="32"/>
          <w:szCs w:val="32"/>
          <w:lang w:val="en-US" w:eastAsia="zh-CN" w:bidi="ar-SA"/>
        </w:rPr>
        <w:t>17.79</w:t>
      </w:r>
      <w:r>
        <w:rPr>
          <w:rStyle w:val="20"/>
          <w:rFonts w:hint="eastAsia" w:ascii="仿宋" w:eastAsia="仿宋"/>
          <w:b w:val="0"/>
          <w:bCs/>
          <w:color w:val="auto"/>
          <w:sz w:val="32"/>
          <w:szCs w:val="32"/>
          <w:highlight w:val="none"/>
        </w:rPr>
        <w:t>万元，完成预算</w:t>
      </w:r>
      <w:r>
        <w:rPr>
          <w:rStyle w:val="20"/>
          <w:rFonts w:hint="eastAsia" w:ascii="仿宋" w:eastAsia="仿宋"/>
          <w:b w:val="0"/>
          <w:bCs/>
          <w:color w:val="auto"/>
          <w:sz w:val="32"/>
          <w:szCs w:val="32"/>
          <w:highlight w:val="none"/>
          <w:lang w:val="en-US" w:eastAsia="zh-CN"/>
        </w:rPr>
        <w:t>100</w:t>
      </w:r>
      <w:r>
        <w:rPr>
          <w:rStyle w:val="20"/>
          <w:rFonts w:hint="eastAsia" w:ascii="仿宋" w:eastAsia="仿宋"/>
          <w:b w:val="0"/>
          <w:bCs/>
          <w:color w:val="auto"/>
          <w:sz w:val="32"/>
          <w:szCs w:val="32"/>
          <w:highlight w:val="none"/>
        </w:rPr>
        <w:t>%，决算数等于预算数的主要原因是</w:t>
      </w:r>
      <w:r>
        <w:rPr>
          <w:rStyle w:val="20"/>
          <w:rFonts w:hint="eastAsia" w:ascii="仿宋" w:hAnsi="仿宋" w:eastAsia="仿宋"/>
          <w:b w:val="0"/>
          <w:bCs/>
          <w:color w:val="auto"/>
          <w:sz w:val="32"/>
          <w:szCs w:val="32"/>
          <w:highlight w:val="none"/>
          <w:lang w:eastAsia="zh-CN"/>
        </w:rPr>
        <w:t>严格按预算支出执行</w:t>
      </w:r>
      <w:r>
        <w:rPr>
          <w:rStyle w:val="20"/>
          <w:rFonts w:hint="eastAsia" w:ascii="仿宋" w:eastAsia="仿宋"/>
          <w:b w:val="0"/>
          <w:bCs/>
          <w:color w:val="auto"/>
          <w:sz w:val="32"/>
          <w:szCs w:val="32"/>
          <w:highlight w:val="none"/>
        </w:rPr>
        <w:t>。</w:t>
      </w:r>
    </w:p>
    <w:p w14:paraId="23924252">
      <w:pPr>
        <w:pageBreakBefore w:val="0"/>
        <w:kinsoku/>
        <w:wordWrap/>
        <w:overflowPunct/>
        <w:topLinePunct w:val="0"/>
        <w:bidi w:val="0"/>
        <w:spacing w:line="560" w:lineRule="exact"/>
        <w:ind w:left="420" w:leftChars="200" w:firstLine="643" w:firstLineChars="200"/>
        <w:rPr>
          <w:rStyle w:val="20"/>
          <w:rFonts w:hint="eastAsia" w:ascii="仿宋" w:hAnsi="仿宋" w:eastAsia="仿宋"/>
          <w:b w:val="0"/>
          <w:bCs/>
          <w:color w:val="auto"/>
          <w:sz w:val="32"/>
          <w:szCs w:val="32"/>
          <w:highlight w:val="none"/>
          <w:lang w:eastAsia="zh-CN"/>
        </w:rPr>
      </w:pPr>
      <w:r>
        <w:rPr>
          <w:rStyle w:val="20"/>
          <w:rFonts w:hint="eastAsia" w:ascii="仿宋" w:eastAsia="仿宋"/>
          <w:bCs/>
          <w:color w:val="auto"/>
          <w:sz w:val="32"/>
          <w:szCs w:val="32"/>
          <w:highlight w:val="none"/>
          <w:lang w:val="en-US" w:eastAsia="zh-CN"/>
        </w:rPr>
        <w:t>3、</w:t>
      </w:r>
      <w:r>
        <w:rPr>
          <w:rStyle w:val="20"/>
          <w:rFonts w:hint="eastAsia" w:ascii="仿宋" w:eastAsia="仿宋"/>
          <w:bCs/>
          <w:color w:val="auto"/>
          <w:sz w:val="32"/>
          <w:szCs w:val="32"/>
          <w:highlight w:val="none"/>
        </w:rPr>
        <w:t>社会保障和就业（</w:t>
      </w:r>
      <w:r>
        <w:rPr>
          <w:rStyle w:val="20"/>
          <w:rFonts w:hint="eastAsia" w:ascii="仿宋" w:eastAsia="仿宋"/>
          <w:bCs/>
          <w:color w:val="auto"/>
          <w:sz w:val="32"/>
          <w:szCs w:val="32"/>
          <w:highlight w:val="none"/>
          <w:lang w:val="en-US" w:eastAsia="zh-CN"/>
        </w:rPr>
        <w:t>208</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行政事业单位养老支出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05</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机关事业单位基本养老保险缴费支出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05</w:t>
      </w:r>
      <w:r>
        <w:rPr>
          <w:rStyle w:val="20"/>
          <w:rFonts w:hint="eastAsia" w:ascii="仿宋" w:eastAsia="仿宋"/>
          <w:bCs/>
          <w:color w:val="auto"/>
          <w:sz w:val="32"/>
          <w:szCs w:val="32"/>
          <w:highlight w:val="none"/>
        </w:rPr>
        <w:t>）:</w:t>
      </w:r>
      <w:r>
        <w:rPr>
          <w:rStyle w:val="20"/>
          <w:rFonts w:hint="eastAsia" w:ascii="仿宋" w:eastAsia="仿宋"/>
          <w:b w:val="0"/>
          <w:bCs/>
          <w:color w:val="auto"/>
          <w:sz w:val="32"/>
          <w:szCs w:val="32"/>
          <w:highlight w:val="none"/>
        </w:rPr>
        <w:t xml:space="preserve"> 支出决算为</w:t>
      </w:r>
      <w:r>
        <w:rPr>
          <w:rFonts w:hint="eastAsia" w:ascii="Lucida Sans" w:hAnsi="Lucida Sans" w:eastAsia="仿宋_GB2312" w:cs="宋体"/>
          <w:sz w:val="32"/>
          <w:szCs w:val="32"/>
          <w:lang w:val="en-US" w:eastAsia="zh-CN" w:bidi="ar-SA"/>
        </w:rPr>
        <w:t>70.13</w:t>
      </w:r>
      <w:r>
        <w:rPr>
          <w:rStyle w:val="20"/>
          <w:rFonts w:hint="eastAsia" w:ascii="仿宋" w:eastAsia="仿宋"/>
          <w:b w:val="0"/>
          <w:bCs/>
          <w:color w:val="auto"/>
          <w:sz w:val="32"/>
          <w:szCs w:val="32"/>
          <w:highlight w:val="none"/>
        </w:rPr>
        <w:t>万元，完成预算</w:t>
      </w:r>
      <w:r>
        <w:rPr>
          <w:rStyle w:val="20"/>
          <w:rFonts w:hint="eastAsia" w:ascii="仿宋" w:eastAsia="仿宋"/>
          <w:b w:val="0"/>
          <w:bCs/>
          <w:color w:val="auto"/>
          <w:sz w:val="32"/>
          <w:szCs w:val="32"/>
          <w:highlight w:val="none"/>
          <w:lang w:val="en-US" w:eastAsia="zh-CN"/>
        </w:rPr>
        <w:t>100</w:t>
      </w:r>
      <w:r>
        <w:rPr>
          <w:rStyle w:val="20"/>
          <w:rFonts w:hint="eastAsia" w:ascii="仿宋" w:eastAsia="仿宋"/>
          <w:b w:val="0"/>
          <w:bCs/>
          <w:color w:val="auto"/>
          <w:sz w:val="32"/>
          <w:szCs w:val="32"/>
          <w:highlight w:val="none"/>
        </w:rPr>
        <w:t>%，决算数等于预算数的主要原因是</w:t>
      </w:r>
      <w:r>
        <w:rPr>
          <w:rStyle w:val="20"/>
          <w:rFonts w:hint="eastAsia" w:ascii="仿宋" w:hAnsi="仿宋" w:eastAsia="仿宋"/>
          <w:b w:val="0"/>
          <w:bCs/>
          <w:color w:val="auto"/>
          <w:sz w:val="32"/>
          <w:szCs w:val="32"/>
          <w:highlight w:val="none"/>
          <w:lang w:eastAsia="zh-CN"/>
        </w:rPr>
        <w:t>严格按预算支出执行。</w:t>
      </w:r>
    </w:p>
    <w:p w14:paraId="7D604C95">
      <w:pPr>
        <w:pageBreakBefore w:val="0"/>
        <w:kinsoku/>
        <w:wordWrap/>
        <w:overflowPunct/>
        <w:topLinePunct w:val="0"/>
        <w:bidi w:val="0"/>
        <w:spacing w:line="560" w:lineRule="exact"/>
        <w:ind w:left="0" w:firstLine="643" w:firstLineChars="200"/>
        <w:rPr>
          <w:rStyle w:val="20"/>
          <w:rFonts w:hint="eastAsia" w:ascii="仿宋" w:hAnsi="仿宋" w:eastAsia="仿宋"/>
          <w:b w:val="0"/>
          <w:bCs/>
          <w:color w:val="auto"/>
          <w:sz w:val="32"/>
          <w:szCs w:val="32"/>
          <w:highlight w:val="none"/>
          <w:lang w:eastAsia="zh-CN"/>
        </w:rPr>
      </w:pPr>
      <w:r>
        <w:rPr>
          <w:rStyle w:val="20"/>
          <w:rFonts w:hint="eastAsia" w:ascii="仿宋" w:eastAsia="仿宋"/>
          <w:bCs/>
          <w:color w:val="auto"/>
          <w:sz w:val="32"/>
          <w:szCs w:val="32"/>
          <w:highlight w:val="none"/>
          <w:lang w:val="en-US" w:eastAsia="zh-CN"/>
        </w:rPr>
        <w:t>4、</w:t>
      </w:r>
      <w:r>
        <w:rPr>
          <w:rStyle w:val="20"/>
          <w:rFonts w:hint="eastAsia" w:ascii="仿宋" w:eastAsia="仿宋"/>
          <w:bCs/>
          <w:color w:val="auto"/>
          <w:sz w:val="32"/>
          <w:szCs w:val="32"/>
          <w:highlight w:val="none"/>
        </w:rPr>
        <w:t>社会保障和就业（</w:t>
      </w:r>
      <w:r>
        <w:rPr>
          <w:rStyle w:val="20"/>
          <w:rFonts w:hint="eastAsia" w:ascii="仿宋" w:eastAsia="仿宋"/>
          <w:bCs/>
          <w:color w:val="auto"/>
          <w:sz w:val="32"/>
          <w:szCs w:val="32"/>
          <w:highlight w:val="none"/>
          <w:lang w:val="en-US" w:eastAsia="zh-CN"/>
        </w:rPr>
        <w:t>208</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行政事业单位养老支出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05</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机关事业单位职业年金缴费支出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06</w:t>
      </w:r>
      <w:r>
        <w:rPr>
          <w:rStyle w:val="20"/>
          <w:rFonts w:hint="eastAsia" w:ascii="仿宋" w:eastAsia="仿宋"/>
          <w:bCs/>
          <w:color w:val="auto"/>
          <w:sz w:val="32"/>
          <w:szCs w:val="32"/>
          <w:highlight w:val="none"/>
        </w:rPr>
        <w:t>）:</w:t>
      </w:r>
      <w:r>
        <w:rPr>
          <w:rStyle w:val="20"/>
          <w:rFonts w:hint="eastAsia" w:ascii="仿宋" w:eastAsia="仿宋"/>
          <w:b w:val="0"/>
          <w:bCs/>
          <w:color w:val="auto"/>
          <w:sz w:val="32"/>
          <w:szCs w:val="32"/>
          <w:highlight w:val="none"/>
        </w:rPr>
        <w:t xml:space="preserve"> 支出决算为</w:t>
      </w:r>
      <w:r>
        <w:rPr>
          <w:rStyle w:val="20"/>
          <w:rFonts w:hint="eastAsia" w:ascii="仿宋" w:eastAsia="仿宋"/>
          <w:b w:val="0"/>
          <w:bCs/>
          <w:color w:val="auto"/>
          <w:sz w:val="32"/>
          <w:szCs w:val="32"/>
          <w:highlight w:val="none"/>
          <w:lang w:val="en-US" w:eastAsia="zh-CN"/>
        </w:rPr>
        <w:t>34.62</w:t>
      </w:r>
      <w:r>
        <w:rPr>
          <w:rStyle w:val="20"/>
          <w:rFonts w:hint="eastAsia" w:ascii="仿宋" w:eastAsia="仿宋"/>
          <w:b w:val="0"/>
          <w:bCs/>
          <w:color w:val="auto"/>
          <w:sz w:val="32"/>
          <w:szCs w:val="32"/>
          <w:highlight w:val="none"/>
        </w:rPr>
        <w:t>万元，完成预算</w:t>
      </w:r>
      <w:r>
        <w:rPr>
          <w:rStyle w:val="20"/>
          <w:rFonts w:hint="eastAsia" w:ascii="仿宋" w:eastAsia="仿宋"/>
          <w:b w:val="0"/>
          <w:bCs/>
          <w:color w:val="auto"/>
          <w:sz w:val="32"/>
          <w:szCs w:val="32"/>
          <w:highlight w:val="none"/>
          <w:lang w:val="en-US" w:eastAsia="zh-CN"/>
        </w:rPr>
        <w:t>100</w:t>
      </w:r>
      <w:r>
        <w:rPr>
          <w:rStyle w:val="20"/>
          <w:rFonts w:hint="eastAsia" w:ascii="仿宋" w:eastAsia="仿宋"/>
          <w:b w:val="0"/>
          <w:bCs/>
          <w:color w:val="auto"/>
          <w:sz w:val="32"/>
          <w:szCs w:val="32"/>
          <w:highlight w:val="none"/>
        </w:rPr>
        <w:t>%，决算数等于预算数的主要原因是</w:t>
      </w:r>
      <w:r>
        <w:rPr>
          <w:rStyle w:val="20"/>
          <w:rFonts w:hint="eastAsia" w:ascii="仿宋" w:hAnsi="仿宋" w:eastAsia="仿宋"/>
          <w:b w:val="0"/>
          <w:bCs/>
          <w:color w:val="auto"/>
          <w:sz w:val="32"/>
          <w:szCs w:val="32"/>
          <w:highlight w:val="none"/>
          <w:lang w:eastAsia="zh-CN"/>
        </w:rPr>
        <w:t>严格按预算支出执行。</w:t>
      </w:r>
    </w:p>
    <w:p w14:paraId="483AB603">
      <w:pPr>
        <w:pageBreakBefore w:val="0"/>
        <w:kinsoku/>
        <w:wordWrap/>
        <w:overflowPunct/>
        <w:topLinePunct w:val="0"/>
        <w:bidi w:val="0"/>
        <w:spacing w:line="560" w:lineRule="exact"/>
        <w:ind w:left="0" w:firstLine="643" w:firstLineChars="200"/>
        <w:rPr>
          <w:rFonts w:hint="eastAsia"/>
        </w:rPr>
      </w:pPr>
      <w:r>
        <w:rPr>
          <w:rStyle w:val="20"/>
          <w:rFonts w:hint="eastAsia" w:ascii="仿宋" w:eastAsia="仿宋"/>
          <w:bCs/>
          <w:color w:val="auto"/>
          <w:sz w:val="32"/>
          <w:szCs w:val="32"/>
          <w:highlight w:val="none"/>
          <w:lang w:val="en-US" w:eastAsia="zh-CN"/>
        </w:rPr>
        <w:t>5、</w:t>
      </w:r>
      <w:r>
        <w:rPr>
          <w:rStyle w:val="20"/>
          <w:rFonts w:hint="eastAsia" w:ascii="仿宋" w:eastAsia="仿宋"/>
          <w:bCs/>
          <w:color w:val="auto"/>
          <w:sz w:val="32"/>
          <w:szCs w:val="32"/>
          <w:highlight w:val="none"/>
        </w:rPr>
        <w:t>社会保障和就业（</w:t>
      </w:r>
      <w:r>
        <w:rPr>
          <w:rStyle w:val="20"/>
          <w:rFonts w:hint="eastAsia" w:ascii="仿宋" w:eastAsia="仿宋"/>
          <w:bCs/>
          <w:color w:val="auto"/>
          <w:sz w:val="32"/>
          <w:szCs w:val="32"/>
          <w:highlight w:val="none"/>
          <w:lang w:val="en-US" w:eastAsia="zh-CN"/>
        </w:rPr>
        <w:t>208</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rPr>
        <w:t>行政事业单位养老支出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05</w:t>
      </w:r>
      <w:r>
        <w:rPr>
          <w:rStyle w:val="20"/>
          <w:rFonts w:hint="eastAsia" w:ascii="仿宋" w:eastAsia="仿宋"/>
          <w:bCs/>
          <w:color w:val="auto"/>
          <w:sz w:val="32"/>
          <w:szCs w:val="32"/>
          <w:highlight w:val="none"/>
        </w:rPr>
        <w:t>）</w:t>
      </w:r>
      <w:r>
        <w:rPr>
          <w:rStyle w:val="20"/>
          <w:rFonts w:hint="eastAsia" w:ascii="仿宋" w:hAnsi="仿宋" w:eastAsia="仿宋"/>
          <w:bCs/>
          <w:color w:val="auto"/>
          <w:sz w:val="32"/>
          <w:szCs w:val="32"/>
          <w:highlight w:val="none"/>
          <w:lang w:eastAsia="zh-CN"/>
        </w:rPr>
        <w:t>其他行政事业单位</w:t>
      </w:r>
      <w:r>
        <w:rPr>
          <w:rStyle w:val="20"/>
          <w:rFonts w:hint="eastAsia" w:ascii="仿宋" w:hAnsi="仿宋" w:eastAsia="仿宋"/>
          <w:bCs/>
          <w:color w:val="auto"/>
          <w:sz w:val="32"/>
          <w:szCs w:val="32"/>
          <w:highlight w:val="none"/>
        </w:rPr>
        <w:t>养老保险缴费支出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99</w:t>
      </w:r>
      <w:r>
        <w:rPr>
          <w:rStyle w:val="20"/>
          <w:rFonts w:hint="eastAsia" w:ascii="仿宋" w:eastAsia="仿宋"/>
          <w:bCs/>
          <w:color w:val="auto"/>
          <w:sz w:val="32"/>
          <w:szCs w:val="32"/>
          <w:highlight w:val="none"/>
        </w:rPr>
        <w:t>）:</w:t>
      </w:r>
      <w:r>
        <w:rPr>
          <w:rStyle w:val="20"/>
          <w:rFonts w:hint="eastAsia" w:ascii="仿宋" w:eastAsia="仿宋"/>
          <w:b w:val="0"/>
          <w:bCs/>
          <w:color w:val="auto"/>
          <w:sz w:val="32"/>
          <w:szCs w:val="32"/>
          <w:highlight w:val="none"/>
        </w:rPr>
        <w:t xml:space="preserve"> 支出决算为</w:t>
      </w:r>
      <w:r>
        <w:rPr>
          <w:rFonts w:hint="eastAsia" w:ascii="Lucida Sans" w:hAnsi="Lucida Sans" w:eastAsia="仿宋_GB2312" w:cs="宋体"/>
          <w:sz w:val="32"/>
          <w:szCs w:val="32"/>
          <w:lang w:val="en-US" w:eastAsia="zh-CN" w:bidi="ar-SA"/>
        </w:rPr>
        <w:t>5.33</w:t>
      </w:r>
      <w:r>
        <w:rPr>
          <w:rStyle w:val="20"/>
          <w:rFonts w:hint="eastAsia" w:ascii="仿宋" w:eastAsia="仿宋"/>
          <w:b w:val="0"/>
          <w:bCs/>
          <w:color w:val="auto"/>
          <w:sz w:val="32"/>
          <w:szCs w:val="32"/>
          <w:highlight w:val="none"/>
        </w:rPr>
        <w:t>万元，完成预算</w:t>
      </w:r>
      <w:r>
        <w:rPr>
          <w:rStyle w:val="20"/>
          <w:rFonts w:hint="eastAsia" w:ascii="仿宋" w:eastAsia="仿宋"/>
          <w:b w:val="0"/>
          <w:bCs/>
          <w:color w:val="auto"/>
          <w:sz w:val="32"/>
          <w:szCs w:val="32"/>
          <w:highlight w:val="none"/>
          <w:lang w:val="en-US" w:eastAsia="zh-CN"/>
        </w:rPr>
        <w:t>100</w:t>
      </w:r>
      <w:r>
        <w:rPr>
          <w:rStyle w:val="20"/>
          <w:rFonts w:hint="eastAsia" w:ascii="仿宋" w:eastAsia="仿宋"/>
          <w:b w:val="0"/>
          <w:bCs/>
          <w:color w:val="auto"/>
          <w:sz w:val="32"/>
          <w:szCs w:val="32"/>
          <w:highlight w:val="none"/>
        </w:rPr>
        <w:t>%，决算数等于预算数的主要原因是</w:t>
      </w:r>
      <w:r>
        <w:rPr>
          <w:rStyle w:val="20"/>
          <w:rFonts w:hint="eastAsia" w:ascii="仿宋" w:hAnsi="仿宋" w:eastAsia="仿宋"/>
          <w:b w:val="0"/>
          <w:bCs/>
          <w:color w:val="auto"/>
          <w:sz w:val="32"/>
          <w:szCs w:val="32"/>
          <w:highlight w:val="none"/>
          <w:lang w:eastAsia="zh-CN"/>
        </w:rPr>
        <w:t>严格按预算支出执行。</w:t>
      </w:r>
    </w:p>
    <w:p w14:paraId="46D17E66">
      <w:pPr>
        <w:pageBreakBefore w:val="0"/>
        <w:kinsoku/>
        <w:wordWrap/>
        <w:overflowPunct/>
        <w:topLinePunct w:val="0"/>
        <w:bidi w:val="0"/>
        <w:spacing w:line="560" w:lineRule="exact"/>
        <w:ind w:firstLine="643" w:firstLineChars="200"/>
        <w:rPr>
          <w:rFonts w:hint="eastAsia" w:ascii="仿宋" w:eastAsia="仿宋"/>
          <w:b/>
          <w:color w:val="auto"/>
          <w:sz w:val="32"/>
          <w:szCs w:val="32"/>
          <w:highlight w:val="none"/>
        </w:rPr>
      </w:pPr>
      <w:r>
        <w:rPr>
          <w:rFonts w:hint="eastAsia" w:ascii="仿宋" w:eastAsia="仿宋"/>
          <w:b/>
          <w:bCs/>
          <w:color w:val="auto"/>
          <w:sz w:val="32"/>
          <w:szCs w:val="32"/>
          <w:highlight w:val="none"/>
          <w:lang w:val="en-US" w:eastAsia="zh-CN"/>
        </w:rPr>
        <w:t>6、</w:t>
      </w:r>
      <w:r>
        <w:rPr>
          <w:rFonts w:hint="eastAsia" w:ascii="仿宋" w:eastAsia="仿宋"/>
          <w:b/>
          <w:bCs/>
          <w:color w:val="auto"/>
          <w:sz w:val="32"/>
          <w:szCs w:val="32"/>
          <w:highlight w:val="none"/>
        </w:rPr>
        <w:t>卫生健康</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210</w:t>
      </w:r>
      <w:r>
        <w:rPr>
          <w:rStyle w:val="20"/>
          <w:rFonts w:hint="eastAsia" w:ascii="仿宋" w:eastAsia="仿宋"/>
          <w:bCs/>
          <w:color w:val="auto"/>
          <w:sz w:val="32"/>
          <w:szCs w:val="32"/>
          <w:highlight w:val="none"/>
        </w:rPr>
        <w:t>）</w:t>
      </w:r>
      <w:r>
        <w:rPr>
          <w:rStyle w:val="20"/>
          <w:rFonts w:hint="eastAsia" w:ascii="仿宋" w:hAnsi="仿宋" w:eastAsia="仿宋"/>
          <w:b/>
          <w:bCs/>
          <w:color w:val="auto"/>
          <w:sz w:val="32"/>
          <w:szCs w:val="32"/>
          <w:highlight w:val="none"/>
        </w:rPr>
        <w:t>行政事业单位医疗</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11</w:t>
      </w:r>
      <w:r>
        <w:rPr>
          <w:rStyle w:val="20"/>
          <w:rFonts w:hint="eastAsia" w:ascii="仿宋" w:eastAsia="仿宋"/>
          <w:bCs/>
          <w:color w:val="auto"/>
          <w:sz w:val="32"/>
          <w:szCs w:val="32"/>
          <w:highlight w:val="none"/>
        </w:rPr>
        <w:t>）</w:t>
      </w:r>
      <w:r>
        <w:rPr>
          <w:rStyle w:val="20"/>
          <w:rFonts w:hint="eastAsia" w:ascii="仿宋" w:hAnsi="仿宋" w:eastAsia="仿宋"/>
          <w:b/>
          <w:bCs/>
          <w:color w:val="auto"/>
          <w:sz w:val="32"/>
          <w:szCs w:val="32"/>
          <w:highlight w:val="none"/>
        </w:rPr>
        <w:t>事业单位医疗</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02</w:t>
      </w:r>
      <w:r>
        <w:rPr>
          <w:rStyle w:val="20"/>
          <w:rFonts w:hint="eastAsia" w:ascii="仿宋" w:eastAsia="仿宋"/>
          <w:bCs/>
          <w:color w:val="auto"/>
          <w:sz w:val="32"/>
          <w:szCs w:val="32"/>
          <w:highlight w:val="none"/>
        </w:rPr>
        <w:t>）:</w:t>
      </w:r>
      <w:r>
        <w:rPr>
          <w:rStyle w:val="20"/>
          <w:rFonts w:hint="eastAsia" w:ascii="仿宋" w:eastAsia="仿宋"/>
          <w:b w:val="0"/>
          <w:bCs/>
          <w:color w:val="auto"/>
          <w:sz w:val="32"/>
          <w:szCs w:val="32"/>
          <w:highlight w:val="none"/>
        </w:rPr>
        <w:t>支出决算为</w:t>
      </w:r>
      <w:r>
        <w:rPr>
          <w:rStyle w:val="20"/>
          <w:rFonts w:hint="eastAsia" w:ascii="仿宋" w:eastAsia="仿宋"/>
          <w:b w:val="0"/>
          <w:bCs/>
          <w:color w:val="auto"/>
          <w:sz w:val="32"/>
          <w:szCs w:val="32"/>
          <w:highlight w:val="none"/>
          <w:lang w:val="en-US" w:eastAsia="zh-CN"/>
        </w:rPr>
        <w:t>33.99</w:t>
      </w:r>
      <w:r>
        <w:rPr>
          <w:rStyle w:val="20"/>
          <w:rFonts w:hint="eastAsia" w:ascii="仿宋" w:eastAsia="仿宋"/>
          <w:b w:val="0"/>
          <w:bCs/>
          <w:color w:val="auto"/>
          <w:sz w:val="32"/>
          <w:szCs w:val="32"/>
          <w:highlight w:val="none"/>
        </w:rPr>
        <w:t>万元，完成预算</w:t>
      </w:r>
      <w:r>
        <w:rPr>
          <w:rStyle w:val="20"/>
          <w:rFonts w:hint="eastAsia" w:ascii="仿宋" w:eastAsia="仿宋"/>
          <w:b w:val="0"/>
          <w:bCs/>
          <w:color w:val="auto"/>
          <w:sz w:val="32"/>
          <w:szCs w:val="32"/>
          <w:highlight w:val="none"/>
          <w:lang w:val="en-US" w:eastAsia="zh-CN"/>
        </w:rPr>
        <w:t>100</w:t>
      </w:r>
      <w:r>
        <w:rPr>
          <w:rStyle w:val="20"/>
          <w:rFonts w:hint="eastAsia" w:ascii="仿宋" w:eastAsia="仿宋"/>
          <w:b w:val="0"/>
          <w:bCs/>
          <w:color w:val="auto"/>
          <w:sz w:val="32"/>
          <w:szCs w:val="32"/>
          <w:highlight w:val="none"/>
        </w:rPr>
        <w:t>%，</w:t>
      </w:r>
      <w:r>
        <w:rPr>
          <w:rStyle w:val="20"/>
          <w:rFonts w:hint="eastAsia" w:ascii="仿宋" w:hAnsi="仿宋" w:eastAsia="仿宋"/>
          <w:b w:val="0"/>
          <w:bCs/>
          <w:color w:val="auto"/>
          <w:sz w:val="32"/>
          <w:szCs w:val="32"/>
          <w:highlight w:val="none"/>
          <w:lang w:eastAsia="zh-CN"/>
        </w:rPr>
        <w:t>决算数等于预算数的主要原因是严格按预算支出执行。</w:t>
      </w:r>
    </w:p>
    <w:p w14:paraId="0B8A4240">
      <w:pPr>
        <w:pageBreakBefore w:val="0"/>
        <w:kinsoku/>
        <w:wordWrap/>
        <w:overflowPunct/>
        <w:topLinePunct w:val="0"/>
        <w:bidi w:val="0"/>
        <w:spacing w:line="560" w:lineRule="exact"/>
        <w:ind w:firstLine="643" w:firstLineChars="200"/>
        <w:rPr>
          <w:rStyle w:val="20"/>
          <w:rFonts w:hint="eastAsia" w:ascii="仿宋" w:hAnsi="仿宋" w:eastAsia="仿宋"/>
          <w:b w:val="0"/>
          <w:bCs/>
          <w:color w:val="auto"/>
          <w:sz w:val="32"/>
          <w:szCs w:val="32"/>
          <w:highlight w:val="none"/>
          <w:lang w:eastAsia="zh-CN"/>
        </w:rPr>
      </w:pPr>
      <w:r>
        <w:rPr>
          <w:rFonts w:hint="eastAsia" w:ascii="仿宋" w:eastAsia="仿宋"/>
          <w:b/>
          <w:bCs/>
          <w:color w:val="auto"/>
          <w:sz w:val="32"/>
          <w:szCs w:val="32"/>
          <w:highlight w:val="none"/>
          <w:lang w:val="en-US" w:eastAsia="zh-CN"/>
        </w:rPr>
        <w:t>7、</w:t>
      </w:r>
      <w:r>
        <w:rPr>
          <w:rFonts w:hint="eastAsia" w:ascii="仿宋" w:eastAsia="仿宋"/>
          <w:b/>
          <w:bCs/>
          <w:color w:val="auto"/>
          <w:sz w:val="32"/>
          <w:szCs w:val="32"/>
          <w:highlight w:val="none"/>
        </w:rPr>
        <w:t>卫生健康</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210</w:t>
      </w:r>
      <w:r>
        <w:rPr>
          <w:rStyle w:val="20"/>
          <w:rFonts w:hint="eastAsia" w:ascii="仿宋" w:eastAsia="仿宋"/>
          <w:bCs/>
          <w:color w:val="auto"/>
          <w:sz w:val="32"/>
          <w:szCs w:val="32"/>
          <w:highlight w:val="none"/>
        </w:rPr>
        <w:t>）</w:t>
      </w:r>
      <w:r>
        <w:rPr>
          <w:rStyle w:val="20"/>
          <w:rFonts w:hint="eastAsia" w:ascii="仿宋" w:hAnsi="仿宋" w:eastAsia="仿宋"/>
          <w:b/>
          <w:bCs/>
          <w:color w:val="auto"/>
          <w:sz w:val="32"/>
          <w:szCs w:val="32"/>
          <w:highlight w:val="none"/>
        </w:rPr>
        <w:t>行政事业单位医疗</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11</w:t>
      </w:r>
      <w:r>
        <w:rPr>
          <w:rStyle w:val="20"/>
          <w:rFonts w:hint="eastAsia" w:ascii="仿宋" w:eastAsia="仿宋"/>
          <w:bCs/>
          <w:color w:val="auto"/>
          <w:sz w:val="32"/>
          <w:szCs w:val="32"/>
          <w:highlight w:val="none"/>
        </w:rPr>
        <w:t>）</w:t>
      </w:r>
      <w:r>
        <w:rPr>
          <w:rStyle w:val="20"/>
          <w:rFonts w:hint="eastAsia" w:ascii="仿宋" w:hAnsi="仿宋" w:eastAsia="仿宋"/>
          <w:b/>
          <w:bCs/>
          <w:color w:val="auto"/>
          <w:sz w:val="32"/>
          <w:szCs w:val="32"/>
          <w:highlight w:val="none"/>
        </w:rPr>
        <w:t>其他行政事业单位医疗支出</w:t>
      </w:r>
      <w:r>
        <w:rPr>
          <w:rStyle w:val="20"/>
          <w:rFonts w:hint="eastAsia" w:ascii="仿宋" w:eastAsia="仿宋"/>
          <w:bCs/>
          <w:color w:val="auto"/>
          <w:sz w:val="32"/>
          <w:szCs w:val="32"/>
          <w:highlight w:val="none"/>
        </w:rPr>
        <w:t>（</w:t>
      </w:r>
      <w:r>
        <w:rPr>
          <w:rStyle w:val="20"/>
          <w:rFonts w:hint="eastAsia" w:ascii="仿宋" w:eastAsia="仿宋"/>
          <w:bCs/>
          <w:color w:val="auto"/>
          <w:sz w:val="32"/>
          <w:szCs w:val="32"/>
          <w:highlight w:val="none"/>
          <w:lang w:val="en-US" w:eastAsia="zh-CN"/>
        </w:rPr>
        <w:t>99</w:t>
      </w:r>
      <w:r>
        <w:rPr>
          <w:rStyle w:val="20"/>
          <w:rFonts w:hint="eastAsia" w:ascii="仿宋" w:eastAsia="仿宋"/>
          <w:bCs/>
          <w:color w:val="auto"/>
          <w:sz w:val="32"/>
          <w:szCs w:val="32"/>
          <w:highlight w:val="none"/>
        </w:rPr>
        <w:t>）:</w:t>
      </w:r>
      <w:r>
        <w:rPr>
          <w:rStyle w:val="20"/>
          <w:rFonts w:hint="eastAsia" w:ascii="仿宋" w:eastAsia="仿宋"/>
          <w:b w:val="0"/>
          <w:bCs/>
          <w:color w:val="auto"/>
          <w:sz w:val="32"/>
          <w:szCs w:val="32"/>
          <w:highlight w:val="none"/>
        </w:rPr>
        <w:t>支出决算为</w:t>
      </w:r>
      <w:r>
        <w:rPr>
          <w:rStyle w:val="20"/>
          <w:rFonts w:hint="eastAsia" w:ascii="仿宋" w:eastAsia="仿宋"/>
          <w:b w:val="0"/>
          <w:bCs/>
          <w:color w:val="auto"/>
          <w:sz w:val="32"/>
          <w:szCs w:val="32"/>
          <w:highlight w:val="none"/>
          <w:lang w:val="en-US" w:eastAsia="zh-CN"/>
        </w:rPr>
        <w:t>8.98</w:t>
      </w:r>
      <w:r>
        <w:rPr>
          <w:rStyle w:val="20"/>
          <w:rFonts w:hint="eastAsia" w:ascii="仿宋" w:eastAsia="仿宋"/>
          <w:b w:val="0"/>
          <w:bCs/>
          <w:color w:val="auto"/>
          <w:sz w:val="32"/>
          <w:szCs w:val="32"/>
          <w:highlight w:val="none"/>
        </w:rPr>
        <w:t>万元，完成预算</w:t>
      </w:r>
      <w:r>
        <w:rPr>
          <w:rStyle w:val="20"/>
          <w:rFonts w:hint="eastAsia" w:ascii="仿宋" w:eastAsia="仿宋"/>
          <w:b w:val="0"/>
          <w:bCs/>
          <w:color w:val="auto"/>
          <w:sz w:val="32"/>
          <w:szCs w:val="32"/>
          <w:highlight w:val="none"/>
          <w:lang w:val="en-US" w:eastAsia="zh-CN"/>
        </w:rPr>
        <w:t>100</w:t>
      </w:r>
      <w:r>
        <w:rPr>
          <w:rStyle w:val="20"/>
          <w:rFonts w:hint="eastAsia" w:ascii="仿宋" w:eastAsia="仿宋"/>
          <w:b w:val="0"/>
          <w:bCs/>
          <w:color w:val="auto"/>
          <w:sz w:val="32"/>
          <w:szCs w:val="32"/>
          <w:highlight w:val="none"/>
        </w:rPr>
        <w:t>%，</w:t>
      </w:r>
      <w:r>
        <w:rPr>
          <w:rStyle w:val="20"/>
          <w:rFonts w:hint="eastAsia" w:ascii="仿宋" w:hAnsi="仿宋" w:eastAsia="仿宋"/>
          <w:b w:val="0"/>
          <w:bCs/>
          <w:color w:val="auto"/>
          <w:sz w:val="32"/>
          <w:szCs w:val="32"/>
          <w:highlight w:val="none"/>
          <w:lang w:eastAsia="zh-CN"/>
        </w:rPr>
        <w:t>决算数等于预算数的主要原因是严格按预算支出执行。</w:t>
      </w:r>
    </w:p>
    <w:p w14:paraId="731181F6">
      <w:pPr>
        <w:pageBreakBefore w:val="0"/>
        <w:kinsoku/>
        <w:wordWrap/>
        <w:overflowPunct/>
        <w:topLinePunct w:val="0"/>
        <w:bidi w:val="0"/>
        <w:spacing w:line="560" w:lineRule="exact"/>
        <w:ind w:firstLine="643" w:firstLineChars="200"/>
        <w:rPr>
          <w:rStyle w:val="20"/>
          <w:rFonts w:hint="eastAsia" w:ascii="仿宋" w:hAnsi="仿宋" w:eastAsia="仿宋"/>
          <w:b w:val="0"/>
          <w:bCs/>
          <w:color w:val="auto"/>
          <w:sz w:val="32"/>
          <w:szCs w:val="32"/>
          <w:highlight w:val="none"/>
          <w:lang w:eastAsia="zh-CN"/>
        </w:rPr>
      </w:pPr>
      <w:r>
        <w:rPr>
          <w:rStyle w:val="20"/>
          <w:rFonts w:hint="eastAsia" w:ascii="仿宋" w:hAnsi="仿宋" w:eastAsia="仿宋"/>
          <w:b/>
          <w:bCs/>
          <w:color w:val="auto"/>
          <w:sz w:val="32"/>
          <w:szCs w:val="32"/>
          <w:highlight w:val="none"/>
          <w:lang w:val="en-US" w:eastAsia="zh-CN"/>
        </w:rPr>
        <w:t>8、</w:t>
      </w:r>
      <w:r>
        <w:rPr>
          <w:rStyle w:val="20"/>
          <w:rFonts w:hint="eastAsia" w:ascii="仿宋" w:hAnsi="仿宋" w:eastAsia="仿宋"/>
          <w:b/>
          <w:bCs/>
          <w:color w:val="auto"/>
          <w:sz w:val="32"/>
          <w:szCs w:val="32"/>
          <w:highlight w:val="none"/>
        </w:rPr>
        <w:t>住房保障支出（</w:t>
      </w:r>
      <w:r>
        <w:rPr>
          <w:rStyle w:val="20"/>
          <w:rFonts w:hint="eastAsia" w:ascii="仿宋" w:hAnsi="仿宋" w:eastAsia="仿宋"/>
          <w:b/>
          <w:bCs/>
          <w:color w:val="auto"/>
          <w:sz w:val="32"/>
          <w:szCs w:val="32"/>
          <w:highlight w:val="none"/>
          <w:lang w:val="en-US" w:eastAsia="zh-CN"/>
        </w:rPr>
        <w:t>221</w:t>
      </w:r>
      <w:r>
        <w:rPr>
          <w:rStyle w:val="20"/>
          <w:rFonts w:hint="eastAsia" w:ascii="仿宋" w:hAnsi="仿宋" w:eastAsia="仿宋"/>
          <w:b/>
          <w:bCs/>
          <w:color w:val="auto"/>
          <w:sz w:val="32"/>
          <w:szCs w:val="32"/>
          <w:highlight w:val="none"/>
        </w:rPr>
        <w:t>）住房改革支出（</w:t>
      </w:r>
      <w:r>
        <w:rPr>
          <w:rStyle w:val="20"/>
          <w:rFonts w:hint="eastAsia" w:ascii="仿宋" w:hAnsi="仿宋" w:eastAsia="仿宋"/>
          <w:b/>
          <w:bCs/>
          <w:color w:val="auto"/>
          <w:sz w:val="32"/>
          <w:szCs w:val="32"/>
          <w:highlight w:val="none"/>
          <w:lang w:val="en-US" w:eastAsia="zh-CN"/>
        </w:rPr>
        <w:t>02</w:t>
      </w:r>
      <w:r>
        <w:rPr>
          <w:rStyle w:val="20"/>
          <w:rFonts w:hint="eastAsia" w:ascii="仿宋" w:hAnsi="仿宋" w:eastAsia="仿宋"/>
          <w:b/>
          <w:bCs/>
          <w:color w:val="auto"/>
          <w:sz w:val="32"/>
          <w:szCs w:val="32"/>
          <w:highlight w:val="none"/>
        </w:rPr>
        <w:t>）住房公积金（</w:t>
      </w:r>
      <w:r>
        <w:rPr>
          <w:rStyle w:val="20"/>
          <w:rFonts w:hint="eastAsia" w:ascii="仿宋" w:hAnsi="仿宋" w:eastAsia="仿宋"/>
          <w:b/>
          <w:bCs/>
          <w:color w:val="auto"/>
          <w:sz w:val="32"/>
          <w:szCs w:val="32"/>
          <w:highlight w:val="none"/>
          <w:lang w:val="en-US" w:eastAsia="zh-CN"/>
        </w:rPr>
        <w:t>01</w:t>
      </w:r>
      <w:r>
        <w:rPr>
          <w:rStyle w:val="20"/>
          <w:rFonts w:hint="eastAsia" w:ascii="仿宋" w:hAnsi="仿宋" w:eastAsia="仿宋"/>
          <w:b/>
          <w:bCs/>
          <w:color w:val="auto"/>
          <w:sz w:val="32"/>
          <w:szCs w:val="32"/>
          <w:highlight w:val="none"/>
        </w:rPr>
        <w:t>）</w:t>
      </w:r>
      <w:r>
        <w:rPr>
          <w:rStyle w:val="20"/>
          <w:rFonts w:ascii="仿宋" w:hAnsi="仿宋" w:eastAsia="仿宋"/>
          <w:b/>
          <w:bCs/>
          <w:color w:val="auto"/>
          <w:sz w:val="32"/>
          <w:szCs w:val="32"/>
          <w:highlight w:val="none"/>
        </w:rPr>
        <w:t>:</w:t>
      </w:r>
      <w:r>
        <w:rPr>
          <w:rStyle w:val="20"/>
          <w:rFonts w:ascii="仿宋" w:hAnsi="仿宋" w:eastAsia="仿宋"/>
          <w:b w:val="0"/>
          <w:bCs/>
          <w:color w:val="auto"/>
          <w:sz w:val="32"/>
          <w:szCs w:val="32"/>
          <w:highlight w:val="none"/>
        </w:rPr>
        <w:t xml:space="preserve"> </w:t>
      </w:r>
      <w:r>
        <w:rPr>
          <w:rStyle w:val="20"/>
          <w:rFonts w:hint="eastAsia" w:ascii="仿宋" w:hAnsi="仿宋" w:eastAsia="仿宋"/>
          <w:b w:val="0"/>
          <w:bCs/>
          <w:color w:val="auto"/>
          <w:sz w:val="32"/>
          <w:szCs w:val="32"/>
          <w:highlight w:val="none"/>
        </w:rPr>
        <w:t>支出决算为</w:t>
      </w:r>
      <w:r>
        <w:rPr>
          <w:rStyle w:val="20"/>
          <w:rFonts w:hint="eastAsia" w:ascii="仿宋" w:hAnsi="仿宋" w:eastAsia="仿宋"/>
          <w:b w:val="0"/>
          <w:bCs/>
          <w:color w:val="auto"/>
          <w:sz w:val="32"/>
          <w:szCs w:val="32"/>
          <w:highlight w:val="none"/>
          <w:lang w:val="en-US" w:eastAsia="zh-CN"/>
        </w:rPr>
        <w:t>55.65</w:t>
      </w:r>
      <w:r>
        <w:rPr>
          <w:rStyle w:val="20"/>
          <w:rFonts w:hint="eastAsia" w:ascii="仿宋" w:hAnsi="仿宋" w:eastAsia="仿宋"/>
          <w:b w:val="0"/>
          <w:bCs/>
          <w:color w:val="auto"/>
          <w:sz w:val="32"/>
          <w:szCs w:val="32"/>
          <w:highlight w:val="none"/>
        </w:rPr>
        <w:t>万元，完成预算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lang w:eastAsia="zh-CN"/>
        </w:rPr>
        <w:t>，决算数等于预算数的主要原因是严格按预算支出执行。</w:t>
      </w:r>
    </w:p>
    <w:p w14:paraId="1F6D0456">
      <w:pPr>
        <w:pageBreakBefore w:val="0"/>
        <w:kinsoku/>
        <w:wordWrap/>
        <w:overflowPunct/>
        <w:topLinePunct w:val="0"/>
        <w:bidi w:val="0"/>
        <w:spacing w:line="56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68554AAF">
      <w:pPr>
        <w:pageBreakBefore w:val="0"/>
        <w:tabs>
          <w:tab w:val="right" w:pos="8306"/>
        </w:tabs>
        <w:kinsoku/>
        <w:wordWrap/>
        <w:overflowPunct/>
        <w:topLinePunct w:val="0"/>
        <w:bidi w:val="0"/>
        <w:spacing w:line="560" w:lineRule="exact"/>
        <w:ind w:firstLine="640" w:firstLineChars="200"/>
        <w:outlineLvl w:val="1"/>
        <w:rPr>
          <w:rFonts w:hint="eastAsia" w:ascii="Times New Roman" w:hAnsi="Times New Roman" w:eastAsia="黑体"/>
          <w:color w:val="auto"/>
          <w:sz w:val="32"/>
          <w:szCs w:val="32"/>
          <w:highlight w:val="none"/>
        </w:rPr>
      </w:pPr>
      <w:bookmarkStart w:id="64" w:name="_Toc15377214"/>
      <w:bookmarkStart w:id="65" w:name="_Toc15396608"/>
      <w:bookmarkStart w:id="66" w:name="_Toc469602898"/>
      <w:bookmarkStart w:id="67" w:name="_Toc234707300"/>
    </w:p>
    <w:p w14:paraId="0E6F1DDC">
      <w:pPr>
        <w:pageBreakBefore w:val="0"/>
        <w:tabs>
          <w:tab w:val="right" w:pos="8306"/>
        </w:tabs>
        <w:kinsoku/>
        <w:wordWrap/>
        <w:overflowPunct/>
        <w:topLinePunct w:val="0"/>
        <w:bidi w:val="0"/>
        <w:spacing w:line="560" w:lineRule="exact"/>
        <w:ind w:firstLine="640" w:firstLineChars="200"/>
        <w:outlineLvl w:val="1"/>
        <w:rPr>
          <w:rStyle w:val="23"/>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3"/>
          <w:rFonts w:hint="eastAsia" w:ascii="Times New Roman" w:hAnsi="Times New Roman" w:eastAsia="黑体"/>
          <w:b w:val="0"/>
          <w:color w:val="auto"/>
          <w:highlight w:val="none"/>
        </w:rPr>
        <w:t>般公共预算财政拨款基本支出决算情况说明</w:t>
      </w:r>
      <w:bookmarkEnd w:id="64"/>
      <w:bookmarkEnd w:id="65"/>
      <w:bookmarkEnd w:id="66"/>
      <w:bookmarkEnd w:id="67"/>
      <w:r>
        <w:rPr>
          <w:rStyle w:val="23"/>
          <w:rFonts w:ascii="Times New Roman" w:hAnsi="Times New Roman" w:eastAsia="黑体"/>
          <w:b w:val="0"/>
          <w:color w:val="auto"/>
          <w:highlight w:val="none"/>
        </w:rPr>
        <w:tab/>
      </w:r>
    </w:p>
    <w:p w14:paraId="2974DE17">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878.12</w:t>
      </w:r>
      <w:r>
        <w:rPr>
          <w:rFonts w:hint="eastAsia" w:ascii="Times New Roman" w:hAnsi="Times New Roman" w:eastAsia="仿宋_GB2312" w:cs="仿宋_GB2312"/>
          <w:color w:val="auto"/>
          <w:kern w:val="2"/>
          <w:sz w:val="32"/>
          <w:szCs w:val="32"/>
          <w:highlight w:val="none"/>
          <w:lang w:val="en-US" w:eastAsia="zh-CN" w:bidi="ar-SA"/>
        </w:rPr>
        <w:t>万元，其中：</w:t>
      </w:r>
    </w:p>
    <w:p w14:paraId="6A9F7FFE">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811.9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66.23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231D6C6">
      <w:pPr>
        <w:pageBreakBefore w:val="0"/>
        <w:kinsoku/>
        <w:wordWrap/>
        <w:overflowPunct/>
        <w:topLinePunct w:val="0"/>
        <w:bidi w:val="0"/>
        <w:spacing w:line="56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114CC55">
      <w:pPr>
        <w:pageBreakBefore w:val="0"/>
        <w:kinsoku/>
        <w:wordWrap/>
        <w:overflowPunct/>
        <w:topLinePunct w:val="0"/>
        <w:bidi w:val="0"/>
        <w:spacing w:line="560" w:lineRule="exact"/>
        <w:ind w:firstLine="640" w:firstLineChars="200"/>
        <w:outlineLvl w:val="1"/>
        <w:rPr>
          <w:rStyle w:val="23"/>
          <w:rFonts w:ascii="Times New Roman" w:hAnsi="Times New Roman" w:eastAsia="黑体"/>
          <w:b w:val="0"/>
          <w:color w:val="auto"/>
          <w:highlight w:val="none"/>
        </w:rPr>
      </w:pPr>
      <w:bookmarkStart w:id="68" w:name="_Toc15396609"/>
      <w:bookmarkStart w:id="69" w:name="_Toc15377215"/>
      <w:bookmarkStart w:id="70" w:name="_Toc2114891530"/>
      <w:bookmarkStart w:id="71" w:name="_Toc1732140784"/>
      <w:r>
        <w:rPr>
          <w:rFonts w:hint="eastAsia" w:ascii="Times New Roman" w:hAnsi="Times New Roman" w:eastAsia="黑体"/>
          <w:color w:val="auto"/>
          <w:sz w:val="32"/>
          <w:szCs w:val="32"/>
          <w:highlight w:val="none"/>
        </w:rPr>
        <w:t>七、</w:t>
      </w:r>
      <w:r>
        <w:rPr>
          <w:rStyle w:val="23"/>
          <w:rFonts w:hint="eastAsia" w:ascii="Times New Roman" w:hAnsi="Times New Roman" w:eastAsia="黑体"/>
          <w:b w:val="0"/>
          <w:color w:val="auto"/>
          <w:highlight w:val="none"/>
        </w:rPr>
        <w:t>财政拨款</w:t>
      </w:r>
      <w:r>
        <w:rPr>
          <w:rStyle w:val="23"/>
          <w:rFonts w:hint="eastAsia" w:ascii="Times New Roman" w:hAnsi="Times New Roman" w:eastAsia="黑体"/>
          <w:color w:val="auto"/>
          <w:highlight w:val="none"/>
        </w:rPr>
        <w:t>“</w:t>
      </w:r>
      <w:r>
        <w:rPr>
          <w:rStyle w:val="23"/>
          <w:rFonts w:hint="eastAsia" w:ascii="Times New Roman" w:hAnsi="Times New Roman" w:eastAsia="黑体"/>
          <w:b w:val="0"/>
          <w:color w:val="auto"/>
          <w:highlight w:val="none"/>
        </w:rPr>
        <w:t>三公”经费支出决算情况说明</w:t>
      </w:r>
      <w:bookmarkEnd w:id="68"/>
      <w:bookmarkEnd w:id="69"/>
      <w:bookmarkEnd w:id="70"/>
      <w:bookmarkEnd w:id="71"/>
    </w:p>
    <w:p w14:paraId="49532DFB">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2"/>
    </w:p>
    <w:p w14:paraId="65EA76FC">
      <w:pPr>
        <w:pageBreakBefore w:val="0"/>
        <w:kinsoku/>
        <w:wordWrap/>
        <w:overflowPunct/>
        <w:topLinePunct w:val="0"/>
        <w:bidi w:val="0"/>
        <w:spacing w:line="560" w:lineRule="exact"/>
        <w:ind w:firstLine="640" w:firstLineChars="200"/>
        <w:rPr>
          <w:rFonts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13.68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7.01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33.8</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本年度减少车辆大型维修。</w:t>
      </w:r>
    </w:p>
    <w:p w14:paraId="65806284">
      <w:pPr>
        <w:pageBreakBefore w:val="0"/>
        <w:kinsoku/>
        <w:wordWrap/>
        <w:overflowPunct/>
        <w:topLinePunct w:val="0"/>
        <w:bidi w:val="0"/>
        <w:spacing w:line="56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54A800B0">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3"/>
    </w:p>
    <w:p w14:paraId="3FBB0672">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13.68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E513BF9">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F2D24B6">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918710" cy="2884170"/>
            <wp:effectExtent l="4445" t="4445" r="10795" b="698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AD689C1">
      <w:pPr>
        <w:rPr>
          <w:rFonts w:hint="eastAsia"/>
          <w:lang w:val="en-US" w:eastAsia="zh-CN"/>
        </w:rPr>
      </w:pPr>
    </w:p>
    <w:p w14:paraId="63212617">
      <w:pPr>
        <w:pageBreakBefore w:val="0"/>
        <w:kinsoku/>
        <w:wordWrap/>
        <w:overflowPunct/>
        <w:topLinePunct w:val="0"/>
        <w:bidi w:val="0"/>
        <w:spacing w:line="56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相等</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因公出国（境）</w:t>
      </w:r>
    </w:p>
    <w:p w14:paraId="3D7F6D8D">
      <w:pPr>
        <w:pageBreakBefore w:val="0"/>
        <w:kinsoku/>
        <w:wordWrap/>
        <w:overflowPunct/>
        <w:topLinePunct w:val="0"/>
        <w:bidi w:val="0"/>
        <w:spacing w:line="560" w:lineRule="exact"/>
        <w:ind w:firstLine="643" w:firstLineChars="200"/>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13.68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ascii="Times New Roman" w:hAnsi="Times New Roman"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ascii="Times New Roman" w:hAnsi="Times New Roman" w:eastAsia="仿宋_GB2312" w:cs="仿宋_GB2312"/>
          <w:color w:val="auto"/>
          <w:kern w:val="2"/>
          <w:sz w:val="32"/>
          <w:szCs w:val="32"/>
          <w:highlight w:val="none"/>
          <w:lang w:val="en-US" w:eastAsia="zh-CN" w:bidi="ar-SA"/>
        </w:rPr>
        <w:t>7.01</w:t>
      </w:r>
      <w:r>
        <w:rPr>
          <w:rFonts w:hint="eastAsia" w:ascii="Times New Roman" w:hAnsi="Times New Roman" w:eastAsia="仿宋_GB2312" w:cs="仿宋_GB2312"/>
          <w:color w:val="auto"/>
          <w:kern w:val="2"/>
          <w:sz w:val="32"/>
          <w:szCs w:val="32"/>
          <w:highlight w:val="none"/>
          <w:lang w:val="en-US" w:eastAsia="zh-CN" w:bidi="ar-SA"/>
        </w:rPr>
        <w:t>万元，下降</w:t>
      </w:r>
      <w:r>
        <w:rPr>
          <w:rFonts w:ascii="Times New Roman" w:hAnsi="Times New Roman" w:eastAsia="仿宋_GB2312" w:cs="仿宋_GB2312"/>
          <w:color w:val="auto"/>
          <w:kern w:val="2"/>
          <w:sz w:val="32"/>
          <w:szCs w:val="32"/>
          <w:highlight w:val="none"/>
          <w:lang w:val="en-US" w:eastAsia="zh-CN" w:bidi="ar-SA"/>
        </w:rPr>
        <w:t>33.8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本年度减少车辆大型维修。</w:t>
      </w:r>
    </w:p>
    <w:p w14:paraId="2CFC2A3B">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商务</w:t>
      </w:r>
      <w:r>
        <w:rPr>
          <w:rFonts w:hint="eastAsia" w:ascii="Times New Roman" w:hAnsi="Times New Roman" w:eastAsia="仿宋_GB2312" w:cs="仿宋_GB2312"/>
          <w:color w:val="auto"/>
          <w:kern w:val="2"/>
          <w:sz w:val="32"/>
          <w:szCs w:val="32"/>
          <w:highlight w:val="none"/>
          <w:lang w:val="en-US" w:eastAsia="zh-CN" w:bidi="ar-SA"/>
        </w:rPr>
        <w:t>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14:paraId="64B48641">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13.68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auto"/>
          <w:sz w:val="32"/>
          <w:szCs w:val="32"/>
          <w:highlight w:val="none"/>
        </w:rPr>
        <w:t>主要用于日常车辆所需的公务</w:t>
      </w:r>
      <w:r>
        <w:rPr>
          <w:rFonts w:hint="eastAsia" w:ascii="Times New Roman" w:hAnsi="Times New Roman" w:eastAsia="仿宋_GB2312" w:cs="仿宋_GB2312"/>
          <w:color w:val="auto"/>
          <w:kern w:val="2"/>
          <w:sz w:val="32"/>
          <w:szCs w:val="32"/>
          <w:highlight w:val="none"/>
          <w:lang w:val="en-US" w:eastAsia="zh-CN" w:bidi="ar-SA"/>
        </w:rPr>
        <w:t>用车燃料费、维修费、过路过桥费、保险费等支出。</w:t>
      </w:r>
    </w:p>
    <w:p w14:paraId="57E0968F">
      <w:pPr>
        <w:pageBreakBefore w:val="0"/>
        <w:kinsoku/>
        <w:wordWrap/>
        <w:overflowPunct/>
        <w:topLinePunct w:val="0"/>
        <w:bidi w:val="0"/>
        <w:spacing w:line="56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ascii="Times New Roman" w:hAnsi="Times New Roman"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ascii="Times New Roman" w:hAnsi="Times New Roman"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万元，下降</w:t>
      </w:r>
      <w:r>
        <w:rPr>
          <w:rFonts w:ascii="Times New Roman" w:hAnsi="Times New Roman"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%。主要原因是</w:t>
      </w:r>
      <w:r>
        <w:rPr>
          <w:rFonts w:ascii="Times New Roman" w:hAnsi="Times New Roman" w:eastAsia="方正兰亭黑_GBK" w:cs="仿宋_GB2312"/>
          <w:color w:val="auto"/>
          <w:kern w:val="2"/>
          <w:sz w:val="32"/>
          <w:szCs w:val="32"/>
          <w:highlight w:val="none"/>
          <w:lang w:val="en-US" w:eastAsia="zh-CN" w:bidi="ar-SA"/>
        </w:rPr>
        <w:t>未开展公务接待</w:t>
      </w:r>
      <w:r>
        <w:rPr>
          <w:rFonts w:hint="eastAsia" w:ascii="Times New Roman" w:hAnsi="Times New Roman" w:eastAsia="仿宋_GB2312" w:cs="仿宋_GB2312"/>
          <w:color w:val="auto"/>
          <w:kern w:val="2"/>
          <w:sz w:val="32"/>
          <w:szCs w:val="32"/>
          <w:highlight w:val="none"/>
          <w:lang w:val="en-US" w:eastAsia="zh-CN" w:bidi="ar-SA"/>
        </w:rPr>
        <w:t>。</w:t>
      </w:r>
      <w:bookmarkStart w:id="74" w:name="_Toc15377218"/>
      <w:bookmarkStart w:id="75" w:name="_Toc15396610"/>
    </w:p>
    <w:p w14:paraId="0F8AC3F4">
      <w:pPr>
        <w:pageBreakBefore w:val="0"/>
        <w:kinsoku/>
        <w:wordWrap/>
        <w:overflowPunct/>
        <w:topLinePunct w:val="0"/>
        <w:bidi w:val="0"/>
        <w:spacing w:line="560" w:lineRule="exact"/>
        <w:ind w:firstLine="640" w:firstLineChars="200"/>
        <w:outlineLvl w:val="1"/>
        <w:rPr>
          <w:rStyle w:val="23"/>
          <w:rFonts w:ascii="Times New Roman" w:hAnsi="Times New Roman" w:eastAsia="黑体"/>
          <w:color w:val="auto"/>
          <w:highlight w:val="none"/>
        </w:rPr>
      </w:pPr>
      <w:bookmarkStart w:id="76" w:name="_Toc139380870"/>
      <w:bookmarkStart w:id="77" w:name="_Toc1392335423"/>
      <w:r>
        <w:rPr>
          <w:rFonts w:hint="eastAsia" w:ascii="Times New Roman" w:hAnsi="Times New Roman" w:eastAsia="黑体"/>
          <w:color w:val="auto"/>
          <w:sz w:val="32"/>
          <w:szCs w:val="32"/>
          <w:highlight w:val="none"/>
        </w:rPr>
        <w:t>八、</w:t>
      </w:r>
      <w:r>
        <w:rPr>
          <w:rStyle w:val="23"/>
          <w:rFonts w:hint="eastAsia" w:ascii="Times New Roman" w:hAnsi="Times New Roman" w:eastAsia="黑体"/>
          <w:b w:val="0"/>
          <w:color w:val="auto"/>
          <w:highlight w:val="none"/>
        </w:rPr>
        <w:t>政府性基金预算支出决算情况说明</w:t>
      </w:r>
      <w:bookmarkEnd w:id="74"/>
      <w:bookmarkEnd w:id="75"/>
      <w:bookmarkEnd w:id="76"/>
      <w:bookmarkEnd w:id="77"/>
    </w:p>
    <w:p w14:paraId="331D653F">
      <w:pPr>
        <w:pageBreakBefore w:val="0"/>
        <w:kinsoku/>
        <w:wordWrap/>
        <w:overflowPunct/>
        <w:topLinePunct w:val="0"/>
        <w:bidi w:val="0"/>
        <w:spacing w:line="560" w:lineRule="exact"/>
        <w:ind w:firstLine="640" w:firstLineChars="200"/>
        <w:jc w:val="left"/>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我</w:t>
      </w:r>
      <w:r>
        <w:rPr>
          <w:rFonts w:hint="eastAsia" w:ascii="仿宋_GB2312" w:eastAsia="仿宋_GB2312"/>
          <w:color w:val="auto"/>
          <w:sz w:val="32"/>
          <w:szCs w:val="32"/>
          <w:highlight w:val="none"/>
          <w:lang w:val="en-US" w:eastAsia="zh-CN"/>
        </w:rPr>
        <w:t>单位是事业性单位，不涉及</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 xml:space="preserve">          </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4C6B7D1">
      <w:pPr>
        <w:pageBreakBefore w:val="0"/>
        <w:kinsoku/>
        <w:wordWrap/>
        <w:overflowPunct/>
        <w:topLinePunct w:val="0"/>
        <w:bidi w:val="0"/>
        <w:spacing w:line="560" w:lineRule="exact"/>
        <w:ind w:left="630" w:firstLine="640" w:firstLineChars="200"/>
        <w:outlineLvl w:val="1"/>
        <w:rPr>
          <w:rStyle w:val="23"/>
          <w:rFonts w:ascii="Times New Roman" w:hAnsi="Times New Roman" w:eastAsia="黑体"/>
          <w:b w:val="0"/>
          <w:color w:val="auto"/>
          <w:highlight w:val="none"/>
        </w:rPr>
      </w:pPr>
      <w:bookmarkStart w:id="78" w:name="_Toc15396611"/>
      <w:bookmarkStart w:id="79" w:name="_Toc15377219"/>
      <w:bookmarkStart w:id="80" w:name="_Toc1576875159"/>
      <w:bookmarkStart w:id="81" w:name="_Toc1781294697"/>
      <w:r>
        <w:rPr>
          <w:rStyle w:val="23"/>
          <w:rFonts w:hint="eastAsia" w:ascii="Times New Roman" w:hAnsi="Times New Roman" w:eastAsia="黑体"/>
          <w:b w:val="0"/>
          <w:color w:val="auto"/>
          <w:highlight w:val="none"/>
          <w:lang w:eastAsia="zh-CN"/>
        </w:rPr>
        <w:t>九、</w:t>
      </w:r>
      <w:r>
        <w:rPr>
          <w:rStyle w:val="23"/>
          <w:rFonts w:hint="eastAsia" w:ascii="Times New Roman" w:hAnsi="Times New Roman" w:eastAsia="黑体"/>
          <w:b w:val="0"/>
          <w:color w:val="auto"/>
          <w:highlight w:val="none"/>
        </w:rPr>
        <w:t>国有资本经营预算支出决算情况说明</w:t>
      </w:r>
      <w:bookmarkEnd w:id="78"/>
      <w:bookmarkEnd w:id="79"/>
      <w:bookmarkEnd w:id="80"/>
      <w:bookmarkEnd w:id="81"/>
    </w:p>
    <w:p w14:paraId="596F59C9">
      <w:pPr>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我</w:t>
      </w:r>
      <w:r>
        <w:rPr>
          <w:rFonts w:hint="eastAsia" w:ascii="仿宋_GB2312" w:eastAsia="仿宋_GB2312"/>
          <w:color w:val="auto"/>
          <w:sz w:val="32"/>
          <w:szCs w:val="32"/>
          <w:highlight w:val="none"/>
          <w:lang w:val="en-US" w:eastAsia="zh-CN"/>
        </w:rPr>
        <w:t>单位是事业性单位，不涉及</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w:t>
      </w:r>
      <w:r>
        <w:rPr>
          <w:rFonts w:hint="eastAsia" w:ascii="仿宋_GB2312" w:eastAsia="仿宋_GB2312"/>
          <w:color w:val="auto"/>
          <w:sz w:val="32"/>
          <w:szCs w:val="32"/>
          <w:highlight w:val="none"/>
          <w:lang w:eastAsia="zh-CN"/>
        </w:rPr>
        <w:t>。</w:t>
      </w:r>
    </w:p>
    <w:p w14:paraId="09550FFA">
      <w:pPr>
        <w:pageBreakBefore w:val="0"/>
        <w:kinsoku/>
        <w:wordWrap/>
        <w:overflowPunct/>
        <w:topLinePunct w:val="0"/>
        <w:bidi w:val="0"/>
        <w:spacing w:line="56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48CDC83">
      <w:pPr>
        <w:pageBreakBefore w:val="0"/>
        <w:kinsoku/>
        <w:wordWrap/>
        <w:overflowPunct/>
        <w:topLinePunct w:val="0"/>
        <w:bidi w:val="0"/>
        <w:spacing w:line="560" w:lineRule="exact"/>
        <w:ind w:left="630" w:firstLine="640" w:firstLineChars="200"/>
        <w:outlineLvl w:val="1"/>
        <w:rPr>
          <w:rStyle w:val="23"/>
          <w:rFonts w:hint="eastAsia" w:ascii="Times New Roman" w:hAnsi="Times New Roman" w:eastAsia="黑体"/>
          <w:b w:val="0"/>
          <w:color w:val="auto"/>
          <w:highlight w:val="none"/>
        </w:rPr>
      </w:pPr>
      <w:bookmarkStart w:id="82" w:name="_Toc15396612"/>
      <w:bookmarkStart w:id="83" w:name="_Toc15377221"/>
      <w:bookmarkStart w:id="84" w:name="_Toc366608385"/>
      <w:bookmarkStart w:id="85" w:name="_Toc1285861464"/>
      <w:r>
        <w:rPr>
          <w:rStyle w:val="23"/>
          <w:rFonts w:hint="eastAsia" w:ascii="Times New Roman" w:hAnsi="Times New Roman" w:eastAsia="黑体"/>
          <w:b w:val="0"/>
          <w:color w:val="auto"/>
          <w:highlight w:val="none"/>
          <w:lang w:eastAsia="zh-CN"/>
        </w:rPr>
        <w:t>十、</w:t>
      </w:r>
      <w:r>
        <w:rPr>
          <w:rStyle w:val="23"/>
          <w:rFonts w:hint="eastAsia" w:ascii="Times New Roman" w:hAnsi="Times New Roman" w:eastAsia="黑体"/>
          <w:b w:val="0"/>
          <w:color w:val="auto"/>
          <w:highlight w:val="none"/>
        </w:rPr>
        <w:t>其他重要事项的情况说明</w:t>
      </w:r>
      <w:bookmarkEnd w:id="82"/>
      <w:bookmarkEnd w:id="83"/>
      <w:bookmarkEnd w:id="84"/>
      <w:bookmarkEnd w:id="85"/>
    </w:p>
    <w:p w14:paraId="0C4FEC67">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22"/>
      <w:r>
        <w:rPr>
          <w:rFonts w:hint="eastAsia" w:ascii="Times New Roman" w:hAnsi="Times New Roman" w:eastAsia="楷体_GB2312" w:cs="楷体_GB2312"/>
          <w:b/>
          <w:color w:val="auto"/>
          <w:sz w:val="32"/>
          <w:szCs w:val="32"/>
          <w:highlight w:val="none"/>
        </w:rPr>
        <w:t>（一）机关运行经费支出情况</w:t>
      </w:r>
      <w:bookmarkEnd w:id="86"/>
    </w:p>
    <w:p w14:paraId="42AD4FA8">
      <w:pPr>
        <w:pageBreakBefore w:val="0"/>
        <w:kinsoku/>
        <w:wordWrap/>
        <w:overflowPunct/>
        <w:topLinePunct w:val="0"/>
        <w:bidi w:val="0"/>
        <w:spacing w:line="560" w:lineRule="exact"/>
        <w:ind w:firstLine="640" w:firstLineChars="200"/>
        <w:rPr>
          <w:rFonts w:hint="eastAsia" w:ascii="仿宋_GB2312" w:eastAsia="仿宋_GB2312" w:cs="Times New Roman"/>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阿坝藏族羌族自治州文化馆</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元，主要原因是</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lang w:eastAsia="zh-CN"/>
        </w:rPr>
        <w:t>我</w:t>
      </w:r>
      <w:r>
        <w:rPr>
          <w:rFonts w:hint="eastAsia" w:ascii="仿宋_GB2312" w:eastAsia="仿宋_GB2312"/>
          <w:color w:val="auto"/>
          <w:sz w:val="32"/>
          <w:szCs w:val="32"/>
          <w:highlight w:val="none"/>
          <w:lang w:val="en-US" w:eastAsia="zh-CN"/>
        </w:rPr>
        <w:t>单位是事业性单位，不涉及</w:t>
      </w:r>
      <w:r>
        <w:rPr>
          <w:rFonts w:hint="eastAsia" w:ascii="仿宋_GB2312" w:eastAsia="仿宋_GB2312" w:cs="Times New Roman"/>
          <w:color w:val="auto"/>
          <w:sz w:val="32"/>
          <w:szCs w:val="32"/>
          <w:highlight w:val="none"/>
          <w:lang w:val="en-US" w:eastAsia="zh-CN"/>
        </w:rPr>
        <w:t>机关运行经费支出情况</w:t>
      </w:r>
    </w:p>
    <w:p w14:paraId="65473DC0">
      <w:pPr>
        <w:pageBreakBefore w:val="0"/>
        <w:kinsoku/>
        <w:wordWrap/>
        <w:overflowPunct/>
        <w:topLinePunct w:val="0"/>
        <w:bidi w:val="0"/>
        <w:spacing w:line="56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8765C47">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bookmarkStart w:id="87" w:name="_Toc15377223"/>
      <w:r>
        <w:rPr>
          <w:rFonts w:hint="eastAsia" w:ascii="Times New Roman" w:hAnsi="Times New Roman" w:eastAsia="楷体_GB2312" w:cs="楷体_GB2312"/>
          <w:b/>
          <w:color w:val="auto"/>
          <w:sz w:val="32"/>
          <w:szCs w:val="32"/>
          <w:highlight w:val="none"/>
        </w:rPr>
        <w:t>（二）政府采购支出情况</w:t>
      </w:r>
      <w:bookmarkEnd w:id="87"/>
    </w:p>
    <w:p w14:paraId="0B1E04B7">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阿坝藏族羌族自治州文化馆</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626.31</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626.31</w:t>
      </w:r>
      <w:r>
        <w:rPr>
          <w:rFonts w:hint="eastAsia" w:ascii="Times New Roman" w:hAnsi="Times New Roman" w:eastAsia="仿宋_GB2312" w:cs="仿宋_GB2312"/>
          <w:color w:val="auto"/>
          <w:kern w:val="2"/>
          <w:sz w:val="32"/>
          <w:szCs w:val="32"/>
          <w:highlight w:val="none"/>
          <w:lang w:val="en-US" w:eastAsia="zh-CN" w:bidi="ar-SA"/>
        </w:rPr>
        <w:t>万元。主要用于</w:t>
      </w:r>
      <w:r>
        <w:rPr>
          <w:rFonts w:ascii="Times New Roman" w:hAnsi="Times New Roman" w:eastAsia="方正兰亭黑_GBK" w:cs="仿宋_GB2312"/>
          <w:color w:val="auto"/>
          <w:kern w:val="2"/>
          <w:sz w:val="32"/>
          <w:szCs w:val="32"/>
          <w:highlight w:val="none"/>
          <w:lang w:val="en-US" w:eastAsia="zh-CN" w:bidi="ar-SA"/>
        </w:rPr>
        <w:t>：</w:t>
      </w:r>
      <w:r>
        <w:rPr>
          <w:rFonts w:hint="eastAsia" w:ascii="方正仿宋_GBK" w:eastAsia="方正仿宋_GBK" w:cs="方正仿宋_GBK"/>
          <w:sz w:val="32"/>
          <w:szCs w:val="32"/>
        </w:rPr>
        <w:t>“天下九寨沟 大美阿坝州”2025年度浙阿非遗走亲——了不起的阿坝非遗展示展演展销活动、2025年省级非遗代表性传承人记录工作、《大熊猫百图唐卡长卷》展陈设计制作及 高清复制、用文艺装点生活——“净土阿坝2025阿坝州第四届群文新创文艺作品大赛、“天下九寨沟 大美阿坝州”2025年度浙阿非遗走亲——“匠心独具 阿坝手作”大赛、第四届川西行走之声·川西藏族山歌--非遗进景区音乐会</w:t>
      </w:r>
      <w:r>
        <w:rPr>
          <w:rFonts w:hint="eastAsia" w:ascii="方正仿宋_GBK" w:hAnsi="Times New Roman" w:eastAsia="方正仿宋_GBK" w:cs="方正仿宋_GBK"/>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626.31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626.31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343D79A4">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24"/>
      <w:r>
        <w:rPr>
          <w:rFonts w:hint="eastAsia" w:ascii="Times New Roman" w:hAnsi="Times New Roman" w:eastAsia="楷体_GB2312" w:cs="楷体_GB2312"/>
          <w:b/>
          <w:color w:val="auto"/>
          <w:sz w:val="32"/>
          <w:szCs w:val="32"/>
          <w:highlight w:val="none"/>
        </w:rPr>
        <w:t>（三）国有资产占有使用情况</w:t>
      </w:r>
      <w:bookmarkEnd w:id="88"/>
    </w:p>
    <w:p w14:paraId="6B97CB5E">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w:t>
      </w:r>
      <w:r>
        <w:rPr>
          <w:rFonts w:ascii="Lucida Sans" w:hAnsi="仿宋_GB2312"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阿坝藏族羌族自治州文化馆</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rPr>
        <w:t>开展群众文化活动，非遗调查等相关活动</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EE252DC">
      <w:pPr>
        <w:pageBreakBefore w:val="0"/>
        <w:kinsoku/>
        <w:wordWrap/>
        <w:overflowPunct/>
        <w:topLinePunct w:val="0"/>
        <w:bidi w:val="0"/>
        <w:spacing w:line="56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05AE009">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常规性、阶段性1</w:t>
      </w:r>
      <w:r>
        <w:rPr>
          <w:rFonts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w:t>
      </w:r>
      <w:r>
        <w:rPr>
          <w:rFonts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64B80FD">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年度一般公共预算全面开展绩效自评，形成</w:t>
      </w:r>
      <w:r>
        <w:rPr>
          <w:rFonts w:hint="eastAsia" w:eastAsia="仿宋_GB2312" w:cs="仿宋_GB2312"/>
          <w:color w:val="auto"/>
          <w:kern w:val="2"/>
          <w:sz w:val="32"/>
          <w:szCs w:val="32"/>
          <w:highlight w:val="none"/>
          <w:lang w:val="en-US" w:eastAsia="zh-CN" w:bidi="ar-SA"/>
        </w:rPr>
        <w:t>《阿坝州文化馆202</w:t>
      </w:r>
      <w:r>
        <w:rPr>
          <w:rFonts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部门预算</w:t>
      </w:r>
      <w:r>
        <w:rPr>
          <w:rFonts w:hint="eastAsia" w:ascii="Times New Roman" w:hAnsi="Times New Roman" w:eastAsia="仿宋_GB2312" w:cs="仿宋_GB2312"/>
          <w:color w:val="auto"/>
          <w:kern w:val="2"/>
          <w:sz w:val="32"/>
          <w:szCs w:val="32"/>
          <w:highlight w:val="none"/>
          <w:lang w:val="en-US" w:eastAsia="zh-CN" w:bidi="ar-SA"/>
        </w:rPr>
        <w:t>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《各项目</w:t>
      </w:r>
      <w:r>
        <w:rPr>
          <w:rFonts w:hint="eastAsia" w:ascii="Times New Roman" w:hAnsi="Times New Roman" w:eastAsia="仿宋_GB2312" w:cs="仿宋_GB2312"/>
          <w:color w:val="auto"/>
          <w:kern w:val="2"/>
          <w:sz w:val="32"/>
          <w:szCs w:val="32"/>
          <w:highlight w:val="none"/>
          <w:lang w:val="en-US" w:eastAsia="zh-CN" w:bidi="ar-SA"/>
        </w:rPr>
        <w:t>专项预算绩效自评报告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阿坝州文化馆</w:t>
      </w:r>
      <w:r>
        <w:rPr>
          <w:rFonts w:hint="eastAsia" w:ascii="Times New Roman" w:hAnsi="Times New Roman" w:eastAsia="仿宋_GB2312" w:cs="仿宋_GB2312"/>
          <w:color w:val="auto"/>
          <w:kern w:val="2"/>
          <w:sz w:val="32"/>
          <w:szCs w:val="32"/>
          <w:highlight w:val="none"/>
          <w:lang w:val="en-US" w:eastAsia="zh-CN" w:bidi="ar-SA"/>
        </w:rPr>
        <w:t>部门整体绩效自评得分为</w:t>
      </w:r>
      <w:r>
        <w:rPr>
          <w:rFonts w:hint="eastAsia" w:eastAsia="仿宋_GB2312" w:cs="仿宋_GB2312"/>
          <w:color w:val="auto"/>
          <w:kern w:val="2"/>
          <w:sz w:val="32"/>
          <w:szCs w:val="32"/>
          <w:highlight w:val="none"/>
          <w:lang w:val="en-US" w:eastAsia="zh-CN" w:bidi="ar-SA"/>
        </w:rPr>
        <w:t>90</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合格</w:t>
      </w:r>
      <w:r>
        <w:rPr>
          <w:rFonts w:hint="eastAsia" w:ascii="Times New Roman" w:hAnsi="Times New Roman" w:eastAsia="仿宋_GB2312" w:cs="仿宋_GB2312"/>
          <w:color w:val="auto"/>
          <w:kern w:val="2"/>
          <w:sz w:val="32"/>
          <w:szCs w:val="32"/>
          <w:highlight w:val="none"/>
          <w:lang w:val="en-US" w:eastAsia="zh-CN" w:bidi="ar-SA"/>
        </w:rPr>
        <w:t>；绩效自评报告详见附件。（注：如不涉及，可根据实际修改表述。）</w:t>
      </w:r>
    </w:p>
    <w:p w14:paraId="45E22BC3">
      <w:pPr>
        <w:pageBreakBefore w:val="0"/>
        <w:kinsoku/>
        <w:wordWrap/>
        <w:overflowPunct/>
        <w:topLinePunct w:val="0"/>
        <w:bidi w:val="0"/>
        <w:spacing w:line="560" w:lineRule="exact"/>
        <w:ind w:firstLine="880" w:firstLineChars="200"/>
        <w:jc w:val="center"/>
        <w:outlineLvl w:val="0"/>
        <w:rPr>
          <w:rFonts w:hint="eastAsia" w:ascii="Times New Roman" w:hAnsi="Times New Roman" w:eastAsia="黑体"/>
          <w:color w:val="auto"/>
          <w:sz w:val="44"/>
          <w:szCs w:val="44"/>
          <w:highlight w:val="none"/>
        </w:rPr>
      </w:pPr>
      <w:bookmarkStart w:id="89" w:name="_Toc15396613"/>
      <w:bookmarkStart w:id="90" w:name="_Toc15377225"/>
      <w:bookmarkStart w:id="91" w:name="_Toc1915702604"/>
      <w:bookmarkStart w:id="92" w:name="_Toc2047600872"/>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9"/>
      <w:bookmarkEnd w:id="90"/>
      <w:bookmarkEnd w:id="91"/>
      <w:bookmarkEnd w:id="92"/>
    </w:p>
    <w:p w14:paraId="50584348">
      <w:pPr>
        <w:pStyle w:val="29"/>
        <w:pageBreakBefore w:val="0"/>
        <w:kinsoku/>
        <w:wordWrap/>
        <w:overflowPunct/>
        <w:topLinePunct w:val="0"/>
        <w:bidi w:val="0"/>
        <w:spacing w:line="560" w:lineRule="exact"/>
        <w:ind w:firstLine="640" w:firstLineChars="200"/>
        <w:outlineLvl w:val="9"/>
        <w:rPr>
          <w:rFonts w:hint="eastAsia" w:ascii="仿宋_GB2312" w:eastAsia="仿宋_GB2312"/>
          <w:color w:val="auto"/>
          <w:sz w:val="32"/>
          <w:szCs w:val="32"/>
          <w:highlight w:val="none"/>
        </w:rPr>
      </w:pPr>
      <w:bookmarkStart w:id="93" w:name="_Toc27794"/>
      <w:r>
        <w:rPr>
          <w:rFonts w:hint="eastAsia" w:ascii="仿宋_GB2312" w:eastAsia="仿宋_GB2312"/>
          <w:color w:val="auto"/>
          <w:sz w:val="32"/>
          <w:szCs w:val="32"/>
          <w:highlight w:val="none"/>
        </w:rPr>
        <w:t>1.财政拨款收入：指单位从同级财政部门取得的财政预算资金。</w:t>
      </w:r>
      <w:bookmarkEnd w:id="93"/>
    </w:p>
    <w:p w14:paraId="6905874B">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2.事业收入：指事业单位开展专业业务活动及辅助活动取得的收入。如…（二级预算单位事业收入情况）等。</w:t>
      </w:r>
    </w:p>
    <w:p w14:paraId="2879F327">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3.经营收入：指事业单位在专业业务活动及其辅助活动之外开展非独立核算经营活动取得的收入。如…（二级预算单位经营收入情况）等。</w:t>
      </w:r>
    </w:p>
    <w:p w14:paraId="4071E5DB">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 xml:space="preserve">4.其他收入：指单位取得的除上述收入以外的各项收入。主要是…（收入类型）等。 </w:t>
      </w:r>
    </w:p>
    <w:p w14:paraId="7C2D3D26">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5.</w:t>
      </w:r>
      <w:r>
        <w:rPr>
          <w:rFonts w:hint="eastAsia" w:ascii="仿宋_GB2312"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hint="eastAsia" w:ascii="仿宋_GB2312" w:eastAsia="仿宋_GB2312"/>
          <w:color w:val="auto"/>
          <w:sz w:val="32"/>
          <w:szCs w:val="32"/>
          <w:highlight w:val="none"/>
        </w:rPr>
        <w:t xml:space="preserve"> </w:t>
      </w:r>
    </w:p>
    <w:p w14:paraId="32611A1F">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 xml:space="preserve">6.年初结转和结余：指以前年度尚未完成、结转到本年按有关规定继续使用的资金。 </w:t>
      </w:r>
    </w:p>
    <w:p w14:paraId="47C3A108">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7.结余分配：指事业单位按照会计制度规定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1F128BC5">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7C70864F">
      <w:pPr>
        <w:pStyle w:val="29"/>
        <w:pageBreakBefore w:val="0"/>
        <w:kinsoku/>
        <w:wordWrap/>
        <w:overflowPunct/>
        <w:topLinePunct w:val="0"/>
        <w:bidi w:val="0"/>
        <w:spacing w:line="560" w:lineRule="exact"/>
        <w:ind w:firstLine="640" w:firstLineChars="200"/>
        <w:rPr>
          <w:rFonts w:ascii="仿宋_GB2312" w:eastAsia="仿宋_GB2312"/>
          <w:color w:val="auto"/>
          <w:sz w:val="32"/>
          <w:szCs w:val="32"/>
          <w:highlight w:val="none"/>
          <w:lang w:val="en-US"/>
        </w:rPr>
      </w:pPr>
      <w:r>
        <w:rPr>
          <w:rFonts w:hint="eastAsia" w:ascii="仿宋_GB2312" w:eastAsia="仿宋_GB2312"/>
          <w:color w:val="auto"/>
          <w:sz w:val="32"/>
          <w:szCs w:val="32"/>
          <w:highlight w:val="none"/>
          <w:lang w:val="en-US" w:eastAsia="zh-CN"/>
        </w:rPr>
        <w:t>9.文化旅游体育与传媒支出（207）文化和旅游（01）文化活动（08）:反映举办大型文化艺术活动的支出。</w:t>
      </w:r>
    </w:p>
    <w:p w14:paraId="4444368C">
      <w:pPr>
        <w:pStyle w:val="29"/>
        <w:pageBreakBefore w:val="0"/>
        <w:kinsoku/>
        <w:wordWrap/>
        <w:overflowPunct/>
        <w:topLinePunct w:val="0"/>
        <w:bidi w:val="0"/>
        <w:spacing w:line="560" w:lineRule="exact"/>
        <w:ind w:firstLine="640" w:firstLineChars="200"/>
        <w:rPr>
          <w:rFonts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10.文化旅游体育与传媒支出（207）文化和旅游（01）群众文化（09）:反映群众文化方面的支出，包括基层文化馆（站）、群众艺术馆支出等。</w:t>
      </w:r>
    </w:p>
    <w:p w14:paraId="50EEEB74">
      <w:pPr>
        <w:pStyle w:val="29"/>
        <w:pageBreakBefore w:val="0"/>
        <w:kinsoku/>
        <w:wordWrap/>
        <w:overflowPunct/>
        <w:topLinePunct w:val="0"/>
        <w:bidi w:val="0"/>
        <w:spacing w:line="560" w:lineRule="exact"/>
        <w:ind w:firstLine="640" w:firstLineChars="200"/>
        <w:rPr>
          <w:rFonts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11.文化旅游体育与传媒支出（207）文化和旅游（01）其他文化和旅游支出（99）:反映除上述项目以外其他用于文化和旅游方面的支出。</w:t>
      </w:r>
    </w:p>
    <w:p w14:paraId="7BD1E498">
      <w:pPr>
        <w:pStyle w:val="29"/>
        <w:pageBreakBefore w:val="0"/>
        <w:kinsoku/>
        <w:wordWrap/>
        <w:overflowPunct/>
        <w:topLinePunct w:val="0"/>
        <w:bidi w:val="0"/>
        <w:spacing w:line="560" w:lineRule="exact"/>
        <w:ind w:firstLine="640" w:firstLineChars="200"/>
        <w:rPr>
          <w:rFonts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12.文化旅游体育与传媒支出（207）其他文化旅游体育与传媒支出（99）其他文化旅游体育与传媒支出（99）:反映除上述项目以外其他用于文化旅游体育与传媒方面的支出。</w:t>
      </w:r>
    </w:p>
    <w:p w14:paraId="426353F9">
      <w:pPr>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）行政事业单位养老支出（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）机关事业单位基本养老保险缴费支出（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）：指反映机关事业单位实施养老保险制度由单位缴纳的基本养老保险费支出。</w:t>
      </w:r>
    </w:p>
    <w:p w14:paraId="248A0B0E">
      <w:pPr>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）行政事业单位养老支出（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）机关事业单位职业年金缴费支出（</w:t>
      </w:r>
      <w:r>
        <w:rPr>
          <w:rFonts w:hint="eastAsia" w:ascii="仿宋_GB2312" w:eastAsia="仿宋_GB2312"/>
          <w:color w:val="auto"/>
          <w:sz w:val="32"/>
          <w:szCs w:val="32"/>
          <w:highlight w:val="none"/>
          <w:lang w:val="en-US" w:eastAsia="zh-CN"/>
        </w:rPr>
        <w:t>06</w:t>
      </w:r>
      <w:r>
        <w:rPr>
          <w:rFonts w:hint="eastAsia" w:ascii="仿宋_GB2312" w:eastAsia="仿宋_GB2312"/>
          <w:color w:val="auto"/>
          <w:sz w:val="32"/>
          <w:szCs w:val="32"/>
          <w:highlight w:val="none"/>
        </w:rPr>
        <w:t>）：指反映机关事业单位实施养老保险制度由单位实际缴纳的职业年金支出</w:t>
      </w:r>
    </w:p>
    <w:p w14:paraId="5113F4B4">
      <w:pPr>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15.卫生健康支出（210）行政事业单位医疗（11）事业单位医疗（02）:反映财政部门安排的事业单位基本医疗保险缴费经费，未参加医疗保险的事业单位的公费医疗经费，按国家规定享受离休人员待遇的医疗经费。</w:t>
      </w:r>
    </w:p>
    <w:p w14:paraId="0B11DDFB">
      <w:pPr>
        <w:pStyle w:val="24"/>
        <w:pageBreakBefore w:val="0"/>
        <w:kinsoku/>
        <w:wordWrap/>
        <w:overflowPunct/>
        <w:topLinePunct w:val="0"/>
        <w:bidi w:val="0"/>
        <w:spacing w:line="560" w:lineRule="exact"/>
        <w:ind w:firstLine="640" w:firstLineChars="200"/>
        <w:rPr>
          <w:lang w:val="en-US" w:eastAsia="zh-CN"/>
        </w:rPr>
      </w:pPr>
      <w:r>
        <w:rPr>
          <w:rFonts w:hint="eastAsia" w:ascii="仿宋_GB2312" w:eastAsia="仿宋_GB2312"/>
          <w:color w:val="auto"/>
          <w:sz w:val="32"/>
          <w:szCs w:val="32"/>
          <w:highlight w:val="none"/>
          <w:lang w:val="en-US" w:eastAsia="zh-CN"/>
        </w:rPr>
        <w:t>16.卫生健康支出（210）行政事业单位医疗（11）其他行政事业单位医疗支出（99）:反映除上述项目以外的其他用于行政事业单位医疗方面的支出。</w:t>
      </w:r>
    </w:p>
    <w:p w14:paraId="1D046366">
      <w:pPr>
        <w:pageBreakBefore w:val="0"/>
        <w:kinsoku/>
        <w:wordWrap/>
        <w:overflowPunct/>
        <w:topLinePunct w:val="0"/>
        <w:bidi w:val="0"/>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17</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w:t>
      </w:r>
      <w:r>
        <w:rPr>
          <w:rFonts w:hint="eastAsia" w:ascii="仿宋_GB2312" w:eastAsia="仿宋_GB2312"/>
          <w:color w:val="auto"/>
          <w:sz w:val="32"/>
          <w:szCs w:val="32"/>
          <w:highlight w:val="none"/>
          <w:lang w:val="en-US" w:eastAsia="zh-CN"/>
        </w:rPr>
        <w:t>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）住房改革支出（</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）住房公积金（</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）：指反映行政事业单位按人力资源和社会保障部、财政部规定的基本工资和津贴补贴以及规定比例为职工缴纳的住房公积金。</w:t>
      </w:r>
    </w:p>
    <w:p w14:paraId="3E48BE09">
      <w:pPr>
        <w:pageBreakBefore w:val="0"/>
        <w:kinsoku/>
        <w:wordWrap/>
        <w:overflowPunct/>
        <w:topLinePunct w:val="0"/>
        <w:bidi w:val="0"/>
        <w:spacing w:line="56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73865230">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03EA669E">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1B6964C1">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5DE80CC5">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67A44B6">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4BDDAF">
      <w:pPr>
        <w:pageBreakBefore w:val="0"/>
        <w:kinsoku/>
        <w:wordWrap/>
        <w:overflowPunct/>
        <w:topLinePunct w:val="0"/>
        <w:bidi w:val="0"/>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2E7D8CF3">
      <w:pPr>
        <w:pageBreakBefore w:val="0"/>
        <w:kinsoku/>
        <w:wordWrap/>
        <w:overflowPunct/>
        <w:topLinePunct w:val="0"/>
        <w:bidi w:val="0"/>
        <w:spacing w:line="56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70DBB39">
      <w:pPr>
        <w:pageBreakBefore w:val="0"/>
        <w:kinsoku/>
        <w:wordWrap/>
        <w:overflowPunct/>
        <w:topLinePunct w:val="0"/>
        <w:bidi w:val="0"/>
        <w:spacing w:line="560" w:lineRule="exact"/>
        <w:ind w:firstLine="640" w:firstLineChars="200"/>
        <w:jc w:val="center"/>
        <w:rPr>
          <w:rStyle w:val="22"/>
          <w:rFonts w:hint="eastAsia" w:ascii="Times New Roman" w:hAnsi="Times New Roman" w:eastAsia="黑体"/>
          <w:b w:val="0"/>
          <w:color w:val="auto"/>
          <w:sz w:val="32"/>
          <w:szCs w:val="32"/>
          <w:highlight w:val="none"/>
          <w:lang w:eastAsia="zh-CN"/>
        </w:rPr>
      </w:pPr>
      <w:bookmarkStart w:id="9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95" w:name="_Toc15396614"/>
      <w:r>
        <w:rPr>
          <w:rFonts w:hint="eastAsia" w:ascii="Times New Roman" w:hAnsi="Times New Roman" w:eastAsia="黑体"/>
          <w:color w:val="auto"/>
          <w:sz w:val="32"/>
          <w:szCs w:val="32"/>
          <w:highlight w:val="none"/>
        </w:rPr>
        <w:t>第四部分</w:t>
      </w:r>
      <w:r>
        <w:rPr>
          <w:rFonts w:hint="eastAsia" w:ascii="Times New Roman" w:hAnsi="Times New Roman" w:eastAsia="黑体"/>
          <w:color w:val="auto"/>
          <w:sz w:val="32"/>
          <w:szCs w:val="32"/>
          <w:highlight w:val="none"/>
          <w:lang w:val="en-US" w:eastAsia="zh-CN"/>
        </w:rPr>
        <w:t xml:space="preserve"> </w:t>
      </w:r>
      <w:r>
        <w:rPr>
          <w:rFonts w:hint="eastAsia" w:ascii="Times New Roman" w:hAnsi="Times New Roman" w:eastAsia="黑体"/>
          <w:color w:val="auto"/>
          <w:sz w:val="32"/>
          <w:szCs w:val="32"/>
          <w:highlight w:val="none"/>
        </w:rPr>
        <w:t xml:space="preserve"> 附件</w:t>
      </w:r>
      <w:bookmarkEnd w:id="95"/>
    </w:p>
    <w:p w14:paraId="2C31B912">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outlineLvl w:val="0"/>
        <w:rPr>
          <w:rFonts w:ascii="Times New Roman" w:hAnsi="Times New Roman" w:eastAsia="黑体" w:cs="方正小标宋简体"/>
          <w:color w:val="auto"/>
          <w:sz w:val="32"/>
          <w:szCs w:val="32"/>
          <w:highlight w:val="none"/>
          <w:lang w:val="en-US" w:eastAsia="zh-CN"/>
        </w:rPr>
      </w:pPr>
      <w:bookmarkStart w:id="96" w:name="_Toc1734697781"/>
      <w:bookmarkStart w:id="97" w:name="_Toc2001166997"/>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96"/>
      <w:bookmarkEnd w:id="97"/>
    </w:p>
    <w:p w14:paraId="682E28C2">
      <w:pPr>
        <w:keepNext w:val="0"/>
        <w:keepLines w:val="0"/>
        <w:pageBreakBefore w:val="0"/>
        <w:widowControl/>
        <w:kinsoku/>
        <w:wordWrap/>
        <w:overflowPunct/>
        <w:topLinePunct w:val="0"/>
        <w:autoSpaceDE/>
        <w:autoSpaceDN/>
        <w:bidi w:val="0"/>
        <w:spacing w:line="560" w:lineRule="exact"/>
        <w:ind w:firstLine="640" w:firstLineChars="200"/>
        <w:contextualSpacing/>
        <w:jc w:val="center"/>
        <w:textAlignment w:val="auto"/>
        <w:outlineLvl w:val="9"/>
        <w:rPr>
          <w:rFonts w:hint="eastAsia" w:eastAsia="方正小标宋简体" w:cs="Times New Roman"/>
          <w:b w:val="0"/>
          <w:bCs/>
          <w:sz w:val="32"/>
          <w:szCs w:val="32"/>
          <w:highlight w:val="none"/>
          <w:shd w:val="clear" w:color="auto" w:fill="FFFFFF"/>
          <w:lang w:eastAsia="zh-CN"/>
        </w:rPr>
      </w:pPr>
      <w:r>
        <w:rPr>
          <w:rFonts w:hint="eastAsia" w:eastAsia="方正小标宋简体" w:cs="Times New Roman"/>
          <w:b w:val="0"/>
          <w:bCs/>
          <w:sz w:val="32"/>
          <w:szCs w:val="32"/>
          <w:highlight w:val="none"/>
          <w:shd w:val="clear" w:color="auto" w:fill="FFFFFF"/>
          <w:lang w:eastAsia="zh-CN"/>
        </w:rPr>
        <w:t>阿坝州文化馆</w:t>
      </w:r>
    </w:p>
    <w:p w14:paraId="5292B2E4">
      <w:pPr>
        <w:keepNext w:val="0"/>
        <w:keepLines w:val="0"/>
        <w:pageBreakBefore w:val="0"/>
        <w:widowControl/>
        <w:kinsoku/>
        <w:wordWrap/>
        <w:overflowPunct/>
        <w:topLinePunct w:val="0"/>
        <w:autoSpaceDE/>
        <w:autoSpaceDN/>
        <w:bidi w:val="0"/>
        <w:spacing w:line="560" w:lineRule="exact"/>
        <w:ind w:firstLine="640" w:firstLineChars="200"/>
        <w:contextualSpacing/>
        <w:jc w:val="center"/>
        <w:textAlignment w:val="auto"/>
        <w:outlineLvl w:val="9"/>
        <w:rPr>
          <w:rFonts w:ascii="Times New Roman" w:hAnsi="Times New Roman" w:eastAsia="方正小标宋简体" w:cs="Times New Roman"/>
          <w:b w:val="0"/>
          <w:bCs/>
          <w:sz w:val="32"/>
          <w:szCs w:val="32"/>
          <w:highlight w:val="none"/>
          <w:shd w:val="clear" w:color="auto" w:fill="FFFFFF"/>
        </w:rPr>
      </w:pPr>
      <w:r>
        <w:rPr>
          <w:rFonts w:hint="eastAsia" w:eastAsia="方正小标宋简体" w:cs="Times New Roman"/>
          <w:b w:val="0"/>
          <w:bCs/>
          <w:sz w:val="32"/>
          <w:szCs w:val="32"/>
          <w:highlight w:val="none"/>
          <w:shd w:val="clear" w:color="auto" w:fill="FFFFFF"/>
          <w:lang w:val="en-US" w:eastAsia="zh-CN"/>
        </w:rPr>
        <w:t>2025年</w:t>
      </w:r>
      <w:r>
        <w:rPr>
          <w:rFonts w:ascii="Times New Roman" w:hAnsi="Times New Roman" w:eastAsia="方正小标宋简体" w:cs="Times New Roman"/>
          <w:b w:val="0"/>
          <w:bCs/>
          <w:sz w:val="32"/>
          <w:szCs w:val="32"/>
          <w:highlight w:val="none"/>
          <w:shd w:val="clear" w:color="auto" w:fill="FFFFFF"/>
        </w:rPr>
        <w:t>部门</w:t>
      </w:r>
      <w:r>
        <w:rPr>
          <w:rFonts w:ascii="Times New Roman" w:hAnsi="Times New Roman" w:eastAsia="方正小标宋简体" w:cs="Times New Roman"/>
          <w:b w:val="0"/>
          <w:bCs/>
          <w:sz w:val="32"/>
          <w:szCs w:val="32"/>
          <w:highlight w:val="none"/>
          <w:shd w:val="clear" w:color="auto" w:fill="FFFFFF"/>
          <w:lang w:eastAsia="zh-CN"/>
        </w:rPr>
        <w:t>预算</w:t>
      </w:r>
      <w:r>
        <w:rPr>
          <w:rFonts w:ascii="Times New Roman" w:hAnsi="Times New Roman" w:eastAsia="方正小标宋简体" w:cs="Times New Roman"/>
          <w:b w:val="0"/>
          <w:bCs/>
          <w:sz w:val="32"/>
          <w:szCs w:val="32"/>
          <w:highlight w:val="none"/>
          <w:shd w:val="clear" w:color="auto" w:fill="FFFFFF"/>
        </w:rPr>
        <w:t>绩效</w:t>
      </w:r>
      <w:r>
        <w:rPr>
          <w:rFonts w:hint="eastAsia" w:eastAsia="方正小标宋简体" w:cs="Times New Roman"/>
          <w:b w:val="0"/>
          <w:bCs/>
          <w:sz w:val="32"/>
          <w:szCs w:val="32"/>
          <w:highlight w:val="none"/>
          <w:shd w:val="clear" w:color="auto" w:fill="FFFFFF"/>
          <w:lang w:eastAsia="zh-CN"/>
        </w:rPr>
        <w:t>自评</w:t>
      </w:r>
      <w:r>
        <w:rPr>
          <w:rFonts w:ascii="Times New Roman" w:hAnsi="Times New Roman" w:eastAsia="方正小标宋简体" w:cs="Times New Roman"/>
          <w:b w:val="0"/>
          <w:bCs/>
          <w:sz w:val="32"/>
          <w:szCs w:val="32"/>
          <w:highlight w:val="none"/>
          <w:shd w:val="clear" w:color="auto" w:fill="FFFFFF"/>
        </w:rPr>
        <w:t>报告</w:t>
      </w:r>
    </w:p>
    <w:p w14:paraId="6FD224AD">
      <w:pPr>
        <w:keepNext w:val="0"/>
        <w:keepLines w:val="0"/>
        <w:pageBreakBefore w:val="0"/>
        <w:widowControl/>
        <w:kinsoku/>
        <w:wordWrap/>
        <w:overflowPunct/>
        <w:topLinePunct w:val="0"/>
        <w:autoSpaceDE/>
        <w:autoSpaceDN/>
        <w:bidi w:val="0"/>
        <w:spacing w:line="560" w:lineRule="exact"/>
        <w:ind w:firstLine="640" w:firstLineChars="200"/>
        <w:contextualSpacing/>
        <w:jc w:val="center"/>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cs="Times New Roman"/>
          <w:sz w:val="32"/>
          <w:szCs w:val="32"/>
          <w:highlight w:val="none"/>
          <w:shd w:val="clear" w:color="auto" w:fill="FFFFFF"/>
        </w:rPr>
        <w:t>（报告范围包括机关和下属单位）</w:t>
      </w:r>
    </w:p>
    <w:p w14:paraId="5FCF6219">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sz w:val="32"/>
          <w:szCs w:val="32"/>
        </w:rPr>
      </w:pPr>
      <w:r>
        <w:rPr>
          <w:rFonts w:ascii="Times New Roman" w:hAnsi="Times New Roman" w:eastAsia="黑体" w:cs="Times New Roman"/>
          <w:color w:val="000000"/>
          <w:kern w:val="0"/>
          <w:sz w:val="32"/>
          <w:szCs w:val="32"/>
          <w:highlight w:val="none"/>
          <w:shd w:val="clear" w:color="auto" w:fill="FFFFFF"/>
          <w:lang w:val="zh-CN"/>
        </w:rPr>
        <w:t>一、部门（单位）基本情况</w:t>
      </w:r>
    </w:p>
    <w:p w14:paraId="1CBBA561">
      <w:pPr>
        <w:keepNext w:val="0"/>
        <w:keepLines w:val="0"/>
        <w:pageBreakBefore w:val="0"/>
        <w:widowControl/>
        <w:kinsoku/>
        <w:wordWrap/>
        <w:overflowPunct/>
        <w:topLinePunct w:val="0"/>
        <w:autoSpaceDE/>
        <w:autoSpaceDN/>
        <w:bidi w:val="0"/>
        <w:adjustRightInd w:val="0"/>
        <w:snapToGrid w:val="0"/>
        <w:spacing w:line="560" w:lineRule="exact"/>
        <w:ind w:left="0" w:firstLine="643" w:firstLineChars="200"/>
        <w:contextualSpacing/>
        <w:jc w:val="left"/>
        <w:textAlignment w:val="auto"/>
        <w:outlineLvl w:val="9"/>
        <w:rPr>
          <w:rFonts w:ascii="Times New Roman" w:hAnsi="Times New Roman" w:cs="Times New Roman"/>
          <w:sz w:val="32"/>
          <w:szCs w:val="32"/>
        </w:rPr>
      </w:pPr>
      <w:r>
        <w:rPr>
          <w:rFonts w:hint="eastAsia" w:ascii="仿宋_GB2312" w:hAnsi="仿宋_GB2312" w:eastAsia="仿宋_GB2312" w:cs="仿宋_GB2312"/>
          <w:b/>
          <w:bCs/>
          <w:color w:val="000000"/>
          <w:kern w:val="0"/>
          <w:sz w:val="32"/>
          <w:szCs w:val="32"/>
          <w:highlight w:val="none"/>
          <w:shd w:val="clear" w:color="auto" w:fill="FFFFFF"/>
          <w:lang w:val="zh-CN"/>
        </w:rPr>
        <w:t>（一）机构组成。</w:t>
      </w:r>
      <w:r>
        <w:rPr>
          <w:rFonts w:hint="eastAsia" w:ascii="仿宋" w:hAnsi="仿宋" w:eastAsia="仿宋" w:cs="仿宋"/>
          <w:sz w:val="32"/>
          <w:szCs w:val="32"/>
        </w:rPr>
        <w:t>阿坝州文化馆属一级预算单位，隶属于阿坝州文</w:t>
      </w:r>
      <w:r>
        <w:rPr>
          <w:rFonts w:hint="eastAsia" w:ascii="仿宋" w:hAnsi="仿宋" w:eastAsia="仿宋" w:cs="仿宋"/>
          <w:sz w:val="32"/>
          <w:szCs w:val="32"/>
          <w:lang w:eastAsia="zh-CN"/>
        </w:rPr>
        <w:t>广</w:t>
      </w:r>
      <w:r>
        <w:rPr>
          <w:rFonts w:hint="eastAsia" w:ascii="仿宋" w:hAnsi="仿宋" w:eastAsia="仿宋" w:cs="仿宋"/>
          <w:sz w:val="32"/>
          <w:szCs w:val="32"/>
        </w:rPr>
        <w:t>体旅局下属事业单位。</w:t>
      </w:r>
      <w:r>
        <w:rPr>
          <w:rFonts w:hint="eastAsia" w:ascii="仿宋" w:hAnsi="仿宋" w:eastAsia="仿宋" w:cs="仿宋"/>
          <w:sz w:val="32"/>
          <w:szCs w:val="32"/>
          <w:lang w:val="en-US" w:eastAsia="zh-CN"/>
        </w:rPr>
        <w:t>阿坝州文化馆</w:t>
      </w:r>
      <w:r>
        <w:rPr>
          <w:rFonts w:hint="eastAsia" w:ascii="仿宋" w:hAnsi="仿宋" w:eastAsia="仿宋" w:cs="仿宋"/>
          <w:sz w:val="32"/>
          <w:szCs w:val="32"/>
          <w:lang w:eastAsia="zh-CN"/>
        </w:rPr>
        <w:t>内设</w:t>
      </w:r>
      <w:r>
        <w:rPr>
          <w:rFonts w:hint="eastAsia" w:ascii="仿宋" w:hAnsi="仿宋" w:eastAsia="仿宋" w:cs="仿宋"/>
          <w:sz w:val="32"/>
          <w:szCs w:val="32"/>
        </w:rPr>
        <w:t>处室</w:t>
      </w:r>
      <w:r>
        <w:rPr>
          <w:rFonts w:hint="eastAsia" w:ascii="仿宋" w:hAnsi="仿宋" w:eastAsia="仿宋" w:cs="仿宋"/>
          <w:sz w:val="32"/>
          <w:szCs w:val="32"/>
          <w:lang w:eastAsia="zh-CN"/>
        </w:rPr>
        <w:t>及下属单位情况</w:t>
      </w:r>
      <w:r>
        <w:rPr>
          <w:rFonts w:hint="eastAsia" w:ascii="仿宋" w:hAnsi="仿宋" w:eastAsia="仿宋" w:cs="仿宋"/>
          <w:sz w:val="32"/>
          <w:szCs w:val="32"/>
        </w:rPr>
        <w:t>。阿坝州文化馆属一级预算单位，隶属于阿坝州文</w:t>
      </w:r>
      <w:r>
        <w:rPr>
          <w:rFonts w:hint="eastAsia" w:ascii="仿宋" w:hAnsi="仿宋" w:eastAsia="仿宋" w:cs="仿宋"/>
          <w:sz w:val="32"/>
          <w:szCs w:val="32"/>
          <w:lang w:eastAsia="zh-CN"/>
        </w:rPr>
        <w:t>广</w:t>
      </w:r>
      <w:r>
        <w:rPr>
          <w:rFonts w:hint="eastAsia" w:ascii="仿宋" w:hAnsi="仿宋" w:eastAsia="仿宋" w:cs="仿宋"/>
          <w:sz w:val="32"/>
          <w:szCs w:val="32"/>
        </w:rPr>
        <w:t>体旅局下属事业单位。</w:t>
      </w:r>
      <w:r>
        <w:rPr>
          <w:rFonts w:hint="eastAsia" w:ascii="仿宋" w:hAnsi="仿宋" w:eastAsia="仿宋" w:cs="仿宋"/>
          <w:sz w:val="32"/>
          <w:szCs w:val="32"/>
          <w:lang w:eastAsia="zh-CN"/>
        </w:rPr>
        <w:t>内设办公室、财务室、传承保护与产业发展部、创作研究与信息数据室、美术书法摄影与展览交流部、音乐戏剧舞蹈室、党建室</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辅导培训部、评估定价筹备室</w:t>
      </w:r>
      <w:r>
        <w:rPr>
          <w:rFonts w:hint="eastAsia" w:ascii="仿宋" w:hAnsi="仿宋" w:eastAsia="仿宋" w:cs="仿宋"/>
          <w:sz w:val="32"/>
          <w:szCs w:val="32"/>
          <w:lang w:val="en-US" w:eastAsia="zh-CN"/>
        </w:rPr>
        <w:t>8个科室。</w:t>
      </w:r>
    </w:p>
    <w:p w14:paraId="664CE1EB">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 w:hAnsi="仿宋" w:eastAsia="仿宋" w:cs="仿宋"/>
          <w:bCs/>
          <w:sz w:val="32"/>
          <w:szCs w:val="32"/>
          <w:highlight w:val="none"/>
          <w:lang w:val="zh-CN"/>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ascii="仿宋" w:hAnsi="仿宋" w:eastAsia="仿宋" w:cs="仿宋"/>
          <w:sz w:val="32"/>
          <w:szCs w:val="32"/>
          <w:lang w:eastAsia="zh-CN"/>
        </w:rPr>
        <w:t>阿坝州文化馆（美术馆、非遗中心）</w:t>
      </w:r>
      <w:r>
        <w:rPr>
          <w:rFonts w:hint="eastAsia" w:ascii="仿宋" w:hAnsi="仿宋" w:eastAsia="仿宋" w:cs="仿宋"/>
          <w:sz w:val="32"/>
          <w:szCs w:val="32"/>
        </w:rPr>
        <w:t>承担综合性文化服务中心职能,对下一级文化馆站(室) 、社会文艺团体进行业务指导和辅导,策划、组织群众文化活动,举办群众性文艺比赛、文艺演出和全国、省级的群文系列调演和各类艺术作品展览,开展艺术培训和社会教育;参与草拟全州非物质文化遗产保护规划和政策并组织实施,指导实施优秀民族文化遗产传承、开发和普及工作,负责组织和参加非物质文化遗产展览、展演、展示、推介等公益活动及其相关知识宣传普及活动,开展非物质文化遗产生产性保护工作,开发利用优秀的非物质文化遗产资源;调查研究、收集整理、抢救保护民族民间优秀文化,组织、辅导文艺创作,编辑出版各类民族民间文化艺术书刊,负责《阿坝文化》刊物出版交流工作;负责文化产业相关政策的宣传、咨询及文化产业人才培训,负责组织协调文化产业项目的调研策划和组织实施工作,负责文化产业方面的宣传推介和招商引资工作,负责文化产业资源的调查及文化产业项目的申报和跟踪服务工作,建立文化产业信息库,打造地域特色文化。</w:t>
      </w:r>
    </w:p>
    <w:p w14:paraId="059BF84E">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eastAsia" w:ascii="方正仿宋_GBK" w:eastAsia="方正仿宋_GBK" w:cs="方正仿宋_GBK"/>
          <w:b/>
          <w:bCs/>
          <w:color w:val="000000"/>
          <w:kern w:val="0"/>
          <w:sz w:val="32"/>
          <w:szCs w:val="32"/>
          <w:shd w:val="clear" w:color="auto" w:fill="FFFFFF"/>
          <w:lang w:val="zh-CN"/>
        </w:rPr>
      </w:pPr>
      <w:r>
        <w:rPr>
          <w:rFonts w:hint="eastAsia" w:ascii="方正仿宋_GBK" w:hAnsi="Times New Roman" w:eastAsia="方正仿宋_GBK" w:cs="方正仿宋_GBK"/>
          <w:b/>
          <w:bCs/>
          <w:color w:val="000000"/>
          <w:kern w:val="0"/>
          <w:sz w:val="32"/>
          <w:szCs w:val="32"/>
          <w:highlight w:val="none"/>
          <w:shd w:val="clear" w:color="auto" w:fill="FFFFFF"/>
          <w:lang w:val="zh-CN"/>
        </w:rPr>
        <w:t>（三）人员概况。</w:t>
      </w:r>
      <w:r>
        <w:rPr>
          <w:rFonts w:hint="eastAsia" w:ascii="方正仿宋_GBK" w:hAnsi="Times New Roman" w:eastAsia="方正仿宋_GBK" w:cs="方正仿宋_GBK"/>
          <w:sz w:val="32"/>
          <w:szCs w:val="32"/>
        </w:rPr>
        <w:t>截至202</w:t>
      </w:r>
      <w:r>
        <w:rPr>
          <w:rFonts w:hint="eastAsia" w:ascii="方正仿宋_GBK" w:eastAsia="方正仿宋_GBK" w:cs="方正仿宋_GBK"/>
          <w:sz w:val="32"/>
          <w:szCs w:val="32"/>
          <w:lang w:val="en-US" w:eastAsia="zh-CN"/>
        </w:rPr>
        <w:t>5</w:t>
      </w:r>
      <w:r>
        <w:rPr>
          <w:rFonts w:hint="eastAsia" w:ascii="方正仿宋_GBK" w:hAnsi="Times New Roman" w:eastAsia="方正仿宋_GBK" w:cs="方正仿宋_GBK"/>
          <w:sz w:val="32"/>
          <w:szCs w:val="32"/>
        </w:rPr>
        <w:t>年末</w:t>
      </w:r>
      <w:r>
        <w:rPr>
          <w:rFonts w:hint="eastAsia" w:ascii="方正仿宋_GBK" w:eastAsia="方正仿宋_GBK" w:cs="方正仿宋_GBK"/>
          <w:bCs/>
          <w:color w:val="000000"/>
          <w:sz w:val="32"/>
          <w:szCs w:val="32"/>
          <w:lang w:eastAsia="zh-CN"/>
        </w:rPr>
        <w:t>，阿坝州文化馆事业编制数</w:t>
      </w:r>
      <w:r>
        <w:rPr>
          <w:rFonts w:hint="eastAsia" w:ascii="方正仿宋_GBK" w:eastAsia="方正仿宋_GBK" w:cs="方正仿宋_GBK"/>
          <w:bCs/>
          <w:color w:val="000000"/>
          <w:sz w:val="32"/>
          <w:szCs w:val="32"/>
          <w:lang w:val="en-US" w:eastAsia="zh-CN"/>
        </w:rPr>
        <w:t>34人，年初</w:t>
      </w:r>
      <w:r>
        <w:rPr>
          <w:rFonts w:hint="eastAsia" w:ascii="方正仿宋_GBK" w:eastAsia="方正仿宋_GBK" w:cs="方正仿宋_GBK"/>
          <w:bCs/>
          <w:color w:val="000000"/>
          <w:sz w:val="32"/>
          <w:szCs w:val="32"/>
        </w:rPr>
        <w:t>实有</w:t>
      </w:r>
      <w:r>
        <w:rPr>
          <w:rFonts w:hint="eastAsia" w:ascii="方正仿宋_GBK" w:eastAsia="方正仿宋_GBK" w:cs="方正仿宋_GBK"/>
          <w:bCs/>
          <w:color w:val="000000"/>
          <w:sz w:val="32"/>
          <w:szCs w:val="32"/>
          <w:lang w:eastAsia="zh-CN"/>
        </w:rPr>
        <w:t>人数</w:t>
      </w:r>
      <w:r>
        <w:rPr>
          <w:rFonts w:hint="eastAsia" w:ascii="方正仿宋_GBK" w:eastAsia="方正仿宋_GBK" w:cs="方正仿宋_GBK"/>
          <w:bCs/>
          <w:color w:val="000000"/>
          <w:sz w:val="32"/>
          <w:szCs w:val="32"/>
          <w:lang w:val="en-US" w:eastAsia="zh-CN"/>
        </w:rPr>
        <w:t>30</w:t>
      </w:r>
      <w:r>
        <w:rPr>
          <w:rFonts w:hint="eastAsia" w:ascii="方正仿宋_GBK" w:eastAsia="方正仿宋_GBK" w:cs="方正仿宋_GBK"/>
          <w:bCs/>
          <w:color w:val="000000"/>
          <w:sz w:val="32"/>
          <w:szCs w:val="32"/>
        </w:rPr>
        <w:t>人，</w:t>
      </w:r>
      <w:r>
        <w:rPr>
          <w:rFonts w:hint="eastAsia" w:ascii="方正仿宋_GBK" w:eastAsia="方正仿宋_GBK" w:cs="方正仿宋_GBK"/>
          <w:bCs/>
          <w:color w:val="000000"/>
          <w:sz w:val="32"/>
          <w:szCs w:val="32"/>
          <w:lang w:eastAsia="zh-CN"/>
        </w:rPr>
        <w:t>年末实有人数</w:t>
      </w:r>
      <w:r>
        <w:rPr>
          <w:rFonts w:hint="eastAsia" w:ascii="方正仿宋_GBK" w:eastAsia="方正仿宋_GBK" w:cs="方正仿宋_GBK"/>
          <w:bCs/>
          <w:color w:val="000000"/>
          <w:sz w:val="32"/>
          <w:szCs w:val="32"/>
          <w:lang w:val="en-US" w:eastAsia="zh-CN"/>
        </w:rPr>
        <w:t>30日。</w:t>
      </w:r>
      <w:r>
        <w:rPr>
          <w:rFonts w:hint="eastAsia" w:ascii="方正仿宋_GBK" w:eastAsia="方正仿宋_GBK" w:cs="方正仿宋_GBK"/>
          <w:bCs/>
          <w:color w:val="000000"/>
          <w:sz w:val="32"/>
          <w:szCs w:val="32"/>
        </w:rPr>
        <w:t>其中行政人员</w:t>
      </w:r>
      <w:r>
        <w:rPr>
          <w:rFonts w:hint="eastAsia" w:ascii="方正仿宋_GBK" w:eastAsia="方正仿宋_GBK" w:cs="方正仿宋_GBK"/>
          <w:bCs/>
          <w:color w:val="000000"/>
          <w:sz w:val="32"/>
          <w:szCs w:val="32"/>
          <w:lang w:val="en-US" w:eastAsia="zh-CN"/>
        </w:rPr>
        <w:t>0</w:t>
      </w:r>
      <w:r>
        <w:rPr>
          <w:rFonts w:hint="eastAsia" w:ascii="方正仿宋_GBK" w:eastAsia="方正仿宋_GBK" w:cs="方正仿宋_GBK"/>
          <w:bCs/>
          <w:color w:val="000000"/>
          <w:sz w:val="32"/>
          <w:szCs w:val="32"/>
        </w:rPr>
        <w:t>人。</w:t>
      </w:r>
    </w:p>
    <w:p w14:paraId="61793FC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仿宋_GBK" w:hAnsi="Times New Roman" w:eastAsia="方正仿宋_GBK" w:cs="方正仿宋_GBK"/>
          <w:color w:val="000000"/>
          <w:kern w:val="0"/>
          <w:sz w:val="32"/>
          <w:szCs w:val="32"/>
          <w:highlight w:val="none"/>
          <w:shd w:val="clear" w:color="auto" w:fill="FFFFFF"/>
        </w:rPr>
      </w:pPr>
      <w:r>
        <w:rPr>
          <w:rFonts w:hint="eastAsia" w:ascii="方正仿宋_GBK" w:hAnsi="Times New Roman" w:eastAsia="方正仿宋_GBK" w:cs="方正仿宋_GBK"/>
          <w:color w:val="000000"/>
          <w:kern w:val="0"/>
          <w:sz w:val="32"/>
          <w:szCs w:val="32"/>
          <w:highlight w:val="none"/>
          <w:shd w:val="clear" w:color="auto" w:fill="FFFFFF"/>
        </w:rPr>
        <w:t>二、</w:t>
      </w:r>
      <w:r>
        <w:rPr>
          <w:rFonts w:hint="eastAsia" w:ascii="方正仿宋_GBK" w:hAnsi="Times New Roman" w:eastAsia="方正仿宋_GBK" w:cs="方正仿宋_GBK"/>
          <w:color w:val="000000"/>
          <w:kern w:val="0"/>
          <w:sz w:val="32"/>
          <w:szCs w:val="32"/>
          <w:highlight w:val="none"/>
          <w:shd w:val="clear" w:color="auto" w:fill="FFFFFF"/>
          <w:lang w:eastAsia="zh-CN"/>
        </w:rPr>
        <w:t>部门</w:t>
      </w:r>
      <w:r>
        <w:rPr>
          <w:rFonts w:hint="eastAsia" w:ascii="方正仿宋_GBK" w:hAnsi="Times New Roman" w:eastAsia="方正仿宋_GBK" w:cs="方正仿宋_GBK"/>
          <w:color w:val="000000"/>
          <w:kern w:val="0"/>
          <w:sz w:val="32"/>
          <w:szCs w:val="32"/>
          <w:highlight w:val="none"/>
          <w:shd w:val="clear" w:color="auto" w:fill="FFFFFF"/>
        </w:rPr>
        <w:t>资金收支情况</w:t>
      </w:r>
    </w:p>
    <w:p w14:paraId="7D87EC9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方正仿宋_GBK" w:hAnsi="Times New Roman" w:eastAsia="方正仿宋_GBK" w:cs="方正仿宋_GBK"/>
          <w:b/>
          <w:bCs/>
          <w:color w:val="000000"/>
          <w:kern w:val="0"/>
          <w:sz w:val="32"/>
          <w:szCs w:val="32"/>
          <w:highlight w:val="none"/>
          <w:shd w:val="clear" w:color="auto" w:fill="FFFFFF"/>
          <w:lang w:val="en-US"/>
        </w:rPr>
      </w:pPr>
      <w:r>
        <w:rPr>
          <w:rFonts w:hint="eastAsia" w:ascii="方正仿宋_GBK" w:hAnsi="Times New Roman" w:eastAsia="方正仿宋_GBK" w:cs="方正仿宋_GBK"/>
          <w:b/>
          <w:bCs/>
          <w:color w:val="000000"/>
          <w:kern w:val="0"/>
          <w:sz w:val="32"/>
          <w:szCs w:val="32"/>
          <w:highlight w:val="none"/>
          <w:shd w:val="clear" w:color="auto" w:fill="FFFFFF"/>
          <w:lang w:val="zh-CN"/>
        </w:rPr>
        <w:t>（一）收入情况。</w:t>
      </w:r>
      <w:r>
        <w:rPr>
          <w:rFonts w:hint="eastAsia" w:ascii="方正仿宋_GBK" w:eastAsia="方正仿宋_GBK" w:cs="方正仿宋_GBK"/>
          <w:sz w:val="32"/>
          <w:szCs w:val="32"/>
          <w:lang w:val="en-US" w:eastAsia="zh-CN"/>
        </w:rPr>
        <w:t xml:space="preserve">阿坝州文化馆2025年年初预算收入1033.72 </w:t>
      </w:r>
      <w:r>
        <w:rPr>
          <w:rFonts w:hint="eastAsia" w:ascii="方正仿宋_GBK" w:eastAsia="方正仿宋_GBK" w:cs="方正仿宋_GBK"/>
          <w:sz w:val="32"/>
          <w:szCs w:val="32"/>
          <w:lang w:val="en-US" w:eastAsia="zh-CN" w:bidi="ar-SA"/>
        </w:rPr>
        <w:t>万</w:t>
      </w:r>
      <w:r>
        <w:rPr>
          <w:rFonts w:hint="eastAsia" w:ascii="方正仿宋_GBK" w:eastAsia="方正仿宋_GBK" w:cs="方正仿宋_GBK"/>
          <w:sz w:val="32"/>
          <w:szCs w:val="32"/>
          <w:lang w:bidi="ar-SA"/>
        </w:rPr>
        <w:t>元</w:t>
      </w:r>
      <w:r>
        <w:rPr>
          <w:rFonts w:hint="eastAsia" w:ascii="方正仿宋_GBK" w:eastAsia="方正仿宋_GBK" w:cs="方正仿宋_GBK"/>
          <w:sz w:val="32"/>
          <w:szCs w:val="32"/>
          <w:lang w:val="en-US" w:eastAsia="zh-CN"/>
        </w:rPr>
        <w:t>、决算报表总收入1706.66万</w:t>
      </w:r>
      <w:r>
        <w:rPr>
          <w:rFonts w:hint="eastAsia" w:ascii="方正仿宋_GBK" w:eastAsia="方正仿宋_GBK" w:cs="方正仿宋_GBK"/>
          <w:sz w:val="32"/>
          <w:szCs w:val="32"/>
        </w:rPr>
        <w:t>元</w:t>
      </w:r>
      <w:r>
        <w:rPr>
          <w:rFonts w:hint="eastAsia" w:ascii="方正仿宋_GBK" w:eastAsia="方正仿宋_GBK" w:cs="方正仿宋_GBK"/>
          <w:sz w:val="32"/>
          <w:szCs w:val="32"/>
          <w:lang w:val="en-US" w:eastAsia="zh-CN"/>
        </w:rPr>
        <w:t>。</w:t>
      </w:r>
    </w:p>
    <w:p w14:paraId="2A60D4D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方正仿宋_GBK" w:eastAsia="方正仿宋_GBK" w:cs="方正仿宋_GBK"/>
          <w:sz w:val="32"/>
          <w:szCs w:val="32"/>
          <w:lang w:eastAsia="zh-CN" w:bidi="ar-SA"/>
        </w:rPr>
      </w:pPr>
      <w:r>
        <w:rPr>
          <w:rFonts w:hint="eastAsia" w:ascii="方正仿宋_GBK" w:hAnsi="Times New Roman" w:eastAsia="方正仿宋_GBK" w:cs="方正仿宋_GBK"/>
          <w:b/>
          <w:bCs/>
          <w:color w:val="000000"/>
          <w:kern w:val="0"/>
          <w:sz w:val="32"/>
          <w:szCs w:val="32"/>
          <w:highlight w:val="none"/>
          <w:shd w:val="clear" w:color="auto" w:fill="FFFFFF"/>
          <w:lang w:val="zh-CN"/>
        </w:rPr>
        <w:t>（二）支出情况。</w:t>
      </w:r>
      <w:r>
        <w:rPr>
          <w:rFonts w:hint="eastAsia" w:ascii="方正仿宋_GBK" w:eastAsia="方正仿宋_GBK" w:cs="方正仿宋_GBK"/>
          <w:sz w:val="32"/>
          <w:szCs w:val="32"/>
          <w:lang w:val="en-US" w:eastAsia="zh-CN"/>
        </w:rPr>
        <w:t>阿坝州文化馆</w:t>
      </w:r>
      <w:r>
        <w:rPr>
          <w:rFonts w:hint="eastAsia" w:ascii="方正仿宋_GBK" w:hAnsi="Times New Roman" w:eastAsia="方正仿宋_GBK" w:cs="方正仿宋_GBK"/>
          <w:sz w:val="32"/>
          <w:szCs w:val="32"/>
          <w:lang w:val="en-US" w:eastAsia="zh-CN"/>
        </w:rPr>
        <w:t>202</w:t>
      </w:r>
      <w:r>
        <w:rPr>
          <w:rFonts w:hint="eastAsia" w:ascii="方正仿宋_GBK" w:eastAsia="方正仿宋_GBK" w:cs="方正仿宋_GBK"/>
          <w:sz w:val="32"/>
          <w:szCs w:val="32"/>
          <w:lang w:val="en-US" w:eastAsia="zh-CN"/>
        </w:rPr>
        <w:t>5</w:t>
      </w:r>
      <w:r>
        <w:rPr>
          <w:rFonts w:hint="eastAsia" w:ascii="方正仿宋_GBK" w:hAnsi="Times New Roman" w:eastAsia="方正仿宋_GBK" w:cs="方正仿宋_GBK"/>
          <w:sz w:val="32"/>
          <w:szCs w:val="32"/>
          <w:lang w:val="en-US" w:eastAsia="zh-CN"/>
        </w:rPr>
        <w:t>年</w:t>
      </w:r>
      <w:r>
        <w:rPr>
          <w:rFonts w:hint="eastAsia" w:ascii="方正仿宋_GBK" w:eastAsia="方正仿宋_GBK" w:cs="方正仿宋_GBK"/>
          <w:sz w:val="32"/>
          <w:szCs w:val="32"/>
        </w:rPr>
        <w:t>总支出为</w:t>
      </w:r>
      <w:r>
        <w:rPr>
          <w:rFonts w:hint="eastAsia" w:ascii="方正仿宋_GBK" w:eastAsia="方正仿宋_GBK" w:cs="方正仿宋_GBK"/>
          <w:sz w:val="32"/>
          <w:szCs w:val="32"/>
          <w:lang w:val="en-US" w:eastAsia="zh-CN"/>
        </w:rPr>
        <w:t>1706.66万</w:t>
      </w:r>
      <w:r>
        <w:rPr>
          <w:rFonts w:hint="eastAsia" w:ascii="方正仿宋_GBK" w:eastAsia="方正仿宋_GBK" w:cs="方正仿宋_GBK"/>
          <w:sz w:val="32"/>
          <w:szCs w:val="32"/>
        </w:rPr>
        <w:t>元</w:t>
      </w:r>
      <w:r>
        <w:rPr>
          <w:rFonts w:hint="eastAsia" w:ascii="方正仿宋_GBK" w:eastAsia="方正仿宋_GBK" w:cs="方正仿宋_GBK"/>
          <w:sz w:val="32"/>
          <w:szCs w:val="32"/>
          <w:lang w:eastAsia="zh-CN"/>
        </w:rPr>
        <w:t>。</w:t>
      </w:r>
      <w:r>
        <w:rPr>
          <w:rFonts w:hint="eastAsia" w:ascii="方正仿宋_GBK" w:eastAsia="方正仿宋_GBK" w:cs="方正仿宋_GBK"/>
          <w:sz w:val="32"/>
          <w:szCs w:val="32"/>
          <w:lang w:bidi="ar-SA"/>
        </w:rPr>
        <w:t>基本运行支出数为</w:t>
      </w:r>
      <w:r>
        <w:rPr>
          <w:rFonts w:hint="eastAsia" w:ascii="方正仿宋_GBK" w:eastAsia="方正仿宋_GBK" w:cs="方正仿宋_GBK"/>
          <w:sz w:val="32"/>
          <w:szCs w:val="32"/>
          <w:lang w:val="en-US" w:eastAsia="zh-CN" w:bidi="ar-SA"/>
        </w:rPr>
        <w:t>878.12万</w:t>
      </w:r>
      <w:r>
        <w:rPr>
          <w:rFonts w:hint="eastAsia" w:ascii="方正仿宋_GBK" w:eastAsia="方正仿宋_GBK" w:cs="方正仿宋_GBK"/>
          <w:sz w:val="32"/>
          <w:szCs w:val="32"/>
          <w:lang w:bidi="ar-SA"/>
        </w:rPr>
        <w:t>元</w:t>
      </w:r>
      <w:r>
        <w:rPr>
          <w:rFonts w:hint="eastAsia" w:ascii="方正仿宋_GBK" w:eastAsia="方正仿宋_GBK" w:cs="方正仿宋_GBK"/>
          <w:sz w:val="32"/>
          <w:szCs w:val="32"/>
          <w:lang w:eastAsia="zh-CN" w:bidi="ar-SA"/>
        </w:rPr>
        <w:t>，</w:t>
      </w:r>
      <w:r>
        <w:rPr>
          <w:rFonts w:hint="eastAsia" w:ascii="方正仿宋_GBK" w:eastAsia="方正仿宋_GBK" w:cs="方正仿宋_GBK"/>
          <w:sz w:val="32"/>
          <w:szCs w:val="32"/>
          <w:lang w:bidi="ar-SA"/>
        </w:rPr>
        <w:t>项目运行支出数为</w:t>
      </w:r>
      <w:r>
        <w:rPr>
          <w:rFonts w:hint="eastAsia" w:ascii="方正仿宋_GBK" w:eastAsia="方正仿宋_GBK" w:cs="方正仿宋_GBK"/>
          <w:sz w:val="32"/>
          <w:szCs w:val="32"/>
          <w:lang w:val="en-US" w:eastAsia="zh-CN" w:bidi="ar-SA"/>
        </w:rPr>
        <w:t>828.53万</w:t>
      </w:r>
      <w:r>
        <w:rPr>
          <w:rFonts w:hint="eastAsia" w:ascii="方正仿宋_GBK" w:eastAsia="方正仿宋_GBK" w:cs="方正仿宋_GBK"/>
          <w:sz w:val="32"/>
          <w:szCs w:val="32"/>
          <w:lang w:bidi="ar-SA"/>
        </w:rPr>
        <w:t>元</w:t>
      </w:r>
      <w:r>
        <w:rPr>
          <w:rFonts w:hint="eastAsia" w:ascii="方正仿宋_GBK" w:eastAsia="方正仿宋_GBK" w:cs="方正仿宋_GBK"/>
          <w:sz w:val="32"/>
          <w:szCs w:val="32"/>
          <w:lang w:eastAsia="zh-CN" w:bidi="ar-SA"/>
        </w:rPr>
        <w:t>。</w:t>
      </w:r>
    </w:p>
    <w:p w14:paraId="33954A4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仿宋_GBK" w:eastAsia="方正仿宋_GBK" w:cs="方正仿宋_GBK"/>
          <w:sz w:val="32"/>
          <w:szCs w:val="32"/>
          <w:lang w:val="en-US" w:eastAsia="zh-CN"/>
        </w:rPr>
      </w:pPr>
      <w:r>
        <w:rPr>
          <w:rFonts w:hint="eastAsia" w:ascii="方正仿宋_GBK" w:eastAsia="方正仿宋_GBK" w:cs="方正仿宋_GBK"/>
          <w:sz w:val="32"/>
          <w:szCs w:val="32"/>
          <w:lang w:val="en-US" w:eastAsia="zh-CN"/>
        </w:rPr>
        <w:t>基本运行支出主要包括人员经费、日常公用经费，保障工资及时、足额发放或社保及时、足额缴纳，正常开展日常工作。</w:t>
      </w:r>
    </w:p>
    <w:p w14:paraId="5CBE04B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ascii="Times New Roman" w:hAnsi="Times New Roman" w:cs="Times New Roman"/>
          <w:sz w:val="32"/>
          <w:szCs w:val="32"/>
          <w:lang w:val="en-US" w:eastAsia="zh-CN"/>
        </w:rPr>
      </w:pPr>
      <w:r>
        <w:rPr>
          <w:rFonts w:hint="eastAsia" w:cs="Times New Roman"/>
          <w:sz w:val="32"/>
          <w:szCs w:val="32"/>
          <w:lang w:val="en-US" w:eastAsia="zh-CN"/>
        </w:rPr>
        <w:t>项目运行支出有16个项目</w:t>
      </w:r>
    </w:p>
    <w:p w14:paraId="0EB9AFCA">
      <w:pPr>
        <w:pStyle w:val="2"/>
        <w:pageBreakBefore w:val="0"/>
        <w:kinsoku/>
        <w:wordWrap/>
        <w:overflowPunct/>
        <w:topLinePunct w:val="0"/>
        <w:bidi w:val="0"/>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w:t>
      </w:r>
      <w:r>
        <w:rPr>
          <w:rFonts w:ascii="Times New Roman" w:hAnsi="Times New Roman" w:eastAsia="仿宋_GB2312" w:cs="Times New Roman"/>
          <w:kern w:val="2"/>
          <w:sz w:val="32"/>
          <w:szCs w:val="32"/>
          <w:lang w:val="zh-CN" w:eastAsia="zh-CN" w:bidi="ar-SA"/>
        </w:rPr>
        <w:t>非物质文化遗产保护工作经费</w:t>
      </w:r>
      <w:r>
        <w:rPr>
          <w:rFonts w:hint="eastAsia" w:ascii="Times New Roman" w:hAnsi="Times New Roman" w:eastAsia="仿宋_GB2312" w:cs="Times New Roman"/>
          <w:kern w:val="2"/>
          <w:sz w:val="32"/>
          <w:szCs w:val="32"/>
          <w:lang w:val="zh-CN" w:eastAsia="zh-CN" w:bidi="ar-SA"/>
        </w:rPr>
        <w:t>预算数</w:t>
      </w:r>
      <w:r>
        <w:rPr>
          <w:rFonts w:hint="eastAsia" w:ascii="Times New Roman" w:hAnsi="Times New Roman" w:eastAsia="仿宋_GB2312" w:cs="Times New Roman"/>
          <w:kern w:val="2"/>
          <w:sz w:val="32"/>
          <w:szCs w:val="32"/>
          <w:lang w:val="en-US" w:eastAsia="zh-CN" w:bidi="ar-SA"/>
        </w:rPr>
        <w:t>15万元，</w:t>
      </w:r>
      <w:r>
        <w:rPr>
          <w:rFonts w:hint="eastAsia" w:ascii="Times New Roman" w:hAnsi="Times New Roman" w:cs="Times New Roman"/>
          <w:color w:val="auto"/>
          <w:kern w:val="0"/>
          <w:sz w:val="32"/>
          <w:szCs w:val="32"/>
          <w:highlight w:val="none"/>
          <w:u w:val="none"/>
          <w:shd w:val="clear" w:color="auto" w:fill="FFFFFF"/>
          <w:lang w:val="en-US" w:eastAsia="zh-CN"/>
        </w:rPr>
        <w:t>实际执行预算13.86万元</w:t>
      </w:r>
      <w:r>
        <w:rPr>
          <w:rFonts w:hint="eastAsia" w:ascii="Times New Roman" w:hAnsi="Times New Roman" w:eastAsia="仿宋_GB2312" w:cs="Times New Roman"/>
          <w:kern w:val="2"/>
          <w:sz w:val="32"/>
          <w:szCs w:val="32"/>
          <w:lang w:val="en-US" w:eastAsia="zh-CN" w:bidi="ar-SA"/>
        </w:rPr>
        <w:t>，完成全州非遗考察的开展，非遗文创样板、非遗工作人员开展非遗事项的差旅费。</w:t>
      </w:r>
    </w:p>
    <w:p w14:paraId="34BB64CB">
      <w:pPr>
        <w:pStyle w:val="2"/>
        <w:pageBreakBefore w:val="0"/>
        <w:kinsoku/>
        <w:wordWrap/>
        <w:overflowPunct/>
        <w:topLinePunct w:val="0"/>
        <w:bidi w:val="0"/>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2、杂志出版经费</w:t>
      </w:r>
      <w:r>
        <w:rPr>
          <w:rFonts w:hint="eastAsia" w:ascii="Times New Roman" w:hAnsi="Times New Roman" w:eastAsia="仿宋_GB2312" w:cs="Times New Roman"/>
          <w:kern w:val="2"/>
          <w:sz w:val="32"/>
          <w:szCs w:val="32"/>
          <w:lang w:val="zh-CN" w:eastAsia="zh-CN" w:bidi="ar-SA"/>
        </w:rPr>
        <w:t>预算数</w:t>
      </w:r>
      <w:r>
        <w:rPr>
          <w:rFonts w:hint="eastAsia" w:ascii="Times New Roman" w:hAnsi="Times New Roman" w:eastAsia="仿宋_GB2312" w:cs="Times New Roman"/>
          <w:kern w:val="2"/>
          <w:sz w:val="32"/>
          <w:szCs w:val="32"/>
          <w:lang w:val="en-US" w:eastAsia="zh-CN" w:bidi="ar-SA"/>
        </w:rPr>
        <w:t>10万元，</w:t>
      </w:r>
      <w:r>
        <w:rPr>
          <w:rFonts w:hint="eastAsia" w:ascii="Times New Roman" w:hAnsi="Times New Roman" w:eastAsia="仿宋_GB2312" w:cs="Times New Roman"/>
          <w:kern w:val="2"/>
          <w:sz w:val="32"/>
          <w:szCs w:val="32"/>
          <w:lang w:val="zh-CN" w:eastAsia="zh-CN" w:bidi="ar-SA"/>
        </w:rPr>
        <w:t>支出数</w:t>
      </w:r>
      <w:r>
        <w:rPr>
          <w:rFonts w:hint="eastAsia" w:ascii="Times New Roman" w:hAnsi="Times New Roman" w:eastAsia="仿宋_GB2312" w:cs="Times New Roman"/>
          <w:kern w:val="2"/>
          <w:sz w:val="32"/>
          <w:szCs w:val="32"/>
          <w:lang w:val="en-US" w:eastAsia="zh-CN" w:bidi="ar-SA"/>
        </w:rPr>
        <w:t>9.8万元。完成的任务《阿坝文化》州级内部刊物，全年四期共计2000册，以州级内刊形式宣传阿坝文化。</w:t>
      </w:r>
    </w:p>
    <w:p w14:paraId="38C8A84F">
      <w:pPr>
        <w:pStyle w:val="2"/>
        <w:pageBreakBefore w:val="0"/>
        <w:kinsoku/>
        <w:wordWrap/>
        <w:overflowPunct/>
        <w:topLinePunct w:val="0"/>
        <w:bidi w:val="0"/>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3、送“文化下乡”活动经费预算数8万元，支出数7.9万元，</w:t>
      </w:r>
      <w:r>
        <w:rPr>
          <w:rFonts w:hint="eastAsia" w:eastAsia="仿宋_GB2312" w:cs="Times New Roman"/>
          <w:kern w:val="2"/>
          <w:sz w:val="32"/>
          <w:szCs w:val="32"/>
          <w:lang w:val="en-US" w:eastAsia="zh-CN" w:bidi="ar-SA"/>
        </w:rPr>
        <w:t>在马尔康和汶川水磨完成8场惠民演出，</w:t>
      </w:r>
      <w:r>
        <w:rPr>
          <w:rFonts w:hint="eastAsia" w:ascii="Times New Roman" w:hAnsi="Times New Roman" w:eastAsia="仿宋_GB2312" w:cs="Times New Roman"/>
          <w:kern w:val="2"/>
          <w:sz w:val="32"/>
          <w:szCs w:val="32"/>
          <w:lang w:val="en-US" w:eastAsia="zh-CN" w:bidi="ar-SA"/>
        </w:rPr>
        <w:t>为广大基层群众送上</w:t>
      </w:r>
      <w:r>
        <w:rPr>
          <w:rFonts w:hint="eastAsia" w:eastAsia="仿宋_GB2312" w:cs="Times New Roman"/>
          <w:kern w:val="2"/>
          <w:sz w:val="32"/>
          <w:szCs w:val="32"/>
          <w:lang w:val="en-US" w:eastAsia="zh-CN" w:bidi="ar-SA"/>
        </w:rPr>
        <w:t>各类</w:t>
      </w:r>
      <w:r>
        <w:rPr>
          <w:rFonts w:hint="eastAsia" w:ascii="Times New Roman" w:hAnsi="Times New Roman" w:eastAsia="仿宋_GB2312" w:cs="Times New Roman"/>
          <w:kern w:val="2"/>
          <w:sz w:val="32"/>
          <w:szCs w:val="32"/>
          <w:lang w:val="en-US" w:eastAsia="zh-CN" w:bidi="ar-SA"/>
        </w:rPr>
        <w:t>文化盛宴。</w:t>
      </w:r>
    </w:p>
    <w:p w14:paraId="21BC39CA">
      <w:pPr>
        <w:pStyle w:val="2"/>
        <w:pageBreakBefore w:val="0"/>
        <w:kinsoku/>
        <w:wordWrap/>
        <w:overflowPunct/>
        <w:topLinePunct w:val="0"/>
        <w:bidi w:val="0"/>
        <w:spacing w:line="560" w:lineRule="exact"/>
        <w:ind w:firstLine="640" w:firstLineChars="200"/>
        <w:rPr>
          <w:rFonts w:hint="eastAsia" w:cs="Times New Roman"/>
          <w:color w:val="auto"/>
          <w:kern w:val="0"/>
          <w:sz w:val="32"/>
          <w:szCs w:val="32"/>
          <w:highlight w:val="none"/>
          <w:u w:val="none"/>
          <w:shd w:val="clear" w:color="auto" w:fill="FFFFFF"/>
          <w:lang w:val="en-US" w:eastAsia="zh-CN"/>
        </w:rPr>
      </w:pPr>
      <w:r>
        <w:rPr>
          <w:rFonts w:hint="eastAsia" w:ascii="Times New Roman" w:hAnsi="Times New Roman" w:eastAsia="仿宋_GB2312" w:cs="Times New Roman"/>
          <w:kern w:val="2"/>
          <w:sz w:val="32"/>
          <w:szCs w:val="32"/>
          <w:lang w:val="en-US" w:eastAsia="zh-CN" w:bidi="ar-SA"/>
        </w:rPr>
        <w:t>4、民族民间文化资源调查经费预算数4万元，支出数4万元，</w:t>
      </w:r>
      <w:r>
        <w:rPr>
          <w:rFonts w:hint="eastAsia" w:eastAsia="仿宋_GB2312" w:cs="Times New Roman"/>
          <w:kern w:val="2"/>
          <w:sz w:val="32"/>
          <w:szCs w:val="32"/>
          <w:lang w:val="en-US" w:eastAsia="zh-CN" w:bidi="ar-SA"/>
        </w:rPr>
        <w:t>此项资金与非遗保护资金打捆</w:t>
      </w:r>
      <w:r>
        <w:rPr>
          <w:rFonts w:hint="eastAsia" w:cs="Times New Roman"/>
          <w:color w:val="auto"/>
          <w:kern w:val="0"/>
          <w:sz w:val="32"/>
          <w:szCs w:val="32"/>
          <w:highlight w:val="none"/>
          <w:u w:val="none"/>
          <w:shd w:val="clear" w:color="auto" w:fill="FFFFFF"/>
          <w:lang w:val="en-US" w:eastAsia="zh-CN"/>
        </w:rPr>
        <w:t>开展民族民间非遗调研，针对羌族地区羌年的资料收集整理，进行汇总，</w:t>
      </w:r>
      <w:r>
        <w:rPr>
          <w:rFonts w:hint="eastAsia" w:ascii="仿宋_GB2312" w:hAnsi="仿宋_GB2312" w:cs="仿宋_GB2312"/>
          <w:sz w:val="32"/>
          <w:szCs w:val="32"/>
          <w:lang w:val="en-US" w:eastAsia="zh-CN"/>
        </w:rPr>
        <w:t>使得人类非遗代表作名录</w:t>
      </w:r>
      <w:r>
        <w:rPr>
          <w:rFonts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羌年</w:t>
      </w:r>
      <w:r>
        <w:rPr>
          <w:rFonts w:ascii="仿宋_GB2312" w:hAnsi="仿宋_GB2312" w:eastAsia="仿宋_GB2312" w:cs="仿宋_GB2312"/>
          <w:sz w:val="32"/>
          <w:szCs w:val="32"/>
          <w:lang w:val="en-US" w:eastAsia="zh-CN"/>
        </w:rPr>
        <w:t>，更好的传承保护发扬，带动阿坝州文旅融合发展</w:t>
      </w:r>
      <w:r>
        <w:rPr>
          <w:rFonts w:hint="eastAsia" w:ascii="仿宋_GB2312" w:hAnsi="仿宋_GB2312" w:eastAsia="仿宋_GB2312" w:cs="仿宋_GB2312"/>
          <w:sz w:val="32"/>
          <w:szCs w:val="32"/>
          <w:lang w:val="en-US" w:eastAsia="zh-CN"/>
        </w:rPr>
        <w:t>。</w:t>
      </w:r>
    </w:p>
    <w:p w14:paraId="1934C18A">
      <w:pPr>
        <w:pStyle w:val="2"/>
        <w:pageBreakBefore w:val="0"/>
        <w:kinsoku/>
        <w:wordWrap/>
        <w:overflowPunct/>
        <w:topLinePunct w:val="0"/>
        <w:bidi w:val="0"/>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5、锅庄协会活动经费预算数13万元，支出数13万元。嘉绒原生态锅庄协会、马尔康老年协会开展文化活动资金（各5万），马尔康广场文化“天天锅庄健身文艺活动”健身活动经费3万。</w:t>
      </w:r>
    </w:p>
    <w:p w14:paraId="17FD22A1">
      <w:pPr>
        <w:pStyle w:val="2"/>
        <w:pageBreakBefore w:val="0"/>
        <w:kinsoku/>
        <w:wordWrap/>
        <w:overflowPunct/>
        <w:topLinePunct w:val="0"/>
        <w:bidi w:val="0"/>
        <w:spacing w:line="560" w:lineRule="exact"/>
        <w:ind w:firstLine="640" w:firstLineChars="200"/>
        <w:rPr>
          <w:rFonts w:hint="eastAsia" w:ascii="楷体" w:hAnsi="楷体" w:eastAsia="楷体" w:cs="宋体"/>
          <w:kern w:val="0"/>
          <w:sz w:val="32"/>
          <w:szCs w:val="32"/>
          <w:lang w:val="en-US" w:eastAsia="zh-CN"/>
        </w:rPr>
      </w:pPr>
      <w:r>
        <w:rPr>
          <w:rFonts w:hint="eastAsia" w:ascii="Times New Roman" w:hAnsi="Times New Roman" w:eastAsia="仿宋_GB2312" w:cs="Times New Roman"/>
          <w:kern w:val="2"/>
          <w:sz w:val="32"/>
          <w:szCs w:val="32"/>
          <w:lang w:val="en-US" w:eastAsia="zh-CN" w:bidi="ar-SA"/>
        </w:rPr>
        <w:t>6、创作经费预算数</w:t>
      </w:r>
      <w:r>
        <w:rPr>
          <w:rFonts w:hint="eastAsia" w:eastAsia="仿宋_GB2312" w:cs="Times New Roman"/>
          <w:kern w:val="2"/>
          <w:sz w:val="32"/>
          <w:szCs w:val="32"/>
          <w:lang w:val="en-US" w:eastAsia="zh-CN" w:bidi="ar-SA"/>
        </w:rPr>
        <w:t>25</w:t>
      </w:r>
      <w:r>
        <w:rPr>
          <w:rFonts w:hint="eastAsia" w:ascii="Times New Roman" w:hAnsi="Times New Roman" w:eastAsia="仿宋_GB2312" w:cs="Times New Roman"/>
          <w:kern w:val="2"/>
          <w:sz w:val="32"/>
          <w:szCs w:val="32"/>
          <w:lang w:val="en-US" w:eastAsia="zh-CN" w:bidi="ar-SA"/>
        </w:rPr>
        <w:t>万元，支出数17.9万元，</w:t>
      </w:r>
      <w:r>
        <w:rPr>
          <w:rStyle w:val="36"/>
          <w:rFonts w:hint="eastAsia" w:ascii="楷体" w:hAnsi="楷体" w:eastAsia="楷体" w:cs="楷体"/>
          <w:b w:val="0"/>
          <w:bCs/>
          <w:color w:val="000000"/>
          <w:kern w:val="2"/>
          <w:sz w:val="32"/>
          <w:szCs w:val="32"/>
          <w:lang w:val="en-US" w:eastAsia="zh-CN"/>
        </w:rPr>
        <w:t>用于阿米格东歌舞剧音乐及背景视频创作，</w:t>
      </w:r>
      <w:r>
        <w:rPr>
          <w:rFonts w:hint="eastAsia" w:ascii="楷体" w:hAnsi="楷体" w:eastAsia="楷体" w:cs="宋体"/>
          <w:kern w:val="0"/>
          <w:sz w:val="32"/>
          <w:szCs w:val="32"/>
          <w:lang w:val="en-US" w:eastAsia="zh-CN"/>
        </w:rPr>
        <w:t>突出阿米格东文化的挖掘与传承，强化歌舞剧音视频创作的民族辨识度与地域特色，助力阿坝州民族歌舞剧创作特色化发展</w:t>
      </w:r>
    </w:p>
    <w:p w14:paraId="55EB061C">
      <w:pPr>
        <w:pStyle w:val="2"/>
        <w:pageBreakBefore w:val="0"/>
        <w:kinsoku/>
        <w:wordWrap/>
        <w:overflowPunct/>
        <w:topLinePunct w:val="0"/>
        <w:bidi w:val="0"/>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7、阿坝州数字文化馆关键技术研究与应用预算数</w:t>
      </w:r>
      <w:r>
        <w:rPr>
          <w:rFonts w:hint="eastAsia"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万元，支出数</w:t>
      </w:r>
      <w:r>
        <w:rPr>
          <w:rFonts w:hint="eastAsia"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退回项目质保金。</w:t>
      </w:r>
    </w:p>
    <w:p w14:paraId="1AB532DD">
      <w:pPr>
        <w:pageBreakBefore w:val="0"/>
        <w:kinsoku/>
        <w:wordWrap/>
        <w:overflowPunct/>
        <w:topLinePunct w:val="0"/>
        <w:bidi w:val="0"/>
        <w:spacing w:line="560" w:lineRule="exact"/>
        <w:ind w:firstLine="640" w:firstLineChars="200"/>
        <w:rPr>
          <w:rFonts w:hint="eastAsia" w:eastAsia="楷体"/>
          <w:sz w:val="32"/>
          <w:szCs w:val="32"/>
          <w:lang w:eastAsia="zh-CN"/>
        </w:rPr>
      </w:pPr>
      <w:r>
        <w:rPr>
          <w:rFonts w:hint="eastAsia"/>
          <w:sz w:val="32"/>
          <w:szCs w:val="32"/>
          <w:lang w:val="en-US" w:eastAsia="zh-CN"/>
        </w:rPr>
        <w:t>8、</w:t>
      </w:r>
      <w:r>
        <w:rPr>
          <w:rFonts w:hint="eastAsia"/>
          <w:sz w:val="32"/>
          <w:szCs w:val="32"/>
        </w:rPr>
        <w:t>2025年省级赛事、展演活动</w:t>
      </w:r>
      <w:r>
        <w:rPr>
          <w:rFonts w:hint="eastAsia" w:ascii="Times New Roman" w:hAnsi="Times New Roman" w:eastAsia="仿宋_GB2312" w:cs="Times New Roman"/>
          <w:kern w:val="2"/>
          <w:sz w:val="32"/>
          <w:szCs w:val="32"/>
          <w:lang w:val="zh-CN" w:eastAsia="zh-CN" w:bidi="ar-SA"/>
        </w:rPr>
        <w:t>预算为</w:t>
      </w:r>
      <w:r>
        <w:rPr>
          <w:rFonts w:hint="eastAsia" w:ascii="Times New Roman" w:hAnsi="Times New Roman" w:cs="Times New Roman"/>
          <w:kern w:val="2"/>
          <w:sz w:val="32"/>
          <w:szCs w:val="32"/>
          <w:lang w:val="en-US" w:eastAsia="zh-CN" w:bidi="ar-SA"/>
        </w:rPr>
        <w:t>35.1</w:t>
      </w:r>
      <w:r>
        <w:rPr>
          <w:rFonts w:hint="eastAsia" w:ascii="Times New Roman" w:hAnsi="Times New Roman" w:eastAsia="仿宋_GB2312" w:cs="Times New Roman"/>
          <w:kern w:val="2"/>
          <w:sz w:val="32"/>
          <w:szCs w:val="32"/>
          <w:lang w:val="en-US" w:eastAsia="zh-CN" w:bidi="ar-SA"/>
        </w:rPr>
        <w:t>万元，</w:t>
      </w:r>
      <w:r>
        <w:rPr>
          <w:rFonts w:hint="eastAsia" w:ascii="Times New Roman" w:hAnsi="Times New Roman" w:cs="Times New Roman"/>
          <w:kern w:val="2"/>
          <w:sz w:val="32"/>
          <w:szCs w:val="32"/>
          <w:lang w:val="en-US" w:eastAsia="zh-CN" w:bidi="ar-SA"/>
        </w:rPr>
        <w:t>支付数33.71</w:t>
      </w:r>
      <w:r>
        <w:rPr>
          <w:rFonts w:hint="eastAsia" w:ascii="Times New Roman" w:hAnsi="Times New Roman" w:eastAsia="仿宋_GB2312" w:cs="Times New Roman"/>
          <w:kern w:val="2"/>
          <w:sz w:val="32"/>
          <w:szCs w:val="32"/>
          <w:lang w:val="en-US" w:eastAsia="zh-CN" w:bidi="ar-SA"/>
        </w:rPr>
        <w:t>万元</w:t>
      </w:r>
      <w:r>
        <w:rPr>
          <w:rFonts w:hint="eastAsia" w:ascii="Times New Roman" w:hAnsi="Times New Roman" w:cs="Times New Roman"/>
          <w:kern w:val="2"/>
          <w:sz w:val="32"/>
          <w:szCs w:val="32"/>
          <w:lang w:val="en-US" w:eastAsia="zh-CN" w:bidi="ar-SA"/>
        </w:rPr>
        <w:t>，参与</w:t>
      </w:r>
      <w:r>
        <w:rPr>
          <w:rFonts w:hint="eastAsia" w:ascii="楷体" w:hAnsi="楷体" w:eastAsia="楷体" w:cs="宋体"/>
          <w:color w:val="000000"/>
          <w:sz w:val="32"/>
          <w:szCs w:val="32"/>
        </w:rPr>
        <w:t>全省第九届广场舞集中展演暨全国群星奖广场舞选拔活动；四川省第三届街舞大赛；第六届西部民歌展演；百姓大舞台省级总汇演；千龙千狮过大年</w:t>
      </w:r>
      <w:r>
        <w:rPr>
          <w:rFonts w:hint="eastAsia" w:ascii="楷体" w:hAnsi="楷体" w:eastAsia="楷体" w:cs="宋体"/>
          <w:color w:val="000000"/>
          <w:sz w:val="32"/>
          <w:szCs w:val="32"/>
          <w:lang w:eastAsia="zh-CN"/>
        </w:rPr>
        <w:t>赛事活动。</w:t>
      </w:r>
    </w:p>
    <w:p w14:paraId="659D9C20">
      <w:pPr>
        <w:pStyle w:val="2"/>
        <w:pageBreakBefore w:val="0"/>
        <w:kinsoku/>
        <w:wordWrap/>
        <w:overflowPunct/>
        <w:topLinePunct w:val="0"/>
        <w:bidi w:val="0"/>
        <w:spacing w:line="560" w:lineRule="exact"/>
        <w:ind w:firstLine="640" w:firstLineChars="200"/>
        <w:rPr>
          <w:rFonts w:hint="eastAsia" w:ascii="仿宋_GB2312" w:hAnsi="仿宋_GB2312" w:eastAsia="仿宋_GB2312" w:cs="仿宋_GB2312"/>
          <w:sz w:val="32"/>
          <w:szCs w:val="32"/>
          <w:lang w:val="zh-CN"/>
        </w:rPr>
      </w:pPr>
      <w:r>
        <w:rPr>
          <w:rFonts w:hint="eastAsia" w:ascii="Times New Roman" w:hAnsi="Times New Roman" w:eastAsia="仿宋_GB2312" w:cs="Times New Roman"/>
          <w:kern w:val="2"/>
          <w:sz w:val="32"/>
          <w:szCs w:val="32"/>
          <w:lang w:val="en-US" w:eastAsia="zh-CN" w:bidi="ar-SA"/>
        </w:rPr>
        <w:t>9、2025年省级非物质文化遗产保护传承人补助</w:t>
      </w:r>
      <w:r>
        <w:rPr>
          <w:rFonts w:hint="eastAsia" w:ascii="Times New Roman" w:hAnsi="Times New Roman" w:eastAsia="仿宋_GB2312" w:cs="Times New Roman"/>
          <w:kern w:val="2"/>
          <w:sz w:val="32"/>
          <w:szCs w:val="32"/>
          <w:lang w:val="zh-CN" w:eastAsia="zh-CN" w:bidi="ar-SA"/>
        </w:rPr>
        <w:t>预算为</w:t>
      </w:r>
      <w:r>
        <w:rPr>
          <w:rFonts w:hint="eastAsia" w:eastAsia="仿宋_GB2312" w:cs="Times New Roman"/>
          <w:kern w:val="2"/>
          <w:sz w:val="32"/>
          <w:szCs w:val="32"/>
          <w:lang w:val="en-US" w:eastAsia="zh-CN" w:bidi="ar-SA"/>
        </w:rPr>
        <w:t>7</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支付数7</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w:t>
      </w:r>
      <w:r>
        <w:rPr>
          <w:rFonts w:hint="eastAsia" w:ascii="仿宋_GB2312" w:hAnsi="仿宋_GB2312" w:eastAsia="仿宋_GB2312" w:cs="仿宋_GB2312"/>
          <w:sz w:val="32"/>
          <w:szCs w:val="32"/>
          <w:lang w:eastAsia="zh-CN"/>
        </w:rPr>
        <w:t>严格按照《</w:t>
      </w:r>
      <w:r>
        <w:rPr>
          <w:rFonts w:hint="eastAsia" w:ascii="仿宋_GB2312" w:hAnsi="仿宋_GB2312" w:eastAsia="仿宋_GB2312" w:cs="仿宋_GB2312"/>
          <w:sz w:val="32"/>
          <w:szCs w:val="32"/>
        </w:rPr>
        <w:t>四川省级非物质文化遗产代表性传承人认定与管理办法</w:t>
      </w:r>
      <w:r>
        <w:rPr>
          <w:rFonts w:hint="eastAsia" w:ascii="仿宋_GB2312" w:hAnsi="仿宋_GB2312" w:eastAsia="仿宋_GB2312" w:cs="仿宋_GB2312"/>
          <w:sz w:val="32"/>
          <w:szCs w:val="32"/>
          <w:lang w:eastAsia="zh-CN"/>
        </w:rPr>
        <w:t>》有关规定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eastAsia="zh-CN"/>
        </w:rPr>
        <w:t>每年召开传承人活动评估工作，进行传承人补助发放，为非遗保护传承注入源头活水，确保</w:t>
      </w:r>
      <w:r>
        <w:rPr>
          <w:rFonts w:hint="eastAsia" w:ascii="仿宋_GB2312" w:hAnsi="仿宋_GB2312" w:eastAsia="仿宋_GB2312" w:cs="仿宋_GB2312"/>
          <w:sz w:val="32"/>
          <w:szCs w:val="32"/>
          <w:lang w:val="zh-CN"/>
        </w:rPr>
        <w:t>非物质文化遗产活态传承</w:t>
      </w:r>
    </w:p>
    <w:p w14:paraId="78BAE9AA">
      <w:pPr>
        <w:pStyle w:val="2"/>
        <w:pageBreakBefore w:val="0"/>
        <w:kinsoku/>
        <w:wordWrap/>
        <w:overflowPunct/>
        <w:topLinePunct w:val="0"/>
        <w:bidi w:val="0"/>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10、</w:t>
      </w:r>
      <w:r>
        <w:rPr>
          <w:rFonts w:hint="eastAsia" w:ascii="Times New Roman" w:hAnsi="Times New Roman" w:eastAsia="仿宋_GB2312" w:cs="Times New Roman"/>
          <w:kern w:val="2"/>
          <w:sz w:val="32"/>
          <w:szCs w:val="32"/>
          <w:lang w:val="en-US" w:eastAsia="zh-CN" w:bidi="ar-SA"/>
        </w:rPr>
        <w:t>“净土阿坝”第四届群众文艺新创作品大赛</w:t>
      </w:r>
      <w:r>
        <w:rPr>
          <w:rFonts w:hint="eastAsia" w:ascii="Times New Roman" w:hAnsi="Times New Roman" w:eastAsia="仿宋_GB2312" w:cs="Times New Roman"/>
          <w:kern w:val="2"/>
          <w:sz w:val="32"/>
          <w:szCs w:val="32"/>
          <w:lang w:val="zh-CN" w:eastAsia="zh-CN" w:bidi="ar-SA"/>
        </w:rPr>
        <w:t>预算为</w:t>
      </w:r>
      <w:r>
        <w:rPr>
          <w:rFonts w:hint="eastAsia" w:eastAsia="仿宋_GB2312" w:cs="Times New Roman"/>
          <w:kern w:val="2"/>
          <w:sz w:val="32"/>
          <w:szCs w:val="32"/>
          <w:lang w:val="en-US" w:eastAsia="zh-CN" w:bidi="ar-SA"/>
        </w:rPr>
        <w:t>71.79</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支付数71.45</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完成四场专业赛事（音乐、戏曲、舞蹈、曲艺）、三场文化惠民演出、两场路演、一场精品晚会，本次新创文艺作品大赛项目符合公共文化服务相关法律法规及政策要求，组织规范、导向正确、特色鲜明，有效激发基层文艺创作活力，推出优秀原创作品，培育群众文艺骨干，社会效益显著，圆满完成项目绩效目标。</w:t>
      </w:r>
    </w:p>
    <w:p w14:paraId="6C17D5B4">
      <w:pPr>
        <w:pStyle w:val="2"/>
        <w:pageBreakBefore w:val="0"/>
        <w:kinsoku/>
        <w:wordWrap/>
        <w:overflowPunct/>
        <w:topLinePunct w:val="0"/>
        <w:bidi w:val="0"/>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11、</w:t>
      </w:r>
      <w:r>
        <w:rPr>
          <w:rFonts w:hint="eastAsia" w:ascii="Times New Roman" w:hAnsi="Times New Roman" w:eastAsia="仿宋_GB2312" w:cs="Times New Roman"/>
          <w:kern w:val="2"/>
          <w:sz w:val="32"/>
          <w:szCs w:val="32"/>
          <w:lang w:val="en-US" w:eastAsia="zh-CN" w:bidi="ar-SA"/>
        </w:rPr>
        <w:t>2025年浙江援建资金——&lt;大熊猫百图唐卡长卷&gt;展陈设计制作及高清复制</w:t>
      </w:r>
      <w:r>
        <w:rPr>
          <w:rFonts w:hint="eastAsia" w:ascii="Times New Roman" w:hAnsi="Times New Roman" w:eastAsia="仿宋_GB2312" w:cs="Times New Roman"/>
          <w:kern w:val="2"/>
          <w:sz w:val="32"/>
          <w:szCs w:val="32"/>
          <w:lang w:val="zh-CN" w:eastAsia="zh-CN" w:bidi="ar-SA"/>
        </w:rPr>
        <w:t>预算为</w:t>
      </w:r>
      <w:r>
        <w:rPr>
          <w:rFonts w:hint="eastAsia" w:eastAsia="仿宋_GB2312" w:cs="Times New Roman"/>
          <w:kern w:val="2"/>
          <w:sz w:val="32"/>
          <w:szCs w:val="32"/>
          <w:lang w:val="en-US" w:eastAsia="zh-CN" w:bidi="ar-SA"/>
        </w:rPr>
        <w:t>250</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支付数243.73</w:t>
      </w:r>
      <w:r>
        <w:rPr>
          <w:rFonts w:hint="eastAsia" w:ascii="Times New Roman" w:hAnsi="Times New Roman" w:eastAsia="仿宋_GB2312" w:cs="Times New Roman"/>
          <w:kern w:val="2"/>
          <w:sz w:val="32"/>
          <w:szCs w:val="32"/>
          <w:lang w:val="en-US" w:eastAsia="zh-CN" w:bidi="ar-SA"/>
        </w:rPr>
        <w:t>万元，</w:t>
      </w:r>
      <w:r>
        <w:rPr>
          <w:rFonts w:hint="eastAsia" w:ascii="方正仿宋_GBK" w:hAnsi="方正仿宋_GBK" w:eastAsia="方正仿宋_GBK" w:cs="方正仿宋_GBK"/>
          <w:kern w:val="0"/>
          <w:sz w:val="32"/>
          <w:szCs w:val="32"/>
          <w:lang w:val="en-US" w:eastAsia="zh-CN"/>
        </w:rPr>
        <w:t>完成172米唐卡长卷11个主题单元展陈布设，建成标准化地方文献展陈服务平台；</w:t>
      </w:r>
      <w:r>
        <w:rPr>
          <w:rFonts w:hint="eastAsia" w:ascii="Times New Roman" w:hAnsi="Times New Roman" w:eastAsia="仿宋_GB2312" w:cs="Times New Roman"/>
          <w:kern w:val="2"/>
          <w:sz w:val="32"/>
          <w:szCs w:val="32"/>
          <w:lang w:val="en-US" w:eastAsia="zh-CN" w:bidi="ar-SA"/>
        </w:rPr>
        <w:t>高清复制大熊猫百图唐卡长卷一副用于展示。</w:t>
      </w:r>
    </w:p>
    <w:p w14:paraId="74FCE5D8">
      <w:pPr>
        <w:pStyle w:val="2"/>
        <w:pageBreakBefore w:val="0"/>
        <w:kinsoku/>
        <w:wordWrap/>
        <w:overflowPunct/>
        <w:topLinePunct w:val="0"/>
        <w:bidi w:val="0"/>
        <w:spacing w:line="560" w:lineRule="exact"/>
        <w:ind w:firstLine="640" w:firstLineChars="200"/>
        <w:rPr>
          <w:rFonts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12、</w:t>
      </w:r>
      <w:r>
        <w:rPr>
          <w:rFonts w:hint="eastAsia" w:ascii="Times New Roman" w:hAnsi="Times New Roman" w:eastAsia="仿宋_GB2312" w:cs="Times New Roman"/>
          <w:kern w:val="2"/>
          <w:sz w:val="32"/>
          <w:szCs w:val="32"/>
          <w:lang w:val="en-US" w:eastAsia="zh-CN" w:bidi="ar-SA"/>
        </w:rPr>
        <w:t>2025年中央财政公共文化服务体系建设补助资金——省级非遗代表性传承人记录工作</w:t>
      </w:r>
      <w:r>
        <w:rPr>
          <w:rFonts w:hint="eastAsia" w:ascii="Times New Roman" w:hAnsi="Times New Roman" w:eastAsia="仿宋_GB2312" w:cs="Times New Roman"/>
          <w:kern w:val="2"/>
          <w:sz w:val="32"/>
          <w:szCs w:val="32"/>
          <w:lang w:val="zh-CN" w:eastAsia="zh-CN" w:bidi="ar-SA"/>
        </w:rPr>
        <w:t>预算为</w:t>
      </w:r>
      <w:r>
        <w:rPr>
          <w:rFonts w:hint="eastAsia" w:ascii="Times New Roman" w:hAnsi="Times New Roman" w:eastAsia="仿宋_GB2312" w:cs="Times New Roman"/>
          <w:kern w:val="2"/>
          <w:sz w:val="32"/>
          <w:szCs w:val="32"/>
          <w:lang w:val="en-US" w:eastAsia="zh-CN" w:bidi="ar-SA"/>
        </w:rPr>
        <w:t>1</w:t>
      </w:r>
      <w:r>
        <w:rPr>
          <w:rFonts w:hint="eastAsia" w:eastAsia="仿宋_GB2312" w:cs="Times New Roman"/>
          <w:kern w:val="2"/>
          <w:sz w:val="32"/>
          <w:szCs w:val="32"/>
          <w:lang w:val="en-US" w:eastAsia="zh-CN" w:bidi="ar-SA"/>
        </w:rPr>
        <w:t>60</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支付数71.99</w:t>
      </w:r>
      <w:r>
        <w:rPr>
          <w:rFonts w:hint="eastAsia" w:ascii="Times New Roman" w:hAnsi="Times New Roman" w:eastAsia="仿宋_GB2312" w:cs="Times New Roman"/>
          <w:kern w:val="2"/>
          <w:sz w:val="32"/>
          <w:szCs w:val="32"/>
          <w:lang w:val="en-US" w:eastAsia="zh-CN" w:bidi="ar-SA"/>
        </w:rPr>
        <w:t>万元，</w:t>
      </w:r>
      <w:r>
        <w:rPr>
          <w:rFonts w:hint="eastAsia" w:eastAsia="仿宋_GB2312" w:cs="Times New Roman"/>
          <w:kern w:val="2"/>
          <w:sz w:val="32"/>
          <w:szCs w:val="32"/>
          <w:lang w:val="en-US" w:eastAsia="zh-CN" w:bidi="ar-SA"/>
        </w:rPr>
        <w:t>此项目完结时间为2027年，现阶段完成前期招标及合同签订工作。</w:t>
      </w:r>
    </w:p>
    <w:p w14:paraId="778458E0">
      <w:pPr>
        <w:pStyle w:val="2"/>
        <w:pageBreakBefore w:val="0"/>
        <w:kinsoku/>
        <w:wordWrap/>
        <w:overflowPunct/>
        <w:topLinePunct w:val="0"/>
        <w:bidi w:val="0"/>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13、</w:t>
      </w:r>
      <w:r>
        <w:rPr>
          <w:rFonts w:hint="eastAsia" w:ascii="Times New Roman" w:hAnsi="Times New Roman" w:eastAsia="仿宋_GB2312" w:cs="Times New Roman"/>
          <w:kern w:val="2"/>
          <w:sz w:val="32"/>
          <w:szCs w:val="32"/>
          <w:lang w:val="en-US" w:eastAsia="zh-CN" w:bidi="ar-SA"/>
        </w:rPr>
        <w:t>2025年浙江援建资金——阿坝非遗手作大赛及非遗展示展演展销活动</w:t>
      </w:r>
      <w:r>
        <w:rPr>
          <w:rFonts w:hint="eastAsia"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zh-CN" w:eastAsia="zh-CN" w:bidi="ar-SA"/>
        </w:rPr>
        <w:t>预算为</w:t>
      </w:r>
      <w:r>
        <w:rPr>
          <w:rFonts w:hint="eastAsia" w:ascii="Times New Roman" w:hAnsi="Times New Roman" w:eastAsia="仿宋_GB2312" w:cs="Times New Roman"/>
          <w:kern w:val="2"/>
          <w:sz w:val="32"/>
          <w:szCs w:val="32"/>
          <w:lang w:val="en-US" w:eastAsia="zh-CN" w:bidi="ar-SA"/>
        </w:rPr>
        <w:t>180万元，</w:t>
      </w:r>
      <w:r>
        <w:rPr>
          <w:rFonts w:hint="eastAsia" w:eastAsia="仿宋_GB2312" w:cs="Times New Roman"/>
          <w:kern w:val="2"/>
          <w:sz w:val="32"/>
          <w:szCs w:val="32"/>
          <w:lang w:val="en-US" w:eastAsia="zh-CN" w:bidi="ar-SA"/>
        </w:rPr>
        <w:t>支付数</w:t>
      </w:r>
      <w:r>
        <w:rPr>
          <w:rFonts w:hint="eastAsia" w:ascii="Times New Roman" w:hAnsi="Times New Roman" w:eastAsia="仿宋_GB2312" w:cs="Times New Roman"/>
          <w:kern w:val="2"/>
          <w:sz w:val="32"/>
          <w:szCs w:val="32"/>
          <w:lang w:val="en-US" w:eastAsia="zh-CN" w:bidi="ar-SA"/>
        </w:rPr>
        <w:t>179.67万元，</w:t>
      </w:r>
      <w:r>
        <w:rPr>
          <w:rFonts w:hint="eastAsia" w:ascii="仿宋_GB2312" w:hAnsi="仿宋_GB2312" w:eastAsia="仿宋_GB2312" w:cs="仿宋_GB2312"/>
          <w:sz w:val="32"/>
          <w:szCs w:val="32"/>
        </w:rPr>
        <w:t>开展“天下九寨沟 大美阿坝州”2025“大美阿坝”创艺设计大赛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期间共征集了310件作品，经过评审专家的研究讨论，最终在40件作品中评选出金、银、铜6件及34件优秀奖，此次活动通过线上提交，打破地域限制；线下“路演+展示”的形式，让非遗传承扎牢“传统的根”，焕发“时代的魂”</w:t>
      </w:r>
    </w:p>
    <w:p w14:paraId="78CD63A9">
      <w:pPr>
        <w:pStyle w:val="2"/>
        <w:pageBreakBefore w:val="0"/>
        <w:kinsoku/>
        <w:wordWrap/>
        <w:overflowPunct/>
        <w:topLinePunct w:val="0"/>
        <w:bidi w:val="0"/>
        <w:spacing w:line="560" w:lineRule="exact"/>
        <w:ind w:firstLine="640" w:firstLineChars="200"/>
        <w:rPr>
          <w:rFonts w:hint="eastAsia"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14、</w:t>
      </w:r>
      <w:r>
        <w:rPr>
          <w:rFonts w:hint="eastAsia" w:ascii="Times New Roman" w:hAnsi="Times New Roman" w:eastAsia="仿宋_GB2312" w:cs="Times New Roman"/>
          <w:kern w:val="2"/>
          <w:sz w:val="32"/>
          <w:szCs w:val="32"/>
          <w:lang w:val="en-US" w:eastAsia="zh-CN" w:bidi="ar-SA"/>
        </w:rPr>
        <w:t>2024年浙江援建——浙阿非遗走亲系列活动</w:t>
      </w:r>
      <w:r>
        <w:rPr>
          <w:rFonts w:hint="eastAsia" w:eastAsia="仿宋_GB2312" w:cs="Times New Roman"/>
          <w:kern w:val="2"/>
          <w:sz w:val="32"/>
          <w:szCs w:val="32"/>
          <w:lang w:val="en-US" w:eastAsia="zh-CN" w:bidi="ar-SA"/>
        </w:rPr>
        <w:t>，</w:t>
      </w:r>
    </w:p>
    <w:p w14:paraId="1103A63A">
      <w:pPr>
        <w:pStyle w:val="2"/>
        <w:pageBreakBefore w:val="0"/>
        <w:kinsoku/>
        <w:wordWrap/>
        <w:overflowPunct/>
        <w:topLinePunct w:val="0"/>
        <w:bidi w:val="0"/>
        <w:spacing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15、</w:t>
      </w:r>
      <w:r>
        <w:rPr>
          <w:rFonts w:hint="eastAsia" w:ascii="Times New Roman" w:hAnsi="Times New Roman" w:eastAsia="仿宋_GB2312" w:cs="Times New Roman"/>
          <w:kern w:val="2"/>
          <w:sz w:val="32"/>
          <w:szCs w:val="32"/>
          <w:lang w:val="en-US" w:eastAsia="zh-CN" w:bidi="ar-SA"/>
        </w:rPr>
        <w:t>2024年非物质文化遗产保护（藏族民歌-川西藏族山歌）</w:t>
      </w:r>
      <w:r>
        <w:rPr>
          <w:rFonts w:hint="eastAsia" w:ascii="Times New Roman" w:hAnsi="Times New Roman" w:eastAsia="仿宋_GB2312" w:cs="Times New Roman"/>
          <w:kern w:val="2"/>
          <w:sz w:val="32"/>
          <w:szCs w:val="32"/>
          <w:lang w:val="zh-CN" w:eastAsia="zh-CN" w:bidi="ar-SA"/>
        </w:rPr>
        <w:t>预算为</w:t>
      </w:r>
      <w:r>
        <w:rPr>
          <w:rFonts w:hint="eastAsia" w:ascii="Times New Roman" w:hAnsi="Times New Roman" w:eastAsia="仿宋_GB2312" w:cs="Times New Roman"/>
          <w:kern w:val="2"/>
          <w:sz w:val="32"/>
          <w:szCs w:val="32"/>
          <w:lang w:val="en-US" w:eastAsia="zh-CN" w:bidi="ar-SA"/>
        </w:rPr>
        <w:t>31万元。</w:t>
      </w:r>
      <w:r>
        <w:rPr>
          <w:rFonts w:hint="eastAsia" w:eastAsia="仿宋_GB2312" w:cs="Times New Roman"/>
          <w:kern w:val="2"/>
          <w:sz w:val="32"/>
          <w:szCs w:val="32"/>
          <w:lang w:val="en-US" w:eastAsia="zh-CN" w:bidi="ar-SA"/>
        </w:rPr>
        <w:t>支付数</w:t>
      </w:r>
      <w:r>
        <w:rPr>
          <w:rFonts w:hint="eastAsia" w:ascii="Times New Roman" w:hAnsi="Times New Roman" w:eastAsia="仿宋_GB2312" w:cs="Times New Roman"/>
          <w:kern w:val="2"/>
          <w:sz w:val="32"/>
          <w:szCs w:val="32"/>
          <w:lang w:val="en-US" w:eastAsia="zh-CN" w:bidi="ar-SA"/>
        </w:rPr>
        <w:t>30.9万元。由保护单位阿坝州文化馆（州美术馆 州非遗中心）开展“川西行走之声”非遗音乐品牌ip</w:t>
      </w:r>
      <w:r>
        <w:rPr>
          <w:rFonts w:hint="eastAsia" w:ascii="Times New Roman" w:hAnsi="Times New Roman" w:eastAsia="仿宋_GB2312" w:cs="Times New Roman"/>
          <w:kern w:val="2"/>
          <w:sz w:val="32"/>
          <w:szCs w:val="32"/>
          <w:lang w:val="zh-CN" w:eastAsia="zh-CN" w:bidi="ar-SA"/>
        </w:rPr>
        <w:t>川西藏族山歌音乐会，</w:t>
      </w:r>
      <w:r>
        <w:rPr>
          <w:rFonts w:hint="eastAsia" w:ascii="Times New Roman" w:hAnsi="Times New Roman" w:eastAsia="仿宋_GB2312" w:cs="Times New Roman"/>
          <w:kern w:val="2"/>
          <w:sz w:val="32"/>
          <w:szCs w:val="32"/>
          <w:lang w:val="en-US" w:eastAsia="zh-CN" w:bidi="ar-SA"/>
        </w:rPr>
        <w:t>展现阿坝非遗独特魅力，让“川西行走之声”成为全省民族地区首例传统音乐类非遗品牌IP，为进一步打造国际生态文化旅游目的地，促进文旅高质量发展贡献一份力量</w:t>
      </w:r>
    </w:p>
    <w:p w14:paraId="20CC101C">
      <w:pPr>
        <w:pStyle w:val="2"/>
        <w:pageBreakBefore w:val="0"/>
        <w:numPr>
          <w:ilvl w:val="0"/>
          <w:numId w:val="1"/>
        </w:numPr>
        <w:kinsoku/>
        <w:wordWrap/>
        <w:overflowPunct/>
        <w:topLinePunct w:val="0"/>
        <w:bidi w:val="0"/>
        <w:spacing w:line="560" w:lineRule="exact"/>
        <w:ind w:firstLine="640" w:firstLineChars="200"/>
        <w:rPr>
          <w:rFonts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中央财政公共文化服务体系建设补助资金（三馆一站免开补助资金）</w:t>
      </w:r>
      <w:r>
        <w:rPr>
          <w:rFonts w:hint="eastAsia" w:ascii="Times New Roman" w:hAnsi="Times New Roman" w:eastAsia="仿宋_GB2312" w:cs="Times New Roman"/>
          <w:kern w:val="2"/>
          <w:sz w:val="32"/>
          <w:szCs w:val="32"/>
          <w:lang w:val="zh-CN" w:eastAsia="zh-CN" w:bidi="ar-SA"/>
        </w:rPr>
        <w:t>预算为</w:t>
      </w:r>
      <w:r>
        <w:rPr>
          <w:rFonts w:hint="eastAsia" w:eastAsia="仿宋_GB2312" w:cs="Times New Roman"/>
          <w:kern w:val="2"/>
          <w:sz w:val="32"/>
          <w:szCs w:val="32"/>
          <w:lang w:val="en-US" w:eastAsia="zh-CN" w:bidi="ar-SA"/>
        </w:rPr>
        <w:t>中央80万、省级13万、州本级7万元。支付数100万元。完成线下线上各类免开培训，</w:t>
      </w:r>
      <w:r>
        <w:rPr>
          <w:rFonts w:ascii="Times New Roman" w:hAnsi="Times New Roman" w:eastAsia="方正仿宋_GB2312" w:cs="Times New Roman"/>
          <w:b w:val="0"/>
          <w:bCs w:val="0"/>
          <w:kern w:val="0"/>
          <w:sz w:val="32"/>
          <w:szCs w:val="32"/>
          <w:lang w:val="en-US" w:eastAsia="zh-CN"/>
        </w:rPr>
        <w:t>组织优秀视觉艺术作品参与省内外</w:t>
      </w:r>
      <w:r>
        <w:rPr>
          <w:rFonts w:hint="eastAsia" w:ascii="Times New Roman" w:hAnsi="Times New Roman" w:eastAsia="方正仿宋_GB2312" w:cs="Times New Roman"/>
          <w:b w:val="0"/>
          <w:bCs w:val="0"/>
          <w:kern w:val="0"/>
          <w:sz w:val="32"/>
          <w:szCs w:val="32"/>
          <w:lang w:val="en-US" w:eastAsia="zh-CN"/>
        </w:rPr>
        <w:t>展览</w:t>
      </w:r>
      <w:r>
        <w:rPr>
          <w:rFonts w:hint="eastAsia" w:eastAsia="方正仿宋_GB2312" w:cs="Times New Roman"/>
          <w:b w:val="0"/>
          <w:bCs w:val="0"/>
          <w:kern w:val="0"/>
          <w:sz w:val="32"/>
          <w:szCs w:val="32"/>
          <w:lang w:val="en-US" w:eastAsia="zh-CN"/>
        </w:rPr>
        <w:t>；免开场馆日常维护，文化宣传等事宜。</w:t>
      </w:r>
      <w:r>
        <w:rPr>
          <w:rFonts w:ascii="Times New Roman" w:hAnsi="Times New Roman" w:eastAsia="仿宋_GB2312" w:cs="Times New Roman"/>
          <w:sz w:val="32"/>
          <w:szCs w:val="32"/>
          <w:lang w:val="en-US" w:eastAsia="zh-CN"/>
        </w:rPr>
        <w:t>严格落实文化惠民政策，服务规模超额达标，创新构建“培训+实践+展示”全链条服务模式，融合跨区域合作与非遗传承特色，课程设置精准、服务质量优良、群众满意度满分，社会效益显著。</w:t>
      </w:r>
    </w:p>
    <w:p w14:paraId="2D7ABFEA">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firstLine="643" w:firstLineChars="200"/>
        <w:contextualSpacing/>
        <w:jc w:val="left"/>
        <w:textAlignment w:val="auto"/>
        <w:outlineLvl w:val="9"/>
        <w:rPr>
          <w:rFonts w:ascii="Times New Roman" w:hAnsi="Times New Roman" w:eastAsia="楷体_GB2312" w:cs="Times New Roman"/>
          <w:b/>
          <w:sz w:val="32"/>
          <w:szCs w:val="32"/>
          <w:lang w:eastAsia="zh-CN"/>
        </w:rPr>
      </w:pPr>
      <w:r>
        <w:rPr>
          <w:rFonts w:ascii="Times New Roman" w:hAnsi="Times New Roman" w:eastAsia="楷体_GB2312" w:cs="Times New Roman"/>
          <w:b/>
          <w:sz w:val="32"/>
          <w:szCs w:val="32"/>
        </w:rPr>
        <w:t>结余分配和结转结余情况</w:t>
      </w:r>
      <w:r>
        <w:rPr>
          <w:rFonts w:ascii="Times New Roman" w:hAnsi="Times New Roman" w:eastAsia="楷体_GB2312" w:cs="Times New Roman"/>
          <w:b/>
          <w:sz w:val="32"/>
          <w:szCs w:val="32"/>
          <w:lang w:eastAsia="zh-CN"/>
        </w:rPr>
        <w:t>。</w:t>
      </w:r>
    </w:p>
    <w:p w14:paraId="65758DD2">
      <w:pPr>
        <w:keepNext w:val="0"/>
        <w:keepLines w:val="0"/>
        <w:pageBreakBefore w:val="0"/>
        <w:widowControl/>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eastAsia="仿宋_GB2312" w:cs="Times New Roman"/>
          <w:b w:val="0"/>
          <w:bCs w:val="0"/>
          <w:color w:val="000000"/>
          <w:kern w:val="0"/>
          <w:sz w:val="32"/>
          <w:szCs w:val="32"/>
          <w:highlight w:val="none"/>
          <w:shd w:val="clear" w:color="auto" w:fill="FFFFFF"/>
          <w:lang w:val="zh-CN" w:eastAsia="zh-CN"/>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年有</w:t>
      </w:r>
      <w:r>
        <w:rPr>
          <w:rFonts w:hint="eastAsia" w:ascii="仿宋_GB2312" w:eastAsia="仿宋_GB2312"/>
          <w:sz w:val="32"/>
          <w:szCs w:val="32"/>
          <w:lang w:val="en-US" w:eastAsia="zh-CN"/>
        </w:rPr>
        <w:t>5</w:t>
      </w:r>
      <w:r>
        <w:rPr>
          <w:rFonts w:hint="eastAsia" w:ascii="仿宋_GB2312" w:eastAsia="仿宋_GB2312"/>
          <w:sz w:val="32"/>
          <w:szCs w:val="32"/>
        </w:rPr>
        <w:t>笔接转</w:t>
      </w:r>
      <w:r>
        <w:rPr>
          <w:rFonts w:hint="eastAsia" w:ascii="仿宋_GB2312" w:eastAsia="仿宋_GB2312"/>
          <w:sz w:val="32"/>
          <w:szCs w:val="32"/>
          <w:lang w:eastAsia="zh-CN"/>
        </w:rPr>
        <w:t>项目</w:t>
      </w:r>
      <w:r>
        <w:rPr>
          <w:rFonts w:hint="eastAsia" w:ascii="仿宋_GB2312" w:eastAsia="仿宋_GB2312"/>
          <w:sz w:val="32"/>
          <w:szCs w:val="32"/>
        </w:rPr>
        <w:t>资金，共计</w:t>
      </w:r>
      <w:r>
        <w:rPr>
          <w:rFonts w:hint="eastAsia" w:ascii="仿宋_GB2312" w:eastAsia="仿宋_GB2312"/>
          <w:sz w:val="32"/>
          <w:szCs w:val="32"/>
          <w:lang w:val="en-US" w:eastAsia="zh-CN"/>
        </w:rPr>
        <w:t>199.45</w:t>
      </w:r>
      <w:r>
        <w:rPr>
          <w:rFonts w:hint="eastAsia" w:ascii="仿宋_GB2312" w:eastAsia="仿宋_GB2312"/>
          <w:sz w:val="32"/>
          <w:szCs w:val="32"/>
        </w:rPr>
        <w:t>万元</w:t>
      </w:r>
    </w:p>
    <w:p w14:paraId="54FC01D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w:t>
      </w:r>
      <w:r>
        <w:rPr>
          <w:rFonts w:ascii="Times New Roman" w:hAnsi="Times New Roman" w:eastAsia="黑体" w:cs="Times New Roman"/>
          <w:color w:val="000000"/>
          <w:kern w:val="0"/>
          <w:sz w:val="32"/>
          <w:szCs w:val="32"/>
          <w:highlight w:val="none"/>
          <w:u w:val="none"/>
          <w:shd w:val="clear" w:color="auto" w:fill="FFFFFF"/>
        </w:rPr>
        <w:t>部门</w:t>
      </w:r>
      <w:r>
        <w:rPr>
          <w:rFonts w:ascii="Times New Roman" w:hAnsi="Times New Roman" w:eastAsia="黑体" w:cs="Times New Roman"/>
          <w:color w:val="000000"/>
          <w:kern w:val="0"/>
          <w:sz w:val="32"/>
          <w:szCs w:val="32"/>
          <w:highlight w:val="none"/>
          <w:u w:val="none"/>
          <w:shd w:val="clear" w:color="auto" w:fill="FFFFFF"/>
          <w:lang w:eastAsia="zh-CN"/>
        </w:rPr>
        <w:t>预算</w:t>
      </w:r>
      <w:r>
        <w:rPr>
          <w:rFonts w:ascii="Times New Roman" w:hAnsi="Times New Roman" w:eastAsia="黑体" w:cs="Times New Roman"/>
          <w:color w:val="000000"/>
          <w:kern w:val="0"/>
          <w:sz w:val="32"/>
          <w:szCs w:val="32"/>
          <w:highlight w:val="none"/>
          <w:u w:val="none"/>
          <w:shd w:val="clear" w:color="auto" w:fill="FFFFFF"/>
        </w:rPr>
        <w:t>绩效</w:t>
      </w:r>
      <w:r>
        <w:rPr>
          <w:rFonts w:ascii="Times New Roman" w:hAnsi="Times New Roman" w:eastAsia="黑体" w:cs="Times New Roman"/>
          <w:color w:val="000000"/>
          <w:kern w:val="0"/>
          <w:sz w:val="32"/>
          <w:szCs w:val="32"/>
          <w:highlight w:val="none"/>
          <w:u w:val="none"/>
          <w:shd w:val="clear" w:color="auto" w:fill="FFFFFF"/>
          <w:lang w:eastAsia="zh-CN"/>
        </w:rPr>
        <w:t>分析</w:t>
      </w:r>
    </w:p>
    <w:p w14:paraId="29E6DF40">
      <w:pPr>
        <w:keepNext w:val="0"/>
        <w:keepLines w:val="0"/>
        <w:pageBreakBefore w:val="0"/>
        <w:widowControl w:val="0"/>
        <w:kinsoku/>
        <w:wordWrap/>
        <w:overflowPunct/>
        <w:topLinePunct w:val="0"/>
        <w:autoSpaceDE/>
        <w:autoSpaceDN/>
        <w:bidi w:val="0"/>
        <w:adjustRightInd w:val="0"/>
        <w:snapToGrid w:val="0"/>
        <w:spacing w:line="560" w:lineRule="exact"/>
        <w:ind w:left="0" w:firstLine="643"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ascii="Times New Roman" w:hAnsi="Times New Roman" w:cs="Times New Roman"/>
          <w:color w:val="000000"/>
          <w:kern w:val="0"/>
          <w:sz w:val="32"/>
          <w:szCs w:val="32"/>
          <w:highlight w:val="none"/>
          <w:shd w:val="clear" w:color="auto" w:fill="FFFFFF"/>
          <w:lang w:val="zh-CN"/>
        </w:rPr>
        <w:t>根据部门预算绩效评价指标体系“总体绩效”涉及二、三级指标进行逐项绩效分析并评分，依次包括履职效能、预算管理、财务管理、资产管理、采购管理等情况。</w:t>
      </w:r>
    </w:p>
    <w:p w14:paraId="3B928CE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1.</w:t>
      </w:r>
      <w:r>
        <w:rPr>
          <w:rFonts w:ascii="Times New Roman" w:hAnsi="Times New Roman" w:eastAsia="楷体_GB2312" w:cs="Times New Roman"/>
          <w:color w:val="000000"/>
          <w:kern w:val="0"/>
          <w:sz w:val="32"/>
          <w:szCs w:val="32"/>
          <w:highlight w:val="none"/>
          <w:shd w:val="clear" w:color="auto" w:fill="FFFFFF"/>
          <w:lang w:val="zh-CN"/>
        </w:rPr>
        <w:t>履职效能。</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15分</w:t>
      </w:r>
      <w:r>
        <w:rPr>
          <w:rFonts w:hint="eastAsia" w:ascii="楷体_GB2312" w:hAnsi="楷体_GB2312" w:eastAsia="楷体_GB2312" w:cs="楷体_GB2312"/>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部门整体绩效目标中选定3</w:t>
      </w:r>
      <w:r>
        <w:rPr>
          <w:rFonts w:hint="eastAsia" w:cs="Times New Roman"/>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5个核心职能目标，对职能目标完成效果情况绩效分析。</w:t>
      </w:r>
    </w:p>
    <w:p w14:paraId="0DCCB0F9">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firstLine="640" w:firstLineChars="200"/>
        <w:textAlignment w:val="auto"/>
        <w:rPr>
          <w:rFonts w:ascii="Times New Roman" w:hAnsi="Times New Roman" w:eastAsia="仿宋_GB2312" w:cs="Times New Roman"/>
          <w:b w:val="0"/>
          <w:color w:val="000000"/>
          <w:kern w:val="0"/>
          <w:sz w:val="32"/>
          <w:szCs w:val="32"/>
          <w:highlight w:val="none"/>
          <w:shd w:val="clear" w:color="auto" w:fill="FFFFFF"/>
          <w:lang w:val="en-US"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zh-CN" w:eastAsia="zh-CN" w:bidi="ar-SA"/>
        </w:rPr>
        <w:t>数量指标：完成非遗类展览、展示、展演</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10场次， 省级代表性传承人记录工作8项，  川</w:t>
      </w:r>
      <w:r>
        <w:rPr>
          <w:rFonts w:hint="eastAsia" w:ascii="Times New Roman" w:hAnsi="Times New Roman" w:eastAsia="仿宋_GB2312" w:cs="Times New Roman"/>
          <w:kern w:val="2"/>
          <w:sz w:val="32"/>
          <w:szCs w:val="32"/>
          <w:lang w:val="zh-CN" w:eastAsia="zh-CN" w:bidi="ar-SA"/>
        </w:rPr>
        <w:t>西藏族山歌音乐会</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1项，非遗代表性项目传承人补助1人；</w:t>
      </w:r>
      <w:r>
        <w:rPr>
          <w:rFonts w:hint="eastAsia" w:ascii="楷体" w:hAnsi="楷体" w:eastAsia="楷体" w:cs="宋体"/>
          <w:b w:val="0"/>
          <w:bCs/>
          <w:color w:val="000000"/>
          <w:sz w:val="32"/>
          <w:szCs w:val="32"/>
          <w:lang w:val="en-US" w:eastAsia="zh-CN"/>
        </w:rPr>
        <w:t>圆满完成10曲歌舞剧音乐、1套背景视频的原创创作任务，创作成果专业水准高、民族特色鲜明。</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；完成送文化惠民下乡演出8场次表演；</w:t>
      </w:r>
      <w:r>
        <w:rPr>
          <w:rFonts w:hint="eastAsia" w:ascii="仿宋_GB2312" w:hAnsi="仿宋_GB2312" w:eastAsia="仿宋_GB2312" w:cs="仿宋_GB2312"/>
          <w:sz w:val="32"/>
          <w:szCs w:val="32"/>
        </w:rPr>
        <w:t>开展“天下九寨沟 大美阿坝州”2025“大美阿坝”创艺设计大赛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活动期间共征集了310件作品</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w:t>
      </w:r>
      <w:r>
        <w:rPr>
          <w:rFonts w:hint="eastAsia" w:cs="Times New Roman"/>
          <w:b w:val="0"/>
          <w:color w:val="000000"/>
          <w:kern w:val="0"/>
          <w:sz w:val="32"/>
          <w:szCs w:val="32"/>
          <w:highlight w:val="none"/>
          <w:shd w:val="clear" w:color="auto" w:fill="FFFFFF"/>
          <w:lang w:val="en-US" w:eastAsia="zh-CN" w:bidi="ar-SA"/>
        </w:rPr>
        <w:t>完成</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《阿坝文化》州级内刊全年出版4期2000册。</w:t>
      </w:r>
      <w:r>
        <w:rPr>
          <w:rFonts w:hint="eastAsia" w:cs="Times New Roman"/>
          <w:b w:val="0"/>
          <w:color w:val="000000"/>
          <w:kern w:val="0"/>
          <w:sz w:val="32"/>
          <w:szCs w:val="32"/>
          <w:highlight w:val="none"/>
          <w:shd w:val="clear" w:color="auto" w:fill="FFFFFF"/>
          <w:lang w:val="en-US" w:eastAsia="zh-CN" w:bidi="ar-SA"/>
        </w:rPr>
        <w:t>完成</w:t>
      </w:r>
      <w:r>
        <w:rPr>
          <w:rFonts w:ascii="Times New Roman" w:hAnsi="Times New Roman" w:eastAsia="仿宋_GB2312" w:cs="Times New Roman"/>
          <w:color w:val="auto"/>
          <w:kern w:val="0"/>
          <w:sz w:val="32"/>
          <w:szCs w:val="32"/>
          <w:highlight w:val="none"/>
          <w:u w:val="none"/>
          <w:shd w:val="clear" w:color="auto" w:fill="FFFFFF"/>
          <w:lang w:val="en-US" w:eastAsia="zh-CN"/>
        </w:rPr>
        <w:t>线下免费开放培训项目持续深化服务内涵，构建“常规+假期+实践+展示”四位一体培训模式，涵盖舞蹈、音乐、美术、书法等10个门类课程</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，线</w:t>
      </w:r>
      <w:r>
        <w:rPr>
          <w:rFonts w:ascii="Times New Roman" w:hAnsi="Times New Roman" w:eastAsia="仿宋_GB2312" w:cs="Times New Roman"/>
          <w:sz w:val="32"/>
          <w:szCs w:val="32"/>
          <w:lang w:val="en-US" w:eastAsia="zh-CN"/>
        </w:rPr>
        <w:t>完成培训694课时，服务学员</w:t>
      </w:r>
      <w:r>
        <w:rPr>
          <w:rFonts w:hint="eastAsia" w:ascii="Times New Roman" w:hAnsi="Times New Roman" w:eastAsia="仿宋_GB2312" w:cs="Times New Roman"/>
          <w:sz w:val="32"/>
          <w:szCs w:val="32"/>
          <w:lang w:val="en-US" w:eastAsia="zh-CN"/>
        </w:rPr>
        <w:t>2168</w:t>
      </w:r>
      <w:r>
        <w:rPr>
          <w:rFonts w:ascii="Times New Roman" w:hAnsi="Times New Roman" w:eastAsia="仿宋_GB2312" w:cs="Times New Roman"/>
          <w:sz w:val="32"/>
          <w:szCs w:val="32"/>
          <w:lang w:val="en-US" w:eastAsia="zh-CN"/>
        </w:rPr>
        <w:t>人次，成果展展示作品200件、组织文艺汇演节目10个，参与演出学员430人，现场观众数百人，营造“学有所获、学有所展”的良好氛围</w:t>
      </w:r>
      <w:r>
        <w:rPr>
          <w:rFonts w:hint="eastAsia" w:cs="Times New Roman"/>
          <w:b w:val="0"/>
          <w:color w:val="000000"/>
          <w:kern w:val="0"/>
          <w:sz w:val="32"/>
          <w:szCs w:val="32"/>
          <w:highlight w:val="none"/>
          <w:shd w:val="clear" w:color="auto" w:fill="FFFFFF"/>
          <w:lang w:val="en-US" w:eastAsia="zh-CN" w:bidi="ar-SA"/>
        </w:rPr>
        <w:t>；</w:t>
      </w:r>
      <w:r>
        <w:rPr>
          <w:rFonts w:hint="eastAsia" w:ascii="Times New Roman" w:hAnsi="Times New Roman" w:eastAsia="方正仿宋_GB2312" w:cs="Times New Roman"/>
          <w:b w:val="0"/>
          <w:bCs w:val="0"/>
          <w:kern w:val="0"/>
          <w:sz w:val="32"/>
          <w:szCs w:val="32"/>
          <w:lang w:val="en-US" w:eastAsia="zh-CN"/>
        </w:rPr>
        <w:t>成功举办“盛世馆藏版画展览”，该展览落地西藏美术馆，集中展出经典版画及祥巴作品共计80件</w:t>
      </w:r>
      <w:r>
        <w:rPr>
          <w:rFonts w:hint="eastAsia" w:eastAsia="方正仿宋_GB2312" w:cs="Times New Roman"/>
          <w:b w:val="0"/>
          <w:bCs w:val="0"/>
          <w:kern w:val="0"/>
          <w:sz w:val="32"/>
          <w:szCs w:val="32"/>
          <w:lang w:val="en-US" w:eastAsia="zh-CN"/>
        </w:rPr>
        <w:t>，</w:t>
      </w:r>
      <w:r>
        <w:rPr>
          <w:rFonts w:hint="eastAsia" w:ascii="Times New Roman" w:hAnsi="Times New Roman" w:eastAsia="方正仿宋_GB2312" w:cs="Times New Roman"/>
          <w:b w:val="0"/>
          <w:bCs w:val="0"/>
          <w:kern w:val="0"/>
          <w:sz w:val="32"/>
          <w:szCs w:val="32"/>
          <w:lang w:val="en-US" w:eastAsia="zh-CN"/>
        </w:rPr>
        <w:t>云朵上的音符”展示《大熊猫百图唐卡长卷》复制品</w:t>
      </w:r>
      <w:r>
        <w:rPr>
          <w:rFonts w:hint="eastAsia" w:eastAsia="方正仿宋_GB2312" w:cs="Times New Roman"/>
          <w:b w:val="0"/>
          <w:bCs w:val="0"/>
          <w:kern w:val="0"/>
          <w:sz w:val="32"/>
          <w:szCs w:val="32"/>
          <w:lang w:val="en-US" w:eastAsia="zh-CN"/>
        </w:rPr>
        <w:t>1副，</w:t>
      </w:r>
      <w:r>
        <w:rPr>
          <w:rFonts w:hint="eastAsia" w:ascii="Times New Roman" w:hAnsi="Times New Roman" w:eastAsia="方正仿宋_GB2312" w:cs="Times New Roman"/>
          <w:b w:val="0"/>
          <w:bCs w:val="0"/>
          <w:kern w:val="0"/>
          <w:sz w:val="32"/>
          <w:szCs w:val="32"/>
          <w:lang w:val="en-US" w:eastAsia="zh-CN"/>
        </w:rPr>
        <w:t>展示我州文创产品50件</w:t>
      </w:r>
    </w:p>
    <w:p w14:paraId="0E5EFC28">
      <w:pPr>
        <w:pageBreakBefore w:val="0"/>
        <w:kinsoku/>
        <w:wordWrap/>
        <w:overflowPunct/>
        <w:topLinePunct w:val="0"/>
        <w:bidi w:val="0"/>
        <w:spacing w:line="560" w:lineRule="exact"/>
        <w:ind w:firstLine="640" w:firstLineChars="200"/>
        <w:rPr>
          <w:rFonts w:hint="eastAsia"/>
          <w:sz w:val="32"/>
          <w:szCs w:val="32"/>
          <w:lang w:val="zh-CN"/>
        </w:rPr>
      </w:pPr>
      <w:r>
        <w:rPr>
          <w:sz w:val="32"/>
          <w:szCs w:val="32"/>
          <w:lang w:val="zh-CN"/>
        </w:rPr>
        <w:t>质量指标</w:t>
      </w:r>
      <w:r>
        <w:rPr>
          <w:rFonts w:hint="eastAsia"/>
          <w:sz w:val="32"/>
          <w:szCs w:val="32"/>
          <w:lang w:val="zh-CN"/>
        </w:rPr>
        <w:t>：所有开展活动的宣传、节目类型、创新提升水平、培训的人次、</w:t>
      </w:r>
      <w:r>
        <w:rPr>
          <w:sz w:val="32"/>
          <w:szCs w:val="32"/>
          <w:lang w:val="zh-CN"/>
        </w:rPr>
        <w:t>内刊</w:t>
      </w:r>
      <w:r>
        <w:rPr>
          <w:rFonts w:hint="eastAsia"/>
          <w:sz w:val="32"/>
          <w:szCs w:val="32"/>
          <w:lang w:val="zh-CN"/>
        </w:rPr>
        <w:t>内容的标准都是保质保量完成。</w:t>
      </w:r>
    </w:p>
    <w:p w14:paraId="42CB6E3A">
      <w:pPr>
        <w:pageBreakBefore w:val="0"/>
        <w:kinsoku/>
        <w:wordWrap/>
        <w:overflowPunct/>
        <w:topLinePunct w:val="0"/>
        <w:bidi w:val="0"/>
        <w:spacing w:line="560" w:lineRule="exact"/>
        <w:ind w:firstLine="640" w:firstLineChars="200"/>
        <w:rPr>
          <w:rFonts w:eastAsia="仿宋_GB2312"/>
          <w:sz w:val="32"/>
          <w:szCs w:val="32"/>
          <w:lang w:val="en-US" w:eastAsia="zh-CN"/>
        </w:rPr>
      </w:pPr>
      <w:r>
        <w:rPr>
          <w:rFonts w:hint="eastAsia"/>
          <w:sz w:val="32"/>
          <w:szCs w:val="32"/>
          <w:lang w:val="zh-CN"/>
        </w:rPr>
        <w:t>时效指标：项目完成时间都在202</w:t>
      </w:r>
      <w:r>
        <w:rPr>
          <w:rFonts w:hint="eastAsia"/>
          <w:sz w:val="32"/>
          <w:szCs w:val="32"/>
          <w:lang w:val="en-US" w:eastAsia="zh-CN"/>
        </w:rPr>
        <w:t>5</w:t>
      </w:r>
      <w:r>
        <w:rPr>
          <w:rFonts w:hint="eastAsia"/>
          <w:sz w:val="32"/>
          <w:szCs w:val="32"/>
          <w:lang w:val="zh-CN"/>
        </w:rPr>
        <w:t>年12月初完结，有</w:t>
      </w:r>
      <w:r>
        <w:rPr>
          <w:rFonts w:hint="eastAsia"/>
          <w:sz w:val="32"/>
          <w:szCs w:val="32"/>
          <w:lang w:val="en-US" w:eastAsia="zh-CN"/>
        </w:rPr>
        <w:t>2项非遗类项目是延续到2026年完结。</w:t>
      </w:r>
    </w:p>
    <w:p w14:paraId="0EAB6239">
      <w:pPr>
        <w:pageBreakBefore w:val="0"/>
        <w:kinsoku/>
        <w:wordWrap/>
        <w:overflowPunct/>
        <w:topLinePunct w:val="0"/>
        <w:bidi w:val="0"/>
        <w:spacing w:line="560" w:lineRule="exact"/>
        <w:ind w:firstLine="640" w:firstLineChars="200"/>
        <w:rPr>
          <w:sz w:val="32"/>
          <w:szCs w:val="32"/>
          <w:lang w:val="zh-CN"/>
        </w:rPr>
      </w:pPr>
      <w:r>
        <w:rPr>
          <w:sz w:val="32"/>
          <w:szCs w:val="32"/>
          <w:lang w:val="zh-CN"/>
        </w:rPr>
        <w:t>社会效益指标</w:t>
      </w:r>
      <w:r>
        <w:rPr>
          <w:rFonts w:hint="eastAsia"/>
          <w:sz w:val="32"/>
          <w:szCs w:val="32"/>
          <w:lang w:val="zh-CN"/>
        </w:rPr>
        <w:t>：所开展的项目活动都是惠民社会广大群众，用精彩的节目展示弘扬中华优秀传统文化，提高全社会对非遗保护的意识，提升群众的文化素养。我们的职能就是承上启下服务群众服务基层。</w:t>
      </w:r>
    </w:p>
    <w:p w14:paraId="4F12C268">
      <w:pPr>
        <w:pageBreakBefore w:val="0"/>
        <w:kinsoku/>
        <w:wordWrap/>
        <w:overflowPunct/>
        <w:topLinePunct w:val="0"/>
        <w:bidi w:val="0"/>
        <w:spacing w:line="560" w:lineRule="exact"/>
        <w:ind w:firstLine="640" w:firstLineChars="200"/>
        <w:rPr>
          <w:sz w:val="32"/>
          <w:szCs w:val="32"/>
          <w:lang w:val="zh-CN"/>
        </w:rPr>
      </w:pPr>
      <w:r>
        <w:rPr>
          <w:sz w:val="32"/>
          <w:szCs w:val="32"/>
          <w:lang w:val="zh-CN"/>
        </w:rPr>
        <w:t>满意度指标</w:t>
      </w:r>
      <w:r>
        <w:rPr>
          <w:rFonts w:hint="eastAsia"/>
          <w:sz w:val="32"/>
          <w:szCs w:val="32"/>
          <w:lang w:val="zh-CN"/>
        </w:rPr>
        <w:t>：</w:t>
      </w:r>
      <w:r>
        <w:rPr>
          <w:rFonts w:hint="eastAsia" w:hAnsi="Times New Roman" w:eastAsia="仿宋_GB2312" w:cs="Times New Roman"/>
          <w:color w:val="000000"/>
          <w:kern w:val="0"/>
          <w:sz w:val="32"/>
          <w:szCs w:val="32"/>
          <w:highlight w:val="none"/>
          <w:shd w:val="clear" w:color="auto" w:fill="FFFFFF"/>
          <w:lang w:val="en-US" w:eastAsia="zh-CN" w:bidi="ar-SA"/>
        </w:rPr>
        <w:t>在所有活动中观看人员及参与人员的满意度覆盖率达98%。上述自我评分值14分。</w:t>
      </w:r>
    </w:p>
    <w:p w14:paraId="195119BF">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zh-CN"/>
        </w:rPr>
        <w:t>预算管理。</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25分</w:t>
      </w:r>
      <w:r>
        <w:rPr>
          <w:rFonts w:hint="eastAsia" w:ascii="楷体_GB2312" w:hAnsi="楷体_GB2312" w:eastAsia="楷体_GB2312" w:cs="楷体_GB2312"/>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围绕预算编制质量、单位收入统筹、支出执行进度、预算年终结余、严控一般性支出进行绩效分析。</w:t>
      </w:r>
    </w:p>
    <w:p w14:paraId="6231A095">
      <w:pPr>
        <w:pStyle w:val="35"/>
        <w:pageBreakBefore w:val="0"/>
        <w:kinsoku/>
        <w:wordWrap/>
        <w:overflowPunct/>
        <w:topLinePunct w:val="0"/>
        <w:bidi w:val="0"/>
        <w:spacing w:line="560" w:lineRule="exact"/>
        <w:ind w:left="0" w:leftChars="0" w:firstLine="640" w:firstLineChars="200"/>
        <w:rPr>
          <w:rFonts w:hint="eastAsia" w:hAnsi="Times New Roman" w:eastAsia="仿宋_GB2312" w:cs="Times New Roman"/>
          <w:color w:val="000000"/>
          <w:kern w:val="0"/>
          <w:sz w:val="32"/>
          <w:szCs w:val="32"/>
          <w:highlight w:val="none"/>
          <w:shd w:val="clear" w:color="auto" w:fill="FFFFFF"/>
          <w:lang w:val="en-US" w:eastAsia="zh-CN" w:bidi="ar-SA"/>
        </w:rPr>
      </w:pP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2025年的年初预算是严格按照预算编制文件要求编制，部门预算通过规定程序申报，与各业务部门加强沟通确立各部门预算金额和采购品目，政府采购预算编制完整，充分论证项目事前绩效评估。我单位性质为公益一类财政全额拨款，无其他收入来源。</w:t>
      </w:r>
      <w:r>
        <w:rPr>
          <w:rFonts w:hint="eastAsia" w:hAnsi="Times New Roman" w:eastAsia="仿宋_GB2312" w:cs="Times New Roman"/>
          <w:color w:val="000000"/>
          <w:kern w:val="0"/>
          <w:sz w:val="32"/>
          <w:szCs w:val="32"/>
          <w:highlight w:val="none"/>
          <w:shd w:val="clear" w:color="auto" w:fill="FFFFFF"/>
          <w:lang w:val="en-US" w:eastAsia="zh-CN" w:bidi="ar-SA"/>
        </w:rPr>
        <w:t>我单位性质为公益一类财政全额拨款，无单位收入来源。</w:t>
      </w:r>
    </w:p>
    <w:p w14:paraId="6ACCA32B">
      <w:pPr>
        <w:pStyle w:val="35"/>
        <w:pageBreakBefore w:val="0"/>
        <w:kinsoku/>
        <w:wordWrap/>
        <w:overflowPunct/>
        <w:topLinePunct w:val="0"/>
        <w:bidi w:val="0"/>
        <w:spacing w:line="560" w:lineRule="exact"/>
        <w:ind w:left="0" w:leftChars="0" w:firstLine="640" w:firstLineChars="200"/>
        <w:rPr>
          <w:rFonts w:hint="eastAsia" w:hAnsi="Times New Roman" w:eastAsia="仿宋_GB2312" w:cs="Times New Roman"/>
          <w:color w:val="000000"/>
          <w:kern w:val="0"/>
          <w:sz w:val="32"/>
          <w:szCs w:val="32"/>
          <w:highlight w:val="none"/>
          <w:shd w:val="clear" w:color="auto" w:fill="FFFFFF"/>
          <w:lang w:val="en-US" w:eastAsia="zh-CN" w:bidi="ar-SA"/>
        </w:rPr>
      </w:pPr>
      <w:r>
        <w:rPr>
          <w:rFonts w:hint="eastAsia" w:hAnsi="Times New Roman" w:eastAsia="仿宋_GB2312" w:cs="Times New Roman"/>
          <w:color w:val="000000"/>
          <w:kern w:val="0"/>
          <w:sz w:val="32"/>
          <w:szCs w:val="32"/>
          <w:highlight w:val="none"/>
          <w:shd w:val="clear" w:color="auto" w:fill="FFFFFF"/>
          <w:lang w:val="en-US" w:eastAsia="zh-CN" w:bidi="ar-SA"/>
        </w:rPr>
        <w:t>支出执行进度：</w:t>
      </w:r>
      <w:r>
        <w:rPr>
          <w:rFonts w:hint="eastAsia" w:ascii="Lucida Sans" w:hAnsi="Lucida Sans" w:eastAsia="仿宋_GB2312"/>
          <w:sz w:val="32"/>
          <w:szCs w:val="32"/>
        </w:rPr>
        <w:t>202</w:t>
      </w:r>
      <w:r>
        <w:rPr>
          <w:rFonts w:ascii="Lucida Sans" w:hAnsi="Lucida Sans" w:eastAsia="仿宋_GB2312"/>
          <w:sz w:val="32"/>
          <w:szCs w:val="32"/>
          <w:lang w:val="en-US" w:eastAsia="zh-CN"/>
        </w:rPr>
        <w:t>5</w:t>
      </w:r>
      <w:r>
        <w:rPr>
          <w:rFonts w:hint="eastAsia" w:ascii="仿宋_GB2312" w:eastAsia="仿宋_GB2312"/>
          <w:sz w:val="32"/>
          <w:szCs w:val="32"/>
        </w:rPr>
        <w:t>年财政拨款收入为</w:t>
      </w:r>
      <w:r>
        <w:rPr>
          <w:rFonts w:ascii="Lucida Sans" w:hAnsi="Lucida Sans" w:eastAsia="仿宋_GB2312"/>
          <w:sz w:val="32"/>
          <w:szCs w:val="32"/>
        </w:rPr>
        <w:t>1706.66</w:t>
      </w:r>
      <w:r>
        <w:rPr>
          <w:rFonts w:hint="eastAsia" w:ascii="仿宋_GB2312" w:eastAsia="仿宋_GB2312"/>
          <w:sz w:val="32"/>
          <w:szCs w:val="32"/>
          <w:lang w:val="en-US" w:eastAsia="zh-CN"/>
        </w:rPr>
        <w:t>万</w:t>
      </w:r>
      <w:r>
        <w:rPr>
          <w:rFonts w:hint="eastAsia" w:ascii="仿宋_GB2312" w:eastAsia="仿宋_GB2312"/>
          <w:sz w:val="32"/>
          <w:szCs w:val="32"/>
        </w:rPr>
        <w:t>元</w:t>
      </w:r>
      <w:r>
        <w:rPr>
          <w:rFonts w:hint="eastAsia" w:ascii="仿宋_GB2312" w:eastAsia="仿宋_GB2312"/>
          <w:sz w:val="32"/>
          <w:szCs w:val="32"/>
          <w:lang w:eastAsia="zh-CN"/>
        </w:rPr>
        <w:t>，</w:t>
      </w:r>
      <w:r>
        <w:rPr>
          <w:rFonts w:hint="eastAsia" w:hAnsi="Times New Roman" w:eastAsia="仿宋_GB2312" w:cs="Times New Roman"/>
          <w:color w:val="000000"/>
          <w:kern w:val="0"/>
          <w:sz w:val="32"/>
          <w:szCs w:val="32"/>
          <w:highlight w:val="none"/>
          <w:shd w:val="clear" w:color="auto" w:fill="FFFFFF"/>
          <w:lang w:val="en-US" w:eastAsia="zh-CN" w:bidi="ar-SA"/>
        </w:rPr>
        <w:t>1至6月部门预算执行进度金额为595.97万元，支付率35%，1至10月部门预算执行进度金额为1037.66万元，支付率为60.8%，1至12月部门预算执行进度金额为</w:t>
      </w:r>
      <w:r>
        <w:rPr>
          <w:rFonts w:ascii="Lucida Sans" w:hAnsi="Lucida Sans" w:eastAsia="仿宋_GB2312"/>
          <w:sz w:val="32"/>
          <w:szCs w:val="32"/>
        </w:rPr>
        <w:t>1706.66</w:t>
      </w:r>
      <w:r>
        <w:rPr>
          <w:rFonts w:hint="eastAsia" w:hAnsi="Times New Roman" w:eastAsia="仿宋_GB2312" w:cs="Times New Roman"/>
          <w:color w:val="000000"/>
          <w:kern w:val="0"/>
          <w:sz w:val="32"/>
          <w:szCs w:val="32"/>
          <w:highlight w:val="none"/>
          <w:shd w:val="clear" w:color="auto" w:fill="FFFFFF"/>
          <w:lang w:val="en-US" w:eastAsia="zh-CN" w:bidi="ar-SA"/>
        </w:rPr>
        <w:t xml:space="preserve">万元，支付率为100%。2024年部门整体年终预算结余为0元。    </w:t>
      </w:r>
    </w:p>
    <w:p w14:paraId="1467F39B">
      <w:pPr>
        <w:pStyle w:val="35"/>
        <w:pageBreakBefore w:val="0"/>
        <w:kinsoku/>
        <w:wordWrap/>
        <w:overflowPunct/>
        <w:topLinePunct w:val="0"/>
        <w:bidi w:val="0"/>
        <w:spacing w:line="560" w:lineRule="exact"/>
        <w:ind w:left="0" w:leftChars="0" w:firstLine="640" w:firstLineChars="200"/>
        <w:rPr>
          <w:rFonts w:ascii="Times New Roman" w:hAnsi="Times New Roman" w:eastAsia="仿宋_GB2312" w:cs="Times New Roman"/>
          <w:b w:val="0"/>
          <w:color w:val="000000"/>
          <w:kern w:val="0"/>
          <w:sz w:val="32"/>
          <w:szCs w:val="32"/>
          <w:highlight w:val="none"/>
          <w:shd w:val="clear" w:color="auto" w:fill="FFFFFF"/>
          <w:lang w:val="en-US" w:eastAsia="zh-CN" w:bidi="ar-SA"/>
        </w:rPr>
      </w:pPr>
      <w:r>
        <w:rPr>
          <w:rFonts w:ascii="Times New Roman" w:hAnsi="Times New Roman" w:eastAsia="仿宋_GB2312" w:cs="Times New Roman"/>
          <w:b w:val="0"/>
          <w:color w:val="000000"/>
          <w:kern w:val="0"/>
          <w:sz w:val="32"/>
          <w:szCs w:val="32"/>
          <w:highlight w:val="none"/>
          <w:shd w:val="clear" w:color="auto" w:fill="FFFFFF"/>
          <w:lang w:val="en-US" w:eastAsia="zh-CN" w:bidi="ar-SA"/>
        </w:rPr>
        <w:t>严控一般性支出对“三公”经费、</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会议、</w:t>
      </w:r>
      <w:r>
        <w:rPr>
          <w:rFonts w:ascii="Times New Roman" w:hAnsi="Times New Roman" w:eastAsia="仿宋_GB2312" w:cs="Times New Roman"/>
          <w:b w:val="0"/>
          <w:color w:val="000000"/>
          <w:kern w:val="0"/>
          <w:sz w:val="32"/>
          <w:szCs w:val="32"/>
          <w:highlight w:val="none"/>
          <w:shd w:val="clear" w:color="auto" w:fill="FFFFFF"/>
          <w:lang w:val="en-US" w:eastAsia="zh-CN" w:bidi="ar-SA"/>
        </w:rPr>
        <w:t>培训、差旅、等一般性支出进行控制。202</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5</w:t>
      </w:r>
      <w:r>
        <w:rPr>
          <w:rFonts w:ascii="Times New Roman" w:hAnsi="Times New Roman" w:eastAsia="仿宋_GB2312" w:cs="Times New Roman"/>
          <w:b w:val="0"/>
          <w:color w:val="000000"/>
          <w:kern w:val="0"/>
          <w:sz w:val="32"/>
          <w:szCs w:val="32"/>
          <w:highlight w:val="none"/>
          <w:shd w:val="clear" w:color="auto" w:fill="FFFFFF"/>
          <w:lang w:val="en-US" w:eastAsia="zh-CN" w:bidi="ar-SA"/>
        </w:rPr>
        <w:t>年“三公”经费支出为</w:t>
      </w:r>
      <w:r>
        <w:rPr>
          <w:rFonts w:ascii="Lucida Sans" w:hAnsi="Lucida Sans" w:eastAsia="仿宋_GB2312"/>
          <w:sz w:val="32"/>
          <w:szCs w:val="32"/>
        </w:rPr>
        <w:t>13.68</w:t>
      </w:r>
      <w:r>
        <w:rPr>
          <w:rFonts w:ascii="Times New Roman" w:hAnsi="Times New Roman" w:eastAsia="仿宋_GB2312" w:cs="Times New Roman"/>
          <w:b w:val="0"/>
          <w:color w:val="000000"/>
          <w:kern w:val="0"/>
          <w:sz w:val="32"/>
          <w:szCs w:val="32"/>
          <w:highlight w:val="none"/>
          <w:shd w:val="clear" w:color="auto" w:fill="FFFFFF"/>
          <w:lang w:val="en-US" w:eastAsia="zh-CN" w:bidi="ar-SA"/>
        </w:rPr>
        <w:t>万元，其中，公务用车运行维护经费</w:t>
      </w:r>
      <w:r>
        <w:rPr>
          <w:rFonts w:ascii="Lucida Sans" w:hAnsi="Lucida Sans" w:eastAsia="仿宋_GB2312"/>
          <w:sz w:val="32"/>
          <w:szCs w:val="32"/>
        </w:rPr>
        <w:t>13.68</w:t>
      </w:r>
      <w:r>
        <w:rPr>
          <w:rFonts w:ascii="Times New Roman" w:hAnsi="Times New Roman" w:eastAsia="仿宋_GB2312" w:cs="Times New Roman"/>
          <w:b w:val="0"/>
          <w:color w:val="000000"/>
          <w:kern w:val="0"/>
          <w:sz w:val="32"/>
          <w:szCs w:val="32"/>
          <w:highlight w:val="none"/>
          <w:shd w:val="clear" w:color="auto" w:fill="FFFFFF"/>
          <w:lang w:val="en-US" w:eastAsia="zh-CN" w:bidi="ar-SA"/>
        </w:rPr>
        <w:t>元，公务车购置0.00万元，因公出国（境）费0.00万元，公务接待费</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0</w:t>
      </w:r>
      <w:r>
        <w:rPr>
          <w:rFonts w:ascii="Times New Roman" w:hAnsi="Times New Roman" w:eastAsia="仿宋_GB2312" w:cs="Times New Roman"/>
          <w:b w:val="0"/>
          <w:color w:val="000000"/>
          <w:kern w:val="0"/>
          <w:sz w:val="32"/>
          <w:szCs w:val="32"/>
          <w:highlight w:val="none"/>
          <w:shd w:val="clear" w:color="auto" w:fill="FFFFFF"/>
          <w:lang w:val="en-US" w:eastAsia="zh-CN" w:bidi="ar-SA"/>
        </w:rPr>
        <w:t>万元</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；会议费0万元、培训费</w:t>
      </w:r>
      <w:r>
        <w:rPr>
          <w:rFonts w:ascii="Lucida Sans" w:hAnsi="Lucida Sans" w:eastAsia="仿宋_GB2312"/>
          <w:sz w:val="32"/>
          <w:szCs w:val="32"/>
        </w:rPr>
        <w:t>3.88</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万元、差旅费</w:t>
      </w:r>
      <w:r>
        <w:rPr>
          <w:rFonts w:hint="eastAsia" w:ascii="仿宋_GB2312" w:eastAsia="仿宋_GB2312"/>
          <w:sz w:val="32"/>
          <w:szCs w:val="32"/>
        </w:rPr>
        <w:t>3</w:t>
      </w:r>
      <w:r>
        <w:rPr>
          <w:rFonts w:ascii="Lucida Sans" w:hAnsi="Lucida Sans" w:eastAsia="仿宋_GB2312"/>
          <w:sz w:val="32"/>
          <w:szCs w:val="32"/>
        </w:rPr>
        <w:t>7.47</w:t>
      </w:r>
      <w:r>
        <w:rPr>
          <w:rFonts w:hint="eastAsia" w:ascii="Times New Roman" w:hAnsi="Times New Roman" w:eastAsia="仿宋_GB2312" w:cs="Times New Roman"/>
          <w:b w:val="0"/>
          <w:color w:val="000000"/>
          <w:kern w:val="0"/>
          <w:sz w:val="32"/>
          <w:szCs w:val="32"/>
          <w:highlight w:val="none"/>
          <w:shd w:val="clear" w:color="auto" w:fill="FFFFFF"/>
          <w:lang w:val="en-US" w:eastAsia="zh-CN" w:bidi="ar-SA"/>
        </w:rPr>
        <w:t>万元</w:t>
      </w:r>
      <w:r>
        <w:rPr>
          <w:rFonts w:hint="eastAsia" w:hAnsi="Times New Roman" w:eastAsia="仿宋_GB2312" w:cs="Times New Roman"/>
          <w:b w:val="0"/>
          <w:color w:val="000000"/>
          <w:kern w:val="0"/>
          <w:sz w:val="32"/>
          <w:szCs w:val="32"/>
          <w:highlight w:val="none"/>
          <w:shd w:val="clear" w:color="auto" w:fill="FFFFFF"/>
          <w:lang w:val="en-US" w:eastAsia="zh-CN" w:bidi="ar-SA"/>
        </w:rPr>
        <w:t>。</w:t>
      </w:r>
      <w:r>
        <w:rPr>
          <w:rFonts w:hint="eastAsia" w:hAnsi="Times New Roman" w:eastAsia="仿宋_GB2312" w:cs="Times New Roman"/>
          <w:color w:val="000000"/>
          <w:kern w:val="0"/>
          <w:sz w:val="32"/>
          <w:szCs w:val="32"/>
          <w:highlight w:val="none"/>
          <w:shd w:val="clear" w:color="auto" w:fill="FFFFFF"/>
          <w:lang w:val="en-US" w:eastAsia="zh-CN" w:bidi="ar-SA"/>
        </w:rPr>
        <w:t>上述自我评分值23分</w:t>
      </w:r>
    </w:p>
    <w:p w14:paraId="6667B99F">
      <w:pPr>
        <w:keepNext w:val="0"/>
        <w:keepLines w:val="0"/>
        <w:pageBreakBefore w:val="0"/>
        <w:widowControl w:val="0"/>
        <w:kinsoku/>
        <w:wordWrap/>
        <w:overflowPunct/>
        <w:topLinePunct w:val="0"/>
        <w:autoSpaceDE/>
        <w:autoSpaceDN/>
        <w:bidi w:val="0"/>
        <w:adjustRightInd w:val="0"/>
        <w:snapToGrid w:val="0"/>
        <w:spacing w:line="560" w:lineRule="exact"/>
        <w:ind w:left="420" w:leftChars="200" w:firstLine="640" w:firstLineChars="200"/>
        <w:contextualSpacing/>
        <w:jc w:val="left"/>
        <w:textAlignment w:val="auto"/>
        <w:outlineLvl w:val="9"/>
        <w:rPr>
          <w:rFonts w:hint="eastAsia" w:ascii="Times New Roman" w:hAnsi="Times New Roman"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3.</w:t>
      </w:r>
      <w:r>
        <w:rPr>
          <w:rFonts w:ascii="Times New Roman" w:hAnsi="Times New Roman" w:eastAsia="楷体_GB2312" w:cs="Times New Roman"/>
          <w:color w:val="000000"/>
          <w:kern w:val="0"/>
          <w:sz w:val="32"/>
          <w:szCs w:val="32"/>
          <w:highlight w:val="none"/>
          <w:shd w:val="clear" w:color="auto" w:fill="FFFFFF"/>
          <w:lang w:val="zh-CN"/>
        </w:rPr>
        <w:t>财务管理。</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10分</w:t>
      </w:r>
      <w:r>
        <w:rPr>
          <w:rFonts w:hint="eastAsia" w:ascii="楷体_GB2312" w:hAnsi="楷体_GB2312" w:eastAsia="楷体_GB2312" w:cs="楷体_GB2312"/>
          <w:color w:val="000000"/>
          <w:kern w:val="0"/>
          <w:sz w:val="32"/>
          <w:szCs w:val="32"/>
          <w:highlight w:val="none"/>
          <w:shd w:val="clear" w:color="auto" w:fill="FFFFFF"/>
          <w:lang w:val="zh-CN"/>
        </w:rPr>
        <w:t>）</w:t>
      </w:r>
    </w:p>
    <w:p w14:paraId="29A51A9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仿宋_GB2312" w:hAnsi="黑体" w:cs="黑体"/>
          <w:color w:val="000000"/>
          <w:kern w:val="0"/>
          <w:sz w:val="32"/>
          <w:szCs w:val="32"/>
          <w:lang w:eastAsia="zh-CN"/>
        </w:rPr>
      </w:pPr>
      <w:r>
        <w:rPr>
          <w:rFonts w:ascii="Times New Roman" w:hAnsi="Times New Roman" w:cs="Times New Roman"/>
          <w:color w:val="000000"/>
          <w:kern w:val="0"/>
          <w:sz w:val="32"/>
          <w:szCs w:val="32"/>
          <w:highlight w:val="none"/>
          <w:shd w:val="clear" w:color="auto" w:fill="FFFFFF"/>
          <w:lang w:val="zh-CN"/>
        </w:rPr>
        <w:t>围绕财务管理制度、财务岗位设置、资金使用规范进行绩效分析。</w:t>
      </w:r>
      <w:r>
        <w:rPr>
          <w:rFonts w:hint="eastAsia" w:ascii="仿宋_GB2312" w:hAnsi="黑体" w:eastAsia="仿宋_GB2312" w:cs="黑体"/>
          <w:color w:val="000000"/>
          <w:kern w:val="0"/>
          <w:sz w:val="32"/>
          <w:szCs w:val="32"/>
          <w:lang w:eastAsia="zh-CN"/>
        </w:rPr>
        <w:t>一是</w:t>
      </w:r>
      <w:r>
        <w:rPr>
          <w:rFonts w:hint="eastAsia" w:ascii="仿宋_GB2312" w:hAnsi="黑体" w:eastAsia="仿宋_GB2312" w:cs="黑体"/>
          <w:color w:val="000000"/>
          <w:kern w:val="0"/>
          <w:sz w:val="32"/>
          <w:szCs w:val="32"/>
        </w:rPr>
        <w:t>结合本单位实际情况，</w:t>
      </w:r>
      <w:r>
        <w:rPr>
          <w:rFonts w:hint="eastAsia" w:ascii="仿宋_GB2312" w:hAnsi="黑体" w:eastAsia="仿宋_GB2312" w:cs="黑体"/>
          <w:color w:val="000000"/>
          <w:kern w:val="0"/>
          <w:sz w:val="32"/>
          <w:szCs w:val="32"/>
          <w:lang w:eastAsia="zh-CN"/>
        </w:rPr>
        <w:t>我单位制度了《阿坝州文化馆工作制度》，里面包含</w:t>
      </w:r>
      <w:r>
        <w:rPr>
          <w:rFonts w:hint="eastAsia" w:ascii="仿宋_GB2312" w:hAnsi="黑体" w:eastAsia="仿宋_GB2312" w:cs="黑体"/>
          <w:color w:val="000000"/>
          <w:kern w:val="0"/>
          <w:sz w:val="32"/>
          <w:szCs w:val="32"/>
        </w:rPr>
        <w:t>一系列内部管理规章制度和操作程序</w:t>
      </w:r>
      <w:r>
        <w:rPr>
          <w:rFonts w:hint="eastAsia" w:ascii="仿宋_GB2312" w:hAnsi="黑体" w:eastAsia="仿宋_GB2312" w:cs="黑体"/>
          <w:color w:val="000000"/>
          <w:kern w:val="0"/>
          <w:sz w:val="32"/>
          <w:szCs w:val="32"/>
          <w:lang w:eastAsia="zh-CN"/>
        </w:rPr>
        <w:t>。《阿坝州文化馆政府采购内控管理制度》</w:t>
      </w:r>
      <w:r>
        <w:rPr>
          <w:rFonts w:hint="eastAsia" w:ascii="仿宋_GB2312" w:hAnsi="黑体" w:cs="黑体"/>
          <w:color w:val="000000"/>
          <w:kern w:val="0"/>
          <w:sz w:val="32"/>
          <w:szCs w:val="32"/>
          <w:lang w:eastAsia="zh-CN"/>
        </w:rPr>
        <w:t>；</w:t>
      </w:r>
    </w:p>
    <w:p w14:paraId="52AD882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ascii="仿宋_GB2312" w:hAnsi="宋体" w:eastAsia="仿宋_GB2312"/>
          <w:bCs/>
          <w:sz w:val="32"/>
          <w:szCs w:val="32"/>
          <w:lang w:eastAsia="zh-CN"/>
        </w:rPr>
      </w:pPr>
      <w:r>
        <w:rPr>
          <w:rFonts w:hint="eastAsia" w:ascii="仿宋_GB2312" w:hAnsi="黑体" w:eastAsia="仿宋_GB2312" w:cs="黑体"/>
          <w:color w:val="000000"/>
          <w:kern w:val="0"/>
          <w:sz w:val="32"/>
          <w:szCs w:val="32"/>
          <w:lang w:eastAsia="zh-CN"/>
        </w:rPr>
        <w:t>二是</w:t>
      </w:r>
      <w:r>
        <w:rPr>
          <w:rFonts w:hint="eastAsia" w:ascii="仿宋_GB2312" w:hAnsi="黑体" w:eastAsia="仿宋_GB2312" w:cs="黑体"/>
          <w:color w:val="000000"/>
          <w:kern w:val="0"/>
          <w:sz w:val="32"/>
          <w:szCs w:val="32"/>
        </w:rPr>
        <w:t>根据本单位实际工作，在建立并实施内部监督和控制制度过程中，</w:t>
      </w:r>
      <w:r>
        <w:rPr>
          <w:rFonts w:hint="eastAsia" w:ascii="仿宋_GB2312" w:hAnsi="宋体" w:eastAsia="仿宋_GB2312"/>
          <w:bCs/>
          <w:sz w:val="32"/>
          <w:szCs w:val="32"/>
        </w:rPr>
        <w:t>通过岗位设置、权责分配、内部流程等形成相互制衡、相互监督</w:t>
      </w:r>
      <w:r>
        <w:rPr>
          <w:rFonts w:hint="eastAsia" w:ascii="仿宋_GB2312" w:hAnsi="宋体" w:eastAsia="仿宋_GB2312"/>
          <w:bCs/>
          <w:sz w:val="32"/>
          <w:szCs w:val="32"/>
          <w:lang w:eastAsia="zh-CN"/>
        </w:rPr>
        <w:t>；</w:t>
      </w:r>
    </w:p>
    <w:p w14:paraId="0469CB4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sz w:val="32"/>
          <w:szCs w:val="32"/>
          <w:lang w:val="zh-CN"/>
        </w:rPr>
      </w:pPr>
      <w:r>
        <w:rPr>
          <w:rFonts w:hint="eastAsia" w:ascii="仿宋_GB2312" w:hAnsi="宋体" w:eastAsia="仿宋_GB2312"/>
          <w:bCs/>
          <w:sz w:val="32"/>
          <w:szCs w:val="32"/>
          <w:lang w:eastAsia="zh-CN"/>
        </w:rPr>
        <w:t>三是资金使用按批复的预算文件履行当年预算，在预算内、范围内按预算安排支出，当年支出按照行政事业单位相关规定列支，严格按照先有预算，后有支出原则。加强对财务、物资采购、资金使用等方面的管理，规范预算资金支出。</w:t>
      </w:r>
      <w:r>
        <w:rPr>
          <w:rFonts w:hint="eastAsia" w:hAnsi="Times New Roman" w:eastAsia="仿宋_GB2312" w:cs="Times New Roman"/>
          <w:color w:val="000000"/>
          <w:kern w:val="0"/>
          <w:sz w:val="32"/>
          <w:szCs w:val="32"/>
          <w:highlight w:val="none"/>
          <w:shd w:val="clear" w:color="auto" w:fill="FFFFFF"/>
          <w:lang w:val="en-US" w:eastAsia="zh-CN" w:bidi="ar-SA"/>
        </w:rPr>
        <w:t>上述自我评分值10分</w:t>
      </w:r>
    </w:p>
    <w:p w14:paraId="6CD7DB79">
      <w:pPr>
        <w:keepNext w:val="0"/>
        <w:keepLines w:val="0"/>
        <w:pageBreakBefore w:val="0"/>
        <w:widowControl w:val="0"/>
        <w:kinsoku/>
        <w:wordWrap/>
        <w:overflowPunct/>
        <w:topLinePunct w:val="0"/>
        <w:autoSpaceDE/>
        <w:autoSpaceDN/>
        <w:bidi w:val="0"/>
        <w:adjustRightInd w:val="0"/>
        <w:snapToGrid w:val="0"/>
        <w:spacing w:line="560" w:lineRule="exact"/>
        <w:ind w:left="420" w:leftChars="200" w:firstLine="640" w:firstLineChars="200"/>
        <w:contextualSpacing/>
        <w:jc w:val="left"/>
        <w:textAlignment w:val="auto"/>
        <w:outlineLvl w:val="9"/>
        <w:rPr>
          <w:sz w:val="32"/>
          <w:szCs w:val="32"/>
          <w:lang w:val="zh-CN"/>
        </w:rPr>
      </w:pPr>
      <w:r>
        <w:rPr>
          <w:rFonts w:hint="eastAsia" w:eastAsia="楷体_GB2312" w:cs="Times New Roman"/>
          <w:color w:val="000000"/>
          <w:kern w:val="0"/>
          <w:sz w:val="32"/>
          <w:szCs w:val="32"/>
          <w:highlight w:val="none"/>
          <w:shd w:val="clear" w:color="auto" w:fill="FFFFFF"/>
          <w:lang w:val="en-US" w:eastAsia="zh-CN"/>
        </w:rPr>
        <w:t>4.</w:t>
      </w:r>
      <w:r>
        <w:rPr>
          <w:rFonts w:ascii="Times New Roman" w:hAnsi="Times New Roman" w:eastAsia="楷体_GB2312" w:cs="Times New Roman"/>
          <w:color w:val="000000"/>
          <w:kern w:val="0"/>
          <w:sz w:val="32"/>
          <w:szCs w:val="32"/>
          <w:highlight w:val="none"/>
          <w:shd w:val="clear" w:color="auto" w:fill="FFFFFF"/>
          <w:lang w:val="zh-CN"/>
        </w:rPr>
        <w:t>资产管理。</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9分</w:t>
      </w:r>
      <w:r>
        <w:rPr>
          <w:rFonts w:hint="eastAsia" w:ascii="楷体_GB2312" w:hAnsi="楷体_GB2312" w:eastAsia="楷体_GB2312" w:cs="楷体_GB2312"/>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围绕人均资产变化率、资产利用率、资产盘活率进行绩效分析。</w:t>
      </w:r>
    </w:p>
    <w:p w14:paraId="75361AFD">
      <w:pPr>
        <w:pStyle w:val="35"/>
        <w:pageBreakBefore w:val="0"/>
        <w:widowControl w:val="0"/>
        <w:kinsoku/>
        <w:wordWrap/>
        <w:overflowPunct/>
        <w:topLinePunct w:val="0"/>
        <w:bidi w:val="0"/>
        <w:spacing w:after="120" w:line="560" w:lineRule="exact"/>
        <w:ind w:left="0" w:leftChars="0" w:firstLine="640" w:firstLineChars="200"/>
        <w:jc w:val="both"/>
        <w:textAlignment w:val="baseline"/>
        <w:rPr>
          <w:sz w:val="32"/>
          <w:szCs w:val="32"/>
          <w:lang w:val="zh-CN"/>
        </w:rPr>
      </w:pPr>
      <w:r>
        <w:rPr>
          <w:rFonts w:hint="eastAsia" w:ascii="楷体_GB2312" w:hAnsi="楷体_GB2312" w:eastAsia="楷体_GB2312" w:cs="楷体_GB2312"/>
          <w:color w:val="000000"/>
          <w:kern w:val="0"/>
          <w:sz w:val="32"/>
          <w:szCs w:val="32"/>
          <w:highlight w:val="none"/>
          <w:shd w:val="clear" w:color="auto" w:fill="FFFFFF"/>
          <w:lang w:val="zh-CN" w:eastAsia="zh-CN" w:bidi="ar-SA"/>
        </w:rPr>
        <w:t>本单位资产管理，财务人员负责资产账务入账、计提折旧。办公室负责资产购置、实物保管、发放、转移等工作的管理与监督。准确及时把握资产的增减变动及其结存情况，实现资产的全生命周期管理。</w:t>
      </w:r>
      <w:r>
        <w:rPr>
          <w:rFonts w:hint="eastAsia" w:hAnsi="Times New Roman" w:eastAsia="仿宋_GB2312" w:cs="Times New Roman"/>
          <w:color w:val="000000"/>
          <w:kern w:val="0"/>
          <w:sz w:val="32"/>
          <w:szCs w:val="32"/>
          <w:highlight w:val="none"/>
          <w:shd w:val="clear" w:color="auto" w:fill="FFFFFF"/>
          <w:lang w:val="en-US" w:eastAsia="zh-CN" w:bidi="ar-SA"/>
        </w:rPr>
        <w:t>上述自我评分值6分</w:t>
      </w:r>
    </w:p>
    <w:p w14:paraId="4C1702B8">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zh-CN"/>
        </w:rPr>
        <w:t>采购管理。</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6分</w:t>
      </w:r>
      <w:r>
        <w:rPr>
          <w:rFonts w:hint="eastAsia" w:ascii="楷体_GB2312" w:hAnsi="楷体_GB2312" w:eastAsia="楷体_GB2312" w:cs="楷体_GB2312"/>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围绕支持中小企业发展、采购执行率进行绩效分析。</w:t>
      </w:r>
    </w:p>
    <w:p w14:paraId="4FA90F3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ascii="仿宋_GB2312" w:hAnsi="黑体" w:eastAsia="仿宋_GB2312" w:cs="黑体"/>
          <w:color w:val="000000"/>
          <w:kern w:val="0"/>
          <w:sz w:val="32"/>
          <w:szCs w:val="32"/>
        </w:rPr>
        <w:t>结合本单位实际情况，</w:t>
      </w:r>
      <w:r>
        <w:rPr>
          <w:rFonts w:hint="eastAsia" w:ascii="仿宋_GB2312" w:hAnsi="黑体" w:eastAsia="仿宋_GB2312" w:cs="黑体"/>
          <w:color w:val="000000"/>
          <w:kern w:val="0"/>
          <w:sz w:val="32"/>
          <w:szCs w:val="32"/>
          <w:lang w:eastAsia="zh-CN"/>
        </w:rPr>
        <w:t>我单位制度了《阿坝州文化馆政府采购内控管理制度》</w:t>
      </w:r>
      <w:r>
        <w:rPr>
          <w:rFonts w:hint="eastAsia" w:ascii="仿宋_GB2312" w:hAnsi="黑体" w:cs="黑体"/>
          <w:color w:val="000000"/>
          <w:kern w:val="0"/>
          <w:sz w:val="32"/>
          <w:szCs w:val="32"/>
          <w:lang w:eastAsia="zh-CN"/>
        </w:rPr>
        <w:t>，根据制度</w:t>
      </w:r>
      <w:r>
        <w:rPr>
          <w:rFonts w:hint="eastAsia" w:ascii="仿宋_GB2312" w:hAnsi="黑体" w:cs="黑体"/>
          <w:color w:val="000000"/>
          <w:kern w:val="0"/>
          <w:sz w:val="32"/>
          <w:szCs w:val="32"/>
          <w:lang w:val="en-US" w:eastAsia="zh-CN"/>
        </w:rPr>
        <w:t>10万以上</w:t>
      </w:r>
      <w:r>
        <w:rPr>
          <w:rFonts w:hint="eastAsia" w:ascii="仿宋_GB2312" w:hAnsi="黑体" w:cs="黑体"/>
          <w:color w:val="000000"/>
          <w:kern w:val="0"/>
          <w:sz w:val="32"/>
          <w:szCs w:val="32"/>
          <w:lang w:eastAsia="zh-CN"/>
        </w:rPr>
        <w:t>大额采购资金过局党组，小额资金单位按内控程序采购，</w:t>
      </w:r>
      <w:r>
        <w:rPr>
          <w:rFonts w:hint="eastAsia" w:ascii="楷体_GB2312" w:hAnsi="楷体_GB2312" w:eastAsia="楷体_GB2312" w:cs="楷体_GB2312"/>
          <w:color w:val="000000"/>
          <w:kern w:val="0"/>
          <w:sz w:val="32"/>
          <w:szCs w:val="32"/>
          <w:highlight w:val="none"/>
          <w:shd w:val="clear" w:color="auto" w:fill="FFFFFF"/>
          <w:lang w:val="zh-CN"/>
        </w:rPr>
        <w:t>单位的采购管理是严格按照政府采购文件执行，采购范围是按《促进中小企业发展相关管理办法》执行。</w:t>
      </w:r>
      <w:r>
        <w:rPr>
          <w:rFonts w:hint="eastAsia" w:cs="Times New Roman"/>
          <w:color w:val="000000"/>
          <w:kern w:val="0"/>
          <w:sz w:val="32"/>
          <w:szCs w:val="32"/>
          <w:highlight w:val="none"/>
          <w:shd w:val="clear" w:color="auto" w:fill="FFFFFF"/>
          <w:lang w:val="zh-CN"/>
        </w:rPr>
        <w:t>采购执行资金比例是按双方协商支付，一般分为首款、中期款、尾款</w:t>
      </w:r>
      <w:r>
        <w:rPr>
          <w:rFonts w:hint="eastAsia" w:ascii="仿宋_GB2312" w:hAnsi="宋体" w:eastAsia="仿宋_GB2312"/>
          <w:bCs/>
          <w:sz w:val="32"/>
          <w:szCs w:val="32"/>
          <w:lang w:eastAsia="zh-CN"/>
        </w:rPr>
        <w:t>并按项目进度支付资金</w:t>
      </w:r>
      <w:r>
        <w:rPr>
          <w:rFonts w:hint="eastAsia" w:ascii="仿宋_GB2312" w:hAnsi="宋体"/>
          <w:bCs/>
          <w:sz w:val="32"/>
          <w:szCs w:val="32"/>
          <w:lang w:eastAsia="zh-CN"/>
        </w:rPr>
        <w:t>。</w:t>
      </w:r>
      <w:r>
        <w:rPr>
          <w:rFonts w:hint="eastAsia" w:hAnsi="Times New Roman" w:eastAsia="仿宋_GB2312" w:cs="Times New Roman"/>
          <w:color w:val="000000"/>
          <w:kern w:val="0"/>
          <w:sz w:val="32"/>
          <w:szCs w:val="32"/>
          <w:highlight w:val="none"/>
          <w:shd w:val="clear" w:color="auto" w:fill="FFFFFF"/>
          <w:lang w:val="en-US" w:eastAsia="zh-CN" w:bidi="ar-SA"/>
        </w:rPr>
        <w:t>上述自我评分值</w:t>
      </w:r>
      <w:r>
        <w:rPr>
          <w:rFonts w:hint="eastAsia" w:cs="Times New Roman"/>
          <w:color w:val="000000"/>
          <w:kern w:val="0"/>
          <w:sz w:val="32"/>
          <w:szCs w:val="32"/>
          <w:highlight w:val="none"/>
          <w:shd w:val="clear" w:color="auto" w:fill="FFFFFF"/>
          <w:lang w:val="en-US" w:eastAsia="zh-CN" w:bidi="ar-SA"/>
        </w:rPr>
        <w:t>5</w:t>
      </w:r>
      <w:r>
        <w:rPr>
          <w:rFonts w:hint="eastAsia" w:hAnsi="Times New Roman" w:eastAsia="仿宋_GB2312" w:cs="Times New Roman"/>
          <w:color w:val="000000"/>
          <w:kern w:val="0"/>
          <w:sz w:val="32"/>
          <w:szCs w:val="32"/>
          <w:highlight w:val="none"/>
          <w:shd w:val="clear" w:color="auto" w:fill="FFFFFF"/>
          <w:lang w:val="en-US" w:eastAsia="zh-CN" w:bidi="ar-SA"/>
        </w:rPr>
        <w:t>分</w:t>
      </w:r>
    </w:p>
    <w:p w14:paraId="59A16D2B">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ascii="Times New Roman" w:hAnsi="Times New Roman" w:cs="Times New Roman"/>
          <w:color w:val="000000"/>
          <w:kern w:val="0"/>
          <w:sz w:val="32"/>
          <w:szCs w:val="32"/>
          <w:highlight w:val="none"/>
          <w:shd w:val="clear" w:color="auto" w:fill="FFFFFF"/>
          <w:lang w:val="zh-CN" w:eastAsia="zh-CN"/>
        </w:rPr>
        <w:t>填报以下数据，</w:t>
      </w:r>
      <w:r>
        <w:rPr>
          <w:rFonts w:ascii="Times New Roman" w:hAnsi="Times New Roman" w:cs="Times New Roman"/>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ascii="Times New Roman" w:hAnsi="Times New Roman" w:cs="Times New Roman"/>
          <w:color w:val="000000"/>
          <w:kern w:val="0"/>
          <w:sz w:val="32"/>
          <w:szCs w:val="32"/>
          <w:highlight w:val="none"/>
          <w:shd w:val="clear" w:color="auto" w:fill="FFFFFF"/>
          <w:lang w:val="en-US" w:eastAsia="zh-CN"/>
        </w:rPr>
        <w:t>决策、项目执行、目标实现等情况。</w:t>
      </w:r>
    </w:p>
    <w:p w14:paraId="72A74FA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zh-CN" w:eastAsia="zh-CN"/>
        </w:rPr>
      </w:pPr>
      <w:r>
        <w:rPr>
          <w:rFonts w:ascii="Times New Roman" w:hAnsi="Times New Roman" w:cs="Times New Roman"/>
          <w:color w:val="000000"/>
          <w:kern w:val="0"/>
          <w:sz w:val="32"/>
          <w:szCs w:val="32"/>
          <w:highlight w:val="none"/>
          <w:shd w:val="clear" w:color="auto" w:fill="FFFFFF"/>
          <w:lang w:val="en-US" w:eastAsia="zh-CN"/>
        </w:rPr>
        <w:t>常年项目绩效分析。</w:t>
      </w:r>
      <w:r>
        <w:rPr>
          <w:rFonts w:ascii="Times New Roman" w:hAnsi="Times New Roman" w:cs="Times New Roman"/>
          <w:color w:val="000000"/>
          <w:kern w:val="0"/>
          <w:sz w:val="32"/>
          <w:szCs w:val="32"/>
          <w:highlight w:val="none"/>
          <w:shd w:val="clear" w:color="auto" w:fill="FFFFFF"/>
          <w:lang w:val="zh-CN" w:eastAsia="zh-CN"/>
        </w:rPr>
        <w:t>该类项目总数</w:t>
      </w:r>
      <w:r>
        <w:rPr>
          <w:rFonts w:hint="eastAsia" w:cs="Times New Roman"/>
          <w:color w:val="000000"/>
          <w:kern w:val="0"/>
          <w:sz w:val="32"/>
          <w:szCs w:val="32"/>
          <w:highlight w:val="none"/>
          <w:shd w:val="clear" w:color="auto" w:fill="FFFFFF"/>
          <w:lang w:val="en-US" w:eastAsia="zh-CN"/>
        </w:rPr>
        <w:t>6</w:t>
      </w:r>
      <w:r>
        <w:rPr>
          <w:rFonts w:ascii="Times New Roman" w:hAnsi="Times New Roman" w:cs="Times New Roman"/>
          <w:color w:val="000000"/>
          <w:kern w:val="0"/>
          <w:sz w:val="32"/>
          <w:szCs w:val="32"/>
          <w:highlight w:val="none"/>
          <w:shd w:val="clear" w:color="auto" w:fill="FFFFFF"/>
          <w:lang w:val="zh-CN" w:eastAsia="zh-CN"/>
        </w:rPr>
        <w:t>个，涉及预算总金额</w:t>
      </w:r>
      <w:r>
        <w:rPr>
          <w:rFonts w:hint="eastAsia" w:cs="Times New Roman"/>
          <w:color w:val="000000"/>
          <w:kern w:val="0"/>
          <w:sz w:val="32"/>
          <w:szCs w:val="32"/>
          <w:highlight w:val="none"/>
          <w:shd w:val="clear" w:color="auto" w:fill="FFFFFF"/>
          <w:lang w:val="en-US" w:eastAsia="zh-CN"/>
        </w:rPr>
        <w:t>75</w:t>
      </w:r>
      <w:r>
        <w:rPr>
          <w:rFonts w:ascii="Times New Roman" w:hAnsi="Times New Roman" w:cs="Times New Roman"/>
          <w:color w:val="000000"/>
          <w:kern w:val="0"/>
          <w:sz w:val="32"/>
          <w:szCs w:val="32"/>
          <w:highlight w:val="none"/>
          <w:shd w:val="clear" w:color="auto" w:fill="FFFFFF"/>
          <w:lang w:val="en-US" w:eastAsia="zh-CN"/>
        </w:rPr>
        <w:t xml:space="preserve"> </w:t>
      </w:r>
      <w:r>
        <w:rPr>
          <w:rFonts w:ascii="Times New Roman" w:hAnsi="Times New Roman" w:cs="Times New Roman"/>
          <w:color w:val="000000"/>
          <w:kern w:val="0"/>
          <w:sz w:val="32"/>
          <w:szCs w:val="32"/>
          <w:highlight w:val="none"/>
          <w:shd w:val="clear" w:color="auto" w:fill="FFFFFF"/>
          <w:lang w:val="zh-CN" w:eastAsia="zh-CN"/>
        </w:rPr>
        <w:t>万元，</w:t>
      </w:r>
      <w:r>
        <w:rPr>
          <w:rFonts w:ascii="Times New Roman" w:hAnsi="Times New Roman" w:cs="Times New Roman"/>
          <w:color w:val="000000"/>
          <w:kern w:val="0"/>
          <w:sz w:val="32"/>
          <w:szCs w:val="32"/>
          <w:highlight w:val="none"/>
          <w:shd w:val="clear" w:color="auto" w:fill="FFFFFF"/>
          <w:lang w:val="zh-CN"/>
        </w:rPr>
        <w:t>1</w:t>
      </w:r>
      <w:r>
        <w:rPr>
          <w:rFonts w:hint="eastAsia" w:cs="Times New Roman"/>
          <w:color w:val="000000"/>
          <w:kern w:val="0"/>
          <w:sz w:val="32"/>
          <w:szCs w:val="32"/>
          <w:highlight w:val="none"/>
          <w:shd w:val="clear" w:color="auto" w:fill="FFFFFF"/>
          <w:lang w:val="zh-CN" w:eastAsia="zh-CN"/>
        </w:rPr>
        <w:t>—</w:t>
      </w:r>
      <w:r>
        <w:rPr>
          <w:rFonts w:ascii="Times New Roman" w:hAnsi="Times New Roman" w:cs="Times New Roman"/>
          <w:color w:val="000000"/>
          <w:kern w:val="0"/>
          <w:sz w:val="32"/>
          <w:szCs w:val="32"/>
          <w:highlight w:val="none"/>
          <w:shd w:val="clear" w:color="auto" w:fill="FFFFFF"/>
          <w:lang w:val="zh-CN"/>
        </w:rPr>
        <w:t>1</w:t>
      </w:r>
      <w:r>
        <w:rPr>
          <w:rFonts w:ascii="Times New Roman" w:hAnsi="Times New Roman" w:cs="Times New Roman"/>
          <w:color w:val="000000"/>
          <w:kern w:val="0"/>
          <w:sz w:val="32"/>
          <w:szCs w:val="32"/>
          <w:highlight w:val="none"/>
          <w:shd w:val="clear" w:color="auto" w:fill="FFFFFF"/>
          <w:lang w:val="en-US" w:eastAsia="zh-CN"/>
        </w:rPr>
        <w:t>2</w:t>
      </w:r>
      <w:r>
        <w:rPr>
          <w:rFonts w:ascii="Times New Roman" w:hAnsi="Times New Roman" w:cs="Times New Roman"/>
          <w:color w:val="000000"/>
          <w:kern w:val="0"/>
          <w:sz w:val="32"/>
          <w:szCs w:val="32"/>
          <w:highlight w:val="none"/>
          <w:shd w:val="clear" w:color="auto" w:fill="FFFFFF"/>
          <w:lang w:val="zh-CN"/>
        </w:rPr>
        <w:t>月预算执行总</w:t>
      </w:r>
      <w:r>
        <w:rPr>
          <w:rFonts w:hint="eastAsia" w:cs="Times New Roman"/>
          <w:color w:val="000000"/>
          <w:kern w:val="0"/>
          <w:sz w:val="32"/>
          <w:szCs w:val="32"/>
          <w:highlight w:val="none"/>
          <w:shd w:val="clear" w:color="auto" w:fill="FFFFFF"/>
          <w:lang w:val="zh-CN"/>
        </w:rPr>
        <w:t>金额</w:t>
      </w:r>
      <w:r>
        <w:rPr>
          <w:rFonts w:hint="eastAsia" w:cs="Times New Roman"/>
          <w:color w:val="000000"/>
          <w:kern w:val="0"/>
          <w:sz w:val="32"/>
          <w:szCs w:val="32"/>
          <w:highlight w:val="none"/>
          <w:shd w:val="clear" w:color="auto" w:fill="FFFFFF"/>
          <w:lang w:val="en-US" w:eastAsia="zh-CN"/>
        </w:rPr>
        <w:t>66.76万元，总</w:t>
      </w:r>
      <w:r>
        <w:rPr>
          <w:rFonts w:ascii="Times New Roman" w:hAnsi="Times New Roman" w:cs="Times New Roman"/>
          <w:color w:val="000000"/>
          <w:kern w:val="0"/>
          <w:sz w:val="32"/>
          <w:szCs w:val="32"/>
          <w:highlight w:val="none"/>
          <w:shd w:val="clear" w:color="auto" w:fill="FFFFFF"/>
          <w:lang w:val="zh-CN"/>
        </w:rPr>
        <w:t>体进度为</w:t>
      </w:r>
      <w:r>
        <w:rPr>
          <w:rFonts w:ascii="Times New Roman" w:hAnsi="Times New Roman" w:cs="Times New Roman"/>
          <w:color w:val="000000"/>
          <w:kern w:val="0"/>
          <w:sz w:val="32"/>
          <w:szCs w:val="32"/>
          <w:highlight w:val="none"/>
          <w:shd w:val="clear" w:color="auto" w:fill="FFFFFF"/>
          <w:lang w:val="en-US" w:eastAsia="zh-CN"/>
        </w:rPr>
        <w:t xml:space="preserve"> </w:t>
      </w:r>
      <w:r>
        <w:rPr>
          <w:rFonts w:hint="eastAsia" w:ascii="Times New Roman" w:hAnsi="Times New Roman" w:cs="Times New Roman"/>
          <w:color w:val="000000"/>
          <w:kern w:val="0"/>
          <w:sz w:val="32"/>
          <w:szCs w:val="32"/>
          <w:highlight w:val="none"/>
          <w:shd w:val="clear" w:color="auto" w:fill="FFFFFF"/>
          <w:lang w:val="en-US" w:eastAsia="zh-CN"/>
        </w:rPr>
        <w:t>89</w:t>
      </w:r>
      <w:r>
        <w:rPr>
          <w:rFonts w:ascii="Times New Roman" w:hAnsi="Times New Roman" w:cs="Times New Roman"/>
          <w:color w:val="000000"/>
          <w:kern w:val="0"/>
          <w:sz w:val="32"/>
          <w:szCs w:val="32"/>
          <w:highlight w:val="none"/>
          <w:shd w:val="clear" w:color="auto" w:fill="FFFFFF"/>
          <w:lang w:val="zh-CN"/>
        </w:rPr>
        <w:t>%，其中：</w:t>
      </w:r>
      <w:r>
        <w:rPr>
          <w:rFonts w:ascii="Times New Roman" w:hAnsi="Times New Roman" w:cs="Times New Roman"/>
          <w:color w:val="000000"/>
          <w:kern w:val="0"/>
          <w:sz w:val="32"/>
          <w:szCs w:val="32"/>
          <w:highlight w:val="none"/>
          <w:shd w:val="clear" w:color="auto" w:fill="FFFFFF"/>
          <w:lang w:val="zh-CN" w:eastAsia="zh-CN"/>
        </w:rPr>
        <w:t>预算结余率大于</w:t>
      </w:r>
      <w:r>
        <w:rPr>
          <w:rFonts w:ascii="Times New Roman" w:hAnsi="Times New Roman" w:cs="Times New Roman"/>
          <w:color w:val="000000"/>
          <w:kern w:val="0"/>
          <w:sz w:val="32"/>
          <w:szCs w:val="32"/>
          <w:highlight w:val="none"/>
          <w:shd w:val="clear" w:color="auto" w:fill="FFFFFF"/>
          <w:lang w:val="en-US" w:eastAsia="zh-CN"/>
        </w:rPr>
        <w:t>10%</w:t>
      </w:r>
      <w:r>
        <w:rPr>
          <w:rFonts w:ascii="Times New Roman" w:hAnsi="Times New Roman" w:cs="Times New Roman"/>
          <w:color w:val="000000"/>
          <w:kern w:val="0"/>
          <w:sz w:val="32"/>
          <w:szCs w:val="32"/>
          <w:highlight w:val="none"/>
          <w:shd w:val="clear" w:color="auto" w:fill="FFFFFF"/>
          <w:lang w:val="zh-CN" w:eastAsia="zh-CN"/>
        </w:rPr>
        <w:t>的项目共计</w:t>
      </w:r>
      <w:r>
        <w:rPr>
          <w:rFonts w:hint="eastAsia" w:cs="Times New Roman"/>
          <w:color w:val="000000"/>
          <w:kern w:val="0"/>
          <w:sz w:val="32"/>
          <w:szCs w:val="32"/>
          <w:highlight w:val="none"/>
          <w:shd w:val="clear" w:color="auto" w:fill="FFFFFF"/>
          <w:lang w:val="en-US" w:eastAsia="zh-CN"/>
        </w:rPr>
        <w:t>1</w:t>
      </w:r>
      <w:r>
        <w:rPr>
          <w:rFonts w:ascii="Times New Roman" w:hAnsi="Times New Roman" w:cs="Times New Roman"/>
          <w:color w:val="000000"/>
          <w:kern w:val="0"/>
          <w:sz w:val="32"/>
          <w:szCs w:val="32"/>
          <w:highlight w:val="none"/>
          <w:shd w:val="clear" w:color="auto" w:fill="FFFFFF"/>
          <w:lang w:val="zh-CN" w:eastAsia="zh-CN"/>
        </w:rPr>
        <w:t>个。</w:t>
      </w:r>
    </w:p>
    <w:p w14:paraId="65DA816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en-US" w:eastAsia="zh-CN"/>
        </w:rPr>
      </w:pPr>
      <w:r>
        <w:rPr>
          <w:rFonts w:ascii="Times New Roman" w:hAnsi="Times New Roman" w:cs="Times New Roman"/>
          <w:color w:val="000000"/>
          <w:kern w:val="0"/>
          <w:sz w:val="32"/>
          <w:szCs w:val="32"/>
          <w:highlight w:val="none"/>
          <w:shd w:val="clear" w:color="auto" w:fill="FFFFFF"/>
          <w:lang w:val="en-US" w:eastAsia="zh-CN"/>
        </w:rPr>
        <w:t>阶段（</w:t>
      </w:r>
      <w:r>
        <w:rPr>
          <w:rFonts w:hint="eastAsia" w:cs="Times New Roman"/>
          <w:color w:val="000000"/>
          <w:kern w:val="0"/>
          <w:sz w:val="32"/>
          <w:szCs w:val="32"/>
          <w:highlight w:val="none"/>
          <w:shd w:val="clear" w:color="auto" w:fill="FFFFFF"/>
          <w:lang w:val="en-US" w:eastAsia="zh-CN"/>
        </w:rPr>
        <w:t>含</w:t>
      </w:r>
      <w:r>
        <w:rPr>
          <w:rFonts w:ascii="Times New Roman" w:hAnsi="Times New Roman" w:cs="Times New Roman"/>
          <w:color w:val="000000"/>
          <w:kern w:val="0"/>
          <w:sz w:val="32"/>
          <w:szCs w:val="32"/>
          <w:highlight w:val="none"/>
          <w:shd w:val="clear" w:color="auto" w:fill="FFFFFF"/>
          <w:lang w:val="en-US" w:eastAsia="zh-CN"/>
        </w:rPr>
        <w:t>一次性）项目绩效分析。</w:t>
      </w:r>
      <w:r>
        <w:rPr>
          <w:rFonts w:ascii="Times New Roman" w:hAnsi="Times New Roman" w:cs="Times New Roman"/>
          <w:color w:val="000000"/>
          <w:kern w:val="0"/>
          <w:sz w:val="32"/>
          <w:szCs w:val="32"/>
          <w:highlight w:val="none"/>
          <w:shd w:val="clear" w:color="auto" w:fill="FFFFFF"/>
          <w:lang w:val="zh-CN" w:eastAsia="zh-CN"/>
        </w:rPr>
        <w:t>该类项目总数</w:t>
      </w:r>
      <w:r>
        <w:rPr>
          <w:rFonts w:hint="eastAsia" w:cs="Times New Roman"/>
          <w:color w:val="000000"/>
          <w:kern w:val="0"/>
          <w:sz w:val="32"/>
          <w:szCs w:val="32"/>
          <w:highlight w:val="none"/>
          <w:shd w:val="clear" w:color="auto" w:fill="FFFFFF"/>
          <w:lang w:val="en-US" w:eastAsia="zh-CN"/>
        </w:rPr>
        <w:t>13</w:t>
      </w:r>
      <w:r>
        <w:rPr>
          <w:rFonts w:ascii="Times New Roman" w:hAnsi="Times New Roman" w:cs="Times New Roman"/>
          <w:color w:val="000000"/>
          <w:kern w:val="0"/>
          <w:sz w:val="32"/>
          <w:szCs w:val="32"/>
          <w:highlight w:val="none"/>
          <w:shd w:val="clear" w:color="auto" w:fill="FFFFFF"/>
          <w:lang w:val="zh-CN" w:eastAsia="zh-CN"/>
        </w:rPr>
        <w:t>个，涉及预算总金额</w:t>
      </w:r>
      <w:r>
        <w:rPr>
          <w:rFonts w:hint="eastAsia" w:ascii="Times New Roman" w:hAnsi="Times New Roman" w:cs="Times New Roman"/>
          <w:color w:val="000000"/>
          <w:kern w:val="0"/>
          <w:sz w:val="32"/>
          <w:szCs w:val="32"/>
          <w:highlight w:val="none"/>
          <w:shd w:val="clear" w:color="auto" w:fill="FFFFFF"/>
          <w:lang w:val="en-US" w:eastAsia="zh-CN"/>
        </w:rPr>
        <w:t>932.47</w:t>
      </w:r>
      <w:r>
        <w:rPr>
          <w:rFonts w:ascii="Times New Roman" w:hAnsi="Times New Roman" w:cs="Times New Roman"/>
          <w:color w:val="000000"/>
          <w:kern w:val="0"/>
          <w:sz w:val="32"/>
          <w:szCs w:val="32"/>
          <w:highlight w:val="none"/>
          <w:shd w:val="clear" w:color="auto" w:fill="FFFFFF"/>
          <w:lang w:val="zh-CN" w:eastAsia="zh-CN"/>
        </w:rPr>
        <w:t>万元，</w:t>
      </w:r>
      <w:r>
        <w:rPr>
          <w:rFonts w:ascii="Times New Roman" w:hAnsi="Times New Roman" w:cs="Times New Roman"/>
          <w:color w:val="000000"/>
          <w:kern w:val="0"/>
          <w:sz w:val="32"/>
          <w:szCs w:val="32"/>
          <w:highlight w:val="none"/>
          <w:shd w:val="clear" w:color="auto" w:fill="FFFFFF"/>
          <w:lang w:val="zh-CN"/>
        </w:rPr>
        <w:t>1</w:t>
      </w:r>
      <w:r>
        <w:rPr>
          <w:rFonts w:hint="eastAsia" w:cs="Times New Roman"/>
          <w:color w:val="000000"/>
          <w:kern w:val="0"/>
          <w:sz w:val="32"/>
          <w:szCs w:val="32"/>
          <w:highlight w:val="none"/>
          <w:shd w:val="clear" w:color="auto" w:fill="FFFFFF"/>
          <w:lang w:val="zh-CN" w:eastAsia="zh-CN"/>
        </w:rPr>
        <w:t>—</w:t>
      </w:r>
      <w:r>
        <w:rPr>
          <w:rFonts w:ascii="Times New Roman" w:hAnsi="Times New Roman" w:cs="Times New Roman"/>
          <w:color w:val="000000"/>
          <w:kern w:val="0"/>
          <w:sz w:val="32"/>
          <w:szCs w:val="32"/>
          <w:highlight w:val="none"/>
          <w:shd w:val="clear" w:color="auto" w:fill="FFFFFF"/>
          <w:lang w:val="zh-CN"/>
        </w:rPr>
        <w:t>1</w:t>
      </w:r>
      <w:r>
        <w:rPr>
          <w:rFonts w:ascii="Times New Roman" w:hAnsi="Times New Roman" w:cs="Times New Roman"/>
          <w:color w:val="000000"/>
          <w:kern w:val="0"/>
          <w:sz w:val="32"/>
          <w:szCs w:val="32"/>
          <w:highlight w:val="none"/>
          <w:shd w:val="clear" w:color="auto" w:fill="FFFFFF"/>
          <w:lang w:val="en-US" w:eastAsia="zh-CN"/>
        </w:rPr>
        <w:t>2</w:t>
      </w:r>
      <w:r>
        <w:rPr>
          <w:rFonts w:ascii="Times New Roman" w:hAnsi="Times New Roman" w:cs="Times New Roman"/>
          <w:color w:val="000000"/>
          <w:kern w:val="0"/>
          <w:sz w:val="32"/>
          <w:szCs w:val="32"/>
          <w:highlight w:val="none"/>
          <w:shd w:val="clear" w:color="auto" w:fill="FFFFFF"/>
          <w:lang w:val="zh-CN"/>
        </w:rPr>
        <w:t>月预算执行总</w:t>
      </w:r>
      <w:r>
        <w:rPr>
          <w:rFonts w:hint="eastAsia" w:cs="Times New Roman"/>
          <w:color w:val="000000"/>
          <w:kern w:val="0"/>
          <w:sz w:val="32"/>
          <w:szCs w:val="32"/>
          <w:highlight w:val="none"/>
          <w:shd w:val="clear" w:color="auto" w:fill="FFFFFF"/>
          <w:lang w:val="zh-CN"/>
        </w:rPr>
        <w:t>金额</w:t>
      </w:r>
      <w:r>
        <w:rPr>
          <w:rFonts w:ascii="Times New Roman" w:hAnsi="Times New Roman" w:cs="Times New Roman"/>
          <w:color w:val="000000"/>
          <w:kern w:val="0"/>
          <w:sz w:val="32"/>
          <w:szCs w:val="32"/>
          <w:highlight w:val="none"/>
          <w:shd w:val="clear" w:color="auto" w:fill="FFFFFF"/>
          <w:lang w:val="en-US" w:eastAsia="zh-CN"/>
        </w:rPr>
        <w:t xml:space="preserve"> </w:t>
      </w:r>
      <w:r>
        <w:rPr>
          <w:rFonts w:hint="eastAsia" w:cs="Times New Roman"/>
          <w:color w:val="000000"/>
          <w:kern w:val="0"/>
          <w:sz w:val="32"/>
          <w:szCs w:val="32"/>
          <w:highlight w:val="none"/>
          <w:shd w:val="clear" w:color="auto" w:fill="FFFFFF"/>
          <w:lang w:val="en-US" w:eastAsia="zh-CN"/>
        </w:rPr>
        <w:t>780.13万元，总</w:t>
      </w:r>
      <w:r>
        <w:rPr>
          <w:rFonts w:ascii="Times New Roman" w:hAnsi="Times New Roman" w:cs="Times New Roman"/>
          <w:color w:val="000000"/>
          <w:kern w:val="0"/>
          <w:sz w:val="32"/>
          <w:szCs w:val="32"/>
          <w:highlight w:val="none"/>
          <w:shd w:val="clear" w:color="auto" w:fill="FFFFFF"/>
          <w:lang w:val="zh-CN"/>
        </w:rPr>
        <w:t>体进度为</w:t>
      </w:r>
      <w:r>
        <w:rPr>
          <w:rFonts w:hint="eastAsia" w:cs="Times New Roman"/>
          <w:color w:val="000000"/>
          <w:kern w:val="0"/>
          <w:sz w:val="32"/>
          <w:szCs w:val="32"/>
          <w:highlight w:val="none"/>
          <w:shd w:val="clear" w:color="auto" w:fill="FFFFFF"/>
          <w:lang w:val="en-US" w:eastAsia="zh-CN"/>
        </w:rPr>
        <w:t>83.6</w:t>
      </w:r>
      <w:r>
        <w:rPr>
          <w:rFonts w:ascii="Times New Roman" w:hAnsi="Times New Roman" w:cs="Times New Roman"/>
          <w:color w:val="000000"/>
          <w:kern w:val="0"/>
          <w:sz w:val="32"/>
          <w:szCs w:val="32"/>
          <w:highlight w:val="none"/>
          <w:shd w:val="clear" w:color="auto" w:fill="FFFFFF"/>
          <w:lang w:val="zh-CN"/>
        </w:rPr>
        <w:t>%，其中：</w:t>
      </w:r>
      <w:r>
        <w:rPr>
          <w:rFonts w:ascii="Times New Roman" w:hAnsi="Times New Roman" w:cs="Times New Roman"/>
          <w:color w:val="000000"/>
          <w:kern w:val="0"/>
          <w:sz w:val="32"/>
          <w:szCs w:val="32"/>
          <w:highlight w:val="none"/>
          <w:shd w:val="clear" w:color="auto" w:fill="FFFFFF"/>
          <w:lang w:val="zh-CN" w:eastAsia="zh-CN"/>
        </w:rPr>
        <w:t>预算结余率大于</w:t>
      </w:r>
      <w:r>
        <w:rPr>
          <w:rFonts w:ascii="Times New Roman" w:hAnsi="Times New Roman" w:cs="Times New Roman"/>
          <w:color w:val="000000"/>
          <w:kern w:val="0"/>
          <w:sz w:val="32"/>
          <w:szCs w:val="32"/>
          <w:highlight w:val="none"/>
          <w:shd w:val="clear" w:color="auto" w:fill="FFFFFF"/>
          <w:lang w:val="en-US" w:eastAsia="zh-CN"/>
        </w:rPr>
        <w:t>10%</w:t>
      </w:r>
      <w:r>
        <w:rPr>
          <w:rFonts w:ascii="Times New Roman" w:hAnsi="Times New Roman" w:cs="Times New Roman"/>
          <w:color w:val="000000"/>
          <w:kern w:val="0"/>
          <w:sz w:val="32"/>
          <w:szCs w:val="32"/>
          <w:highlight w:val="none"/>
          <w:shd w:val="clear" w:color="auto" w:fill="FFFFFF"/>
          <w:lang w:val="zh-CN" w:eastAsia="zh-CN"/>
        </w:rPr>
        <w:t>的项目共计</w:t>
      </w:r>
      <w:r>
        <w:rPr>
          <w:rFonts w:hint="eastAsia" w:cs="Times New Roman"/>
          <w:color w:val="000000"/>
          <w:kern w:val="0"/>
          <w:sz w:val="32"/>
          <w:szCs w:val="32"/>
          <w:highlight w:val="none"/>
          <w:shd w:val="clear" w:color="auto" w:fill="FFFFFF"/>
          <w:lang w:val="en-US" w:eastAsia="zh-CN"/>
        </w:rPr>
        <w:t>0</w:t>
      </w:r>
      <w:r>
        <w:rPr>
          <w:rFonts w:ascii="Times New Roman" w:hAnsi="Times New Roman" w:cs="Times New Roman"/>
          <w:color w:val="000000"/>
          <w:kern w:val="0"/>
          <w:sz w:val="32"/>
          <w:szCs w:val="32"/>
          <w:highlight w:val="none"/>
          <w:shd w:val="clear" w:color="auto" w:fill="FFFFFF"/>
          <w:lang w:val="en-US" w:eastAsia="zh-CN"/>
        </w:rPr>
        <w:t xml:space="preserve"> </w:t>
      </w:r>
      <w:r>
        <w:rPr>
          <w:rFonts w:ascii="Times New Roman" w:hAnsi="Times New Roman" w:cs="Times New Roman"/>
          <w:color w:val="000000"/>
          <w:kern w:val="0"/>
          <w:sz w:val="32"/>
          <w:szCs w:val="32"/>
          <w:highlight w:val="none"/>
          <w:shd w:val="clear" w:color="auto" w:fill="FFFFFF"/>
          <w:lang w:val="zh-CN" w:eastAsia="zh-CN"/>
        </w:rPr>
        <w:t>个。</w:t>
      </w:r>
      <w:r>
        <w:rPr>
          <w:rFonts w:hint="eastAsia" w:cs="Times New Roman"/>
          <w:color w:val="000000"/>
          <w:kern w:val="0"/>
          <w:sz w:val="32"/>
          <w:szCs w:val="32"/>
          <w:highlight w:val="none"/>
          <w:shd w:val="clear" w:color="auto" w:fill="FFFFFF"/>
          <w:lang w:val="zh-CN" w:eastAsia="zh-CN"/>
        </w:rPr>
        <w:t>预算结转项目</w:t>
      </w:r>
      <w:r>
        <w:rPr>
          <w:rFonts w:hint="eastAsia" w:cs="Times New Roman"/>
          <w:color w:val="000000"/>
          <w:kern w:val="0"/>
          <w:sz w:val="32"/>
          <w:szCs w:val="32"/>
          <w:highlight w:val="none"/>
          <w:shd w:val="clear" w:color="auto" w:fill="FFFFFF"/>
          <w:lang w:val="en-US" w:eastAsia="zh-CN"/>
        </w:rPr>
        <w:t>5个。</w:t>
      </w:r>
    </w:p>
    <w:p w14:paraId="0C740E1C">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zh-CN"/>
        </w:rPr>
        <w:t>项目决策。</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12分</w:t>
      </w:r>
      <w:r>
        <w:rPr>
          <w:rFonts w:hint="eastAsia" w:ascii="楷体_GB2312" w:hAnsi="楷体_GB2312" w:eastAsia="楷体_GB2312" w:cs="楷体_GB2312"/>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围绕决策程序、目标设置、项目入库进行绩效分析。</w:t>
      </w:r>
    </w:p>
    <w:p w14:paraId="13BC412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cs="Times New Roman"/>
          <w:color w:val="000000"/>
          <w:kern w:val="0"/>
          <w:sz w:val="32"/>
          <w:szCs w:val="32"/>
          <w:highlight w:val="none"/>
          <w:shd w:val="clear" w:color="auto" w:fill="FFFFFF"/>
          <w:lang w:val="zh-CN"/>
        </w:rPr>
        <w:t>所有常年项目严格按照年初部门预算馆务会决策，制定工作开展台账，每项项目都设置了各项绩效指标，中途阶段性项目先进行项目入库后财政下预算在支付。</w:t>
      </w:r>
      <w:r>
        <w:rPr>
          <w:rFonts w:hint="eastAsia" w:hAnsi="Times New Roman" w:eastAsia="仿宋_GB2312" w:cs="Times New Roman"/>
          <w:color w:val="000000"/>
          <w:kern w:val="0"/>
          <w:sz w:val="32"/>
          <w:szCs w:val="32"/>
          <w:highlight w:val="none"/>
          <w:shd w:val="clear" w:color="auto" w:fill="FFFFFF"/>
          <w:lang w:val="en-US" w:eastAsia="zh-CN" w:bidi="ar-SA"/>
        </w:rPr>
        <w:t>上述自我评分值</w:t>
      </w:r>
      <w:r>
        <w:rPr>
          <w:rFonts w:hint="eastAsia" w:cs="Times New Roman"/>
          <w:color w:val="000000"/>
          <w:kern w:val="0"/>
          <w:sz w:val="32"/>
          <w:szCs w:val="32"/>
          <w:highlight w:val="none"/>
          <w:shd w:val="clear" w:color="auto" w:fill="FFFFFF"/>
          <w:lang w:val="en-US" w:eastAsia="zh-CN" w:bidi="ar-SA"/>
        </w:rPr>
        <w:t>12</w:t>
      </w:r>
      <w:r>
        <w:rPr>
          <w:rFonts w:hint="eastAsia" w:hAnsi="Times New Roman" w:eastAsia="仿宋_GB2312" w:cs="Times New Roman"/>
          <w:color w:val="000000"/>
          <w:kern w:val="0"/>
          <w:sz w:val="32"/>
          <w:szCs w:val="32"/>
          <w:highlight w:val="none"/>
          <w:shd w:val="clear" w:color="auto" w:fill="FFFFFF"/>
          <w:lang w:val="en-US" w:eastAsia="zh-CN" w:bidi="ar-SA"/>
        </w:rPr>
        <w:t>分</w:t>
      </w:r>
    </w:p>
    <w:p w14:paraId="79687CD8">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hint="eastAsia"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en-US" w:eastAsia="zh-CN"/>
        </w:rPr>
        <w:t>项目执行</w:t>
      </w:r>
      <w:r>
        <w:rPr>
          <w:rFonts w:ascii="Times New Roman" w:hAnsi="Times New Roman" w:eastAsia="楷体_GB2312" w:cs="Times New Roman"/>
          <w:color w:val="000000"/>
          <w:kern w:val="0"/>
          <w:sz w:val="32"/>
          <w:szCs w:val="32"/>
          <w:highlight w:val="none"/>
          <w:shd w:val="clear" w:color="auto" w:fill="FFFFFF"/>
          <w:lang w:val="zh-CN"/>
        </w:rPr>
        <w:t>。</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12分</w:t>
      </w:r>
      <w:r>
        <w:rPr>
          <w:rFonts w:hint="eastAsia" w:ascii="楷体_GB2312" w:hAnsi="楷体_GB2312" w:eastAsia="楷体_GB2312" w:cs="楷体_GB2312"/>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围绕资金执行同向、项目调整、执行结果进行绩效分析。</w:t>
      </w:r>
    </w:p>
    <w:p w14:paraId="0EC5041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hint="eastAsia" w:cs="Times New Roman"/>
          <w:color w:val="000000"/>
          <w:kern w:val="0"/>
          <w:sz w:val="32"/>
          <w:szCs w:val="32"/>
          <w:highlight w:val="none"/>
          <w:shd w:val="clear" w:color="auto" w:fill="FFFFFF"/>
          <w:lang w:val="zh-CN"/>
        </w:rPr>
        <w:t>在支出</w:t>
      </w:r>
      <w:r>
        <w:rPr>
          <w:rFonts w:hint="eastAsia" w:cs="Times New Roman"/>
          <w:color w:val="000000"/>
          <w:kern w:val="0"/>
          <w:sz w:val="32"/>
          <w:szCs w:val="32"/>
          <w:highlight w:val="none"/>
          <w:shd w:val="clear" w:color="auto" w:fill="FFFFFF"/>
          <w:lang w:val="zh-CN" w:eastAsia="zh-CN"/>
        </w:rPr>
        <w:t>项目资金</w:t>
      </w:r>
      <w:r>
        <w:rPr>
          <w:rFonts w:hint="eastAsia" w:cs="Times New Roman"/>
          <w:color w:val="000000"/>
          <w:kern w:val="0"/>
          <w:sz w:val="32"/>
          <w:szCs w:val="32"/>
          <w:highlight w:val="none"/>
          <w:shd w:val="clear" w:color="auto" w:fill="FFFFFF"/>
          <w:lang w:val="zh-CN"/>
        </w:rPr>
        <w:t>过程中，严格遵守各项规章制度。</w:t>
      </w:r>
      <w:r>
        <w:rPr>
          <w:rFonts w:hint="eastAsia" w:cs="Times New Roman"/>
          <w:color w:val="000000"/>
          <w:kern w:val="0"/>
          <w:sz w:val="32"/>
          <w:szCs w:val="32"/>
          <w:highlight w:val="none"/>
          <w:shd w:val="clear" w:color="auto" w:fill="FFFFFF"/>
          <w:lang w:val="zh-CN" w:eastAsia="zh-CN"/>
        </w:rPr>
        <w:t>项目</w:t>
      </w:r>
      <w:r>
        <w:rPr>
          <w:rFonts w:hint="eastAsia" w:cs="Times New Roman"/>
          <w:color w:val="000000"/>
          <w:kern w:val="0"/>
          <w:sz w:val="32"/>
          <w:szCs w:val="32"/>
          <w:highlight w:val="none"/>
          <w:shd w:val="clear" w:color="auto" w:fill="FFFFFF"/>
          <w:lang w:val="en-US" w:eastAsia="zh-CN"/>
        </w:rPr>
        <w:t>预算安排及执行与项目进展都相匹配，</w:t>
      </w:r>
      <w:r>
        <w:rPr>
          <w:rFonts w:hint="eastAsia" w:cs="Times New Roman"/>
          <w:color w:val="000000"/>
          <w:kern w:val="0"/>
          <w:sz w:val="32"/>
          <w:szCs w:val="32"/>
          <w:highlight w:val="none"/>
          <w:shd w:val="clear" w:color="auto" w:fill="FFFFFF"/>
          <w:lang w:val="zh-CN" w:eastAsia="zh-CN"/>
        </w:rPr>
        <w:t>所有</w:t>
      </w:r>
      <w:r>
        <w:rPr>
          <w:rFonts w:hint="eastAsia" w:cs="Times New Roman"/>
          <w:color w:val="000000"/>
          <w:kern w:val="0"/>
          <w:sz w:val="32"/>
          <w:szCs w:val="32"/>
          <w:highlight w:val="none"/>
          <w:shd w:val="clear" w:color="auto" w:fill="FFFFFF"/>
          <w:lang w:val="zh-CN"/>
        </w:rPr>
        <w:t>预算调整的相关工作程序</w:t>
      </w:r>
      <w:r>
        <w:rPr>
          <w:rFonts w:hint="eastAsia" w:cs="Times New Roman"/>
          <w:color w:val="000000"/>
          <w:kern w:val="0"/>
          <w:sz w:val="32"/>
          <w:szCs w:val="32"/>
          <w:highlight w:val="none"/>
          <w:shd w:val="clear" w:color="auto" w:fill="FFFFFF"/>
          <w:lang w:val="zh-CN" w:eastAsia="zh-CN"/>
        </w:rPr>
        <w:t>都</w:t>
      </w:r>
      <w:r>
        <w:rPr>
          <w:rFonts w:hint="eastAsia" w:cs="Times New Roman"/>
          <w:color w:val="000000"/>
          <w:kern w:val="0"/>
          <w:sz w:val="32"/>
          <w:szCs w:val="32"/>
          <w:highlight w:val="none"/>
          <w:shd w:val="clear" w:color="auto" w:fill="FFFFFF"/>
          <w:lang w:val="zh-CN"/>
        </w:rPr>
        <w:t>按照现有规定执行</w:t>
      </w:r>
      <w:r>
        <w:rPr>
          <w:rFonts w:hint="eastAsia" w:cs="Times New Roman"/>
          <w:color w:val="000000"/>
          <w:kern w:val="0"/>
          <w:sz w:val="32"/>
          <w:szCs w:val="32"/>
          <w:highlight w:val="none"/>
          <w:shd w:val="clear" w:color="auto" w:fill="FFFFFF"/>
          <w:lang w:val="zh-CN" w:eastAsia="zh-CN"/>
        </w:rPr>
        <w:t>。</w:t>
      </w:r>
      <w:r>
        <w:rPr>
          <w:rFonts w:hint="eastAsia" w:cs="Times New Roman"/>
          <w:color w:val="000000"/>
          <w:kern w:val="0"/>
          <w:sz w:val="32"/>
          <w:szCs w:val="32"/>
          <w:highlight w:val="none"/>
          <w:shd w:val="clear" w:color="auto" w:fill="FFFFFF"/>
          <w:lang w:val="zh-CN"/>
        </w:rPr>
        <w:t>所有项目都详细制定了方案，严格按方案组织实施，并定期对资金使用情况进行检查</w:t>
      </w:r>
      <w:r>
        <w:rPr>
          <w:rFonts w:hint="eastAsia" w:cs="Times New Roman"/>
          <w:color w:val="000000"/>
          <w:kern w:val="0"/>
          <w:sz w:val="32"/>
          <w:szCs w:val="32"/>
          <w:highlight w:val="none"/>
          <w:shd w:val="clear" w:color="auto" w:fill="FFFFFF"/>
          <w:lang w:val="zh-CN" w:eastAsia="zh-CN"/>
        </w:rPr>
        <w:t>。</w:t>
      </w:r>
      <w:r>
        <w:rPr>
          <w:rFonts w:hint="eastAsia" w:cs="Times New Roman"/>
          <w:color w:val="000000"/>
          <w:kern w:val="0"/>
          <w:sz w:val="32"/>
          <w:szCs w:val="32"/>
          <w:highlight w:val="none"/>
          <w:shd w:val="clear" w:color="auto" w:fill="FFFFFF"/>
          <w:lang w:val="en-US" w:eastAsia="zh-CN"/>
        </w:rPr>
        <w:t>上述自我评分值10分</w:t>
      </w:r>
    </w:p>
    <w:p w14:paraId="791419ED">
      <w:pPr>
        <w:pageBreakBefore w:val="0"/>
        <w:numPr>
          <w:ilvl w:val="0"/>
          <w:numId w:val="3"/>
        </w:numPr>
        <w:kinsoku/>
        <w:wordWrap/>
        <w:overflowPunct/>
        <w:topLinePunct w:val="0"/>
        <w:bidi w:val="0"/>
        <w:spacing w:line="560" w:lineRule="exact"/>
        <w:ind w:left="0" w:firstLine="640" w:firstLineChars="200"/>
        <w:rPr>
          <w:rFonts w:ascii="Times New Roman" w:hAnsi="Times New Roman"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lang w:val="zh-CN"/>
        </w:rPr>
        <w:t>目标实现。</w:t>
      </w:r>
      <w:r>
        <w:rPr>
          <w:rFonts w:hint="eastAsia" w:ascii="楷体_GB2312" w:hAnsi="楷体_GB2312" w:eastAsia="楷体_GB2312" w:cs="楷体_GB2312"/>
          <w:color w:val="000000"/>
          <w:kern w:val="0"/>
          <w:sz w:val="32"/>
          <w:szCs w:val="32"/>
          <w:highlight w:val="none"/>
          <w:shd w:val="clear" w:color="auto" w:fill="FFFFFF"/>
          <w:lang w:val="zh-CN"/>
        </w:rPr>
        <w:t>（指标分值</w:t>
      </w:r>
      <w:r>
        <w:rPr>
          <w:rFonts w:hint="eastAsia" w:ascii="楷体_GB2312" w:hAnsi="楷体_GB2312" w:eastAsia="楷体_GB2312" w:cs="楷体_GB2312"/>
          <w:color w:val="000000"/>
          <w:kern w:val="0"/>
          <w:sz w:val="32"/>
          <w:szCs w:val="32"/>
          <w:highlight w:val="none"/>
          <w:shd w:val="clear" w:color="auto" w:fill="FFFFFF"/>
          <w:lang w:val="en-US" w:eastAsia="zh-CN"/>
        </w:rPr>
        <w:t>11分</w:t>
      </w:r>
      <w:r>
        <w:rPr>
          <w:rFonts w:hint="eastAsia" w:ascii="楷体_GB2312" w:hAnsi="楷体_GB2312" w:eastAsia="楷体_GB2312" w:cs="楷体_GB2312"/>
          <w:color w:val="000000"/>
          <w:kern w:val="0"/>
          <w:sz w:val="32"/>
          <w:szCs w:val="32"/>
          <w:highlight w:val="none"/>
          <w:shd w:val="clear" w:color="auto" w:fill="FFFFFF"/>
          <w:lang w:val="zh-CN"/>
        </w:rPr>
        <w:t>）</w:t>
      </w:r>
      <w:r>
        <w:rPr>
          <w:rFonts w:ascii="Times New Roman" w:hAnsi="Times New Roman" w:cs="Times New Roman"/>
          <w:color w:val="000000"/>
          <w:kern w:val="0"/>
          <w:sz w:val="32"/>
          <w:szCs w:val="32"/>
          <w:highlight w:val="none"/>
          <w:shd w:val="clear" w:color="auto" w:fill="FFFFFF"/>
          <w:lang w:val="zh-CN"/>
        </w:rPr>
        <w:t>围绕目标完成、目标偏离、实现效果进行绩效分析。</w:t>
      </w:r>
    </w:p>
    <w:p w14:paraId="66892417">
      <w:pPr>
        <w:pageBreakBefore w:val="0"/>
        <w:kinsoku/>
        <w:wordWrap/>
        <w:overflowPunct/>
        <w:topLinePunct w:val="0"/>
        <w:bidi w:val="0"/>
        <w:spacing w:line="560" w:lineRule="exact"/>
        <w:ind w:left="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一是所有项目依照年初预算绩效指标按照相关规定、制度、规范的完成项目资金支付。</w:t>
      </w:r>
    </w:p>
    <w:p w14:paraId="57F97CD6">
      <w:pPr>
        <w:pageBreakBefore w:val="0"/>
        <w:kinsoku/>
        <w:wordWrap/>
        <w:overflowPunct/>
        <w:topLinePunct w:val="0"/>
        <w:bidi w:val="0"/>
        <w:spacing w:line="560" w:lineRule="exact"/>
        <w:ind w:left="0" w:firstLine="640" w:firstLineChars="200"/>
        <w:rPr>
          <w:rFonts w:ascii="Times New Roman" w:hAnsi="Times New Roman" w:eastAsia="楷体_GB2312" w:cs="Times New Roman"/>
          <w:color w:val="000000"/>
          <w:kern w:val="0"/>
          <w:sz w:val="32"/>
          <w:szCs w:val="32"/>
          <w:highlight w:val="none"/>
          <w:shd w:val="clear" w:color="auto" w:fill="FFFFFF"/>
          <w:lang w:val="en-US"/>
        </w:rPr>
      </w:pPr>
      <w:r>
        <w:rPr>
          <w:rFonts w:hint="eastAsia" w:ascii="仿宋" w:hAnsi="仿宋" w:eastAsia="仿宋" w:cs="仿宋"/>
          <w:sz w:val="32"/>
          <w:szCs w:val="32"/>
          <w:lang w:eastAsia="zh-CN"/>
        </w:rPr>
        <w:t>二是部门所有完成的预算项目绩效目标数量指标实现程度与预期目标存在月之间时间的偏离情况，但在</w:t>
      </w:r>
      <w:r>
        <w:rPr>
          <w:rFonts w:hint="eastAsia" w:ascii="仿宋" w:hAnsi="仿宋" w:eastAsia="仿宋" w:cs="仿宋"/>
          <w:sz w:val="32"/>
          <w:szCs w:val="32"/>
          <w:lang w:val="en-US" w:eastAsia="zh-CN"/>
        </w:rPr>
        <w:t>12月初预期目标都已完成。</w:t>
      </w:r>
      <w:r>
        <w:rPr>
          <w:rFonts w:hint="eastAsia" w:ascii="仿宋" w:hAnsi="仿宋" w:eastAsia="仿宋" w:cs="仿宋"/>
          <w:sz w:val="32"/>
          <w:szCs w:val="32"/>
          <w:lang w:eastAsia="zh-CN"/>
        </w:rPr>
        <w:t>三是项目实现效果圆满完成各项目绩效指标。</w:t>
      </w:r>
      <w:r>
        <w:rPr>
          <w:rFonts w:hint="eastAsia" w:hAnsi="Times New Roman" w:eastAsia="仿宋_GB2312" w:cs="Times New Roman"/>
          <w:color w:val="000000"/>
          <w:kern w:val="0"/>
          <w:sz w:val="32"/>
          <w:szCs w:val="32"/>
          <w:highlight w:val="none"/>
          <w:shd w:val="clear" w:color="auto" w:fill="FFFFFF"/>
          <w:lang w:val="en-US" w:eastAsia="zh-CN" w:bidi="ar-SA"/>
        </w:rPr>
        <w:t>上述自我评分值</w:t>
      </w:r>
      <w:r>
        <w:rPr>
          <w:rFonts w:hint="eastAsia" w:cs="Times New Roman"/>
          <w:color w:val="000000"/>
          <w:kern w:val="0"/>
          <w:sz w:val="32"/>
          <w:szCs w:val="32"/>
          <w:highlight w:val="none"/>
          <w:shd w:val="clear" w:color="auto" w:fill="FFFFFF"/>
          <w:lang w:val="en-US" w:eastAsia="zh-CN" w:bidi="ar-SA"/>
        </w:rPr>
        <w:t>10</w:t>
      </w:r>
      <w:r>
        <w:rPr>
          <w:rFonts w:hint="eastAsia" w:hAnsi="Times New Roman" w:eastAsia="仿宋_GB2312" w:cs="Times New Roman"/>
          <w:color w:val="000000"/>
          <w:kern w:val="0"/>
          <w:sz w:val="32"/>
          <w:szCs w:val="32"/>
          <w:highlight w:val="none"/>
          <w:shd w:val="clear" w:color="auto" w:fill="FFFFFF"/>
          <w:lang w:val="en-US" w:eastAsia="zh-CN" w:bidi="ar-SA"/>
        </w:rPr>
        <w:t>分</w:t>
      </w:r>
    </w:p>
    <w:p w14:paraId="15D08BD3">
      <w:pPr>
        <w:keepNext w:val="0"/>
        <w:keepLines w:val="0"/>
        <w:pageBreakBefore w:val="0"/>
        <w:widowControl w:val="0"/>
        <w:numPr>
          <w:ilvl w:val="0"/>
          <w:numId w:val="7"/>
        </w:numPr>
        <w:kinsoku/>
        <w:wordWrap/>
        <w:overflowPunct/>
        <w:topLinePunct w:val="0"/>
        <w:autoSpaceDE/>
        <w:autoSpaceDN/>
        <w:bidi w:val="0"/>
        <w:snapToGrid w:val="0"/>
        <w:spacing w:line="560" w:lineRule="exact"/>
        <w:ind w:left="0" w:firstLine="643" w:firstLineChars="200"/>
        <w:textAlignment w:val="auto"/>
        <w:rPr>
          <w:rFonts w:ascii="Times New Roman" w:hAnsi="Times New Roman" w:cs="Times New Roman"/>
          <w:color w:val="000000"/>
          <w:kern w:val="0"/>
          <w:sz w:val="32"/>
          <w:szCs w:val="32"/>
          <w:highlight w:val="none"/>
          <w:shd w:val="clear" w:color="auto" w:fill="FFFFFF"/>
          <w:lang w:val="zh-CN" w:eastAsia="zh-CN"/>
        </w:rPr>
      </w:pPr>
      <w:r>
        <w:rPr>
          <w:rFonts w:ascii="Times New Roman" w:hAnsi="Times New Roman" w:eastAsia="楷体_GB2312" w:cs="Times New Roman"/>
          <w:b/>
          <w:bCs/>
          <w:sz w:val="32"/>
          <w:szCs w:val="32"/>
          <w:lang w:val="zh-CN"/>
        </w:rPr>
        <w:t>绩效结果应用情况。</w:t>
      </w:r>
      <w:r>
        <w:rPr>
          <w:rFonts w:ascii="Times New Roman" w:hAnsi="Times New Roman" w:cs="Times New Roman"/>
          <w:color w:val="000000"/>
          <w:kern w:val="0"/>
          <w:sz w:val="32"/>
          <w:szCs w:val="32"/>
          <w:highlight w:val="none"/>
          <w:shd w:val="clear" w:color="auto" w:fill="FFFFFF"/>
          <w:lang w:val="zh-CN" w:eastAsia="zh-CN"/>
        </w:rPr>
        <w:t>围绕内部应用情况、信息公开情况、整改反馈情况进行分析。</w:t>
      </w:r>
    </w:p>
    <w:p w14:paraId="0603E9A9">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eastAsia" w:cs="Times New Roman"/>
          <w:color w:val="000000"/>
          <w:kern w:val="0"/>
          <w:sz w:val="32"/>
          <w:szCs w:val="32"/>
          <w:highlight w:val="none"/>
          <w:shd w:val="clear" w:color="auto" w:fill="FFFFFF"/>
          <w:lang w:val="zh-CN" w:eastAsia="zh-CN"/>
        </w:rPr>
      </w:pPr>
      <w:r>
        <w:rPr>
          <w:rFonts w:hint="eastAsia" w:ascii="Times New Roman" w:hAnsi="Times New Roman" w:cs="Times New Roman"/>
          <w:color w:val="000000"/>
          <w:kern w:val="0"/>
          <w:sz w:val="32"/>
          <w:szCs w:val="32"/>
          <w:highlight w:val="none"/>
          <w:shd w:val="clear" w:color="auto" w:fill="FFFFFF"/>
          <w:lang w:val="zh-CN" w:eastAsia="zh-CN"/>
        </w:rPr>
        <w:t>内部应用情况</w:t>
      </w:r>
      <w:r>
        <w:rPr>
          <w:rFonts w:hint="eastAsia" w:cs="Times New Roman"/>
          <w:color w:val="000000"/>
          <w:kern w:val="0"/>
          <w:sz w:val="32"/>
          <w:szCs w:val="32"/>
          <w:highlight w:val="none"/>
          <w:shd w:val="clear" w:color="auto" w:fill="FFFFFF"/>
          <w:lang w:val="zh-CN" w:eastAsia="zh-CN"/>
        </w:rPr>
        <w:t>：单位所有项目在年初制定了预算绩效指标，事前绩效评估报告，指标分级设置为一级指标、二级指标、三级指标。根据年初制度的绩效开展全年项目活动。在项目执行中每月进行绩效运行监控，督促各业务科室的资金支付进度。</w:t>
      </w:r>
    </w:p>
    <w:p w14:paraId="2954916E">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eastAsia" w:cs="Times New Roman"/>
          <w:color w:val="000000"/>
          <w:kern w:val="0"/>
          <w:sz w:val="32"/>
          <w:szCs w:val="32"/>
          <w:highlight w:val="none"/>
          <w:shd w:val="clear" w:color="auto" w:fill="FFFFFF"/>
          <w:lang w:val="zh-CN" w:eastAsia="zh-CN"/>
        </w:rPr>
      </w:pPr>
      <w:r>
        <w:rPr>
          <w:rFonts w:ascii="Times New Roman" w:hAnsi="Times New Roman" w:cs="Times New Roman"/>
          <w:color w:val="000000"/>
          <w:kern w:val="0"/>
          <w:sz w:val="32"/>
          <w:szCs w:val="32"/>
          <w:highlight w:val="none"/>
          <w:shd w:val="clear" w:color="auto" w:fill="FFFFFF"/>
          <w:lang w:val="zh-CN" w:eastAsia="zh-CN"/>
        </w:rPr>
        <w:t>信息公开情况</w:t>
      </w:r>
      <w:r>
        <w:rPr>
          <w:rFonts w:hint="eastAsia" w:cs="Times New Roman"/>
          <w:color w:val="000000"/>
          <w:kern w:val="0"/>
          <w:sz w:val="32"/>
          <w:szCs w:val="32"/>
          <w:highlight w:val="none"/>
          <w:shd w:val="clear" w:color="auto" w:fill="FFFFFF"/>
          <w:lang w:val="zh-CN" w:eastAsia="zh-CN"/>
        </w:rPr>
        <w:t>：年初部门预算通过财政审批后，经过单位主要领导审签在进行预算信息公开。公开的信息都是真实、完整、细化的。</w:t>
      </w:r>
    </w:p>
    <w:p w14:paraId="3EE891B0">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ascii="Times New Roman" w:hAnsi="Times New Roman" w:eastAsia="仿宋_GB2312" w:cs="Times New Roman"/>
          <w:b/>
          <w:bCs w:val="0"/>
          <w:sz w:val="32"/>
          <w:szCs w:val="32"/>
        </w:rPr>
      </w:pPr>
      <w:r>
        <w:rPr>
          <w:rFonts w:ascii="Times New Roman" w:hAnsi="Times New Roman" w:eastAsia="仿宋_GB2312" w:cs="Times New Roman"/>
          <w:color w:val="000000"/>
          <w:kern w:val="0"/>
          <w:sz w:val="32"/>
          <w:szCs w:val="32"/>
          <w:highlight w:val="none"/>
          <w:shd w:val="clear" w:color="auto" w:fill="FFFFFF"/>
          <w:lang w:val="zh-CN" w:eastAsia="zh-CN" w:bidi="ar-SA"/>
        </w:rPr>
        <w:t>整改反馈情况</w:t>
      </w:r>
      <w:r>
        <w:rPr>
          <w:rFonts w:hint="eastAsia" w:hAnsi="Times New Roman" w:eastAsia="仿宋_GB2312" w:cs="Times New Roman"/>
          <w:color w:val="000000"/>
          <w:kern w:val="0"/>
          <w:sz w:val="32"/>
          <w:szCs w:val="32"/>
          <w:highlight w:val="none"/>
          <w:shd w:val="clear" w:color="auto" w:fill="FFFFFF"/>
          <w:lang w:val="zh-CN" w:eastAsia="zh-CN" w:bidi="ar-SA"/>
        </w:rPr>
        <w:t>：在绩效运行监控当中，有些项目资金进度慢，有些项目支付进度未达标。</w:t>
      </w:r>
      <w:r>
        <w:rPr>
          <w:rFonts w:hint="eastAsia" w:cs="Times New Roman"/>
          <w:color w:val="000000"/>
          <w:kern w:val="0"/>
          <w:sz w:val="32"/>
          <w:szCs w:val="32"/>
          <w:highlight w:val="none"/>
          <w:shd w:val="clear" w:color="auto" w:fill="FFFFFF"/>
          <w:lang w:val="zh-CN" w:eastAsia="zh-CN" w:bidi="ar-SA"/>
        </w:rPr>
        <w:t>原因是一些项目开展时间都在下半年，导致大量资金在</w:t>
      </w:r>
      <w:r>
        <w:rPr>
          <w:rFonts w:hint="eastAsia" w:cs="Times New Roman"/>
          <w:color w:val="000000"/>
          <w:kern w:val="0"/>
          <w:sz w:val="32"/>
          <w:szCs w:val="32"/>
          <w:highlight w:val="none"/>
          <w:shd w:val="clear" w:color="auto" w:fill="FFFFFF"/>
          <w:lang w:val="en-US" w:eastAsia="zh-CN" w:bidi="ar-SA"/>
        </w:rPr>
        <w:t>11月至12月初支付，1个项目完结时间在2027年；2个项目完结时间在2026年；2个项目因资金下达时间在12月初，无法在预期时间开展次项活动，结转至2026年开展。</w:t>
      </w:r>
    </w:p>
    <w:p w14:paraId="533D3AC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lang w:eastAsia="zh-CN"/>
        </w:rPr>
        <w:t>四、</w:t>
      </w:r>
      <w:r>
        <w:rPr>
          <w:rFonts w:ascii="Times New Roman" w:hAnsi="Times New Roman" w:eastAsia="黑体" w:cs="Times New Roman"/>
          <w:color w:val="000000"/>
          <w:kern w:val="0"/>
          <w:sz w:val="32"/>
          <w:szCs w:val="32"/>
          <w:highlight w:val="none"/>
          <w:shd w:val="clear" w:color="auto" w:fill="FFFFFF"/>
        </w:rPr>
        <w:t>评价结论及建议</w:t>
      </w:r>
    </w:p>
    <w:p w14:paraId="2BFBA14E">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（一）评价结论。</w:t>
      </w:r>
    </w:p>
    <w:p w14:paraId="4CFCB1D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ascii="仿宋_GB2312" w:hAnsi="仿宋_GB2312" w:cs="仿宋_GB2312"/>
          <w:b w:val="0"/>
          <w:bCs w:val="0"/>
          <w:kern w:val="0"/>
          <w:position w:val="0"/>
          <w:sz w:val="32"/>
          <w:szCs w:val="32"/>
          <w:highlight w:val="none"/>
          <w:lang w:val="en-US" w:eastAsia="zh-CN" w:bidi="ar-SA"/>
        </w:rPr>
      </w:pPr>
      <w:r>
        <w:rPr>
          <w:rFonts w:hint="eastAsia" w:ascii="仿宋_GB2312" w:hAnsi="仿宋_GB2312" w:cs="仿宋_GB2312"/>
          <w:b w:val="0"/>
          <w:bCs w:val="0"/>
          <w:kern w:val="0"/>
          <w:position w:val="0"/>
          <w:sz w:val="32"/>
          <w:szCs w:val="32"/>
          <w:highlight w:val="none"/>
          <w:lang w:val="en-US" w:eastAsia="zh-CN" w:bidi="ar-SA"/>
        </w:rPr>
        <w:t>我单位本年度上述</w:t>
      </w:r>
      <w:r>
        <w:rPr>
          <w:rFonts w:ascii="仿宋_GB2312" w:hAnsi="仿宋_GB2312" w:cs="仿宋_GB2312"/>
          <w:b w:val="0"/>
          <w:bCs w:val="0"/>
          <w:kern w:val="0"/>
          <w:position w:val="0"/>
          <w:sz w:val="32"/>
          <w:szCs w:val="32"/>
          <w:highlight w:val="none"/>
          <w:lang w:val="en-US" w:eastAsia="zh-CN" w:bidi="ar-SA"/>
        </w:rPr>
        <w:t>预算绩效</w:t>
      </w:r>
      <w:r>
        <w:rPr>
          <w:rFonts w:hint="eastAsia" w:ascii="仿宋_GB2312" w:hAnsi="仿宋_GB2312" w:cs="仿宋_GB2312"/>
          <w:b w:val="0"/>
          <w:bCs w:val="0"/>
          <w:kern w:val="0"/>
          <w:position w:val="0"/>
          <w:sz w:val="32"/>
          <w:szCs w:val="32"/>
          <w:highlight w:val="none"/>
          <w:lang w:val="en-US" w:eastAsia="zh-CN" w:bidi="ar-SA"/>
        </w:rPr>
        <w:t>评价自评总分90分</w:t>
      </w:r>
    </w:p>
    <w:p w14:paraId="2D6CFE8A">
      <w:pPr>
        <w:keepNext w:val="0"/>
        <w:keepLines w:val="0"/>
        <w:pageBreakBefore w:val="0"/>
        <w:widowControl/>
        <w:numPr>
          <w:ilvl w:val="0"/>
          <w:numId w:val="8"/>
        </w:numPr>
        <w:kinsoku/>
        <w:wordWrap/>
        <w:overflowPunct/>
        <w:topLinePunct w:val="0"/>
        <w:autoSpaceDE/>
        <w:autoSpaceDN/>
        <w:bidi w:val="0"/>
        <w:adjustRightInd w:val="0"/>
        <w:snapToGrid w:val="0"/>
        <w:spacing w:line="560" w:lineRule="exact"/>
        <w:ind w:left="0" w:firstLine="643" w:firstLineChars="200"/>
        <w:contextualSpacing/>
        <w:jc w:val="left"/>
        <w:textAlignment w:val="auto"/>
        <w:outlineLvl w:val="9"/>
        <w:rPr>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存在问题。</w:t>
      </w:r>
      <w:r>
        <w:rPr>
          <w:rFonts w:ascii="Times New Roman" w:hAnsi="Times New Roman" w:eastAsia="仿宋_GB2312" w:cs="Times New Roman"/>
          <w:b w:val="0"/>
          <w:bCs w:val="0"/>
          <w:w w:val="95"/>
          <w:kern w:val="0"/>
          <w:position w:val="0"/>
          <w:sz w:val="32"/>
          <w:szCs w:val="32"/>
          <w:highlight w:val="none"/>
          <w:lang w:val="en-US" w:eastAsia="zh-CN" w:bidi="ar-SA"/>
        </w:rPr>
        <w:t>简要阐述</w:t>
      </w:r>
      <w:r>
        <w:rPr>
          <w:rFonts w:ascii="Times New Roman" w:hAnsi="Times New Roman" w:cs="Times New Roman"/>
          <w:b w:val="0"/>
          <w:bCs w:val="0"/>
          <w:w w:val="95"/>
          <w:kern w:val="0"/>
          <w:position w:val="0"/>
          <w:sz w:val="32"/>
          <w:szCs w:val="32"/>
          <w:highlight w:val="none"/>
          <w:lang w:val="en-US" w:eastAsia="zh-CN" w:bidi="ar-SA"/>
        </w:rPr>
        <w:t>部门预算绩效自评</w:t>
      </w:r>
      <w:r>
        <w:rPr>
          <w:rFonts w:ascii="Times New Roman" w:hAnsi="Times New Roman" w:eastAsia="仿宋_GB2312" w:cs="Times New Roman"/>
          <w:b w:val="0"/>
          <w:bCs w:val="0"/>
          <w:w w:val="95"/>
          <w:kern w:val="0"/>
          <w:position w:val="0"/>
          <w:sz w:val="32"/>
          <w:szCs w:val="32"/>
          <w:highlight w:val="none"/>
          <w:lang w:val="en-US" w:eastAsia="zh-CN" w:bidi="ar-SA"/>
        </w:rPr>
        <w:t>发现的主要问题</w:t>
      </w:r>
    </w:p>
    <w:p w14:paraId="37FC4BAE">
      <w:pPr>
        <w:pStyle w:val="2"/>
        <w:pageBreakBefore w:val="0"/>
        <w:kinsoku/>
        <w:wordWrap/>
        <w:overflowPunct/>
        <w:topLinePunct w:val="0"/>
        <w:bidi w:val="0"/>
        <w:spacing w:line="560" w:lineRule="exact"/>
        <w:ind w:firstLine="640" w:firstLineChars="200"/>
        <w:rPr>
          <w:sz w:val="32"/>
          <w:szCs w:val="32"/>
          <w:lang w:val="en-US" w:eastAsia="zh-CN"/>
        </w:rPr>
      </w:pPr>
      <w:r>
        <w:rPr>
          <w:rFonts w:hint="eastAsia" w:ascii="仿宋_GB2312" w:hAnsi="仿宋_GB2312" w:eastAsia="仿宋_GB2312" w:cs="仿宋_GB2312"/>
          <w:b w:val="0"/>
          <w:bCs w:val="0"/>
          <w:kern w:val="0"/>
          <w:position w:val="0"/>
          <w:sz w:val="32"/>
          <w:szCs w:val="32"/>
          <w:highlight w:val="none"/>
          <w:lang w:val="en-US" w:eastAsia="zh-CN" w:bidi="ar-SA"/>
        </w:rPr>
        <w:t>在开展活动的时间与预期的时间有偏差，导致资金支付进度缓慢。一些项目活动存在质量未验收过关，导致资金结转。</w:t>
      </w:r>
    </w:p>
    <w:p w14:paraId="346D3766">
      <w:pPr>
        <w:keepNext w:val="0"/>
        <w:keepLines w:val="0"/>
        <w:pageBreakBefore w:val="0"/>
        <w:widowControl/>
        <w:numPr>
          <w:ilvl w:val="0"/>
          <w:numId w:val="8"/>
        </w:numPr>
        <w:kinsoku/>
        <w:wordWrap/>
        <w:overflowPunct/>
        <w:topLinePunct w:val="0"/>
        <w:autoSpaceDE/>
        <w:autoSpaceDN/>
        <w:bidi w:val="0"/>
        <w:adjustRightInd w:val="0"/>
        <w:snapToGrid w:val="0"/>
        <w:spacing w:line="560" w:lineRule="exact"/>
        <w:ind w:left="0" w:firstLine="643" w:firstLineChars="200"/>
        <w:contextualSpacing/>
        <w:jc w:val="left"/>
        <w:textAlignment w:val="auto"/>
        <w:outlineLvl w:val="9"/>
        <w:rPr>
          <w:rFonts w:hint="eastAsia" w:cs="Times New Roman"/>
          <w:b w:val="0"/>
          <w:bCs w:val="0"/>
          <w:kern w:val="0"/>
          <w:position w:val="0"/>
          <w:sz w:val="32"/>
          <w:szCs w:val="32"/>
          <w:highlight w:val="none"/>
          <w:lang w:val="en-US" w:eastAsia="zh-CN" w:bidi="ar-SA"/>
        </w:rPr>
      </w:pPr>
      <w:r>
        <w:rPr>
          <w:rFonts w:ascii="Times New Roman" w:hAnsi="Times New Roman" w:eastAsia="楷体_GB2312" w:cs="Times New Roman"/>
          <w:b/>
          <w:bCs/>
          <w:color w:val="000000"/>
          <w:kern w:val="0"/>
          <w:sz w:val="32"/>
          <w:szCs w:val="32"/>
          <w:highlight w:val="none"/>
          <w:shd w:val="clear" w:color="auto" w:fill="FFFFFF"/>
          <w:lang w:val="zh-CN" w:eastAsia="zh-CN"/>
        </w:rPr>
        <w:t>改进建议。</w:t>
      </w:r>
      <w:r>
        <w:rPr>
          <w:rFonts w:ascii="Times New Roman" w:hAnsi="Times New Roman" w:eastAsia="仿宋_GB2312" w:cs="Times New Roman"/>
          <w:b w:val="0"/>
          <w:bCs w:val="0"/>
          <w:kern w:val="0"/>
          <w:position w:val="0"/>
          <w:sz w:val="32"/>
          <w:szCs w:val="32"/>
          <w:highlight w:val="none"/>
          <w:lang w:val="en-US" w:eastAsia="zh-CN" w:bidi="ar-SA"/>
        </w:rPr>
        <w:t>简要阐述</w:t>
      </w:r>
      <w:r>
        <w:rPr>
          <w:rFonts w:ascii="Times New Roman" w:hAnsi="Times New Roman" w:eastAsia="仿宋_GB2312" w:cs="Times New Roman"/>
          <w:b w:val="0"/>
          <w:bCs w:val="0"/>
          <w:kern w:val="0"/>
          <w:position w:val="0"/>
          <w:sz w:val="32"/>
          <w:szCs w:val="32"/>
          <w:highlight w:val="none"/>
          <w:lang w:eastAsia="zh-CN" w:bidi="ar-SA"/>
        </w:rPr>
        <w:t>预算安排、完善政策、改进管理等方面的</w:t>
      </w:r>
      <w:r>
        <w:rPr>
          <w:rFonts w:ascii="Times New Roman" w:hAnsi="Times New Roman" w:eastAsia="仿宋_GB2312" w:cs="Times New Roman"/>
          <w:b w:val="0"/>
          <w:bCs w:val="0"/>
          <w:kern w:val="0"/>
          <w:position w:val="0"/>
          <w:sz w:val="32"/>
          <w:szCs w:val="32"/>
          <w:highlight w:val="none"/>
          <w:lang w:val="en-US" w:eastAsia="zh-CN" w:bidi="ar-SA"/>
        </w:rPr>
        <w:t>措施</w:t>
      </w:r>
      <w:r>
        <w:rPr>
          <w:rFonts w:ascii="Times New Roman" w:hAnsi="Times New Roman" w:eastAsia="仿宋_GB2312" w:cs="Times New Roman"/>
          <w:b w:val="0"/>
          <w:bCs w:val="0"/>
          <w:kern w:val="0"/>
          <w:position w:val="0"/>
          <w:sz w:val="32"/>
          <w:szCs w:val="32"/>
          <w:highlight w:val="none"/>
          <w:lang w:eastAsia="zh-CN" w:bidi="ar-SA"/>
        </w:rPr>
        <w:t>建议，其中</w:t>
      </w:r>
      <w:r>
        <w:rPr>
          <w:rFonts w:ascii="Times New Roman" w:hAnsi="Times New Roman" w:eastAsia="仿宋_GB2312" w:cs="Times New Roman"/>
          <w:b w:val="0"/>
          <w:bCs w:val="0"/>
          <w:kern w:val="0"/>
          <w:position w:val="0"/>
          <w:sz w:val="32"/>
          <w:szCs w:val="32"/>
          <w:highlight w:val="none"/>
          <w:lang w:val="en-US" w:eastAsia="zh-CN" w:bidi="ar-SA"/>
        </w:rPr>
        <w:t>必须对应评价发现的主要问题一一提出措施建议。</w:t>
      </w:r>
    </w:p>
    <w:p w14:paraId="0A3B8F07">
      <w:pPr>
        <w:pageBreakBefore w:val="0"/>
        <w:kinsoku/>
        <w:wordWrap/>
        <w:overflowPunct/>
        <w:topLinePunct w:val="0"/>
        <w:bidi w:val="0"/>
        <w:spacing w:line="560" w:lineRule="exact"/>
        <w:ind w:firstLine="640" w:firstLineChars="200"/>
        <w:rPr>
          <w:rFonts w:hint="eastAsia"/>
          <w:sz w:val="32"/>
          <w:szCs w:val="32"/>
        </w:rPr>
      </w:pPr>
      <w:r>
        <w:rPr>
          <w:rFonts w:hint="eastAsia"/>
          <w:sz w:val="32"/>
          <w:szCs w:val="32"/>
          <w:lang w:val="en-US" w:eastAsia="zh-CN"/>
        </w:rPr>
        <w:t>1.</w:t>
      </w:r>
      <w:r>
        <w:rPr>
          <w:rFonts w:hint="eastAsia"/>
          <w:sz w:val="32"/>
          <w:szCs w:val="32"/>
        </w:rPr>
        <w:t>建议单位合理调整活动时间，按季度完成，减少资金支付进度不达标现象。在开展免开项目方面，可提前开展工作，财政下达资金后就可加快资金支付进度。</w:t>
      </w:r>
    </w:p>
    <w:p w14:paraId="21DABC40">
      <w:pPr>
        <w:pageBreakBefore w:val="0"/>
        <w:kinsoku/>
        <w:wordWrap/>
        <w:overflowPunct/>
        <w:topLinePunct w:val="0"/>
        <w:bidi w:val="0"/>
        <w:spacing w:line="560" w:lineRule="exact"/>
        <w:ind w:firstLine="640" w:firstLineChars="200"/>
        <w:rPr>
          <w:rFonts w:hint="eastAsia"/>
          <w:sz w:val="32"/>
          <w:szCs w:val="32"/>
        </w:rPr>
      </w:pPr>
      <w:r>
        <w:rPr>
          <w:rFonts w:hint="eastAsia"/>
          <w:sz w:val="32"/>
          <w:szCs w:val="32"/>
          <w:lang w:val="en-US" w:eastAsia="zh-CN"/>
        </w:rPr>
        <w:t>2.</w:t>
      </w:r>
      <w:r>
        <w:rPr>
          <w:rFonts w:hint="eastAsia"/>
          <w:sz w:val="32"/>
          <w:szCs w:val="32"/>
        </w:rPr>
        <w:t>财务室督促资金使用，加快项目进展，定期汇报资金使用情况。</w:t>
      </w:r>
    </w:p>
    <w:p w14:paraId="44FFFA75">
      <w:pPr>
        <w:pageBreakBefore w:val="0"/>
        <w:kinsoku/>
        <w:wordWrap/>
        <w:overflowPunct/>
        <w:topLinePunct w:val="0"/>
        <w:bidi w:val="0"/>
        <w:spacing w:line="560" w:lineRule="exact"/>
        <w:ind w:firstLine="640" w:firstLineChars="200"/>
        <w:rPr>
          <w:sz w:val="28"/>
          <w:szCs w:val="28"/>
          <w:lang w:eastAsia="zh-CN"/>
        </w:rPr>
      </w:pPr>
      <w:r>
        <w:rPr>
          <w:rFonts w:hint="eastAsia"/>
          <w:sz w:val="32"/>
          <w:szCs w:val="32"/>
          <w:lang w:val="en-US" w:eastAsia="zh-CN"/>
        </w:rPr>
        <w:t>3.</w:t>
      </w:r>
      <w:r>
        <w:rPr>
          <w:rFonts w:hint="eastAsia"/>
          <w:sz w:val="32"/>
          <w:szCs w:val="32"/>
        </w:rPr>
        <w:t>加强部门沟通协作能力</w:t>
      </w:r>
      <w:r>
        <w:rPr>
          <w:rFonts w:hint="eastAsia"/>
          <w:sz w:val="32"/>
          <w:szCs w:val="32"/>
          <w:lang w:eastAsia="zh-CN"/>
        </w:rPr>
        <w:t>，</w:t>
      </w:r>
      <w:r>
        <w:rPr>
          <w:rFonts w:hint="eastAsia"/>
          <w:sz w:val="32"/>
          <w:szCs w:val="32"/>
        </w:rPr>
        <w:t>坚持原则注重技巧，进一步加强与领导、同事及相关部门的沟通，形成工作合力，共促单位高质量发展</w:t>
      </w:r>
      <w:r>
        <w:rPr>
          <w:rFonts w:hint="eastAsia"/>
          <w:sz w:val="28"/>
          <w:szCs w:val="28"/>
          <w:lang w:eastAsia="zh-CN"/>
        </w:rPr>
        <w:t>。</w:t>
      </w:r>
    </w:p>
    <w:p w14:paraId="7B46151D">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5AECFECD">
      <w:pPr>
        <w:keepNext w:val="0"/>
        <w:keepLines w:val="0"/>
        <w:pageBreakBefore w:val="0"/>
        <w:widowControl/>
        <w:suppressLineNumbers w:val="0"/>
        <w:kinsoku/>
        <w:wordWrap/>
        <w:overflowPunct/>
        <w:topLinePunct w:val="0"/>
        <w:autoSpaceDE/>
        <w:autoSpaceDN/>
        <w:bidi w:val="0"/>
        <w:adjustRightInd/>
        <w:snapToGrid/>
        <w:spacing w:line="560" w:lineRule="exact"/>
        <w:ind w:firstLine="880" w:firstLineChars="200"/>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rPr>
      </w:pPr>
      <w:r>
        <w:rPr>
          <w:rFonts w:hint="eastAsia" w:ascii="Times New Roman" w:hAnsi="Times New Roman" w:eastAsia="方正小标宋简体" w:cs="Times New Roman"/>
          <w:i w:val="0"/>
          <w:color w:val="000000"/>
          <w:kern w:val="0"/>
          <w:sz w:val="44"/>
          <w:szCs w:val="44"/>
          <w:u w:val="none"/>
          <w:lang w:val="en-US" w:eastAsia="zh-CN"/>
        </w:rPr>
        <w:t>部门预算绩效自评打分表</w:t>
      </w:r>
    </w:p>
    <w:tbl>
      <w:tblPr>
        <w:tblStyle w:val="1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4"/>
        <w:gridCol w:w="1462"/>
        <w:gridCol w:w="1665"/>
        <w:gridCol w:w="720"/>
        <w:gridCol w:w="4734"/>
        <w:gridCol w:w="756"/>
        <w:gridCol w:w="478"/>
      </w:tblGrid>
      <w:tr w14:paraId="3DADD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noWrap/>
            <w:vAlign w:val="center"/>
          </w:tcPr>
          <w:p w14:paraId="59A20B7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noWrap/>
            <w:vAlign w:val="center"/>
          </w:tcPr>
          <w:p w14:paraId="0F0C79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指标解释</w:t>
            </w:r>
          </w:p>
        </w:tc>
        <w:tc>
          <w:tcPr>
            <w:tcW w:w="756" w:type="dxa"/>
            <w:vMerge w:val="restart"/>
            <w:tcBorders>
              <w:top w:val="single" w:color="000000" w:sz="4" w:space="0"/>
              <w:left w:val="single" w:color="000000" w:sz="4" w:space="0"/>
              <w:bottom w:val="nil"/>
              <w:right w:val="single" w:color="000000" w:sz="4" w:space="0"/>
            </w:tcBorders>
            <w:noWrap/>
            <w:vAlign w:val="center"/>
          </w:tcPr>
          <w:p w14:paraId="0C9105A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kern w:val="0"/>
                <w:sz w:val="24"/>
                <w:szCs w:val="24"/>
                <w:u w:val="none"/>
                <w:lang w:val="en-US" w:eastAsia="zh-CN"/>
              </w:rPr>
            </w:pPr>
            <w:r>
              <w:rPr>
                <w:rFonts w:hint="eastAsia" w:ascii="黑体" w:hAnsi="宋体" w:eastAsia="黑体" w:cs="黑体"/>
                <w:i w:val="0"/>
                <w:color w:val="000000"/>
                <w:kern w:val="0"/>
                <w:sz w:val="24"/>
                <w:szCs w:val="24"/>
                <w:u w:val="none"/>
                <w:lang w:val="en-US" w:eastAsia="zh-CN"/>
              </w:rPr>
              <w:t>自评得分</w:t>
            </w:r>
          </w:p>
        </w:tc>
        <w:tc>
          <w:tcPr>
            <w:tcW w:w="478" w:type="dxa"/>
            <w:vMerge w:val="restart"/>
            <w:tcBorders>
              <w:top w:val="single" w:color="000000" w:sz="4" w:space="0"/>
              <w:left w:val="single" w:color="000000" w:sz="4" w:space="0"/>
              <w:bottom w:val="nil"/>
              <w:right w:val="single" w:color="000000" w:sz="4" w:space="0"/>
            </w:tcBorders>
            <w:noWrap/>
            <w:vAlign w:val="center"/>
          </w:tcPr>
          <w:p w14:paraId="23ADEED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kern w:val="0"/>
                <w:sz w:val="24"/>
                <w:szCs w:val="24"/>
                <w:u w:val="none"/>
                <w:lang w:val="en-US" w:eastAsia="zh-CN"/>
              </w:rPr>
            </w:pPr>
            <w:r>
              <w:rPr>
                <w:rFonts w:hint="eastAsia" w:ascii="黑体" w:hAnsi="宋体" w:eastAsia="黑体" w:cs="黑体"/>
                <w:i w:val="0"/>
                <w:color w:val="000000"/>
                <w:kern w:val="0"/>
                <w:sz w:val="24"/>
                <w:szCs w:val="24"/>
                <w:u w:val="none"/>
                <w:lang w:val="en-US" w:eastAsia="zh-CN"/>
              </w:rPr>
              <w:t>备注</w:t>
            </w:r>
          </w:p>
        </w:tc>
      </w:tr>
      <w:tr w14:paraId="2DC90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noWrap/>
            <w:vAlign w:val="center"/>
          </w:tcPr>
          <w:p w14:paraId="7B7BDF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一级指标</w:t>
            </w:r>
          </w:p>
        </w:tc>
        <w:tc>
          <w:tcPr>
            <w:tcW w:w="1462" w:type="dxa"/>
            <w:tcBorders>
              <w:top w:val="single" w:color="000000" w:sz="4" w:space="0"/>
              <w:left w:val="single" w:color="000000" w:sz="4" w:space="0"/>
              <w:bottom w:val="single" w:color="000000" w:sz="4" w:space="0"/>
              <w:right w:val="single" w:color="000000" w:sz="4" w:space="0"/>
            </w:tcBorders>
            <w:noWrap/>
            <w:vAlign w:val="center"/>
          </w:tcPr>
          <w:p w14:paraId="2CB9B4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二级指标</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1E1958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三级指标</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62033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rPr>
              <w:t>指标</w:t>
            </w:r>
            <w:r>
              <w:rPr>
                <w:rFonts w:hint="eastAsia" w:ascii="黑体" w:hAnsi="宋体" w:eastAsia="黑体" w:cs="黑体"/>
                <w:i w:val="0"/>
                <w:color w:val="000000"/>
                <w:kern w:val="0"/>
                <w:sz w:val="24"/>
                <w:szCs w:val="24"/>
                <w:u w:val="none"/>
                <w:lang w:val="en-US" w:eastAsia="zh-CN"/>
              </w:rPr>
              <w:br w:type="textWrapping"/>
            </w:r>
            <w:r>
              <w:rPr>
                <w:rFonts w:hint="eastAsia" w:ascii="黑体" w:hAnsi="宋体" w:eastAsia="黑体" w:cs="黑体"/>
                <w:i w:val="0"/>
                <w:color w:val="000000"/>
                <w:kern w:val="0"/>
                <w:sz w:val="24"/>
                <w:szCs w:val="24"/>
                <w:u w:val="none"/>
                <w:lang w:val="en-US" w:eastAsia="zh-CN"/>
              </w:rPr>
              <w:t>分值</w:t>
            </w:r>
          </w:p>
        </w:tc>
        <w:tc>
          <w:tcPr>
            <w:tcW w:w="4734" w:type="dxa"/>
            <w:vMerge w:val="continue"/>
            <w:tcBorders>
              <w:top w:val="single" w:color="000000" w:sz="4" w:space="0"/>
              <w:left w:val="single" w:color="000000" w:sz="4" w:space="0"/>
              <w:bottom w:val="single" w:color="000000" w:sz="4" w:space="0"/>
              <w:right w:val="single" w:color="000000" w:sz="4" w:space="0"/>
            </w:tcBorders>
            <w:noWrap/>
            <w:vAlign w:val="center"/>
          </w:tcPr>
          <w:p w14:paraId="5CD37288">
            <w:pPr>
              <w:pageBreakBefore w:val="0"/>
              <w:kinsoku/>
              <w:wordWrap/>
              <w:overflowPunct/>
              <w:topLinePunct w:val="0"/>
              <w:bidi w:val="0"/>
              <w:spacing w:line="560" w:lineRule="exact"/>
            </w:pPr>
          </w:p>
        </w:tc>
        <w:tc>
          <w:tcPr>
            <w:tcW w:w="756" w:type="dxa"/>
            <w:vMerge w:val="continue"/>
            <w:tcBorders>
              <w:top w:val="nil"/>
              <w:left w:val="single" w:color="000000" w:sz="4" w:space="0"/>
              <w:bottom w:val="single" w:color="000000" w:sz="4" w:space="0"/>
              <w:right w:val="single" w:color="000000" w:sz="4" w:space="0"/>
            </w:tcBorders>
            <w:noWrap/>
            <w:vAlign w:val="center"/>
          </w:tcPr>
          <w:p w14:paraId="142E8CBD">
            <w:pPr>
              <w:pageBreakBefore w:val="0"/>
              <w:kinsoku/>
              <w:wordWrap/>
              <w:overflowPunct/>
              <w:topLinePunct w:val="0"/>
              <w:bidi w:val="0"/>
              <w:spacing w:line="560" w:lineRule="exact"/>
            </w:pPr>
          </w:p>
        </w:tc>
        <w:tc>
          <w:tcPr>
            <w:tcW w:w="478" w:type="dxa"/>
            <w:vMerge w:val="continue"/>
            <w:tcBorders>
              <w:top w:val="nil"/>
              <w:left w:val="single" w:color="000000" w:sz="4" w:space="0"/>
              <w:bottom w:val="single" w:color="000000" w:sz="4" w:space="0"/>
              <w:right w:val="single" w:color="000000" w:sz="4" w:space="0"/>
            </w:tcBorders>
            <w:noWrap/>
            <w:vAlign w:val="center"/>
          </w:tcPr>
          <w:p w14:paraId="1F1E78A5">
            <w:pPr>
              <w:pageBreakBefore w:val="0"/>
              <w:kinsoku/>
              <w:wordWrap/>
              <w:overflowPunct/>
              <w:topLinePunct w:val="0"/>
              <w:bidi w:val="0"/>
              <w:spacing w:line="560" w:lineRule="exact"/>
            </w:pPr>
          </w:p>
        </w:tc>
      </w:tr>
      <w:tr w14:paraId="7BC4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ign w:val="center"/>
          </w:tcPr>
          <w:p w14:paraId="0BBDCB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总体绩效</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（65分）</w:t>
            </w:r>
          </w:p>
        </w:tc>
        <w:tc>
          <w:tcPr>
            <w:tcW w:w="1462" w:type="dxa"/>
            <w:tcBorders>
              <w:top w:val="single" w:color="000000" w:sz="4" w:space="0"/>
              <w:left w:val="single" w:color="000000" w:sz="4" w:space="0"/>
              <w:bottom w:val="single" w:color="000000" w:sz="4" w:space="0"/>
              <w:right w:val="single" w:color="000000" w:sz="4" w:space="0"/>
            </w:tcBorders>
            <w:noWrap/>
            <w:vAlign w:val="center"/>
          </w:tcPr>
          <w:p w14:paraId="2EAA463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履职效能</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（15分）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17D71EA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XX履职效果</w:t>
            </w:r>
          </w:p>
        </w:tc>
        <w:tc>
          <w:tcPr>
            <w:tcW w:w="720" w:type="dxa"/>
            <w:tcBorders>
              <w:top w:val="nil"/>
              <w:left w:val="single" w:color="000000" w:sz="4" w:space="0"/>
              <w:bottom w:val="single" w:color="000000" w:sz="4" w:space="0"/>
              <w:right w:val="single" w:color="000000" w:sz="4" w:space="0"/>
            </w:tcBorders>
            <w:noWrap/>
            <w:vAlign w:val="center"/>
          </w:tcPr>
          <w:p w14:paraId="7E7ACF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15</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2A2A664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560A162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14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4A6078C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38B64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74F2775C">
            <w:pPr>
              <w:pageBreakBefore w:val="0"/>
              <w:kinsoku/>
              <w:wordWrap/>
              <w:overflowPunct/>
              <w:topLinePunct w:val="0"/>
              <w:bidi w:val="0"/>
              <w:spacing w:line="560" w:lineRule="exact"/>
            </w:pPr>
          </w:p>
        </w:tc>
        <w:tc>
          <w:tcPr>
            <w:tcW w:w="1462" w:type="dxa"/>
            <w:vMerge w:val="restart"/>
            <w:tcBorders>
              <w:top w:val="single" w:color="000000" w:sz="4" w:space="0"/>
              <w:left w:val="single" w:color="000000" w:sz="4" w:space="0"/>
              <w:bottom w:val="single" w:color="000000" w:sz="4" w:space="0"/>
              <w:right w:val="single" w:color="000000" w:sz="4" w:space="0"/>
            </w:tcBorders>
            <w:noWrap/>
            <w:vAlign w:val="center"/>
          </w:tcPr>
          <w:p w14:paraId="711CED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预算管理</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（25分）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0A26D3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预算编制质量</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49E6CE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8</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7D8122C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04388F5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8</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08BC96F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50CA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7F847E91">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0F4D6A7A">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17DED0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单位收入统筹</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941DE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041291A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部门统筹自有收入程度</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66F0669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0</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05DE604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42D02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6FA86663">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138D7DB7">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5E85C8E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支出执行进度</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289EE6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622992C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6A4FA77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5</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63B3797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2F154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57FF29B1">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1F195054">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03377D8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预算年终结余</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A0CF7A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46E4C87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4A4D407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340EC67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15DCB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02A28648">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6247F22B">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03C1BE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严控一般性支出</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0AE2B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3C71C38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7C77F3B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5</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592AC11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01DE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12E9B644">
            <w:pPr>
              <w:pageBreakBefore w:val="0"/>
              <w:kinsoku/>
              <w:wordWrap/>
              <w:overflowPunct/>
              <w:topLinePunct w:val="0"/>
              <w:bidi w:val="0"/>
              <w:spacing w:line="560" w:lineRule="exact"/>
            </w:pPr>
          </w:p>
        </w:tc>
        <w:tc>
          <w:tcPr>
            <w:tcW w:w="1462" w:type="dxa"/>
            <w:vMerge w:val="restart"/>
            <w:tcBorders>
              <w:top w:val="single" w:color="000000" w:sz="4" w:space="0"/>
              <w:left w:val="single" w:color="000000" w:sz="4" w:space="0"/>
              <w:bottom w:val="single" w:color="000000" w:sz="4" w:space="0"/>
              <w:right w:val="single" w:color="000000" w:sz="4" w:space="0"/>
            </w:tcBorders>
            <w:noWrap/>
            <w:vAlign w:val="center"/>
          </w:tcPr>
          <w:p w14:paraId="13AB28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财务管理</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（10分）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390946B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财务管理制度</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4E2BAF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5363748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7BE655B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583EC50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2C8DE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2B9120F4">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6A04DE81">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2A0A5E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财务岗位设置</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9F9A5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30D75E7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726DF6A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16E1319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6FC55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7C4517EB">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1C7AF270">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580C99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资金使用规范</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750FE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0E94B15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0A0A496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6F0E821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37C7C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03C0293C">
            <w:pPr>
              <w:pageBreakBefore w:val="0"/>
              <w:kinsoku/>
              <w:wordWrap/>
              <w:overflowPunct/>
              <w:topLinePunct w:val="0"/>
              <w:bidi w:val="0"/>
              <w:spacing w:line="560" w:lineRule="exact"/>
            </w:pPr>
          </w:p>
        </w:tc>
        <w:tc>
          <w:tcPr>
            <w:tcW w:w="1462" w:type="dxa"/>
            <w:vMerge w:val="restart"/>
            <w:tcBorders>
              <w:top w:val="single" w:color="000000" w:sz="4" w:space="0"/>
              <w:left w:val="single" w:color="000000" w:sz="4" w:space="0"/>
              <w:bottom w:val="single" w:color="000000" w:sz="4" w:space="0"/>
              <w:right w:val="single" w:color="000000" w:sz="4" w:space="0"/>
            </w:tcBorders>
            <w:noWrap/>
            <w:vAlign w:val="center"/>
          </w:tcPr>
          <w:p w14:paraId="04B8357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资产管理</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（9分）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485773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人均资产变化率</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FAEA7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4513915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部门人均资产变化情况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16C8AA7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09D5ED3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391CA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69F96592">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6318E2C4">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3BC1EC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资产利用率</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7B876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64B722E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38EC7E5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36E417D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6FB8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ign w:val="center"/>
          </w:tcPr>
          <w:p w14:paraId="32EAA17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总体绩效</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（65分）</w:t>
            </w:r>
          </w:p>
        </w:tc>
        <w:tc>
          <w:tcPr>
            <w:tcW w:w="1462" w:type="dxa"/>
            <w:tcBorders>
              <w:top w:val="single" w:color="000000" w:sz="4" w:space="0"/>
              <w:left w:val="single" w:color="000000" w:sz="4" w:space="0"/>
              <w:bottom w:val="single" w:color="000000" w:sz="4" w:space="0"/>
              <w:right w:val="single" w:color="000000" w:sz="4" w:space="0"/>
            </w:tcBorders>
            <w:noWrap/>
            <w:vAlign w:val="center"/>
          </w:tcPr>
          <w:p w14:paraId="5378538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资产管理</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（9分）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39DB496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资产盘活率</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A0891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5D99D1B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59EB3FA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483E4D1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7686D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546782A9">
            <w:pPr>
              <w:pageBreakBefore w:val="0"/>
              <w:kinsoku/>
              <w:wordWrap/>
              <w:overflowPunct/>
              <w:topLinePunct w:val="0"/>
              <w:bidi w:val="0"/>
              <w:spacing w:line="560" w:lineRule="exact"/>
            </w:pPr>
          </w:p>
        </w:tc>
        <w:tc>
          <w:tcPr>
            <w:tcW w:w="1462" w:type="dxa"/>
            <w:vMerge w:val="restart"/>
            <w:tcBorders>
              <w:top w:val="single" w:color="000000" w:sz="4" w:space="0"/>
              <w:left w:val="single" w:color="000000" w:sz="4" w:space="0"/>
              <w:bottom w:val="single" w:color="000000" w:sz="4" w:space="0"/>
              <w:right w:val="single" w:color="000000" w:sz="4" w:space="0"/>
            </w:tcBorders>
            <w:noWrap/>
            <w:vAlign w:val="center"/>
          </w:tcPr>
          <w:p w14:paraId="5943C58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采购管理</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（6分）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23983F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支持中小企业发展</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7448E1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5CBBEFB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73E1FAA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40DB4BF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1EA1D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60CDBD4F">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0B8B1C3E">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1BB228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采购执行率</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FFE4C7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71E8AC1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4A93116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2289A3C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5BF6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ign w:val="center"/>
          </w:tcPr>
          <w:p w14:paraId="36BA85B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项目绩效</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（35分）</w:t>
            </w:r>
          </w:p>
        </w:tc>
        <w:tc>
          <w:tcPr>
            <w:tcW w:w="1462" w:type="dxa"/>
            <w:vMerge w:val="restart"/>
            <w:tcBorders>
              <w:top w:val="single" w:color="000000" w:sz="4" w:space="0"/>
              <w:left w:val="single" w:color="000000" w:sz="4" w:space="0"/>
              <w:bottom w:val="nil"/>
              <w:right w:val="single" w:color="000000" w:sz="4" w:space="0"/>
            </w:tcBorders>
            <w:noWrap/>
            <w:vAlign w:val="center"/>
          </w:tcPr>
          <w:p w14:paraId="487F85B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项目决策</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（12分）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273763F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决策程序</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0C4D56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7EE8E02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59C4D92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207852B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4476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4A76F017">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nil"/>
              <w:right w:val="single" w:color="000000" w:sz="4" w:space="0"/>
            </w:tcBorders>
            <w:noWrap/>
            <w:vAlign w:val="center"/>
          </w:tcPr>
          <w:p w14:paraId="046674A3">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79FB829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目标设置</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442AD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29EFD80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02D8AB0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57930CB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6C5AD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1E65BE85">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nil"/>
              <w:right w:val="single" w:color="000000" w:sz="4" w:space="0"/>
            </w:tcBorders>
            <w:noWrap/>
            <w:vAlign w:val="center"/>
          </w:tcPr>
          <w:p w14:paraId="31326F35">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274D68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项目入库</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CA810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71C11A9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17EB08A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3A12123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32A78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53BC01B2">
            <w:pPr>
              <w:pageBreakBefore w:val="0"/>
              <w:kinsoku/>
              <w:wordWrap/>
              <w:overflowPunct/>
              <w:topLinePunct w:val="0"/>
              <w:bidi w:val="0"/>
              <w:spacing w:line="560" w:lineRule="exact"/>
            </w:pPr>
          </w:p>
        </w:tc>
        <w:tc>
          <w:tcPr>
            <w:tcW w:w="1462" w:type="dxa"/>
            <w:vMerge w:val="restart"/>
            <w:tcBorders>
              <w:top w:val="single" w:color="000000" w:sz="4" w:space="0"/>
              <w:left w:val="single" w:color="000000" w:sz="4" w:space="0"/>
              <w:bottom w:val="nil"/>
              <w:right w:val="single" w:color="000000" w:sz="4" w:space="0"/>
            </w:tcBorders>
            <w:noWrap/>
            <w:vAlign w:val="center"/>
          </w:tcPr>
          <w:p w14:paraId="0BF175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项目执行</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（12分）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03F9E5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执行同向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5105B5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1BA4959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68E4EA4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39CA090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3EE24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5CC51820">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nil"/>
              <w:right w:val="single" w:color="000000" w:sz="4" w:space="0"/>
            </w:tcBorders>
            <w:noWrap/>
            <w:vAlign w:val="center"/>
          </w:tcPr>
          <w:p w14:paraId="089B6234">
            <w:pPr>
              <w:pageBreakBefore w:val="0"/>
              <w:kinsoku/>
              <w:wordWrap/>
              <w:overflowPunct/>
              <w:topLinePunct w:val="0"/>
              <w:bidi w:val="0"/>
              <w:spacing w:line="560" w:lineRule="exact"/>
            </w:pPr>
          </w:p>
        </w:tc>
        <w:tc>
          <w:tcPr>
            <w:tcW w:w="1665" w:type="dxa"/>
            <w:tcBorders>
              <w:top w:val="single" w:color="000000" w:sz="4" w:space="0"/>
              <w:left w:val="single" w:color="000000" w:sz="4" w:space="0"/>
              <w:bottom w:val="nil"/>
              <w:right w:val="single" w:color="000000" w:sz="4" w:space="0"/>
            </w:tcBorders>
            <w:noWrap/>
            <w:vAlign w:val="center"/>
          </w:tcPr>
          <w:p w14:paraId="4876DB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项目调整</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1A5CC4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1F7CABF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7A9B3E6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42D044C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36F1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67462D65">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nil"/>
              <w:right w:val="single" w:color="000000" w:sz="4" w:space="0"/>
            </w:tcBorders>
            <w:noWrap/>
            <w:vAlign w:val="center"/>
          </w:tcPr>
          <w:p w14:paraId="2455B30A">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512415E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执行结果</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0F2C37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571DCB9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00C6567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0E91CEA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0FEF4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6C962F25">
            <w:pPr>
              <w:pageBreakBefore w:val="0"/>
              <w:kinsoku/>
              <w:wordWrap/>
              <w:overflowPunct/>
              <w:topLinePunct w:val="0"/>
              <w:bidi w:val="0"/>
              <w:spacing w:line="560" w:lineRule="exact"/>
            </w:pPr>
          </w:p>
        </w:tc>
        <w:tc>
          <w:tcPr>
            <w:tcW w:w="1462" w:type="dxa"/>
            <w:vMerge w:val="restart"/>
            <w:tcBorders>
              <w:top w:val="single" w:color="000000" w:sz="4" w:space="0"/>
              <w:left w:val="single" w:color="000000" w:sz="4" w:space="0"/>
              <w:bottom w:val="single" w:color="000000" w:sz="4" w:space="0"/>
              <w:right w:val="single" w:color="000000" w:sz="4" w:space="0"/>
            </w:tcBorders>
            <w:noWrap/>
            <w:vAlign w:val="center"/>
          </w:tcPr>
          <w:p w14:paraId="5375FCF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目标实现</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（11分）</w:t>
            </w: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733FB7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目标完成</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736415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316E5D3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16A71D4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3558C6A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688B3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24A9CDB4">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202FE1E3">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1DECE2B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目标偏离</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10F7AE7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683ACB1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33FB15E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684468F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42A34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ign w:val="center"/>
          </w:tcPr>
          <w:p w14:paraId="0BF7D3DD">
            <w:pPr>
              <w:pageBreakBefore w:val="0"/>
              <w:kinsoku/>
              <w:wordWrap/>
              <w:overflowPunct/>
              <w:topLinePunct w:val="0"/>
              <w:bidi w:val="0"/>
              <w:spacing w:line="560" w:lineRule="exact"/>
            </w:pPr>
          </w:p>
        </w:tc>
        <w:tc>
          <w:tcPr>
            <w:tcW w:w="1462" w:type="dxa"/>
            <w:vMerge w:val="continue"/>
            <w:tcBorders>
              <w:top w:val="single" w:color="000000" w:sz="4" w:space="0"/>
              <w:left w:val="single" w:color="000000" w:sz="4" w:space="0"/>
              <w:bottom w:val="single" w:color="000000" w:sz="4" w:space="0"/>
              <w:right w:val="single" w:color="000000" w:sz="4" w:space="0"/>
            </w:tcBorders>
            <w:noWrap/>
            <w:vAlign w:val="center"/>
          </w:tcPr>
          <w:p w14:paraId="762BC176">
            <w:pPr>
              <w:pageBreakBefore w:val="0"/>
              <w:kinsoku/>
              <w:wordWrap/>
              <w:overflowPunct/>
              <w:topLinePunct w:val="0"/>
              <w:bidi w:val="0"/>
              <w:spacing w:line="560" w:lineRule="exact"/>
            </w:pPr>
          </w:p>
        </w:tc>
        <w:tc>
          <w:tcPr>
            <w:tcW w:w="1665" w:type="dxa"/>
            <w:tcBorders>
              <w:top w:val="single" w:color="000000" w:sz="4" w:space="0"/>
              <w:left w:val="single" w:color="000000" w:sz="4" w:space="0"/>
              <w:bottom w:val="single" w:color="000000" w:sz="4" w:space="0"/>
              <w:right w:val="single" w:color="000000" w:sz="4" w:space="0"/>
            </w:tcBorders>
            <w:noWrap/>
            <w:vAlign w:val="center"/>
          </w:tcPr>
          <w:p w14:paraId="2FB09B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实现效果</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76D9BA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4B528B0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0B9444D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737ABA1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0B41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noWrap/>
            <w:vAlign w:val="center"/>
          </w:tcPr>
          <w:p w14:paraId="1AD4835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rPr>
              <w:t>扣分项</w:t>
            </w:r>
            <w:r>
              <w:rPr>
                <w:rFonts w:hint="eastAsia" w:ascii="宋体" w:hAnsi="宋体" w:eastAsia="宋体" w:cs="宋体"/>
                <w:b/>
                <w:i w:val="0"/>
                <w:color w:val="000000"/>
                <w:kern w:val="0"/>
                <w:sz w:val="24"/>
                <w:szCs w:val="24"/>
                <w:u w:val="none"/>
                <w:lang w:val="en-US" w:eastAsia="zh-CN"/>
              </w:rPr>
              <w:br w:type="textWrapping"/>
            </w:r>
            <w:r>
              <w:rPr>
                <w:rFonts w:hint="eastAsia" w:ascii="宋体" w:hAnsi="宋体" w:eastAsia="宋体" w:cs="宋体"/>
                <w:b/>
                <w:i w:val="0"/>
                <w:color w:val="000000"/>
                <w:kern w:val="0"/>
                <w:sz w:val="24"/>
                <w:szCs w:val="24"/>
                <w:u w:val="none"/>
                <w:lang w:val="en-US" w:eastAsia="zh-CN"/>
              </w:rPr>
              <w:t>（10分）</w:t>
            </w:r>
          </w:p>
        </w:tc>
        <w:tc>
          <w:tcPr>
            <w:tcW w:w="3127" w:type="dxa"/>
            <w:gridSpan w:val="2"/>
            <w:tcBorders>
              <w:top w:val="single" w:color="000000" w:sz="4" w:space="0"/>
              <w:left w:val="single" w:color="000000" w:sz="4" w:space="0"/>
              <w:bottom w:val="single" w:color="000000" w:sz="4" w:space="0"/>
              <w:right w:val="single" w:color="000000" w:sz="4" w:space="0"/>
            </w:tcBorders>
            <w:noWrap/>
            <w:vAlign w:val="center"/>
          </w:tcPr>
          <w:p w14:paraId="33DE10A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被评价部门配合度</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56B412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33DCBA7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3A98AF8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69FEEC5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r w14:paraId="584DE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noWrap/>
            <w:vAlign w:val="center"/>
          </w:tcPr>
          <w:p w14:paraId="471DB8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color w:val="000000"/>
                <w:kern w:val="0"/>
                <w:sz w:val="24"/>
                <w:szCs w:val="24"/>
                <w:u w:val="none"/>
                <w:lang w:val="en-US" w:eastAsia="zh-CN"/>
              </w:rPr>
            </w:pPr>
          </w:p>
        </w:tc>
        <w:tc>
          <w:tcPr>
            <w:tcW w:w="3127" w:type="dxa"/>
            <w:gridSpan w:val="2"/>
            <w:tcBorders>
              <w:top w:val="single" w:color="000000" w:sz="4" w:space="0"/>
              <w:left w:val="single" w:color="000000" w:sz="4" w:space="0"/>
              <w:bottom w:val="single" w:color="000000" w:sz="4" w:space="0"/>
              <w:right w:val="single" w:color="000000" w:sz="4" w:space="0"/>
            </w:tcBorders>
            <w:noWrap/>
            <w:vAlign w:val="center"/>
          </w:tcPr>
          <w:p w14:paraId="0C0B60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合计</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A2CE0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color w:val="000000"/>
                <w:kern w:val="0"/>
                <w:sz w:val="24"/>
                <w:szCs w:val="24"/>
                <w:u w:val="none"/>
                <w:lang w:val="en-US" w:eastAsia="zh-CN"/>
              </w:rPr>
            </w:pPr>
          </w:p>
        </w:tc>
        <w:tc>
          <w:tcPr>
            <w:tcW w:w="4734" w:type="dxa"/>
            <w:tcBorders>
              <w:top w:val="single" w:color="000000" w:sz="4" w:space="0"/>
              <w:left w:val="single" w:color="000000" w:sz="4" w:space="0"/>
              <w:bottom w:val="single" w:color="000000" w:sz="4" w:space="0"/>
              <w:right w:val="single" w:color="000000" w:sz="4" w:space="0"/>
            </w:tcBorders>
            <w:noWrap/>
            <w:vAlign w:val="center"/>
          </w:tcPr>
          <w:p w14:paraId="04EBFA7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c>
          <w:tcPr>
            <w:tcW w:w="756" w:type="dxa"/>
            <w:tcBorders>
              <w:top w:val="single" w:color="000000" w:sz="4" w:space="0"/>
              <w:left w:val="single" w:color="000000" w:sz="4" w:space="0"/>
              <w:bottom w:val="single" w:color="000000" w:sz="4" w:space="0"/>
              <w:right w:val="single" w:color="000000" w:sz="4" w:space="0"/>
            </w:tcBorders>
            <w:noWrap/>
            <w:vAlign w:val="center"/>
          </w:tcPr>
          <w:p w14:paraId="6B2FB32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90</w:t>
            </w:r>
          </w:p>
        </w:tc>
        <w:tc>
          <w:tcPr>
            <w:tcW w:w="478" w:type="dxa"/>
            <w:tcBorders>
              <w:top w:val="single" w:color="000000" w:sz="4" w:space="0"/>
              <w:left w:val="single" w:color="000000" w:sz="4" w:space="0"/>
              <w:bottom w:val="single" w:color="000000" w:sz="4" w:space="0"/>
              <w:right w:val="single" w:color="000000" w:sz="4" w:space="0"/>
            </w:tcBorders>
            <w:noWrap/>
            <w:vAlign w:val="center"/>
          </w:tcPr>
          <w:p w14:paraId="50691E8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宋体" w:hAnsi="宋体" w:eastAsia="宋体" w:cs="宋体"/>
                <w:i w:val="0"/>
                <w:color w:val="000000"/>
                <w:kern w:val="0"/>
                <w:sz w:val="24"/>
                <w:szCs w:val="24"/>
                <w:u w:val="none"/>
                <w:lang w:val="en-US" w:eastAsia="zh-CN"/>
              </w:rPr>
            </w:pPr>
          </w:p>
        </w:tc>
      </w:tr>
    </w:tbl>
    <w:p w14:paraId="1730D276">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tbl>
      <w:tblPr>
        <w:tblStyle w:val="1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14:paraId="6D6D5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10"/>
            <w:noWrap/>
            <w:vAlign w:val="center"/>
          </w:tcPr>
          <w:p w14:paraId="6D77E3A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黑体" w:cs="Times New Roman"/>
                <w:i w:val="0"/>
                <w:color w:val="000000"/>
                <w:sz w:val="28"/>
                <w:szCs w:val="28"/>
                <w:u w:val="none"/>
              </w:rPr>
            </w:pPr>
            <w:r>
              <w:rPr>
                <w:rFonts w:ascii="Times New Roman" w:hAnsi="Times New Roman" w:eastAsia="方正小标宋简体" w:cs="Times New Roman"/>
                <w:i w:val="0"/>
                <w:color w:val="000000"/>
                <w:kern w:val="0"/>
                <w:sz w:val="44"/>
                <w:szCs w:val="44"/>
                <w:u w:val="none"/>
                <w:lang w:val="en-US" w:eastAsia="zh-CN"/>
              </w:rPr>
              <w:t>部门整体绩效目标完成情况自评表</w:t>
            </w:r>
          </w:p>
        </w:tc>
      </w:tr>
      <w:tr w14:paraId="252D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bottom w:val="nil"/>
            </w:tcBorders>
            <w:noWrap/>
            <w:vAlign w:val="center"/>
          </w:tcPr>
          <w:p w14:paraId="17B071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w:t>
            </w:r>
            <w:r>
              <w:rPr>
                <w:rFonts w:hint="eastAsia" w:ascii="Times New Roman" w:hAnsi="Times New Roman" w:eastAsia="宋体" w:cs="Times New Roman"/>
                <w:i w:val="0"/>
                <w:color w:val="000000"/>
                <w:kern w:val="0"/>
                <w:sz w:val="28"/>
                <w:szCs w:val="28"/>
                <w:u w:val="none"/>
                <w:lang w:val="en-US" w:eastAsia="zh-CN"/>
              </w:rPr>
              <w:t>5</w:t>
            </w:r>
            <w:r>
              <w:rPr>
                <w:rFonts w:ascii="Times New Roman" w:hAnsi="Times New Roman" w:eastAsia="宋体" w:cs="Times New Roman"/>
                <w:i w:val="0"/>
                <w:color w:val="000000"/>
                <w:kern w:val="0"/>
                <w:sz w:val="28"/>
                <w:szCs w:val="28"/>
                <w:u w:val="none"/>
                <w:lang w:val="en-US" w:eastAsia="zh-CN"/>
              </w:rPr>
              <w:t>年度）</w:t>
            </w:r>
          </w:p>
        </w:tc>
      </w:tr>
      <w:tr w14:paraId="7C79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noWrap/>
            <w:vAlign w:val="center"/>
          </w:tcPr>
          <w:p w14:paraId="632F996D">
            <w:pPr>
              <w:keepNext w:val="0"/>
              <w:keepLines w:val="0"/>
              <w:pageBreakBefore w:val="0"/>
              <w:widowControl/>
              <w:suppressLineNumbers w:val="0"/>
              <w:kinsoku/>
              <w:wordWrap/>
              <w:overflowPunct/>
              <w:topLinePunct w:val="0"/>
              <w:autoSpaceDE/>
              <w:autoSpaceDN/>
              <w:bidi w:val="0"/>
              <w:adjustRightInd/>
              <w:snapToGrid/>
              <w:spacing w:line="56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14:paraId="196C3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noWrap/>
            <w:vAlign w:val="center"/>
          </w:tcPr>
          <w:p w14:paraId="14A5DB8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59DAEFF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rPr>
              <w:t>阿坝州文化馆</w:t>
            </w:r>
          </w:p>
        </w:tc>
      </w:tr>
      <w:tr w14:paraId="33D87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noWrap/>
            <w:vAlign w:val="center"/>
          </w:tcPr>
          <w:p w14:paraId="21CA46F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4AEB995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244" w:type="dxa"/>
            <w:gridSpan w:val="2"/>
            <w:tcBorders>
              <w:top w:val="single" w:color="000000" w:sz="4" w:space="0"/>
              <w:left w:val="single" w:color="000000" w:sz="4" w:space="0"/>
              <w:bottom w:val="single" w:color="000000" w:sz="4" w:space="0"/>
              <w:right w:val="single" w:color="000000" w:sz="4" w:space="0"/>
            </w:tcBorders>
            <w:noWrap/>
            <w:vAlign w:val="center"/>
          </w:tcPr>
          <w:p w14:paraId="7A71F12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7" w:type="dxa"/>
            <w:gridSpan w:val="5"/>
            <w:tcBorders>
              <w:top w:val="single" w:color="000000" w:sz="4" w:space="0"/>
              <w:left w:val="single" w:color="000000" w:sz="4" w:space="0"/>
              <w:bottom w:val="single" w:color="000000" w:sz="4" w:space="0"/>
              <w:right w:val="single" w:color="000000" w:sz="4" w:space="0"/>
            </w:tcBorders>
            <w:noWrap/>
            <w:vAlign w:val="center"/>
          </w:tcPr>
          <w:p w14:paraId="1D5D70B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14:paraId="0A20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0638E6F7">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3150D8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Lucida Sans" w:hAnsi="Lucida Sans" w:eastAsia="仿宋_GB2312"/>
                <w:sz w:val="32"/>
                <w:szCs w:val="32"/>
              </w:rPr>
              <w:t>1706.66</w:t>
            </w:r>
          </w:p>
        </w:tc>
        <w:tc>
          <w:tcPr>
            <w:tcW w:w="2244" w:type="dxa"/>
            <w:gridSpan w:val="2"/>
            <w:tcBorders>
              <w:top w:val="single" w:color="000000" w:sz="4" w:space="0"/>
              <w:left w:val="single" w:color="000000" w:sz="4" w:space="0"/>
              <w:bottom w:val="single" w:color="000000" w:sz="4" w:space="0"/>
              <w:right w:val="single" w:color="000000" w:sz="4" w:space="0"/>
            </w:tcBorders>
            <w:noWrap/>
            <w:vAlign w:val="center"/>
          </w:tcPr>
          <w:p w14:paraId="7BB9D0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Lucida Sans" w:hAnsi="Lucida Sans" w:eastAsia="仿宋_GB2312"/>
                <w:sz w:val="32"/>
                <w:szCs w:val="32"/>
              </w:rPr>
              <w:t>1706.66</w:t>
            </w:r>
          </w:p>
        </w:tc>
        <w:tc>
          <w:tcPr>
            <w:tcW w:w="4387" w:type="dxa"/>
            <w:gridSpan w:val="5"/>
            <w:tcBorders>
              <w:top w:val="single" w:color="000000" w:sz="4" w:space="0"/>
              <w:left w:val="single" w:color="000000" w:sz="4" w:space="0"/>
              <w:bottom w:val="single" w:color="000000" w:sz="4" w:space="0"/>
              <w:right w:val="single" w:color="000000" w:sz="4" w:space="0"/>
            </w:tcBorders>
            <w:noWrap/>
            <w:vAlign w:val="center"/>
          </w:tcPr>
          <w:p w14:paraId="1F1FFF9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rPr>
              <w:t>0</w:t>
            </w:r>
          </w:p>
        </w:tc>
      </w:tr>
      <w:tr w14:paraId="23858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noWrap/>
            <w:vAlign w:val="center"/>
          </w:tcPr>
          <w:p w14:paraId="4C680A89">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14:paraId="516271EE">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251" w:type="dxa"/>
            <w:gridSpan w:val="9"/>
            <w:tcBorders>
              <w:top w:val="single" w:color="000000" w:sz="4" w:space="0"/>
              <w:left w:val="single" w:color="000000" w:sz="4" w:space="0"/>
              <w:bottom w:val="single" w:color="000000" w:sz="4" w:space="0"/>
              <w:right w:val="single" w:color="000000" w:sz="4" w:space="0"/>
            </w:tcBorders>
            <w:noWrap/>
            <w:vAlign w:val="center"/>
          </w:tcPr>
          <w:p w14:paraId="477351CD">
            <w:pPr>
              <w:pageBreakBefore w:val="0"/>
              <w:kinsoku/>
              <w:wordWrap/>
              <w:overflowPunct/>
              <w:topLinePunct w:val="0"/>
              <w:bidi w:val="0"/>
              <w:spacing w:line="560" w:lineRule="exact"/>
              <w:ind w:firstLine="420" w:firstLineChars="200"/>
              <w:rPr>
                <w:rFonts w:ascii="Times New Roman" w:hAnsi="Times New Roman" w:eastAsia="宋体" w:cs="Times New Roman"/>
                <w:i w:val="0"/>
                <w:color w:val="000000"/>
                <w:sz w:val="24"/>
                <w:szCs w:val="24"/>
                <w:u w:val="none"/>
              </w:rPr>
            </w:pPr>
            <w:r>
              <w:rPr>
                <w:rFonts w:hint="eastAsia" w:ascii="宋体" w:hAnsi="宋体" w:eastAsia="宋体" w:cs="宋体"/>
                <w:sz w:val="21"/>
                <w:szCs w:val="21"/>
              </w:rPr>
              <w:t>举办群众性文艺比赛、文艺演出和全国、省级的群文系列调演和各类艺术作品展览,开展艺术培训和社会教育;参与草拟全州非物质文化遗产保护规划和政策并组织实施,指导实施优秀民族文化遗产传承、开发和普及工作,负责组织和参加非物质文化遗产展览、展演、展示、推介等公益活动及其相关知识宣传普及活动,开展非物质文化遗产生产性保护工作,开发利用优秀的非物质文化遗产资源;调查研究、收集整理、抢救保护民族民间优秀文化,组织、辅导文艺创作,编辑出版各类民族民间文化艺术书刊,负责《阿坝文化》刊物出版交流工作;负责文化产业相关政策的宣传、咨询及文化产业人才培训,负责组织协调文化产业项目的调研策划和组织实施工作,负责文化产业方面的宣传推介和招商引资工作,负责文化产业资源的调查及文化产业项目的申报和跟踪服务工作,建立文化产业信息库,打造地域特色文化。</w:t>
            </w:r>
          </w:p>
        </w:tc>
      </w:tr>
      <w:tr w14:paraId="5DA06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noWrap/>
            <w:vAlign w:val="center"/>
          </w:tcPr>
          <w:p w14:paraId="01CC373E">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14:paraId="31DE8002">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68178D4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74C08DB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14:paraId="32AD9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6191F4C8">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52B66E4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文艺创作</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6857092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组织开展摄影、美术、书法、舞蹈、音乐等创作活动和下乡采风活动；收集、整理、发掘、抢救、保护民族民间优秀文化；组织、辅导文艺创作</w:t>
            </w:r>
          </w:p>
        </w:tc>
      </w:tr>
      <w:tr w14:paraId="064D4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3B907FA4">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6D3F080B">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州级内部刊物</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0BAC617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color w:val="auto"/>
                <w:kern w:val="0"/>
                <w:sz w:val="21"/>
                <w:szCs w:val="21"/>
                <w:highlight w:val="none"/>
                <w:u w:val="none"/>
                <w:shd w:val="clear" w:color="auto" w:fill="FFFFFF"/>
                <w:lang w:val="en-US" w:eastAsia="zh-CN"/>
              </w:rPr>
              <w:t>《阿坝文化》是州级内部刊物，全年四期，以公共文化服务、非遗传承保护、文化艺术创新等内容为职责来宣传大美阿坝</w:t>
            </w:r>
          </w:p>
        </w:tc>
      </w:tr>
      <w:tr w14:paraId="7B6C3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23B089A3">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73E0CFDD">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非物质文化保护</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7CC4DB6D">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eastAsia="zh-CN"/>
              </w:rPr>
              <w:t>开展非遗调研、保护传承非遗文化，推广非遗文创</w:t>
            </w:r>
          </w:p>
        </w:tc>
      </w:tr>
      <w:tr w14:paraId="6BD7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1D14F7E3">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01F9E15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文化惠民下乡</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02F526D6">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按照年初计划，在全州范围保质保量完成了8场次文化惠民演出。</w:t>
            </w:r>
          </w:p>
        </w:tc>
      </w:tr>
      <w:tr w14:paraId="122E3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162DBB59">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5F265AD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val="en-US" w:eastAsia="zh-CN"/>
              </w:rPr>
              <w:t>2025年公共图书馆、美术馆、文化馆（站）免费开放</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60DB281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rPr>
              <w:t>为广大群众提供公共文化免费开放服务，组织开展免开培训、免开展览、免开文艺演出等文化类活动。</w:t>
            </w:r>
          </w:p>
        </w:tc>
      </w:tr>
      <w:tr w14:paraId="4CAAD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7025DF33">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0F27FDFD">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kern w:val="2"/>
                <w:sz w:val="21"/>
                <w:szCs w:val="21"/>
                <w:lang w:val="en-US" w:eastAsia="zh-CN" w:bidi="ar-SA"/>
              </w:rPr>
              <w:t>浙阿非遗走亲系列活动</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2BC5951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为全面展现阿把非遗独特魅力及丰富的旅游资源，推进优秀传统文化创造性转化、创新性发展，进一步提升了不起的阿坝非遗品牌知名度，促进文旅高质量发展。</w:t>
            </w:r>
          </w:p>
        </w:tc>
      </w:tr>
      <w:tr w14:paraId="506CE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149A7D94">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27F7B312">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2025年浙江援建资金——阿坝非遗手作大赛及非遗展示展演展销活动</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6D7DD4A4">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rPr>
              <w:t>开展“天下九寨沟 大美阿坝州”2025“大美阿坝”创艺设计大赛</w:t>
            </w:r>
          </w:p>
        </w:tc>
      </w:tr>
      <w:tr w14:paraId="6E92D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noWrap/>
            <w:vAlign w:val="center"/>
          </w:tcPr>
          <w:p w14:paraId="3B700D2C">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4C61F205">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val="en-US" w:eastAsia="zh-CN"/>
              </w:rPr>
              <w:t>2025年浙江援建资金——&lt;大熊猫百图唐卡长卷&gt;展陈设计制作及高清复制</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2D6EBC8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val="en-US" w:eastAsia="zh-CN"/>
              </w:rPr>
              <w:t>完成172米唐卡长卷11个主题单元展陈布设，建成标准化地方文献展陈服务平台；高清复制大熊猫百图唐卡长卷一副用于展示</w:t>
            </w:r>
          </w:p>
        </w:tc>
      </w:tr>
      <w:tr w14:paraId="23CC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bottom w:val="single" w:color="000000" w:sz="4" w:space="0"/>
              <w:right w:val="single" w:color="000000" w:sz="4" w:space="0"/>
            </w:tcBorders>
            <w:noWrap/>
            <w:vAlign w:val="center"/>
          </w:tcPr>
          <w:p w14:paraId="42CF59E3">
            <w:pPr>
              <w:pageBreakBefore w:val="0"/>
              <w:kinsoku/>
              <w:wordWrap/>
              <w:overflowPunct/>
              <w:topLinePunct w:val="0"/>
              <w:bidi w:val="0"/>
              <w:spacing w:line="560" w:lineRule="exact"/>
            </w:pPr>
          </w:p>
        </w:tc>
        <w:tc>
          <w:tcPr>
            <w:tcW w:w="2620" w:type="dxa"/>
            <w:gridSpan w:val="2"/>
            <w:tcBorders>
              <w:top w:val="single" w:color="000000" w:sz="4" w:space="0"/>
              <w:left w:val="single" w:color="000000" w:sz="4" w:space="0"/>
              <w:bottom w:val="single" w:color="000000" w:sz="4" w:space="0"/>
              <w:right w:val="single" w:color="000000" w:sz="4" w:space="0"/>
            </w:tcBorders>
            <w:noWrap/>
            <w:vAlign w:val="center"/>
          </w:tcPr>
          <w:p w14:paraId="2DA556E2">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kern w:val="2"/>
                <w:sz w:val="21"/>
                <w:szCs w:val="21"/>
                <w:lang w:val="en-US" w:eastAsia="zh-CN" w:bidi="ar-SA"/>
              </w:rPr>
              <w:t>省级非遗代表性传承人记录工作</w:t>
            </w:r>
          </w:p>
        </w:tc>
        <w:tc>
          <w:tcPr>
            <w:tcW w:w="6631" w:type="dxa"/>
            <w:gridSpan w:val="7"/>
            <w:tcBorders>
              <w:top w:val="single" w:color="000000" w:sz="4" w:space="0"/>
              <w:left w:val="single" w:color="000000" w:sz="4" w:space="0"/>
              <w:bottom w:val="single" w:color="000000" w:sz="4" w:space="0"/>
              <w:right w:val="single" w:color="000000" w:sz="4" w:space="0"/>
            </w:tcBorders>
            <w:noWrap/>
            <w:vAlign w:val="center"/>
          </w:tcPr>
          <w:p w14:paraId="3571D9C6">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通过《四川省文化和旅游厅关于做好202</w:t>
            </w:r>
            <w:r>
              <w:rPr>
                <w:rFonts w:hint="eastAsia" w:ascii="宋体" w:hAnsi="宋体" w:eastAsia="宋体" w:cs="宋体"/>
                <w:i w:val="0"/>
                <w:color w:val="000000"/>
                <w:sz w:val="21"/>
                <w:szCs w:val="21"/>
                <w:u w:val="none"/>
                <w:lang w:val="en-US" w:eastAsia="zh-CN"/>
              </w:rPr>
              <w:t>5</w:t>
            </w:r>
            <w:r>
              <w:rPr>
                <w:rFonts w:hint="eastAsia" w:ascii="宋体" w:hAnsi="宋体" w:eastAsia="宋体" w:cs="宋体"/>
                <w:i w:val="0"/>
                <w:color w:val="000000"/>
                <w:sz w:val="21"/>
                <w:szCs w:val="21"/>
                <w:u w:val="none"/>
              </w:rPr>
              <w:t>年省级非遗代表性传承人记录工作的通知》指定阿坝州8位传承人进行记录采访。</w:t>
            </w:r>
          </w:p>
        </w:tc>
      </w:tr>
      <w:tr w14:paraId="6A840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noWrap/>
            <w:vAlign w:val="center"/>
          </w:tcPr>
          <w:p w14:paraId="5DA5A591">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14:paraId="064A6BF5">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47" w:type="dxa"/>
            <w:tcBorders>
              <w:top w:val="single" w:color="000000" w:sz="4" w:space="0"/>
              <w:left w:val="single" w:color="000000" w:sz="4" w:space="0"/>
              <w:bottom w:val="single" w:color="000000" w:sz="4" w:space="0"/>
              <w:right w:val="single" w:color="000000" w:sz="4" w:space="0"/>
            </w:tcBorders>
            <w:noWrap/>
            <w:vAlign w:val="center"/>
          </w:tcPr>
          <w:p w14:paraId="4B27DD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一级指标</w:t>
            </w:r>
          </w:p>
        </w:tc>
        <w:tc>
          <w:tcPr>
            <w:tcW w:w="1273" w:type="dxa"/>
            <w:tcBorders>
              <w:top w:val="single" w:color="000000" w:sz="4" w:space="0"/>
              <w:left w:val="single" w:color="000000" w:sz="4" w:space="0"/>
              <w:bottom w:val="single" w:color="000000" w:sz="4" w:space="0"/>
              <w:right w:val="single" w:color="000000" w:sz="4" w:space="0"/>
            </w:tcBorders>
            <w:noWrap/>
            <w:vAlign w:val="center"/>
          </w:tcPr>
          <w:p w14:paraId="201F5D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二级指标</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9C238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三级指标</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30036190">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center"/>
              <w:textAlignment w:val="center"/>
              <w:outlineLvl w:val="9"/>
              <w:rPr>
                <w:rFonts w:hint="eastAsia" w:ascii="宋体" w:hAnsi="宋体" w:eastAsia="宋体" w:cs="宋体"/>
                <w:i w:val="0"/>
                <w:color w:val="000000"/>
                <w:kern w:val="0"/>
                <w:sz w:val="21"/>
                <w:szCs w:val="21"/>
                <w:u w:val="none"/>
                <w:lang w:val="en-US" w:eastAsia="zh-CN"/>
              </w:rPr>
            </w:pPr>
            <w:r>
              <w:rPr>
                <w:rFonts w:hint="eastAsia" w:ascii="宋体" w:hAnsi="宋体" w:eastAsia="宋体" w:cs="宋体"/>
                <w:i w:val="0"/>
                <w:color w:val="000000"/>
                <w:kern w:val="0"/>
                <w:sz w:val="21"/>
                <w:szCs w:val="21"/>
                <w:u w:val="none"/>
                <w:lang w:val="en-US" w:eastAsia="zh-CN"/>
              </w:rPr>
              <w:t>绩效指标</w:t>
            </w:r>
          </w:p>
          <w:p w14:paraId="2EF5D1EE">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性质</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50CA8C1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1B44D52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绩效度量单位</w:t>
            </w:r>
          </w:p>
        </w:tc>
        <w:tc>
          <w:tcPr>
            <w:tcW w:w="926" w:type="dxa"/>
            <w:tcBorders>
              <w:top w:val="single" w:color="000000" w:sz="4" w:space="0"/>
              <w:left w:val="single" w:color="000000" w:sz="4" w:space="0"/>
              <w:bottom w:val="single" w:color="000000" w:sz="4" w:space="0"/>
            </w:tcBorders>
            <w:noWrap/>
            <w:vAlign w:val="center"/>
          </w:tcPr>
          <w:p w14:paraId="44B8FA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267832D7">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center"/>
              <w:textAlignment w:val="center"/>
              <w:outlineLvl w:val="9"/>
              <w:rPr>
                <w:rFonts w:hint="eastAsia" w:ascii="宋体" w:hAnsi="宋体" w:eastAsia="宋体" w:cs="宋体"/>
                <w:i w:val="0"/>
                <w:color w:val="000000"/>
                <w:kern w:val="0"/>
                <w:sz w:val="21"/>
                <w:szCs w:val="21"/>
                <w:u w:val="none"/>
                <w:lang w:val="en-US" w:eastAsia="zh-CN"/>
              </w:rPr>
            </w:pPr>
            <w:r>
              <w:rPr>
                <w:rFonts w:hint="eastAsia" w:ascii="宋体" w:hAnsi="宋体" w:eastAsia="宋体" w:cs="宋体"/>
                <w:i w:val="0"/>
                <w:color w:val="000000"/>
                <w:kern w:val="0"/>
                <w:sz w:val="21"/>
                <w:szCs w:val="21"/>
                <w:u w:val="none"/>
                <w:lang w:val="en-US" w:eastAsia="zh-CN"/>
              </w:rPr>
              <w:t>实际完成</w:t>
            </w:r>
          </w:p>
          <w:p w14:paraId="7929E726">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指标值</w:t>
            </w:r>
          </w:p>
        </w:tc>
      </w:tr>
      <w:tr w14:paraId="2EE96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0273FBC1">
            <w:pPr>
              <w:pageBreakBefore w:val="0"/>
              <w:kinsoku/>
              <w:wordWrap/>
              <w:overflowPunct/>
              <w:topLinePunct w:val="0"/>
              <w:bidi w:val="0"/>
              <w:spacing w:line="560" w:lineRule="exact"/>
            </w:pPr>
          </w:p>
        </w:tc>
        <w:tc>
          <w:tcPr>
            <w:tcW w:w="1347" w:type="dxa"/>
            <w:vMerge w:val="restart"/>
            <w:tcBorders>
              <w:top w:val="single" w:color="000000" w:sz="4" w:space="0"/>
              <w:left w:val="single" w:color="000000" w:sz="4" w:space="0"/>
              <w:bottom w:val="single" w:color="000000" w:sz="4" w:space="0"/>
              <w:right w:val="single" w:color="000000" w:sz="4" w:space="0"/>
            </w:tcBorders>
            <w:noWrap/>
            <w:vAlign w:val="center"/>
          </w:tcPr>
          <w:p w14:paraId="31A60B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noWrap/>
            <w:vAlign w:val="center"/>
          </w:tcPr>
          <w:p w14:paraId="2805B89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数量指标</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302BF0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完成全年重点大项目</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1FBAC02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088CF30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5BC9074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项</w:t>
            </w: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77F3A68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rPr>
              <w:t>20</w:t>
            </w:r>
          </w:p>
        </w:tc>
        <w:tc>
          <w:tcPr>
            <w:tcW w:w="1113" w:type="dxa"/>
            <w:tcBorders>
              <w:left w:val="single" w:color="000000" w:sz="4" w:space="0"/>
              <w:bottom w:val="single" w:color="000000" w:sz="4" w:space="0"/>
              <w:right w:val="single" w:color="000000" w:sz="4" w:space="0"/>
            </w:tcBorders>
            <w:noWrap/>
            <w:vAlign w:val="center"/>
          </w:tcPr>
          <w:p w14:paraId="0CC47B4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rPr>
              <w:t>100%</w:t>
            </w:r>
          </w:p>
        </w:tc>
      </w:tr>
      <w:tr w14:paraId="28B62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58EF19B1">
            <w:pPr>
              <w:pageBreakBefore w:val="0"/>
              <w:kinsoku/>
              <w:wordWrap/>
              <w:overflowPunct/>
              <w:topLinePunct w:val="0"/>
              <w:bidi w:val="0"/>
              <w:spacing w:line="560" w:lineRule="exact"/>
            </w:pPr>
          </w:p>
        </w:tc>
        <w:tc>
          <w:tcPr>
            <w:tcW w:w="1347" w:type="dxa"/>
            <w:vMerge w:val="continue"/>
            <w:tcBorders>
              <w:top w:val="single" w:color="000000" w:sz="4" w:space="0"/>
              <w:left w:val="single" w:color="000000" w:sz="4" w:space="0"/>
              <w:bottom w:val="single" w:color="000000" w:sz="4" w:space="0"/>
              <w:right w:val="single" w:color="000000" w:sz="4" w:space="0"/>
            </w:tcBorders>
            <w:noWrap/>
            <w:vAlign w:val="center"/>
          </w:tcPr>
          <w:p w14:paraId="3404A3D5">
            <w:pPr>
              <w:pageBreakBefore w:val="0"/>
              <w:kinsoku/>
              <w:wordWrap/>
              <w:overflowPunct/>
              <w:topLinePunct w:val="0"/>
              <w:bidi w:val="0"/>
              <w:spacing w:line="560" w:lineRule="exact"/>
            </w:pPr>
          </w:p>
        </w:tc>
        <w:tc>
          <w:tcPr>
            <w:tcW w:w="1273" w:type="dxa"/>
            <w:vMerge w:val="continue"/>
            <w:tcBorders>
              <w:top w:val="single" w:color="000000" w:sz="4" w:space="0"/>
              <w:left w:val="single" w:color="000000" w:sz="4" w:space="0"/>
              <w:bottom w:val="single" w:color="000000" w:sz="4" w:space="0"/>
              <w:right w:val="single" w:color="000000" w:sz="4" w:space="0"/>
            </w:tcBorders>
            <w:noWrap/>
            <w:vAlign w:val="center"/>
          </w:tcPr>
          <w:p w14:paraId="70978F19">
            <w:pPr>
              <w:pageBreakBefore w:val="0"/>
              <w:kinsoku/>
              <w:wordWrap/>
              <w:overflowPunct/>
              <w:topLinePunct w:val="0"/>
              <w:bidi w:val="0"/>
              <w:spacing w:line="560" w:lineRule="exact"/>
            </w:pP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7CB3139">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405A0433">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46DB11B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4D89E6CE">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593F45FC">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5931DE84">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r>
      <w:tr w14:paraId="7323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5E072C2F">
            <w:pPr>
              <w:pageBreakBefore w:val="0"/>
              <w:kinsoku/>
              <w:wordWrap/>
              <w:overflowPunct/>
              <w:topLinePunct w:val="0"/>
              <w:bidi w:val="0"/>
              <w:spacing w:line="560" w:lineRule="exact"/>
            </w:pPr>
          </w:p>
        </w:tc>
        <w:tc>
          <w:tcPr>
            <w:tcW w:w="1347" w:type="dxa"/>
            <w:vMerge w:val="continue"/>
            <w:tcBorders>
              <w:top w:val="single" w:color="000000" w:sz="4" w:space="0"/>
              <w:left w:val="single" w:color="000000" w:sz="4" w:space="0"/>
              <w:bottom w:val="single" w:color="000000" w:sz="4" w:space="0"/>
              <w:right w:val="single" w:color="000000" w:sz="4" w:space="0"/>
            </w:tcBorders>
            <w:noWrap/>
            <w:vAlign w:val="center"/>
          </w:tcPr>
          <w:p w14:paraId="238263D1">
            <w:pPr>
              <w:pageBreakBefore w:val="0"/>
              <w:kinsoku/>
              <w:wordWrap/>
              <w:overflowPunct/>
              <w:topLinePunct w:val="0"/>
              <w:bidi w:val="0"/>
              <w:spacing w:line="560" w:lineRule="exact"/>
            </w:pPr>
          </w:p>
        </w:tc>
        <w:tc>
          <w:tcPr>
            <w:tcW w:w="1273" w:type="dxa"/>
            <w:tcBorders>
              <w:top w:val="single" w:color="000000" w:sz="4" w:space="0"/>
              <w:left w:val="single" w:color="000000" w:sz="4" w:space="0"/>
              <w:bottom w:val="single" w:color="000000" w:sz="4" w:space="0"/>
              <w:right w:val="single" w:color="000000" w:sz="4" w:space="0"/>
            </w:tcBorders>
            <w:noWrap/>
            <w:vAlign w:val="center"/>
          </w:tcPr>
          <w:p w14:paraId="4408F62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质量指标</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1AD3C56">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eastAsia="zh-CN"/>
              </w:rPr>
              <w:t>文化馆业务发展水平提升率</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79EC621A">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57E83A8F">
            <w:pPr>
              <w:keepNext w:val="0"/>
              <w:keepLines w:val="0"/>
              <w:pageBreakBefore w:val="0"/>
              <w:widowControl/>
              <w:kinsoku/>
              <w:wordWrap/>
              <w:overflowPunct/>
              <w:topLinePunct w:val="0"/>
              <w:autoSpaceDE/>
              <w:autoSpaceDN/>
              <w:bidi w:val="0"/>
              <w:adjustRightInd/>
              <w:snapToGrid/>
              <w:spacing w:line="560" w:lineRule="exact"/>
              <w:jc w:val="left"/>
              <w:outlineLvl w:val="9"/>
              <w:rPr>
                <w:rFonts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90</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4F3BA2FC">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2DF2DDA5">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1F4F55F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100%</w:t>
            </w:r>
          </w:p>
        </w:tc>
      </w:tr>
      <w:tr w14:paraId="6175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03D649B1">
            <w:pPr>
              <w:pageBreakBefore w:val="0"/>
              <w:kinsoku/>
              <w:wordWrap/>
              <w:overflowPunct/>
              <w:topLinePunct w:val="0"/>
              <w:bidi w:val="0"/>
              <w:spacing w:line="560" w:lineRule="exact"/>
            </w:pPr>
          </w:p>
        </w:tc>
        <w:tc>
          <w:tcPr>
            <w:tcW w:w="1347" w:type="dxa"/>
            <w:vMerge w:val="continue"/>
            <w:tcBorders>
              <w:top w:val="single" w:color="000000" w:sz="4" w:space="0"/>
              <w:left w:val="single" w:color="000000" w:sz="4" w:space="0"/>
              <w:bottom w:val="single" w:color="000000" w:sz="4" w:space="0"/>
              <w:right w:val="single" w:color="000000" w:sz="4" w:space="0"/>
            </w:tcBorders>
            <w:noWrap/>
            <w:vAlign w:val="center"/>
          </w:tcPr>
          <w:p w14:paraId="387ECE12">
            <w:pPr>
              <w:pageBreakBefore w:val="0"/>
              <w:kinsoku/>
              <w:wordWrap/>
              <w:overflowPunct/>
              <w:topLinePunct w:val="0"/>
              <w:bidi w:val="0"/>
              <w:spacing w:line="560" w:lineRule="exact"/>
            </w:pPr>
          </w:p>
        </w:tc>
        <w:tc>
          <w:tcPr>
            <w:tcW w:w="1273" w:type="dxa"/>
            <w:tcBorders>
              <w:top w:val="single" w:color="000000" w:sz="4" w:space="0"/>
              <w:left w:val="single" w:color="000000" w:sz="4" w:space="0"/>
              <w:bottom w:val="single" w:color="000000" w:sz="4" w:space="0"/>
              <w:right w:val="single" w:color="000000" w:sz="4" w:space="0"/>
            </w:tcBorders>
            <w:noWrap/>
            <w:vAlign w:val="center"/>
          </w:tcPr>
          <w:p w14:paraId="2DBD83F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时效指标</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EB4D596">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重点工作及时完成</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3D2CB23B">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定性</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40FFD944">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2025年12月</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19A2E004">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450E165D">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08AD85EB">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90%</w:t>
            </w:r>
          </w:p>
        </w:tc>
      </w:tr>
      <w:tr w14:paraId="3379C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5FE04B44">
            <w:pPr>
              <w:pageBreakBefore w:val="0"/>
              <w:kinsoku/>
              <w:wordWrap/>
              <w:overflowPunct/>
              <w:topLinePunct w:val="0"/>
              <w:bidi w:val="0"/>
              <w:spacing w:line="560" w:lineRule="exact"/>
            </w:pPr>
          </w:p>
        </w:tc>
        <w:tc>
          <w:tcPr>
            <w:tcW w:w="1347" w:type="dxa"/>
            <w:vMerge w:val="continue"/>
            <w:tcBorders>
              <w:top w:val="single" w:color="000000" w:sz="4" w:space="0"/>
              <w:left w:val="single" w:color="000000" w:sz="4" w:space="0"/>
              <w:bottom w:val="single" w:color="000000" w:sz="4" w:space="0"/>
              <w:right w:val="single" w:color="000000" w:sz="4" w:space="0"/>
            </w:tcBorders>
            <w:noWrap/>
            <w:vAlign w:val="center"/>
          </w:tcPr>
          <w:p w14:paraId="33C62E86">
            <w:pPr>
              <w:pageBreakBefore w:val="0"/>
              <w:kinsoku/>
              <w:wordWrap/>
              <w:overflowPunct/>
              <w:topLinePunct w:val="0"/>
              <w:bidi w:val="0"/>
              <w:spacing w:line="560" w:lineRule="exact"/>
            </w:pPr>
          </w:p>
        </w:tc>
        <w:tc>
          <w:tcPr>
            <w:tcW w:w="1273" w:type="dxa"/>
            <w:tcBorders>
              <w:top w:val="single" w:color="000000" w:sz="4" w:space="0"/>
              <w:left w:val="single" w:color="000000" w:sz="4" w:space="0"/>
              <w:bottom w:val="single" w:color="000000" w:sz="4" w:space="0"/>
              <w:right w:val="single" w:color="000000" w:sz="4" w:space="0"/>
            </w:tcBorders>
            <w:noWrap/>
            <w:vAlign w:val="center"/>
          </w:tcPr>
          <w:p w14:paraId="6F9536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EAEB238">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19988A45">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3EE6F527">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6A257C51">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1CEFF185">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659113A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r>
      <w:tr w14:paraId="39585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34CEFBBB">
            <w:pPr>
              <w:pageBreakBefore w:val="0"/>
              <w:kinsoku/>
              <w:wordWrap/>
              <w:overflowPunct/>
              <w:topLinePunct w:val="0"/>
              <w:bidi w:val="0"/>
              <w:spacing w:line="560" w:lineRule="exact"/>
            </w:pPr>
          </w:p>
        </w:tc>
        <w:tc>
          <w:tcPr>
            <w:tcW w:w="1347" w:type="dxa"/>
            <w:vMerge w:val="restart"/>
            <w:tcBorders>
              <w:top w:val="single" w:color="000000" w:sz="4" w:space="0"/>
              <w:left w:val="single" w:color="000000" w:sz="4" w:space="0"/>
              <w:bottom w:val="single" w:color="000000" w:sz="4" w:space="0"/>
              <w:right w:val="single" w:color="000000" w:sz="4" w:space="0"/>
            </w:tcBorders>
            <w:noWrap/>
            <w:vAlign w:val="center"/>
          </w:tcPr>
          <w:p w14:paraId="3B96D81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效益指标</w:t>
            </w:r>
          </w:p>
        </w:tc>
        <w:tc>
          <w:tcPr>
            <w:tcW w:w="1273" w:type="dxa"/>
            <w:vMerge w:val="restart"/>
            <w:tcBorders>
              <w:top w:val="single" w:color="000000" w:sz="4" w:space="0"/>
              <w:left w:val="single" w:color="000000" w:sz="4" w:space="0"/>
              <w:right w:val="single" w:color="000000" w:sz="4" w:space="0"/>
            </w:tcBorders>
            <w:noWrap/>
            <w:vAlign w:val="center"/>
          </w:tcPr>
          <w:p w14:paraId="0E6696E0">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center"/>
              <w:textAlignment w:val="center"/>
              <w:outlineLvl w:val="9"/>
              <w:rPr>
                <w:rFonts w:hint="eastAsia" w:ascii="宋体" w:hAnsi="宋体" w:eastAsia="宋体" w:cs="宋体"/>
                <w:i w:val="0"/>
                <w:color w:val="000000"/>
                <w:kern w:val="0"/>
                <w:sz w:val="21"/>
                <w:szCs w:val="21"/>
                <w:u w:val="none"/>
                <w:lang w:val="en-US" w:eastAsia="zh-CN"/>
              </w:rPr>
            </w:pPr>
            <w:r>
              <w:rPr>
                <w:rFonts w:hint="eastAsia" w:ascii="宋体" w:hAnsi="宋体" w:eastAsia="宋体" w:cs="宋体"/>
                <w:i w:val="0"/>
                <w:color w:val="000000"/>
                <w:kern w:val="0"/>
                <w:sz w:val="21"/>
                <w:szCs w:val="21"/>
                <w:u w:val="none"/>
                <w:lang w:val="en-US" w:eastAsia="zh-CN"/>
              </w:rPr>
              <w:t>社会效益</w:t>
            </w:r>
          </w:p>
          <w:p w14:paraId="2AA0CF8C">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指标</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603ECB9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eastAsia="zh-CN"/>
              </w:rPr>
              <w:t>文化馆</w:t>
            </w:r>
            <w:r>
              <w:rPr>
                <w:rFonts w:hint="eastAsia" w:ascii="宋体" w:hAnsi="宋体" w:eastAsia="宋体" w:cs="宋体"/>
                <w:i w:val="0"/>
                <w:color w:val="000000"/>
                <w:sz w:val="21"/>
                <w:szCs w:val="21"/>
                <w:u w:val="none"/>
              </w:rPr>
              <w:t>事业发展效果</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7FEDC898">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定性</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3C295151">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好</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10D4A804">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5880F378">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28408C20">
            <w:pPr>
              <w:keepNext w:val="0"/>
              <w:keepLines w:val="0"/>
              <w:pageBreakBefore w:val="0"/>
              <w:widowControl/>
              <w:kinsoku/>
              <w:wordWrap/>
              <w:overflowPunct/>
              <w:topLinePunct w:val="0"/>
              <w:autoSpaceDE/>
              <w:autoSpaceDN/>
              <w:bidi w:val="0"/>
              <w:adjustRightInd/>
              <w:snapToGrid/>
              <w:spacing w:line="560" w:lineRule="exact"/>
              <w:jc w:val="left"/>
              <w:outlineLvl w:val="9"/>
              <w:rPr>
                <w:rFonts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100%</w:t>
            </w:r>
          </w:p>
        </w:tc>
      </w:tr>
      <w:tr w14:paraId="32DA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3731FAEC">
            <w:pPr>
              <w:pageBreakBefore w:val="0"/>
              <w:kinsoku/>
              <w:wordWrap/>
              <w:overflowPunct/>
              <w:topLinePunct w:val="0"/>
              <w:bidi w:val="0"/>
              <w:spacing w:line="560" w:lineRule="exact"/>
            </w:pPr>
          </w:p>
        </w:tc>
        <w:tc>
          <w:tcPr>
            <w:tcW w:w="1347" w:type="dxa"/>
            <w:vMerge w:val="continue"/>
            <w:tcBorders>
              <w:top w:val="single" w:color="000000" w:sz="4" w:space="0"/>
              <w:left w:val="single" w:color="000000" w:sz="4" w:space="0"/>
              <w:bottom w:val="single" w:color="000000" w:sz="4" w:space="0"/>
              <w:right w:val="single" w:color="000000" w:sz="4" w:space="0"/>
            </w:tcBorders>
            <w:noWrap/>
            <w:vAlign w:val="center"/>
          </w:tcPr>
          <w:p w14:paraId="71C155CE">
            <w:pPr>
              <w:pageBreakBefore w:val="0"/>
              <w:kinsoku/>
              <w:wordWrap/>
              <w:overflowPunct/>
              <w:topLinePunct w:val="0"/>
              <w:bidi w:val="0"/>
              <w:spacing w:line="560" w:lineRule="exact"/>
            </w:pPr>
          </w:p>
        </w:tc>
        <w:tc>
          <w:tcPr>
            <w:tcW w:w="1273" w:type="dxa"/>
            <w:vMerge w:val="continue"/>
            <w:tcBorders>
              <w:top w:val="single" w:color="000000" w:sz="4" w:space="0"/>
              <w:left w:val="single" w:color="000000" w:sz="4" w:space="0"/>
              <w:right w:val="single" w:color="000000" w:sz="4" w:space="0"/>
            </w:tcBorders>
            <w:noWrap/>
            <w:vAlign w:val="center"/>
          </w:tcPr>
          <w:p w14:paraId="00D50E23">
            <w:pPr>
              <w:pageBreakBefore w:val="0"/>
              <w:kinsoku/>
              <w:wordWrap/>
              <w:overflowPunct/>
              <w:topLinePunct w:val="0"/>
              <w:bidi w:val="0"/>
              <w:spacing w:line="560" w:lineRule="exact"/>
            </w:pP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0A6BBDE">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5EEB7F05">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7A703FFB">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19031BEE">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6D465378">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708D52F2">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r>
      <w:tr w14:paraId="2D288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5192E0CC">
            <w:pPr>
              <w:pageBreakBefore w:val="0"/>
              <w:kinsoku/>
              <w:wordWrap/>
              <w:overflowPunct/>
              <w:topLinePunct w:val="0"/>
              <w:bidi w:val="0"/>
              <w:spacing w:line="560" w:lineRule="exact"/>
            </w:pPr>
          </w:p>
        </w:tc>
        <w:tc>
          <w:tcPr>
            <w:tcW w:w="1347" w:type="dxa"/>
            <w:vMerge w:val="continue"/>
            <w:tcBorders>
              <w:top w:val="single" w:color="000000" w:sz="4" w:space="0"/>
              <w:left w:val="single" w:color="000000" w:sz="4" w:space="0"/>
              <w:bottom w:val="single" w:color="000000" w:sz="4" w:space="0"/>
              <w:right w:val="single" w:color="000000" w:sz="4" w:space="0"/>
            </w:tcBorders>
            <w:noWrap/>
            <w:vAlign w:val="center"/>
          </w:tcPr>
          <w:p w14:paraId="157EFE49">
            <w:pPr>
              <w:pageBreakBefore w:val="0"/>
              <w:kinsoku/>
              <w:wordWrap/>
              <w:overflowPunct/>
              <w:topLinePunct w:val="0"/>
              <w:bidi w:val="0"/>
              <w:spacing w:line="560" w:lineRule="exact"/>
            </w:pPr>
          </w:p>
        </w:tc>
        <w:tc>
          <w:tcPr>
            <w:tcW w:w="1273" w:type="dxa"/>
            <w:tcBorders>
              <w:top w:val="single" w:color="000000" w:sz="4" w:space="0"/>
              <w:left w:val="single" w:color="000000" w:sz="4" w:space="0"/>
              <w:bottom w:val="single" w:color="000000" w:sz="4" w:space="0"/>
              <w:right w:val="single" w:color="000000" w:sz="4" w:space="0"/>
            </w:tcBorders>
            <w:noWrap/>
            <w:vAlign w:val="center"/>
          </w:tcPr>
          <w:p w14:paraId="746EAF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可持续影响</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FA4E186">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lang w:eastAsia="zh-CN"/>
              </w:rPr>
              <w:t>文化</w:t>
            </w:r>
            <w:r>
              <w:rPr>
                <w:rFonts w:hint="eastAsia" w:ascii="宋体" w:hAnsi="宋体" w:eastAsia="宋体" w:cs="宋体"/>
                <w:i w:val="0"/>
                <w:color w:val="000000"/>
                <w:sz w:val="21"/>
                <w:szCs w:val="21"/>
                <w:u w:val="none"/>
              </w:rPr>
              <w:t>品牌打造</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746F0122">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定性</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299F927D">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好</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3FA6B9B0">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4C7C5318">
            <w:pPr>
              <w:keepNext w:val="0"/>
              <w:keepLines w:val="0"/>
              <w:pageBreakBefore w:val="0"/>
              <w:widowControl/>
              <w:kinsoku/>
              <w:wordWrap/>
              <w:overflowPunct/>
              <w:topLinePunct w:val="0"/>
              <w:autoSpaceDE/>
              <w:autoSpaceDN/>
              <w:bidi w:val="0"/>
              <w:adjustRightInd/>
              <w:snapToGrid/>
              <w:spacing w:line="560" w:lineRule="exact"/>
              <w:jc w:val="left"/>
              <w:outlineLvl w:val="9"/>
              <w:rPr>
                <w:rFonts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06313480">
            <w:pPr>
              <w:keepNext w:val="0"/>
              <w:keepLines w:val="0"/>
              <w:pageBreakBefore w:val="0"/>
              <w:widowControl/>
              <w:kinsoku/>
              <w:wordWrap/>
              <w:overflowPunct/>
              <w:topLinePunct w:val="0"/>
              <w:autoSpaceDE/>
              <w:autoSpaceDN/>
              <w:bidi w:val="0"/>
              <w:adjustRightInd/>
              <w:snapToGrid/>
              <w:spacing w:line="560" w:lineRule="exact"/>
              <w:jc w:val="left"/>
              <w:outlineLvl w:val="9"/>
              <w:rPr>
                <w:lang w:val="en-US" w:eastAsia="zh-CN"/>
              </w:rPr>
            </w:pPr>
            <w:r>
              <w:rPr>
                <w:rFonts w:hint="eastAsia" w:ascii="宋体" w:hAnsi="宋体" w:eastAsia="宋体" w:cs="宋体"/>
                <w:i w:val="0"/>
                <w:color w:val="000000"/>
                <w:sz w:val="21"/>
                <w:szCs w:val="21"/>
                <w:u w:val="none"/>
                <w:lang w:val="en-US" w:eastAsia="zh-CN"/>
              </w:rPr>
              <w:t>100%</w:t>
            </w:r>
          </w:p>
        </w:tc>
      </w:tr>
      <w:tr w14:paraId="13324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noWrap/>
            <w:vAlign w:val="center"/>
          </w:tcPr>
          <w:p w14:paraId="3C749EC4">
            <w:pPr>
              <w:pageBreakBefore w:val="0"/>
              <w:kinsoku/>
              <w:wordWrap/>
              <w:overflowPunct/>
              <w:topLinePunct w:val="0"/>
              <w:bidi w:val="0"/>
              <w:spacing w:line="560" w:lineRule="exact"/>
            </w:pPr>
          </w:p>
        </w:tc>
        <w:tc>
          <w:tcPr>
            <w:tcW w:w="1347" w:type="dxa"/>
            <w:vMerge w:val="restart"/>
            <w:tcBorders>
              <w:top w:val="single" w:color="000000" w:sz="4" w:space="0"/>
              <w:left w:val="single" w:color="000000" w:sz="4" w:space="0"/>
              <w:right w:val="single" w:color="000000" w:sz="4" w:space="0"/>
            </w:tcBorders>
            <w:noWrap/>
            <w:vAlign w:val="center"/>
          </w:tcPr>
          <w:p w14:paraId="574B5F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满意度指标</w:t>
            </w:r>
          </w:p>
        </w:tc>
        <w:tc>
          <w:tcPr>
            <w:tcW w:w="1273" w:type="dxa"/>
            <w:vMerge w:val="restart"/>
            <w:tcBorders>
              <w:top w:val="single" w:color="000000" w:sz="4" w:space="0"/>
              <w:left w:val="single" w:color="000000" w:sz="4" w:space="0"/>
              <w:right w:val="single" w:color="000000" w:sz="4" w:space="0"/>
            </w:tcBorders>
            <w:noWrap/>
            <w:vAlign w:val="center"/>
          </w:tcPr>
          <w:p w14:paraId="685E833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rPr>
              <w:t>满意度指标</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D0E5E9D">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群众对公共文化服务满意度</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0C8C2AC3">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0603B643">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90</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74A37F77">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3FCA3503">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4FC207D7">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100%</w:t>
            </w:r>
          </w:p>
        </w:tc>
      </w:tr>
      <w:tr w14:paraId="5D75E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noWrap/>
            <w:vAlign w:val="center"/>
          </w:tcPr>
          <w:p w14:paraId="11BE6241">
            <w:pPr>
              <w:keepNext w:val="0"/>
              <w:keepLines w:val="0"/>
              <w:pageBreakBefore w:val="0"/>
              <w:widowControl/>
              <w:kinsoku/>
              <w:wordWrap/>
              <w:overflowPunct/>
              <w:topLinePunct w:val="0"/>
              <w:autoSpaceDE/>
              <w:autoSpaceDN/>
              <w:bidi w:val="0"/>
              <w:adjustRightInd/>
              <w:snapToGrid/>
              <w:spacing w:line="560" w:lineRule="exact"/>
              <w:jc w:val="center"/>
              <w:outlineLvl w:val="9"/>
              <w:rPr>
                <w:rFonts w:ascii="Times New Roman" w:hAnsi="Times New Roman" w:eastAsia="宋体" w:cs="Times New Roman"/>
                <w:i w:val="0"/>
                <w:color w:val="000000"/>
                <w:sz w:val="24"/>
                <w:szCs w:val="24"/>
                <w:u w:val="none"/>
              </w:rPr>
            </w:pPr>
          </w:p>
        </w:tc>
        <w:tc>
          <w:tcPr>
            <w:tcW w:w="1347" w:type="dxa"/>
            <w:vMerge w:val="continue"/>
            <w:tcBorders>
              <w:left w:val="single" w:color="000000" w:sz="4" w:space="0"/>
              <w:bottom w:val="single" w:color="000000" w:sz="4" w:space="0"/>
              <w:right w:val="single" w:color="000000" w:sz="4" w:space="0"/>
            </w:tcBorders>
            <w:noWrap/>
            <w:vAlign w:val="center"/>
          </w:tcPr>
          <w:p w14:paraId="4F3DF9E3">
            <w:pPr>
              <w:pageBreakBefore w:val="0"/>
              <w:kinsoku/>
              <w:wordWrap/>
              <w:overflowPunct/>
              <w:topLinePunct w:val="0"/>
              <w:bidi w:val="0"/>
              <w:spacing w:line="560" w:lineRule="exact"/>
            </w:pPr>
          </w:p>
        </w:tc>
        <w:tc>
          <w:tcPr>
            <w:tcW w:w="1273" w:type="dxa"/>
            <w:vMerge w:val="continue"/>
            <w:tcBorders>
              <w:left w:val="single" w:color="000000" w:sz="4" w:space="0"/>
              <w:bottom w:val="single" w:color="000000" w:sz="4" w:space="0"/>
              <w:right w:val="single" w:color="000000" w:sz="4" w:space="0"/>
            </w:tcBorders>
            <w:noWrap/>
            <w:vAlign w:val="center"/>
          </w:tcPr>
          <w:p w14:paraId="176885D3">
            <w:pPr>
              <w:pageBreakBefore w:val="0"/>
              <w:kinsoku/>
              <w:wordWrap/>
              <w:overflowPunct/>
              <w:topLinePunct w:val="0"/>
              <w:bidi w:val="0"/>
              <w:spacing w:line="560" w:lineRule="exact"/>
            </w:pP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6995E4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rPr>
            </w:pPr>
            <w:r>
              <w:rPr>
                <w:rFonts w:hint="eastAsia" w:ascii="宋体" w:hAnsi="宋体" w:eastAsia="宋体" w:cs="宋体"/>
                <w:i w:val="0"/>
                <w:color w:val="000000"/>
                <w:sz w:val="21"/>
                <w:szCs w:val="21"/>
                <w:u w:val="none"/>
              </w:rPr>
              <w:t>从业人员对事业发展满意度</w:t>
            </w:r>
          </w:p>
        </w:tc>
        <w:tc>
          <w:tcPr>
            <w:tcW w:w="1145" w:type="dxa"/>
            <w:gridSpan w:val="2"/>
            <w:tcBorders>
              <w:top w:val="single" w:color="000000" w:sz="4" w:space="0"/>
              <w:left w:val="single" w:color="000000" w:sz="4" w:space="0"/>
              <w:bottom w:val="single" w:color="000000" w:sz="4" w:space="0"/>
              <w:right w:val="single" w:color="000000" w:sz="4" w:space="0"/>
            </w:tcBorders>
            <w:noWrap/>
            <w:vAlign w:val="center"/>
          </w:tcPr>
          <w:p w14:paraId="16E47A82">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noWrap/>
            <w:vAlign w:val="center"/>
          </w:tcPr>
          <w:p w14:paraId="40FC3847">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90</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58EDF137">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1ABA70BF">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noWrap/>
            <w:vAlign w:val="center"/>
          </w:tcPr>
          <w:p w14:paraId="10F69BAA">
            <w:pPr>
              <w:keepNext w:val="0"/>
              <w:keepLines w:val="0"/>
              <w:pageBreakBefore w:val="0"/>
              <w:widowControl/>
              <w:kinsoku/>
              <w:wordWrap/>
              <w:overflowPunct/>
              <w:topLinePunct w:val="0"/>
              <w:autoSpaceDE/>
              <w:autoSpaceDN/>
              <w:bidi w:val="0"/>
              <w:adjustRightInd/>
              <w:snapToGrid/>
              <w:spacing w:line="560" w:lineRule="exact"/>
              <w:jc w:val="left"/>
              <w:outlineLvl w:val="9"/>
              <w:rPr>
                <w:rFonts w:hint="eastAsia" w:ascii="宋体" w:hAnsi="宋体" w:eastAsia="宋体" w:cs="宋体"/>
                <w:i w:val="0"/>
                <w:color w:val="000000"/>
                <w:sz w:val="21"/>
                <w:szCs w:val="21"/>
                <w:u w:val="none"/>
                <w:lang w:val="en-US" w:eastAsia="zh-CN"/>
              </w:rPr>
            </w:pPr>
            <w:r>
              <w:rPr>
                <w:rFonts w:hint="eastAsia" w:ascii="宋体" w:hAnsi="宋体" w:eastAsia="宋体" w:cs="宋体"/>
                <w:i w:val="0"/>
                <w:color w:val="000000"/>
                <w:sz w:val="21"/>
                <w:szCs w:val="21"/>
                <w:u w:val="none"/>
                <w:lang w:val="en-US" w:eastAsia="zh-CN"/>
              </w:rPr>
              <w:t>100%</w:t>
            </w:r>
          </w:p>
        </w:tc>
      </w:tr>
    </w:tbl>
    <w:p w14:paraId="051C4B82">
      <w:pPr>
        <w:pStyle w:val="8"/>
        <w:pageBreakBefore w:val="0"/>
        <w:kinsoku/>
        <w:wordWrap/>
        <w:overflowPunct/>
        <w:topLinePunct w:val="0"/>
        <w:bidi w:val="0"/>
        <w:spacing w:line="560" w:lineRule="exact"/>
        <w:ind w:firstLine="48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ascii="Times New Roman" w:hAnsi="Times New Roman" w:eastAsia="黑体" w:cs="Times New Roman"/>
          <w:sz w:val="24"/>
          <w:szCs w:val="24"/>
          <w:highlight w:val="none"/>
          <w:lang w:val="en-US" w:eastAsia="zh-CN"/>
        </w:rPr>
        <w:br w:type="page"/>
      </w:r>
    </w:p>
    <w:p w14:paraId="592E1B20">
      <w:pPr>
        <w:pageBreakBefore w:val="0"/>
        <w:widowControl/>
        <w:kinsoku/>
        <w:wordWrap/>
        <w:overflowPunct/>
        <w:topLinePunct w:val="0"/>
        <w:bidi w:val="0"/>
        <w:spacing w:line="560" w:lineRule="exact"/>
        <w:ind w:firstLine="880" w:firstLineChars="200"/>
        <w:jc w:val="center"/>
        <w:rPr>
          <w:rFonts w:hint="eastAsia" w:ascii="Times New Roman" w:hAnsi="Times New Roman" w:eastAsia="仿宋"/>
          <w:b w:val="0"/>
          <w:color w:val="auto"/>
          <w:highlight w:val="none"/>
        </w:rPr>
      </w:pPr>
      <w:bookmarkStart w:id="98" w:name="_Toc15396618"/>
      <w:r>
        <w:rPr>
          <w:rFonts w:hint="eastAsia" w:ascii="Times New Roman" w:hAnsi="Times New Roman" w:eastAsia="黑体"/>
          <w:color w:val="auto"/>
          <w:sz w:val="44"/>
          <w:szCs w:val="44"/>
          <w:highlight w:val="none"/>
        </w:rPr>
        <w:t>第</w:t>
      </w:r>
      <w:r>
        <w:rPr>
          <w:rStyle w:val="22"/>
          <w:rFonts w:hint="eastAsia" w:ascii="Times New Roman" w:hAnsi="Times New Roman" w:eastAsia="黑体"/>
          <w:b w:val="0"/>
          <w:color w:val="auto"/>
          <w:highlight w:val="none"/>
        </w:rPr>
        <w:t>五部分 附表</w:t>
      </w:r>
      <w:bookmarkEnd w:id="94"/>
      <w:bookmarkEnd w:id="98"/>
      <w:bookmarkStart w:id="99" w:name="_Toc15396619"/>
    </w:p>
    <w:p w14:paraId="05C92CB2">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9"/>
    </w:p>
    <w:p w14:paraId="3F8225DF">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0" w:name="_Toc15396620"/>
      <w:r>
        <w:rPr>
          <w:rFonts w:hint="eastAsia" w:ascii="Times New Roman" w:hAnsi="Times New Roman" w:eastAsia="仿宋_GB2312" w:cs="仿宋_GB2312"/>
          <w:color w:val="auto"/>
          <w:sz w:val="32"/>
          <w:szCs w:val="32"/>
          <w:highlight w:val="none"/>
        </w:rPr>
        <w:t>二、收入决算表</w:t>
      </w:r>
      <w:bookmarkEnd w:id="100"/>
    </w:p>
    <w:p w14:paraId="423D4D9B">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1" w:name="_Toc15396621"/>
      <w:r>
        <w:rPr>
          <w:rFonts w:hint="eastAsia" w:ascii="Times New Roman" w:hAnsi="Times New Roman" w:eastAsia="仿宋_GB2312" w:cs="仿宋_GB2312"/>
          <w:color w:val="auto"/>
          <w:sz w:val="32"/>
          <w:szCs w:val="32"/>
          <w:highlight w:val="none"/>
        </w:rPr>
        <w:t>三、支出决算表</w:t>
      </w:r>
      <w:bookmarkEnd w:id="101"/>
    </w:p>
    <w:p w14:paraId="31EC424C">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2" w:name="_Toc15396622"/>
      <w:r>
        <w:rPr>
          <w:rFonts w:hint="eastAsia" w:ascii="Times New Roman" w:hAnsi="Times New Roman" w:eastAsia="仿宋_GB2312" w:cs="仿宋_GB2312"/>
          <w:color w:val="auto"/>
          <w:sz w:val="32"/>
          <w:szCs w:val="32"/>
          <w:highlight w:val="none"/>
        </w:rPr>
        <w:t>四、财政拨款收入支出决算总表</w:t>
      </w:r>
      <w:bookmarkEnd w:id="102"/>
    </w:p>
    <w:p w14:paraId="235D0B07">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3" w:name="_Toc15396623"/>
      <w:r>
        <w:rPr>
          <w:rFonts w:hint="eastAsia" w:ascii="Times New Roman" w:hAnsi="Times New Roman" w:eastAsia="仿宋_GB2312" w:cs="仿宋_GB2312"/>
          <w:color w:val="auto"/>
          <w:sz w:val="32"/>
          <w:szCs w:val="32"/>
          <w:highlight w:val="none"/>
        </w:rPr>
        <w:t>五、财政拨款支出决算明细表</w:t>
      </w:r>
      <w:bookmarkEnd w:id="103"/>
      <w:bookmarkStart w:id="104" w:name="_Toc15396624"/>
    </w:p>
    <w:p w14:paraId="53599553">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04"/>
    </w:p>
    <w:p w14:paraId="30A782CD">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5" w:name="_Toc15396625"/>
      <w:r>
        <w:rPr>
          <w:rFonts w:hint="eastAsia" w:ascii="Times New Roman" w:hAnsi="Times New Roman" w:eastAsia="仿宋_GB2312" w:cs="仿宋_GB2312"/>
          <w:color w:val="auto"/>
          <w:sz w:val="32"/>
          <w:szCs w:val="32"/>
          <w:highlight w:val="none"/>
        </w:rPr>
        <w:t>七、一般公共预算财政拨款支出决算明细表</w:t>
      </w:r>
      <w:bookmarkEnd w:id="105"/>
    </w:p>
    <w:p w14:paraId="2EDE9988">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6" w:name="_Toc15396626"/>
      <w:r>
        <w:rPr>
          <w:rFonts w:hint="eastAsia" w:ascii="Times New Roman" w:hAnsi="Times New Roman" w:eastAsia="仿宋_GB2312" w:cs="仿宋_GB2312"/>
          <w:color w:val="auto"/>
          <w:sz w:val="32"/>
          <w:szCs w:val="32"/>
          <w:highlight w:val="none"/>
        </w:rPr>
        <w:t>八、一般公共预算财政拨款基本支出决算表</w:t>
      </w:r>
      <w:bookmarkEnd w:id="106"/>
    </w:p>
    <w:p w14:paraId="3C0F15A2">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7" w:name="_Toc15396627"/>
      <w:r>
        <w:rPr>
          <w:rFonts w:hint="eastAsia" w:ascii="Times New Roman" w:hAnsi="Times New Roman" w:eastAsia="仿宋_GB2312" w:cs="仿宋_GB2312"/>
          <w:color w:val="auto"/>
          <w:sz w:val="32"/>
          <w:szCs w:val="32"/>
          <w:highlight w:val="none"/>
        </w:rPr>
        <w:t>九、一般公共预算财政拨款项目支出决算表</w:t>
      </w:r>
      <w:bookmarkEnd w:id="107"/>
    </w:p>
    <w:p w14:paraId="27026B60">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8" w:name="_Toc15396628"/>
      <w:r>
        <w:rPr>
          <w:rFonts w:hint="eastAsia" w:ascii="Times New Roman" w:hAnsi="Times New Roman" w:eastAsia="仿宋_GB2312" w:cs="仿宋_GB2312"/>
          <w:color w:val="auto"/>
          <w:sz w:val="32"/>
          <w:szCs w:val="32"/>
          <w:highlight w:val="none"/>
        </w:rPr>
        <w:t>十、</w:t>
      </w:r>
      <w:bookmarkEnd w:id="108"/>
      <w:r>
        <w:rPr>
          <w:rFonts w:hint="eastAsia" w:ascii="Times New Roman" w:hAnsi="Times New Roman" w:eastAsia="仿宋_GB2312" w:cs="仿宋_GB2312"/>
          <w:color w:val="auto"/>
          <w:sz w:val="32"/>
          <w:szCs w:val="32"/>
          <w:highlight w:val="none"/>
        </w:rPr>
        <w:t>政府性基金预算财政拨款收入支出决算表</w:t>
      </w:r>
    </w:p>
    <w:p w14:paraId="3968021F">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09" w:name="_Toc15396629"/>
      <w:r>
        <w:rPr>
          <w:rFonts w:hint="eastAsia" w:ascii="Times New Roman" w:hAnsi="Times New Roman" w:eastAsia="仿宋_GB2312" w:cs="仿宋_GB2312"/>
          <w:color w:val="auto"/>
          <w:sz w:val="32"/>
          <w:szCs w:val="32"/>
          <w:highlight w:val="none"/>
        </w:rPr>
        <w:t>十一、</w:t>
      </w:r>
      <w:bookmarkEnd w:id="10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B2DEF3A">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110" w:name="_Toc15396630"/>
      <w:r>
        <w:rPr>
          <w:rFonts w:hint="eastAsia" w:ascii="Times New Roman" w:hAnsi="Times New Roman" w:eastAsia="仿宋_GB2312" w:cs="仿宋_GB2312"/>
          <w:color w:val="auto"/>
          <w:sz w:val="32"/>
          <w:szCs w:val="32"/>
          <w:highlight w:val="none"/>
        </w:rPr>
        <w:t>十二、</w:t>
      </w:r>
      <w:bookmarkEnd w:id="110"/>
      <w:r>
        <w:rPr>
          <w:rFonts w:hint="eastAsia" w:ascii="Times New Roman" w:hAnsi="Times New Roman" w:eastAsia="仿宋_GB2312" w:cs="仿宋_GB2312"/>
          <w:color w:val="auto"/>
          <w:sz w:val="32"/>
          <w:szCs w:val="32"/>
          <w:highlight w:val="none"/>
          <w:lang w:eastAsia="zh-CN"/>
        </w:rPr>
        <w:t>国有资本经营预算财政拨款支出决算表</w:t>
      </w:r>
    </w:p>
    <w:p w14:paraId="0B6F41E7">
      <w:pPr>
        <w:pStyle w:val="17"/>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lang w:eastAsia="zh-CN"/>
        </w:rPr>
      </w:pPr>
      <w:bookmarkStart w:id="111" w:name="_Toc15396631"/>
      <w:r>
        <w:rPr>
          <w:rFonts w:hint="eastAsia" w:ascii="Times New Roman" w:hAnsi="Times New Roman" w:eastAsia="仿宋_GB2312" w:cs="仿宋_GB2312"/>
          <w:color w:val="auto"/>
          <w:sz w:val="32"/>
          <w:szCs w:val="32"/>
          <w:highlight w:val="none"/>
        </w:rPr>
        <w:t>十三、</w:t>
      </w:r>
      <w:bookmarkEnd w:id="111"/>
      <w:r>
        <w:rPr>
          <w:rFonts w:hint="eastAsia" w:ascii="Times New Roman" w:hAnsi="Times New Roman" w:eastAsia="仿宋_GB2312" w:cs="仿宋_GB2312"/>
          <w:color w:val="auto"/>
          <w:sz w:val="32"/>
          <w:szCs w:val="32"/>
          <w:highlight w:val="none"/>
          <w:lang w:eastAsia="zh-CN"/>
        </w:rPr>
        <w:t>财政拨款“三公”经费支出决算表</w:t>
      </w:r>
    </w:p>
    <w:sectPr>
      <w:footerReference r:id="rId7" w:type="first"/>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cida Sans">
    <w:altName w:val="DejaVu Sans"/>
    <w:panose1 w:val="020B0602030504020204"/>
    <w:charset w:val="00"/>
    <w:family w:val="auto"/>
    <w:pitch w:val="default"/>
    <w:sig w:usb0="00000000" w:usb1="00000000" w:usb2="00000000" w:usb3="00000000" w:csb0="20000001" w:csb1="00000000"/>
  </w:font>
  <w:font w:name="Cambria">
    <w:altName w:val="DejaVu Sans"/>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DejaVu Sans"/>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兰亭黑_GBK">
    <w:altName w:val="方正黑体_GBK"/>
    <w:panose1 w:val="02000000000000000000"/>
    <w:charset w:val="00"/>
    <w:family w:val="script"/>
    <w:pitch w:val="default"/>
    <w:sig w:usb0="00000000" w:usb1="00000000" w:usb2="00080016" w:usb3="00000000" w:csb0="00040001" w:csb1="00000000"/>
  </w:font>
  <w:font w:name="方正兰亭黑_GBK">
    <w:altName w:val="方正黑体_GBK"/>
    <w:panose1 w:val="00000000000000000000"/>
    <w:charset w:val="01"/>
    <w:family w:val="auto"/>
    <w:pitch w:val="default"/>
    <w:sig w:usb0="00000000" w:usb1="00000000" w:usb2="00000000" w:usb3="00000000" w:csb0="00000000" w:csb1="00000000"/>
  </w:font>
  <w:font w:name="Lucida Sans">
    <w:altName w:val="国标仿宋"/>
    <w:panose1 w:val="00000000000000000000"/>
    <w:charset w:val="01"/>
    <w:family w:val="auto"/>
    <w:pitch w:val="default"/>
    <w:sig w:usb0="00000000" w:usb1="00000000" w:usb2="00000000" w:usb3="00000000" w:csb0="0000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国标仿宋">
    <w:panose1 w:val="02000500000000000000"/>
    <w:charset w:val="86"/>
    <w:family w:val="auto"/>
    <w:pitch w:val="default"/>
    <w:sig w:usb0="A00002BF" w:usb1="38C77CFA" w:usb2="00000016" w:usb3="00000000" w:csb0="00060007" w:csb1="00000000"/>
  </w:font>
  <w:font w:name="Noto Sans CJK JP Bold">
    <w:panose1 w:val="020B0800000000000000"/>
    <w:charset w:val="86"/>
    <w:family w:val="auto"/>
    <w:pitch w:val="default"/>
    <w:sig w:usb0="30000003" w:usb1="2BDF3C10" w:usb2="00000016" w:usb3="00000000" w:csb0="602E0107" w:csb1="0000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 w:name="国标黑体">
    <w:panose1 w:val="02000500000000000000"/>
    <w:charset w:val="86"/>
    <w:family w:val="auto"/>
    <w:pitch w:val="default"/>
    <w:sig w:usb0="00000001" w:usb1="0800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B9497">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D27D">
    <w:pPr>
      <w:pStyle w:val="13"/>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72390" cy="133350"/>
              <wp:effectExtent l="0" t="0" r="0" b="0"/>
              <wp:wrapNone/>
              <wp:docPr id="10" name="文本框 10"/>
              <wp:cNvGraphicFramePr/>
              <a:graphic xmlns:a="http://schemas.openxmlformats.org/drawingml/2006/main">
                <a:graphicData uri="http://schemas.microsoft.com/office/word/2010/wordprocessingShape">
                  <wps:wsp>
                    <wps:cNvSpPr/>
                    <wps:spPr>
                      <a:xfrm>
                        <a:off x="0" y="0"/>
                        <a:ext cx="72694" cy="133159"/>
                      </a:xfrm>
                      <a:prstGeom prst="rect">
                        <a:avLst/>
                      </a:prstGeom>
                      <a:noFill/>
                      <a:ln w="6350" cap="flat" cmpd="sng">
                        <a:noFill/>
                        <a:prstDash val="solid"/>
                        <a:round/>
                      </a:ln>
                    </wps:spPr>
                    <wps:txbx>
                      <w:txbxContent>
                        <w:p w14:paraId="1874568F">
                          <w:pPr>
                            <w:pStyle w:val="13"/>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rect id="文本框 10" o:spid="_x0000_s1026" o:spt="1" style="position:absolute;left:0pt;margin-top:0pt;height:10.5pt;width:5.7pt;mso-position-horizontal:center;mso-position-horizontal-relative:margin;mso-wrap-style:none;z-index:251659264;mso-width-relative:page;mso-height-relative:page;" filled="f" stroked="f" coordsize="21600,21600" o:gfxdata="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qiyeL1QAAAAMBAAAPAAAAAAAAAAEAIAAAACIAAABkcnMvZG93&#10;bnJldi54bWxQSwECFAAUAAAACACHTuJALyqIDAMCAAD1AwAADgAAAAAAAAABACAAAAAkAQAAZHJz&#10;L2Uyb0RvYy54bWxQSwUGAAAAAAYABgBZAQAAmQUAAAAA&#10;">
              <v:fill on="f" focussize="0,0"/>
              <v:stroke on="f" weight="0.5pt" joinstyle="round"/>
              <v:imagedata o:title=""/>
              <o:lock v:ext="edit" aspectratio="f"/>
              <v:textbox inset="0mm,0mm,0mm,0mm" style="mso-fit-shape-to-text:t;">
                <w:txbxContent>
                  <w:p w14:paraId="1874568F">
                    <w:pPr>
                      <w:pStyle w:val="13"/>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16EE7">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581F36">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44581F36">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221DA8D7">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83A6C">
    <w:pPr>
      <w:pStyle w:val="13"/>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00025" cy="133350"/>
              <wp:effectExtent l="0" t="0" r="0" b="0"/>
              <wp:wrapNone/>
              <wp:docPr id="4" name="文本框 6"/>
              <wp:cNvGraphicFramePr/>
              <a:graphic xmlns:a="http://schemas.openxmlformats.org/drawingml/2006/main">
                <a:graphicData uri="http://schemas.microsoft.com/office/word/2010/wordprocessingShape">
                  <wps:wsp>
                    <wps:cNvSpPr/>
                    <wps:spPr>
                      <a:xfrm>
                        <a:off x="0" y="0"/>
                        <a:ext cx="200253" cy="133159"/>
                      </a:xfrm>
                      <a:prstGeom prst="rect">
                        <a:avLst/>
                      </a:prstGeom>
                      <a:noFill/>
                      <a:ln w="6350" cap="flat" cmpd="sng">
                        <a:noFill/>
                        <a:prstDash val="solid"/>
                        <a:round/>
                      </a:ln>
                    </wps:spPr>
                    <wps:txbx>
                      <w:txbxContent>
                        <w:p w14:paraId="731A5E51">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0.5pt;width:15.75pt;mso-position-horizontal:center;mso-position-horizontal-relative:margin;mso-wrap-style:none;z-index:251659264;mso-width-relative:page;mso-height-relative:page;" filled="f" stroked="f" coordsize="21600,21600" o:gfxdata="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yKkI9YAAAADAQAADwAAAAAAAAABACAAAAAiAAAAZHJzL2Rv&#10;d25yZXYueG1sUEsBAhQAFAAAAAgAh07iQHe6glMDAgAA9AMAAA4AAAAAAAAAAQAgAAAAJQEAAGRy&#10;cy9lMm9Eb2MueG1sUEsFBgAAAAAGAAYAWQEAAJoFAAAAAA==&#10;">
              <v:fill on="f" focussize="0,0"/>
              <v:stroke on="f" weight="0.5pt" joinstyle="round"/>
              <v:imagedata o:title=""/>
              <o:lock v:ext="edit" aspectratio="f"/>
              <v:textbox inset="0mm,0mm,0mm,0mm" style="mso-fit-shape-to-text:t;">
                <w:txbxContent>
                  <w:p w14:paraId="731A5E51">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4D0CF">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568475"/>
    <w:multiLevelType w:val="singleLevel"/>
    <w:tmpl w:val="99568475"/>
    <w:lvl w:ilvl="0" w:tentative="0">
      <w:start w:val="1"/>
      <w:numFmt w:val="decimal"/>
      <w:lvlText w:val="%1."/>
      <w:lvlJc w:val="left"/>
      <w:pPr>
        <w:tabs>
          <w:tab w:val="left" w:pos="312"/>
        </w:tabs>
        <w:ind w:left="0" w:firstLine="0"/>
      </w:pPr>
    </w:lvl>
  </w:abstractNum>
  <w:abstractNum w:abstractNumId="1">
    <w:nsid w:val="B41731F9"/>
    <w:multiLevelType w:val="singleLevel"/>
    <w:tmpl w:val="B41731F9"/>
    <w:lvl w:ilvl="0" w:tentative="0">
      <w:start w:val="2"/>
      <w:numFmt w:val="chineseCounting"/>
      <w:suff w:val="nothing"/>
      <w:lvlText w:val="（%1）"/>
      <w:lvlJc w:val="left"/>
      <w:pPr>
        <w:ind w:left="0" w:firstLine="0"/>
      </w:pPr>
      <w:rPr>
        <w:rFonts w:hint="eastAsia"/>
      </w:rPr>
    </w:lvl>
  </w:abstractNum>
  <w:abstractNum w:abstractNumId="2">
    <w:nsid w:val="D400DA4E"/>
    <w:multiLevelType w:val="singleLevel"/>
    <w:tmpl w:val="D400DA4E"/>
    <w:lvl w:ilvl="0" w:tentative="0">
      <w:start w:val="3"/>
      <w:numFmt w:val="chineseCounting"/>
      <w:suff w:val="nothing"/>
      <w:lvlText w:val="（%1）"/>
      <w:lvlJc w:val="left"/>
      <w:pPr>
        <w:ind w:left="0" w:firstLine="0"/>
      </w:pPr>
      <w:rPr>
        <w:rFonts w:hint="eastAsia"/>
      </w:rPr>
    </w:lvl>
  </w:abstractNum>
  <w:abstractNum w:abstractNumId="3">
    <w:nsid w:val="D89CB4B3"/>
    <w:multiLevelType w:val="singleLevel"/>
    <w:tmpl w:val="D89CB4B3"/>
    <w:lvl w:ilvl="0" w:tentative="0">
      <w:start w:val="2"/>
      <w:numFmt w:val="decimal"/>
      <w:lvlText w:val="%1."/>
      <w:lvlJc w:val="left"/>
      <w:pPr>
        <w:tabs>
          <w:tab w:val="left" w:pos="312"/>
        </w:tabs>
        <w:ind w:left="0" w:firstLine="0"/>
      </w:pPr>
    </w:lvl>
  </w:abstractNum>
  <w:abstractNum w:abstractNumId="4">
    <w:nsid w:val="DFEAA8DB"/>
    <w:multiLevelType w:val="singleLevel"/>
    <w:tmpl w:val="DFEAA8DB"/>
    <w:lvl w:ilvl="0" w:tentative="0">
      <w:start w:val="5"/>
      <w:numFmt w:val="decimal"/>
      <w:lvlText w:val="%1."/>
      <w:lvlJc w:val="left"/>
      <w:pPr>
        <w:tabs>
          <w:tab w:val="left" w:pos="312"/>
        </w:tabs>
        <w:ind w:left="0" w:firstLine="0"/>
      </w:pPr>
    </w:lvl>
  </w:abstractNum>
  <w:abstractNum w:abstractNumId="5">
    <w:nsid w:val="FF738FD9"/>
    <w:multiLevelType w:val="singleLevel"/>
    <w:tmpl w:val="FF738FD9"/>
    <w:lvl w:ilvl="0" w:tentative="0">
      <w:start w:val="16"/>
      <w:numFmt w:val="decimal"/>
      <w:suff w:val="nothing"/>
      <w:lvlText w:val="%1、"/>
      <w:lvlJc w:val="left"/>
      <w:pPr>
        <w:ind w:left="0" w:firstLine="0"/>
      </w:pPr>
    </w:lvl>
  </w:abstractNum>
  <w:abstractNum w:abstractNumId="6">
    <w:nsid w:val="FFFF7FCE"/>
    <w:multiLevelType w:val="singleLevel"/>
    <w:tmpl w:val="FFFF7FCE"/>
    <w:lvl w:ilvl="0" w:tentative="0">
      <w:start w:val="3"/>
      <w:numFmt w:val="chineseCounting"/>
      <w:suff w:val="nothing"/>
      <w:lvlText w:val="（%1）"/>
      <w:lvlJc w:val="left"/>
      <w:pPr>
        <w:ind w:left="0" w:firstLine="0"/>
      </w:pPr>
      <w:rPr>
        <w:rFonts w:hint="eastAsia"/>
      </w:rPr>
    </w:lvl>
  </w:abstractNum>
  <w:abstractNum w:abstractNumId="7">
    <w:nsid w:val="453CC370"/>
    <w:multiLevelType w:val="singleLevel"/>
    <w:tmpl w:val="453CC370"/>
    <w:lvl w:ilvl="0" w:tentative="0">
      <w:start w:val="1"/>
      <w:numFmt w:val="decimal"/>
      <w:lvlText w:val="%1."/>
      <w:lvlJc w:val="left"/>
      <w:pPr>
        <w:tabs>
          <w:tab w:val="left" w:pos="312"/>
        </w:tabs>
        <w:ind w:left="0" w:firstLine="0"/>
      </w:pPr>
    </w:lvl>
  </w:abstractNum>
  <w:num w:numId="1">
    <w:abstractNumId w:val="5"/>
  </w:num>
  <w:num w:numId="2">
    <w:abstractNumId w:val="6"/>
  </w:num>
  <w:num w:numId="3">
    <w:abstractNumId w:val="0"/>
  </w:num>
  <w:num w:numId="4">
    <w:abstractNumId w:val="3"/>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2FBFF312"/>
    <w:rsid w:val="5B7335F5"/>
    <w:rsid w:val="7D5528E4"/>
    <w:rsid w:val="7DFF2234"/>
    <w:rsid w:val="7F4CB29A"/>
    <w:rsid w:val="BFEE62B8"/>
    <w:rsid w:val="F7CF0FC2"/>
    <w:rsid w:val="FE7D8D41"/>
    <w:rsid w:val="FF7FB6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2"/>
    <w:qFormat/>
    <w:uiPriority w:val="0"/>
    <w:pPr>
      <w:keepNext/>
      <w:keepLines/>
      <w:widowControl w:val="0"/>
      <w:spacing w:before="340" w:after="330" w:line="578" w:lineRule="auto"/>
      <w:outlineLvl w:val="0"/>
    </w:pPr>
    <w:rPr>
      <w:b/>
      <w:bCs/>
      <w:kern w:val="44"/>
      <w:sz w:val="44"/>
      <w:szCs w:val="44"/>
    </w:rPr>
  </w:style>
  <w:style w:type="paragraph" w:styleId="5">
    <w:name w:val="heading 2"/>
    <w:basedOn w:val="1"/>
    <w:next w:val="1"/>
    <w:link w:val="23"/>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6">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7">
    <w:name w:val="Salutation"/>
    <w:basedOn w:val="1"/>
    <w:next w:val="1"/>
    <w:qFormat/>
    <w:uiPriority w:val="0"/>
    <w:pPr>
      <w:widowControl w:val="0"/>
      <w:jc w:val="both"/>
    </w:pPr>
    <w:rPr>
      <w:rFonts w:ascii="Calibri" w:hAnsi="Calibri" w:eastAsia="宋体" w:cs="Times New Roman"/>
      <w:kern w:val="2"/>
      <w:sz w:val="21"/>
      <w:szCs w:val="24"/>
      <w:lang w:val="en-US" w:eastAsia="zh-CN" w:bidi="ar-SA"/>
    </w:rPr>
  </w:style>
  <w:style w:type="paragraph" w:styleId="8">
    <w:name w:val="Body Text"/>
    <w:basedOn w:val="1"/>
    <w:uiPriority w:val="0"/>
    <w:pPr>
      <w:spacing w:before="30" w:beforeLines="30"/>
    </w:pPr>
    <w:rPr>
      <w:rFonts w:ascii="仿宋_GB2312" w:eastAsia="仿宋_GB2312"/>
      <w:kern w:val="0"/>
      <w:sz w:val="30"/>
    </w:rPr>
  </w:style>
  <w:style w:type="paragraph" w:styleId="9">
    <w:name w:val="Body Text Indent"/>
    <w:basedOn w:val="1"/>
    <w:next w:val="10"/>
    <w:qFormat/>
    <w:uiPriority w:val="0"/>
    <w:pPr>
      <w:spacing w:after="120"/>
      <w:ind w:left="200" w:leftChars="200"/>
    </w:pPr>
    <w:rPr>
      <w:rFonts w:ascii="仿宋_GB2312" w:hAnsi="仿宋_GB2312"/>
      <w:szCs w:val="32"/>
    </w:rPr>
  </w:style>
  <w:style w:type="paragraph" w:styleId="10">
    <w:name w:val="Body Text First Indent 2"/>
    <w:basedOn w:val="9"/>
    <w:next w:val="1"/>
    <w:qFormat/>
    <w:uiPriority w:val="0"/>
    <w:pPr>
      <w:ind w:firstLine="200" w:firstLineChars="200"/>
    </w:pPr>
  </w:style>
  <w:style w:type="paragraph" w:styleId="11">
    <w:name w:val="toc 3"/>
    <w:basedOn w:val="1"/>
    <w:next w:val="1"/>
    <w:qFormat/>
    <w:uiPriority w:val="0"/>
    <w:pPr>
      <w:tabs>
        <w:tab w:val="right" w:leader="dot" w:pos="8296"/>
      </w:tabs>
      <w:ind w:left="400" w:leftChars="400"/>
    </w:p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qFormat/>
    <w:uiPriority w:val="0"/>
    <w:pPr>
      <w:tabs>
        <w:tab w:val="right" w:leader="dot" w:pos="8296"/>
      </w:tabs>
      <w:spacing w:before="93"/>
      <w:jc w:val="center"/>
    </w:pPr>
    <w:rPr>
      <w:rFonts w:ascii="仿宋" w:hAnsi="仿宋" w:eastAsia="仿宋"/>
      <w:sz w:val="28"/>
      <w:szCs w:val="28"/>
    </w:rPr>
  </w:style>
  <w:style w:type="paragraph" w:styleId="16">
    <w:name w:val="footnote text"/>
    <w:basedOn w:val="1"/>
    <w:next w:val="10"/>
    <w:qFormat/>
    <w:uiPriority w:val="0"/>
    <w:pPr>
      <w:snapToGrid w:val="0"/>
      <w:jc w:val="left"/>
    </w:pPr>
    <w:rPr>
      <w:sz w:val="18"/>
      <w:szCs w:val="18"/>
    </w:rPr>
  </w:style>
  <w:style w:type="paragraph" w:styleId="17">
    <w:name w:val="toc 2"/>
    <w:basedOn w:val="1"/>
    <w:next w:val="1"/>
    <w:qFormat/>
    <w:uiPriority w:val="0"/>
    <w:pPr>
      <w:tabs>
        <w:tab w:val="right" w:leader="dot" w:pos="8296"/>
      </w:tabs>
      <w:ind w:left="200" w:leftChars="200"/>
    </w:p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heading 1 Char"/>
    <w:basedOn w:val="19"/>
    <w:link w:val="4"/>
    <w:qFormat/>
    <w:uiPriority w:val="0"/>
    <w:rPr>
      <w:rFonts w:ascii="Times New Roman" w:hAnsi="Times New Roman" w:eastAsia="宋体" w:cs="Times New Roman"/>
      <w:b/>
      <w:bCs/>
      <w:kern w:val="44"/>
      <w:sz w:val="44"/>
      <w:szCs w:val="44"/>
      <w:lang w:val="en-US" w:eastAsia="zh-CN" w:bidi="ar-SA"/>
    </w:rPr>
  </w:style>
  <w:style w:type="character" w:customStyle="1" w:styleId="23">
    <w:name w:val="heading 2 Char"/>
    <w:basedOn w:val="19"/>
    <w:link w:val="5"/>
    <w:qFormat/>
    <w:uiPriority w:val="0"/>
    <w:rPr>
      <w:rFonts w:ascii="Cambria" w:hAnsi="Cambria" w:eastAsia="宋体" w:cs="Times New Roman"/>
      <w:b/>
      <w:bCs/>
      <w:kern w:val="2"/>
      <w:sz w:val="32"/>
      <w:szCs w:val="32"/>
      <w:lang w:val="en-US" w:eastAsia="zh-CN" w:bidi="ar-SA"/>
    </w:rPr>
  </w:style>
  <w:style w:type="paragraph" w:customStyle="1" w:styleId="24">
    <w:name w:val="文档正文"/>
    <w:basedOn w:val="1"/>
    <w:next w:val="3"/>
    <w:qFormat/>
    <w:uiPriority w:val="0"/>
    <w:pPr>
      <w:widowControl w:val="0"/>
      <w:adjustRightInd w:val="0"/>
      <w:spacing w:line="480" w:lineRule="atLeast"/>
      <w:jc w:val="both"/>
      <w:textAlignment w:val="baseline"/>
    </w:pPr>
    <w:rPr>
      <w:rFonts w:ascii="Arial" w:hAnsi="Arial" w:eastAsia="宋体" w:cs="Times New Roman"/>
      <w:kern w:val="0"/>
      <w:sz w:val="21"/>
      <w:szCs w:val="24"/>
      <w:lang w:val="en-US" w:eastAsia="zh-CN" w:bidi="ar-SA"/>
    </w:rPr>
  </w:style>
  <w:style w:type="paragraph" w:customStyle="1" w:styleId="25">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6">
    <w:name w:val="Header Char"/>
    <w:basedOn w:val="19"/>
    <w:qFormat/>
    <w:uiPriority w:val="0"/>
    <w:rPr>
      <w:rFonts w:ascii="Times New Roman" w:hAnsi="Times New Roman"/>
      <w:sz w:val="18"/>
      <w:szCs w:val="18"/>
    </w:rPr>
  </w:style>
  <w:style w:type="character" w:customStyle="1" w:styleId="27">
    <w:name w:val="Footer Char"/>
    <w:basedOn w:val="19"/>
    <w:qFormat/>
    <w:uiPriority w:val="0"/>
    <w:rPr>
      <w:rFonts w:ascii="Times New Roman" w:hAnsi="Times New Roman"/>
      <w:sz w:val="18"/>
      <w:szCs w:val="18"/>
    </w:rPr>
  </w:style>
  <w:style w:type="character" w:customStyle="1" w:styleId="28">
    <w:name w:val="Body Text Char"/>
    <w:basedOn w:val="19"/>
    <w:qFormat/>
    <w:uiPriority w:val="0"/>
    <w:rPr>
      <w:rFonts w:ascii="Times New Roman" w:hAnsi="Times New Roman"/>
      <w:szCs w:val="24"/>
    </w:rPr>
  </w:style>
  <w:style w:type="paragraph" w:customStyle="1" w:styleId="29">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0"/>
    <w:pPr>
      <w:ind w:firstLine="200" w:firstLineChars="200"/>
    </w:pPr>
  </w:style>
  <w:style w:type="paragraph" w:customStyle="1" w:styleId="31">
    <w:name w:val="TOC 标题1"/>
    <w:basedOn w:val="4"/>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2">
    <w:name w:val="TOC Heading"/>
    <w:basedOn w:val="4"/>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3">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4">
    <w:name w:val="BodyTextIndent"/>
    <w:basedOn w:val="1"/>
    <w:qFormat/>
    <w:uiPriority w:val="0"/>
    <w:pPr>
      <w:spacing w:after="120"/>
      <w:ind w:left="200" w:leftChars="200"/>
      <w:jc w:val="both"/>
      <w:textAlignment w:val="baseline"/>
    </w:pPr>
  </w:style>
  <w:style w:type="paragraph" w:customStyle="1" w:styleId="35">
    <w:name w:val="BodyText1I2"/>
    <w:basedOn w:val="34"/>
    <w:qFormat/>
    <w:uiPriority w:val="0"/>
    <w:pPr>
      <w:spacing w:after="120" w:line="240" w:lineRule="auto"/>
      <w:ind w:left="200" w:leftChars="200" w:firstLine="200" w:firstLineChars="200"/>
      <w:textAlignment w:val="baseline"/>
    </w:pPr>
    <w:rPr>
      <w:rFonts w:hAnsi="Calibri" w:eastAsia="宋体"/>
      <w:sz w:val="21"/>
      <w:szCs w:val="24"/>
    </w:rPr>
  </w:style>
  <w:style w:type="character" w:customStyle="1" w:styleId="36">
    <w:name w:val="15"/>
    <w:basedOn w:val="19"/>
    <w:qFormat/>
    <w:uiPriority w:val="0"/>
    <w:rPr>
      <w:rFonts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image" Target="media/image1.emf"/><Relationship Id="rId11" Type="http://schemas.openxmlformats.org/officeDocument/2006/relationships/oleObject" Target="embeddings/oleObject1.bin"/><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158026456918"/>
          <c:y val="0.0806156101135947"/>
          <c:w val="0.767679656775116"/>
          <c:h val="0.742909490655918"/>
        </c:manualLayout>
      </c:layout>
      <c:barChart>
        <c:barDir val="col"/>
        <c:grouping val="clustered"/>
        <c:varyColors val="0"/>
        <c:ser>
          <c:idx val="0"/>
          <c:order val="0"/>
          <c:tx>
            <c:strRef>
              <c:f>工作表465539!$A$2</c:f>
              <c:strCache>
                <c:ptCount val="1"/>
                <c:pt idx="0">
                  <c:v/>
                </c:pt>
              </c:strCache>
            </c:strRef>
          </c:tx>
          <c:spPr>
            <a:solidFill>
              <a:srgbClr val="5B9BD5"/>
            </a:solidFill>
            <a:ln>
              <a:noFill/>
            </a:ln>
          </c:spPr>
          <c:invertIfNegative val="0"/>
          <c:dLbls>
            <c:delete val="1"/>
          </c:dLbls>
          <c:cat>
            <c:strRef>
              <c:f>工作表465539!$B$1:$E$1</c:f>
              <c:strCache>
                <c:ptCount val="4"/>
                <c:pt idx="0">
                  <c:v>2025年</c:v>
                </c:pt>
                <c:pt idx="1">
                  <c:v>2024年</c:v>
                </c:pt>
              </c:strCache>
            </c:strRef>
          </c:cat>
          <c:val>
            <c:numRef>
              <c:f>工作表465539!$B$2:$E$2</c:f>
              <c:numCache>
                <c:formatCode>General</c:formatCode>
                <c:ptCount val="4"/>
                <c:pt idx="0">
                  <c:v>1706.66</c:v>
                </c:pt>
                <c:pt idx="1">
                  <c:v>1392.81</c:v>
                </c:pt>
              </c:numCache>
            </c:numRef>
          </c:val>
        </c:ser>
        <c:ser>
          <c:idx val="1"/>
          <c:order val="1"/>
          <c:tx>
            <c:strRef>
              <c:f>工作表465539!$A$3</c:f>
              <c:strCache>
                <c:ptCount val="1"/>
                <c:pt idx="0">
                  <c:v/>
                </c:pt>
              </c:strCache>
            </c:strRef>
          </c:tx>
          <c:spPr>
            <a:solidFill>
              <a:srgbClr val="ED7D31"/>
            </a:solidFill>
            <a:ln>
              <a:noFill/>
            </a:ln>
          </c:spPr>
          <c:invertIfNegative val="0"/>
          <c:dLbls>
            <c:delete val="1"/>
          </c:dLbls>
          <c:cat>
            <c:strRef>
              <c:f>工作表465539!$B$1:$E$1</c:f>
              <c:strCache>
                <c:ptCount val="4"/>
                <c:pt idx="0">
                  <c:v>2025年</c:v>
                </c:pt>
                <c:pt idx="1">
                  <c:v>2024年</c:v>
                </c:pt>
              </c:strCache>
            </c:strRef>
          </c:cat>
          <c:val>
            <c:numRef>
              <c:f>工作表465539!$B$3:$E$3</c:f>
              <c:numCache>
                <c:formatCode>General</c:formatCode>
                <c:ptCount val="4"/>
                <c:pt idx="0">
                  <c:v>1706.66</c:v>
                </c:pt>
                <c:pt idx="1">
                  <c:v>1392.81</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1270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crossAx val="1"/>
        <c:crosses val="autoZero"/>
        <c:auto val="1"/>
        <c:lblAlgn val="ctr"/>
        <c:lblOffset val="100"/>
        <c:noMultiLvlLbl val="0"/>
      </c:catAx>
      <c:valAx>
        <c:axId val="1"/>
        <c:scaling>
          <c:orientation val="minMax"/>
        </c:scaling>
        <c:delete val="0"/>
        <c:axPos val="l"/>
        <c:majorGridlines>
          <c:spPr>
            <a:ln w="1270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crossAx val="0"/>
        <c:crossesAt val="1"/>
        <c:crossBetween val="between"/>
      </c:valAx>
      <c:dTable>
        <c:showHorzBorder val="1"/>
        <c:showVertBorder val="1"/>
        <c:showOutline val="1"/>
        <c:showKeys val="1"/>
        <c:txPr>
          <a:bodyPr rot="0" spcFirstLastPara="0" vertOverflow="ellipsis" vert="horz" wrap="square" anchor="ctr" anchorCtr="1"/>
          <a:lstStyle/>
          <a:p>
            <a:pPr>
              <a:defRPr lang="zh-CN" sz="900" b="0" i="0" u="none" strike="noStrike" kern="1200" baseline="0">
                <a:solidFill>
                  <a:srgbClr val="000000"/>
                </a:solidFill>
                <a:latin typeface="方正兰亭黑_GBK"/>
                <a:ea typeface="方正兰亭黑_GBK"/>
                <a:cs typeface="Lucida Sans"/>
              </a:defRPr>
            </a:pPr>
          </a:p>
        </c:txPr>
      </c:dTable>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legend>
    <c:plotVisOnly val="1"/>
    <c:dispBlanksAs val="gap"/>
    <c:showDLblsOverMax val="0"/>
    <c:extLst>
      <c:ext uri="{0b15fc19-7d7d-44ad-8c2d-2c3a37ce22c3}">
        <chartProps xmlns="https://web.wps.cn/et/2018/main" chartId="{2500775c-bd4d-48e7-b1a9-0abf85c6697b}"/>
      </c:ext>
    </c:extLst>
  </c:chart>
  <c:spPr>
    <a:solidFill>
      <a:srgbClr val="FFFFFF"/>
    </a:solidFill>
    <a:ln w="12700" cap="flat" cmpd="sng" algn="ctr">
      <a:solidFill>
        <a:srgbClr val="D8D8D8"/>
      </a:solidFill>
      <a:prstDash val="solid"/>
      <a:round/>
    </a:ln>
  </c:spPr>
  <c:txPr>
    <a:bodyPr/>
    <a:lstStyle/>
    <a:p>
      <a:pPr>
        <a:defRPr lang="zh-CN" sz="900" b="0" i="0" u="none" strike="noStrike" baseline="0">
          <a:solidFill>
            <a:srgbClr val="000000"/>
          </a:solidFill>
          <a:latin typeface="方正兰亭黑_GBK"/>
          <a:ea typeface="方正兰亭黑_GBK"/>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方正兰亭黑_GBK"/>
                <a:ea typeface="方正兰亭黑_GBK"/>
                <a:cs typeface="Lucida Sans"/>
              </a:defRPr>
            </a:pPr>
            <a:r>
              <a:rPr lang="zh-CN"/>
              <a:t>一般公共预算财政收入</a:t>
            </a:r>
            <a:endParaRPr lang="zh-CN"/>
          </a:p>
        </c:rich>
      </c:tx>
      <c:layout/>
      <c:overlay val="0"/>
      <c:spPr>
        <a:noFill/>
        <a:ln>
          <a:noFill/>
        </a:ln>
      </c:spPr>
    </c:title>
    <c:autoTitleDeleted val="0"/>
    <c:plotArea>
      <c:layout/>
      <c:pieChart>
        <c:varyColors val="1"/>
        <c:ser>
          <c:idx val="0"/>
          <c:order val="0"/>
          <c:tx>
            <c:strRef>
              <c:f>'Sheet1'!$B$1</c:f>
              <c:strCache>
                <c:ptCount val="1"/>
                <c:pt idx="0">
                  <c:v>一般公共预算财政收入</c:v>
                </c:pt>
              </c:strCache>
            </c:strRef>
          </c:tx>
          <c:spPr>
            <a:ln>
              <a:noFill/>
            </a:ln>
          </c:spPr>
          <c:explosion val="0"/>
          <c:dPt>
            <c:idx val="0"/>
            <c:bubble3D val="0"/>
            <c:spPr>
              <a:solidFill>
                <a:srgbClr val="4F81BD"/>
              </a:solidFill>
              <a:ln w="6350">
                <a:solidFill>
                  <a:srgbClr val="FFFFFF"/>
                </a:solidFill>
                <a:prstDash val="solid"/>
              </a:ln>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方正兰亭黑_GBK"/>
                      <a:ea typeface="方正兰亭黑_GBK"/>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方正兰亭黑_GBK"/>
                    <a:ea typeface="方正兰亭黑_GBK"/>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c:f>
              <c:strCache>
                <c:ptCount val="1"/>
                <c:pt idx="0">
                  <c:v>2025年收入</c:v>
                </c:pt>
              </c:strCache>
            </c:strRef>
          </c:cat>
          <c:val>
            <c:numRef>
              <c:f>Sheet1!$B$2</c:f>
              <c:numCache>
                <c:formatCode>General</c:formatCode>
                <c:ptCount val="1"/>
                <c:pt idx="0">
                  <c:v>1706.66</c:v>
                </c:pt>
              </c:numCache>
            </c:numRef>
          </c:val>
        </c:ser>
        <c:dLbls>
          <c:showLegendKey val="0"/>
          <c:showVal val="0"/>
          <c:showCatName val="0"/>
          <c:showSerName val="0"/>
          <c:showPercent val="0"/>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legend>
    <c:plotVisOnly val="1"/>
    <c:dispBlanksAs val="gap"/>
    <c:showDLblsOverMax val="0"/>
    <c:extLst>
      <c:ext uri="{0b15fc19-7d7d-44ad-8c2d-2c3a37ce22c3}">
        <chartProps xmlns="https://web.wps.cn/et/2018/main" chartId="{6364ce79-ddca-4678-a2e6-caa226940395}"/>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方正兰亭黑_GBK"/>
          <a:ea typeface="方正兰亭黑_GBK"/>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158026456918"/>
          <c:y val="0.0806156101135947"/>
          <c:w val="0.767679656775116"/>
          <c:h val="0.742909490655918"/>
        </c:manualLayout>
      </c:layout>
      <c:barChart>
        <c:barDir val="col"/>
        <c:grouping val="clustered"/>
        <c:varyColors val="0"/>
        <c:ser>
          <c:idx val="0"/>
          <c:order val="0"/>
          <c:tx>
            <c:strRef>
              <c:f>工作表465539!$A$2</c:f>
              <c:strCache>
                <c:ptCount val="1"/>
                <c:pt idx="0">
                  <c:v/>
                </c:pt>
              </c:strCache>
            </c:strRef>
          </c:tx>
          <c:spPr>
            <a:solidFill>
              <a:srgbClr val="5B9BD5"/>
            </a:solidFill>
            <a:ln>
              <a:noFill/>
            </a:ln>
          </c:spPr>
          <c:invertIfNegative val="0"/>
          <c:dLbls>
            <c:delete val="1"/>
          </c:dLbls>
          <c:cat>
            <c:strRef>
              <c:f>工作表465539!$B$1:$E$1</c:f>
              <c:strCache>
                <c:ptCount val="4"/>
                <c:pt idx="0">
                  <c:v>2025年</c:v>
                </c:pt>
                <c:pt idx="1">
                  <c:v>2024年</c:v>
                </c:pt>
              </c:strCache>
            </c:strRef>
          </c:cat>
          <c:val>
            <c:numRef>
              <c:f>工作表465539!$B$2:$E$2</c:f>
              <c:numCache>
                <c:formatCode>General</c:formatCode>
                <c:ptCount val="4"/>
                <c:pt idx="0">
                  <c:v>1706.66</c:v>
                </c:pt>
                <c:pt idx="1">
                  <c:v>1392.81</c:v>
                </c:pt>
              </c:numCache>
            </c:numRef>
          </c:val>
        </c:ser>
        <c:ser>
          <c:idx val="1"/>
          <c:order val="1"/>
          <c:tx>
            <c:strRef>
              <c:f>工作表465539!$A$3</c:f>
              <c:strCache>
                <c:ptCount val="1"/>
                <c:pt idx="0">
                  <c:v/>
                </c:pt>
              </c:strCache>
            </c:strRef>
          </c:tx>
          <c:spPr>
            <a:solidFill>
              <a:srgbClr val="ED7D31"/>
            </a:solidFill>
            <a:ln>
              <a:noFill/>
            </a:ln>
          </c:spPr>
          <c:invertIfNegative val="0"/>
          <c:dLbls>
            <c:delete val="1"/>
          </c:dLbls>
          <c:cat>
            <c:strRef>
              <c:f>工作表465539!$B$1:$E$1</c:f>
              <c:strCache>
                <c:ptCount val="4"/>
                <c:pt idx="0">
                  <c:v>2025年</c:v>
                </c:pt>
                <c:pt idx="1">
                  <c:v>2024年</c:v>
                </c:pt>
              </c:strCache>
            </c:strRef>
          </c:cat>
          <c:val>
            <c:numRef>
              <c:f>工作表465539!$B$3:$E$3</c:f>
              <c:numCache>
                <c:formatCode>General</c:formatCode>
                <c:ptCount val="4"/>
                <c:pt idx="0">
                  <c:v>1706.66</c:v>
                </c:pt>
                <c:pt idx="1">
                  <c:v>1392.81</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1270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crossAx val="1"/>
        <c:crosses val="autoZero"/>
        <c:auto val="1"/>
        <c:lblAlgn val="ctr"/>
        <c:lblOffset val="100"/>
        <c:noMultiLvlLbl val="0"/>
      </c:catAx>
      <c:valAx>
        <c:axId val="1"/>
        <c:scaling>
          <c:orientation val="minMax"/>
        </c:scaling>
        <c:delete val="0"/>
        <c:axPos val="l"/>
        <c:majorGridlines>
          <c:spPr>
            <a:ln w="1270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crossAx val="0"/>
        <c:crossesAt val="1"/>
        <c:crossBetween val="between"/>
      </c:valAx>
      <c:dTable>
        <c:showHorzBorder val="1"/>
        <c:showVertBorder val="1"/>
        <c:showOutline val="1"/>
        <c:showKeys val="1"/>
        <c:txPr>
          <a:bodyPr rot="0" spcFirstLastPara="0" vertOverflow="ellipsis" vert="horz" wrap="square" anchor="ctr" anchorCtr="1"/>
          <a:lstStyle/>
          <a:p>
            <a:pPr>
              <a:defRPr lang="zh-CN" sz="900" b="0" i="0" u="none" strike="noStrike" kern="1200" baseline="0">
                <a:solidFill>
                  <a:srgbClr val="000000"/>
                </a:solidFill>
                <a:latin typeface="方正兰亭黑_GBK"/>
                <a:ea typeface="方正兰亭黑_GBK"/>
                <a:cs typeface="Lucida Sans"/>
              </a:defRPr>
            </a:pPr>
          </a:p>
        </c:txPr>
      </c:dTable>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legend>
    <c:plotVisOnly val="1"/>
    <c:dispBlanksAs val="gap"/>
    <c:showDLblsOverMax val="0"/>
    <c:extLst>
      <c:ext uri="{0b15fc19-7d7d-44ad-8c2d-2c3a37ce22c3}">
        <chartProps xmlns="https://web.wps.cn/et/2018/main" chartId="{2500775c-bd4d-48e7-b1a9-0abf85c6697b}"/>
      </c:ext>
    </c:extLst>
  </c:chart>
  <c:spPr>
    <a:solidFill>
      <a:srgbClr val="FFFFFF"/>
    </a:solidFill>
    <a:ln w="12700" cap="flat" cmpd="sng" algn="ctr">
      <a:solidFill>
        <a:srgbClr val="D8D8D8"/>
      </a:solidFill>
      <a:prstDash val="solid"/>
      <a:round/>
    </a:ln>
  </c:spPr>
  <c:txPr>
    <a:bodyPr/>
    <a:lstStyle/>
    <a:p>
      <a:pPr>
        <a:defRPr lang="zh-CN" sz="900" b="0" i="0" u="none" strike="noStrike" baseline="0">
          <a:solidFill>
            <a:srgbClr val="000000"/>
          </a:solidFill>
          <a:latin typeface="方正兰亭黑_GBK"/>
          <a:ea typeface="方正兰亭黑_GBK"/>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158026456918"/>
          <c:y val="0.0806156101135947"/>
          <c:w val="0.767679656775116"/>
          <c:h val="0.742909490655918"/>
        </c:manualLayout>
      </c:layout>
      <c:barChart>
        <c:barDir val="col"/>
        <c:grouping val="clustered"/>
        <c:varyColors val="0"/>
        <c:ser>
          <c:idx val="0"/>
          <c:order val="0"/>
          <c:tx>
            <c:strRef>
              <c:f>工作表465539!$A$2</c:f>
              <c:strCache>
                <c:ptCount val="1"/>
                <c:pt idx="0">
                  <c:v/>
                </c:pt>
              </c:strCache>
            </c:strRef>
          </c:tx>
          <c:spPr>
            <a:solidFill>
              <a:srgbClr val="5B9BD5"/>
            </a:solidFill>
            <a:ln>
              <a:noFill/>
            </a:ln>
          </c:spPr>
          <c:invertIfNegative val="0"/>
          <c:dLbls>
            <c:delete val="1"/>
          </c:dLbls>
          <c:cat>
            <c:strRef>
              <c:f>工作表465539!$B$1:$E$1</c:f>
              <c:strCache>
                <c:ptCount val="4"/>
                <c:pt idx="0">
                  <c:v>2025年</c:v>
                </c:pt>
                <c:pt idx="1">
                  <c:v>2024年</c:v>
                </c:pt>
              </c:strCache>
            </c:strRef>
          </c:cat>
          <c:val>
            <c:numRef>
              <c:f>工作表465539!$B$2:$E$2</c:f>
              <c:numCache>
                <c:formatCode>General</c:formatCode>
                <c:ptCount val="4"/>
                <c:pt idx="0">
                  <c:v>1706.66</c:v>
                </c:pt>
                <c:pt idx="1">
                  <c:v>1392.81</c:v>
                </c:pt>
              </c:numCache>
            </c:numRef>
          </c:val>
        </c:ser>
        <c:ser>
          <c:idx val="1"/>
          <c:order val="1"/>
          <c:tx>
            <c:strRef>
              <c:f>工作表465539!$A$3</c:f>
              <c:strCache>
                <c:ptCount val="1"/>
                <c:pt idx="0">
                  <c:v/>
                </c:pt>
              </c:strCache>
            </c:strRef>
          </c:tx>
          <c:spPr>
            <a:solidFill>
              <a:srgbClr val="ED7D31"/>
            </a:solidFill>
            <a:ln>
              <a:noFill/>
            </a:ln>
          </c:spPr>
          <c:invertIfNegative val="0"/>
          <c:dLbls>
            <c:delete val="1"/>
          </c:dLbls>
          <c:cat>
            <c:strRef>
              <c:f>工作表465539!$B$1:$E$1</c:f>
              <c:strCache>
                <c:ptCount val="4"/>
                <c:pt idx="0">
                  <c:v>2025年</c:v>
                </c:pt>
                <c:pt idx="1">
                  <c:v>2024年</c:v>
                </c:pt>
              </c:strCache>
            </c:strRef>
          </c:cat>
          <c:val>
            <c:numRef>
              <c:f>工作表465539!$B$3:$E$3</c:f>
              <c:numCache>
                <c:formatCode>General</c:formatCode>
                <c:ptCount val="4"/>
                <c:pt idx="0">
                  <c:v>1706.66</c:v>
                </c:pt>
                <c:pt idx="1">
                  <c:v>1392.81</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1270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crossAx val="1"/>
        <c:crosses val="autoZero"/>
        <c:auto val="1"/>
        <c:lblAlgn val="ctr"/>
        <c:lblOffset val="100"/>
        <c:noMultiLvlLbl val="0"/>
      </c:catAx>
      <c:valAx>
        <c:axId val="1"/>
        <c:scaling>
          <c:orientation val="minMax"/>
        </c:scaling>
        <c:delete val="0"/>
        <c:axPos val="l"/>
        <c:majorGridlines>
          <c:spPr>
            <a:ln w="1270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crossAx val="0"/>
        <c:crossesAt val="1"/>
        <c:crossBetween val="between"/>
      </c:valAx>
      <c:dTable>
        <c:showHorzBorder val="1"/>
        <c:showVertBorder val="1"/>
        <c:showOutline val="1"/>
        <c:showKeys val="1"/>
        <c:txPr>
          <a:bodyPr rot="0" spcFirstLastPara="0" vertOverflow="ellipsis" vert="horz" wrap="square" anchor="ctr" anchorCtr="1"/>
          <a:lstStyle/>
          <a:p>
            <a:pPr>
              <a:defRPr lang="zh-CN" sz="900" b="0" i="0" u="none" strike="noStrike" kern="1200" baseline="0">
                <a:solidFill>
                  <a:srgbClr val="000000"/>
                </a:solidFill>
                <a:latin typeface="方正兰亭黑_GBK"/>
                <a:ea typeface="方正兰亭黑_GBK"/>
                <a:cs typeface="Lucida Sans"/>
              </a:defRPr>
            </a:pPr>
          </a:p>
        </c:txPr>
      </c:dTable>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方正兰亭黑_GBK"/>
              <a:ea typeface="方正兰亭黑_GBK"/>
              <a:cs typeface="Lucida Sans"/>
            </a:defRPr>
          </a:pPr>
        </a:p>
      </c:txPr>
    </c:legend>
    <c:plotVisOnly val="1"/>
    <c:dispBlanksAs val="gap"/>
    <c:showDLblsOverMax val="0"/>
    <c:extLst>
      <c:ext uri="{0b15fc19-7d7d-44ad-8c2d-2c3a37ce22c3}">
        <chartProps xmlns="https://web.wps.cn/et/2018/main" chartId="{2500775c-bd4d-48e7-b1a9-0abf85c6697b}"/>
      </c:ext>
    </c:extLst>
  </c:chart>
  <c:spPr>
    <a:solidFill>
      <a:srgbClr val="FFFFFF"/>
    </a:solidFill>
    <a:ln w="12700" cap="flat" cmpd="sng" algn="ctr">
      <a:solidFill>
        <a:srgbClr val="D8D8D8"/>
      </a:solidFill>
      <a:prstDash val="solid"/>
      <a:round/>
    </a:ln>
  </c:spPr>
  <c:txPr>
    <a:bodyPr/>
    <a:lstStyle/>
    <a:p>
      <a:pPr>
        <a:defRPr lang="zh-CN" sz="900" b="0" i="0" u="none" strike="noStrike" baseline="0">
          <a:solidFill>
            <a:srgbClr val="000000"/>
          </a:solidFill>
          <a:latin typeface="方正兰亭黑_GBK"/>
          <a:ea typeface="方正兰亭黑_GBK"/>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住房保障支出</c:v>
                </c:pt>
                <c:pt idx="3">
                  <c:v>文化旅游体育与传媒支出</c:v>
                </c:pt>
              </c:strCache>
            </c:strRef>
          </c:cat>
          <c:val>
            <c:numRef>
              <c:f>Sheet1!$B$2:$B$5</c:f>
              <c:numCache>
                <c:formatCode>General</c:formatCode>
                <c:ptCount val="4"/>
                <c:pt idx="0">
                  <c:v>110.07</c:v>
                </c:pt>
                <c:pt idx="1">
                  <c:v>42.97</c:v>
                </c:pt>
                <c:pt idx="2">
                  <c:v>55.65</c:v>
                </c:pt>
                <c:pt idx="3">
                  <c:v>1497.96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13.68</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34</Pages>
  <Words>0</Words>
  <Characters>11621</Characters>
  <Lines>0</Lines>
  <Paragraphs>288</Paragraphs>
  <TotalTime>0</TotalTime>
  <ScaleCrop>false</ScaleCrop>
  <LinksUpToDate>false</LinksUpToDate>
  <CharactersWithSpaces>15495</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茂林</cp:lastModifiedBy>
  <cp:lastPrinted>2026-08-04T09:27:00Z</cp:lastPrinted>
  <dcterms:modified xsi:type="dcterms:W3CDTF">2026-09-15T12:49:06Z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400D301575C74348A5277D00A7902E06</vt:lpwstr>
  </property>
  <property fmtid="{D5CDD505-2E9C-101B-9397-08002B2CF9AE}" pid="4" name="KSOTemplateDocerSaveRecord">
    <vt:lpwstr>eyJoZGlkIjoiMDA3MTQ4MGM5ZjUxNmM4YWVkMjZlY2I5MDdkYTQ2YjAiLCJ1c2VySWQiOiI0NTE0OTUxMTkifQ==</vt:lpwstr>
  </property>
</Properties>
</file>