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2AFB">
      <w:pPr>
        <w:rPr>
          <w:rFonts w:ascii="Times New Roman" w:hAnsi="Times New Roman"/>
        </w:rPr>
      </w:pPr>
      <w:bookmarkStart w:id="0" w:name="_Toc15378441"/>
      <w:bookmarkStart w:id="1" w:name="_Toc15377425"/>
      <w:bookmarkStart w:id="2" w:name="_Toc15377193"/>
      <w:bookmarkStart w:id="3" w:name="_Toc15396475"/>
      <w:bookmarkStart w:id="4" w:name="_Toc15396597"/>
      <w:bookmarkStart w:id="5" w:name="_Toc15306267"/>
    </w:p>
    <w:p w14:paraId="60FA8CF4">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53C8DC8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BDDC6C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448F64E">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5C9ECADC">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7426"/>
      <w:bookmarkStart w:id="8" w:name="_Toc15378442"/>
      <w:bookmarkStart w:id="9" w:name="_Toc15377194"/>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图书馆</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444F6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2B89E4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11</w:t>
      </w:r>
      <w:bookmarkStart w:id="69" w:name="_GoBack"/>
      <w:bookmarkEnd w:id="69"/>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073B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4C37DBA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5E7063D0">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00CBD749">
      <w:pPr>
        <w:widowControl/>
        <w:jc w:val="left"/>
        <w:rPr>
          <w:rFonts w:ascii="Times New Roman" w:hAnsi="Times New Roman" w:eastAsia="黑体"/>
          <w:color w:val="auto"/>
          <w:sz w:val="32"/>
          <w:szCs w:val="32"/>
          <w:highlight w:val="none"/>
        </w:rPr>
      </w:pPr>
    </w:p>
    <w:p w14:paraId="3E79FC6C">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BB22737">
      <w:pPr>
        <w:pStyle w:val="27"/>
        <w:spacing w:line="600" w:lineRule="exact"/>
        <w:ind w:firstLine="640"/>
        <w:outlineLvl w:val="1"/>
        <w:rPr>
          <w:rFonts w:hint="eastAsia"/>
          <w:lang w:eastAsia="zh-CN"/>
        </w:rPr>
      </w:pPr>
      <w:r>
        <w:rPr>
          <w:rFonts w:hint="eastAsia" w:ascii="仿宋_GB2312" w:hAnsi="仿宋_GB2312" w:eastAsia="仿宋_GB2312" w:cs="仿宋_GB2312"/>
          <w:sz w:val="32"/>
          <w:szCs w:val="32"/>
        </w:rPr>
        <w:t>保存借阅图书资料，促进社会经济文化发展，《图书、文献、报刊、影像、资料》采编与储藏。图书资料借阅，图书资料网络系统《设计/工施/维护/管理》，文献数字化处理。图书馆学研究，知识培训与社会教育《相关社会服务》。（职能参照州政府批准的三定方案）</w:t>
      </w:r>
    </w:p>
    <w:p w14:paraId="74A5CECB">
      <w:pPr>
        <w:pStyle w:val="3"/>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288A32B9">
      <w:pPr>
        <w:pStyle w:val="27"/>
        <w:spacing w:line="600" w:lineRule="exact"/>
        <w:ind w:firstLine="64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p>
    <w:p w14:paraId="3D8F1BBB">
      <w:pPr>
        <w:pStyle w:val="27"/>
        <w:spacing w:line="600" w:lineRule="exact"/>
        <w:ind w:firstLine="640"/>
        <w:outlineLvl w:val="1"/>
        <w:rPr>
          <w:rFonts w:ascii="Times New Roman" w:hAnsi="Times New Roman" w:eastAsia="仿宋"/>
          <w:color w:val="auto"/>
          <w:kern w:val="0"/>
          <w:sz w:val="32"/>
          <w:szCs w:val="32"/>
          <w:highlight w:val="none"/>
        </w:rPr>
      </w:pPr>
      <w:r>
        <w:rPr>
          <w:rFonts w:hint="eastAsia" w:ascii="仿宋_GB2312" w:hAnsi="仿宋_GB2312" w:eastAsia="仿宋_GB2312" w:cs="仿宋_GB2312"/>
          <w:sz w:val="32"/>
          <w:szCs w:val="32"/>
        </w:rPr>
        <w:t>纳入</w:t>
      </w:r>
      <w:r>
        <w:rPr>
          <w:rFonts w:hint="eastAsia" w:ascii="仿宋_GB2312" w:hAnsi="仿宋_GB2312" w:eastAsia="仿宋_GB2312" w:cs="仿宋_GB2312"/>
          <w:sz w:val="32"/>
          <w:szCs w:val="32"/>
          <w:lang w:eastAsia="zh-CN"/>
        </w:rPr>
        <w:t>阿坝州文化广播电视和旅游局202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年度部门决算编制范围的二级预算单位包括：阿坝州图书馆分设办公室、自动化服务部、文献资源部，读者服务部。</w:t>
      </w:r>
      <w:r>
        <w:rPr>
          <w:rFonts w:ascii="Times New Roman" w:hAnsi="Times New Roman" w:eastAsia="仿宋"/>
          <w:color w:val="auto"/>
          <w:sz w:val="32"/>
          <w:szCs w:val="32"/>
          <w:highlight w:val="none"/>
        </w:rPr>
        <w:br w:type="page"/>
      </w:r>
    </w:p>
    <w:p w14:paraId="2DDDF530">
      <w:pPr>
        <w:pStyle w:val="2"/>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546D77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hint="eastAsia" w:ascii="仿宋_GB2312" w:hAnsi="仿宋_GB2312" w:eastAsia="仿宋_GB2312" w:cs="仿宋_GB2312"/>
          <w:sz w:val="32"/>
          <w:szCs w:val="32"/>
          <w:lang w:val="en-US" w:eastAsia="zh-CN"/>
        </w:rPr>
        <w:t>657.12</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年度相比，收入、支出总计各减少</w:t>
      </w:r>
      <w:r>
        <w:rPr>
          <w:rFonts w:hint="eastAsia" w:eastAsia="仿宋_GB2312" w:cs="仿宋_GB2312"/>
          <w:sz w:val="32"/>
          <w:szCs w:val="32"/>
          <w:lang w:val="en-US" w:eastAsia="zh-CN"/>
        </w:rPr>
        <w:t>105.34</w:t>
      </w:r>
      <w:r>
        <w:rPr>
          <w:rFonts w:hint="eastAsia" w:eastAsia="仿宋_GB2312" w:cs="仿宋_GB2312"/>
          <w:sz w:val="32"/>
          <w:szCs w:val="32"/>
        </w:rPr>
        <w:t>万元，下降</w:t>
      </w:r>
      <w:r>
        <w:rPr>
          <w:rFonts w:hint="eastAsia" w:eastAsia="仿宋_GB2312" w:cs="仿宋_GB2312"/>
          <w:sz w:val="32"/>
          <w:szCs w:val="32"/>
          <w:lang w:val="en-US" w:eastAsia="zh-CN"/>
        </w:rPr>
        <w:t>13</w:t>
      </w:r>
      <w:r>
        <w:rPr>
          <w:rFonts w:hint="eastAsia" w:eastAsia="仿宋_GB2312" w:cs="仿宋_GB2312"/>
          <w:sz w:val="32"/>
          <w:szCs w:val="32"/>
        </w:rPr>
        <w:t>%。主要变动原因是</w:t>
      </w:r>
      <w:r>
        <w:rPr>
          <w:rFonts w:hint="eastAsia" w:eastAsia="仿宋_GB2312" w:cs="仿宋_GB2312"/>
          <w:sz w:val="32"/>
          <w:szCs w:val="32"/>
          <w:lang w:val="en-US" w:eastAsia="zh-CN"/>
        </w:rPr>
        <w:t>对比2024年，项目有所减少</w:t>
      </w:r>
      <w:r>
        <w:rPr>
          <w:rFonts w:hint="eastAsia" w:ascii="仿宋" w:hAnsi="仿宋" w:eastAsia="仿宋"/>
          <w:color w:val="000000"/>
          <w:sz w:val="32"/>
          <w:szCs w:val="32"/>
          <w:lang w:val="en-US" w:eastAsia="zh-CN"/>
        </w:rPr>
        <w:t>。</w:t>
      </w:r>
    </w:p>
    <w:p w14:paraId="6775993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347A7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0CAE7A0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657.12</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657.12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1FBB6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1724843">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51002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年度本年支出合计657.12万元，其中：基本支出458.17万元，占</w:t>
      </w:r>
      <w:r>
        <w:rPr>
          <w:rFonts w:hint="eastAsia" w:ascii="仿宋_GB2312" w:hAnsi="仿宋_GB2312" w:eastAsia="仿宋_GB2312" w:cs="仿宋_GB2312"/>
          <w:sz w:val="32"/>
          <w:szCs w:val="32"/>
          <w:lang w:val="en-US" w:eastAsia="zh-CN"/>
        </w:rPr>
        <w:t>69</w:t>
      </w:r>
      <w:r>
        <w:rPr>
          <w:rFonts w:hint="eastAsia" w:ascii="仿宋_GB2312" w:hAnsi="仿宋_GB2312" w:eastAsia="仿宋_GB2312" w:cs="仿宋_GB2312"/>
          <w:sz w:val="32"/>
          <w:szCs w:val="32"/>
        </w:rPr>
        <w:t>%；项目支出198.96万元，占</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%；上缴上级支</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41C369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7655085">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3200"/>
            <wp:effectExtent l="4445" t="4445" r="8255" b="1460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66ACD89">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7D66A79A">
      <w:pPr>
        <w:pStyle w:val="27"/>
        <w:spacing w:line="600" w:lineRule="exact"/>
        <w:ind w:firstLine="640"/>
        <w:outlineLvl w:val="1"/>
        <w:rPr>
          <w:rFonts w:hint="eastAsia" w:ascii="仿宋" w:hAnsi="仿宋" w:eastAsia="仿宋"/>
          <w:color w:val="000000"/>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657.12</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年度相比，财政拨款收入总计、支出总计各减少</w:t>
      </w:r>
      <w:r>
        <w:rPr>
          <w:rFonts w:hint="eastAsia" w:eastAsia="仿宋_GB2312" w:cs="仿宋_GB2312"/>
          <w:sz w:val="32"/>
          <w:szCs w:val="32"/>
          <w:lang w:val="en-US" w:eastAsia="zh-CN"/>
        </w:rPr>
        <w:t>105.34</w:t>
      </w:r>
      <w:r>
        <w:rPr>
          <w:rFonts w:hint="eastAsia" w:eastAsia="仿宋_GB2312" w:cs="仿宋_GB2312"/>
          <w:sz w:val="32"/>
          <w:szCs w:val="32"/>
        </w:rPr>
        <w:t>万元，下降</w:t>
      </w:r>
      <w:r>
        <w:rPr>
          <w:rFonts w:hint="eastAsia" w:eastAsia="仿宋_GB2312" w:cs="仿宋_GB2312"/>
          <w:sz w:val="32"/>
          <w:szCs w:val="32"/>
          <w:lang w:val="en-US" w:eastAsia="zh-CN"/>
        </w:rPr>
        <w:t>13</w:t>
      </w:r>
      <w:r>
        <w:rPr>
          <w:rFonts w:hint="eastAsia" w:eastAsia="仿宋_GB2312" w:cs="仿宋_GB2312"/>
          <w:sz w:val="32"/>
          <w:szCs w:val="32"/>
        </w:rPr>
        <w:t>%。主要变动原因是</w:t>
      </w:r>
      <w:r>
        <w:rPr>
          <w:rFonts w:hint="eastAsia" w:eastAsia="仿宋_GB2312" w:cs="仿宋_GB2312"/>
          <w:sz w:val="32"/>
          <w:szCs w:val="32"/>
          <w:lang w:val="en-US" w:eastAsia="zh-CN"/>
        </w:rPr>
        <w:t>项目有所减少</w:t>
      </w:r>
      <w:r>
        <w:rPr>
          <w:rFonts w:hint="eastAsia" w:ascii="仿宋" w:hAnsi="仿宋" w:eastAsia="仿宋"/>
          <w:color w:val="000000"/>
          <w:sz w:val="32"/>
          <w:szCs w:val="32"/>
          <w:lang w:val="en-US" w:eastAsia="zh-CN"/>
        </w:rPr>
        <w:t>。</w:t>
      </w:r>
    </w:p>
    <w:p w14:paraId="2154BAC6">
      <w:pPr>
        <w:spacing w:line="600" w:lineRule="exact"/>
        <w:ind w:firstLine="420" w:firstLineChars="200"/>
        <w:rPr>
          <w:rFonts w:hint="eastAsia" w:ascii="Times New Roman" w:hAnsi="Times New Roman" w:eastAsia="黑体"/>
          <w:color w:val="auto"/>
          <w:sz w:val="32"/>
          <w:szCs w:val="32"/>
          <w:highlight w:val="none"/>
        </w:rPr>
      </w:pPr>
      <w:r>
        <w:drawing>
          <wp:anchor distT="0" distB="0" distL="114300" distR="114300" simplePos="0" relativeHeight="251659264" behindDoc="0" locked="0" layoutInCell="1" allowOverlap="1">
            <wp:simplePos x="0" y="0"/>
            <wp:positionH relativeFrom="column">
              <wp:posOffset>175895</wp:posOffset>
            </wp:positionH>
            <wp:positionV relativeFrom="paragraph">
              <wp:posOffset>637540</wp:posOffset>
            </wp:positionV>
            <wp:extent cx="4826000" cy="2743200"/>
            <wp:effectExtent l="4445" t="4445" r="8255" b="14605"/>
            <wp:wrapTopAndBottom/>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bookmarkStart w:id="26" w:name="_Toc15377209"/>
      <w:bookmarkStart w:id="27" w:name="_Toc15396607"/>
    </w:p>
    <w:p w14:paraId="3A59A03F">
      <w:pPr>
        <w:spacing w:line="600" w:lineRule="exact"/>
        <w:ind w:firstLine="640" w:firstLineChars="200"/>
        <w:outlineLvl w:val="1"/>
        <w:rPr>
          <w:rFonts w:hint="eastAsia" w:ascii="Times New Roman" w:hAnsi="Times New Roman" w:eastAsia="黑体"/>
          <w:color w:val="auto"/>
          <w:sz w:val="32"/>
          <w:szCs w:val="32"/>
          <w:highlight w:val="none"/>
        </w:rPr>
      </w:pPr>
    </w:p>
    <w:p w14:paraId="6083FCA9">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442F1F8C">
      <w:pPr>
        <w:spacing w:line="600" w:lineRule="exact"/>
        <w:ind w:firstLine="640"/>
        <w:rPr>
          <w:rFonts w:hint="default" w:ascii="仿宋" w:hAnsi="仿宋" w:eastAsia="仿宋"/>
          <w:color w:val="000000"/>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657.12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年度相比，一般公共预算财政拨款支出减少</w:t>
      </w:r>
      <w:r>
        <w:rPr>
          <w:rFonts w:hint="eastAsia" w:eastAsia="仿宋_GB2312" w:cs="仿宋_GB2312"/>
          <w:sz w:val="32"/>
          <w:szCs w:val="32"/>
          <w:lang w:val="en-US" w:eastAsia="zh-CN"/>
        </w:rPr>
        <w:t>105.34</w:t>
      </w:r>
      <w:r>
        <w:rPr>
          <w:rFonts w:hint="eastAsia" w:ascii="仿宋_GB2312" w:hAnsi="仿宋_GB2312" w:eastAsia="仿宋_GB2312" w:cs="仿宋_GB2312"/>
          <w:sz w:val="32"/>
          <w:szCs w:val="32"/>
        </w:rPr>
        <w:t>万元，下降</w:t>
      </w:r>
      <w:r>
        <w:rPr>
          <w:rFonts w:hint="eastAsia" w:eastAsia="仿宋_GB2312" w:cs="仿宋_GB2312"/>
          <w:sz w:val="32"/>
          <w:szCs w:val="32"/>
          <w:lang w:val="en-US" w:eastAsia="zh-CN"/>
        </w:rPr>
        <w:t>13</w:t>
      </w:r>
      <w:r>
        <w:rPr>
          <w:rFonts w:hint="eastAsia" w:eastAsia="仿宋_GB2312" w:cs="仿宋_GB2312"/>
          <w:sz w:val="32"/>
          <w:szCs w:val="32"/>
        </w:rPr>
        <w:t>%</w:t>
      </w:r>
      <w:r>
        <w:rPr>
          <w:rFonts w:hint="eastAsia" w:ascii="仿宋_GB2312" w:hAnsi="仿宋_GB2312" w:eastAsia="仿宋_GB2312" w:cs="仿宋_GB2312"/>
          <w:sz w:val="32"/>
          <w:szCs w:val="32"/>
        </w:rPr>
        <w:t>。</w:t>
      </w:r>
      <w:r>
        <w:rPr>
          <w:rFonts w:hint="eastAsia" w:eastAsia="仿宋_GB2312" w:cs="仿宋_GB2312"/>
          <w:sz w:val="32"/>
          <w:szCs w:val="32"/>
        </w:rPr>
        <w:t>主要变动原因是</w:t>
      </w:r>
      <w:r>
        <w:rPr>
          <w:rFonts w:hint="eastAsia" w:eastAsia="仿宋_GB2312" w:cs="仿宋_GB2312"/>
          <w:sz w:val="32"/>
          <w:szCs w:val="32"/>
          <w:lang w:val="en-US" w:eastAsia="zh-CN"/>
        </w:rPr>
        <w:t>项目有所减少.</w:t>
      </w:r>
    </w:p>
    <w:p w14:paraId="63FECF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0" locked="0" layoutInCell="1" allowOverlap="1">
            <wp:simplePos x="0" y="0"/>
            <wp:positionH relativeFrom="column">
              <wp:posOffset>262255</wp:posOffset>
            </wp:positionH>
            <wp:positionV relativeFrom="paragraph">
              <wp:posOffset>163195</wp:posOffset>
            </wp:positionV>
            <wp:extent cx="4826000" cy="2743200"/>
            <wp:effectExtent l="4445" t="4445" r="8255" b="14605"/>
            <wp:wrapSquare wrapText="bothSides"/>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CAEA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D7F628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657.12</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%；教育支出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%；科学技术支出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%；文化旅游体育与传媒支出549.33万元，占</w:t>
      </w:r>
      <w:r>
        <w:rPr>
          <w:rFonts w:hint="eastAsia" w:eastAsia="仿宋_GB2312" w:cs="仿宋_GB2312"/>
          <w:sz w:val="32"/>
          <w:szCs w:val="32"/>
          <w:lang w:val="en-US" w:eastAsia="zh-CN"/>
        </w:rPr>
        <w:t>83.5</w:t>
      </w:r>
      <w:r>
        <w:rPr>
          <w:rFonts w:hint="eastAsia" w:eastAsia="仿宋_GB2312" w:cs="仿宋_GB2312"/>
          <w:sz w:val="32"/>
          <w:szCs w:val="32"/>
        </w:rPr>
        <w:t>%；社会保障和就业支出55.46万元，占</w:t>
      </w:r>
      <w:r>
        <w:rPr>
          <w:rFonts w:hint="eastAsia" w:eastAsia="仿宋_GB2312" w:cs="仿宋_GB2312"/>
          <w:sz w:val="32"/>
          <w:szCs w:val="32"/>
          <w:lang w:val="en-US" w:eastAsia="zh-CN"/>
        </w:rPr>
        <w:t>8</w:t>
      </w:r>
      <w:r>
        <w:rPr>
          <w:rFonts w:hint="eastAsia" w:eastAsia="仿宋_GB2312" w:cs="仿宋_GB2312"/>
          <w:sz w:val="32"/>
          <w:szCs w:val="32"/>
        </w:rPr>
        <w:t>%；卫生健康支出22.44万元，占</w:t>
      </w:r>
      <w:r>
        <w:rPr>
          <w:rFonts w:hint="eastAsia" w:eastAsia="仿宋_GB2312" w:cs="仿宋_GB2312"/>
          <w:sz w:val="32"/>
          <w:szCs w:val="32"/>
          <w:lang w:val="en-US" w:eastAsia="zh-CN"/>
        </w:rPr>
        <w:t>3.3</w:t>
      </w:r>
      <w:r>
        <w:rPr>
          <w:rFonts w:hint="eastAsia" w:eastAsia="仿宋_GB2312" w:cs="仿宋_GB2312"/>
          <w:sz w:val="32"/>
          <w:szCs w:val="32"/>
        </w:rPr>
        <w:t>%；住房保障支出29.89万元，占</w:t>
      </w:r>
      <w:r>
        <w:rPr>
          <w:rFonts w:hint="eastAsia" w:eastAsia="仿宋_GB2312" w:cs="仿宋_GB2312"/>
          <w:sz w:val="32"/>
          <w:szCs w:val="32"/>
          <w:lang w:val="en-US" w:eastAsia="zh-CN"/>
        </w:rPr>
        <w:t>5.2</w:t>
      </w:r>
      <w:r>
        <w:rPr>
          <w:rFonts w:hint="eastAsia" w:eastAsia="仿宋_GB2312" w:cs="仿宋_GB2312"/>
          <w:sz w:val="32"/>
          <w:szCs w:val="32"/>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111D8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188595</wp:posOffset>
            </wp:positionH>
            <wp:positionV relativeFrom="paragraph">
              <wp:posOffset>288290</wp:posOffset>
            </wp:positionV>
            <wp:extent cx="4826000" cy="2743200"/>
            <wp:effectExtent l="4445" t="4445" r="8255" b="14605"/>
            <wp:wrapSquare wrapText="bothSides"/>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3356C989">
      <w:pPr>
        <w:spacing w:line="600" w:lineRule="exact"/>
        <w:ind w:firstLine="640"/>
        <w:rPr>
          <w:rFonts w:eastAsia="仿宋_GB2312" w:cs="仿宋_GB2312"/>
          <w:sz w:val="32"/>
          <w:szCs w:val="32"/>
        </w:rPr>
      </w:pPr>
      <w:bookmarkStart w:id="31" w:name="_Toc15377213"/>
      <w:bookmarkStart w:id="32" w:name="_Toc15377444"/>
      <w:bookmarkStart w:id="33" w:name="_Toc15378460"/>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657.12万元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1"/>
      <w:bookmarkEnd w:id="32"/>
      <w:bookmarkEnd w:id="33"/>
    </w:p>
    <w:p w14:paraId="46D50A8D">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1.</w:t>
      </w:r>
      <w:r>
        <w:rPr>
          <w:rStyle w:val="17"/>
          <w:rFonts w:hint="eastAsia" w:ascii="仿宋" w:hAnsi="仿宋" w:eastAsia="仿宋"/>
          <w:bCs/>
          <w:color w:val="auto"/>
          <w:sz w:val="32"/>
          <w:szCs w:val="32"/>
          <w:highlight w:val="none"/>
        </w:rPr>
        <w:t>一般公共服务（类）</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1A33C399">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2.</w:t>
      </w:r>
      <w:r>
        <w:rPr>
          <w:rStyle w:val="17"/>
          <w:rFonts w:hint="eastAsia" w:ascii="仿宋" w:hAnsi="仿宋" w:eastAsia="仿宋"/>
          <w:bCs/>
          <w:color w:val="auto"/>
          <w:sz w:val="32"/>
          <w:szCs w:val="32"/>
          <w:highlight w:val="none"/>
        </w:rPr>
        <w:t>教育（类）</w:t>
      </w:r>
      <w:r>
        <w:rPr>
          <w:rStyle w:val="17"/>
          <w:rFonts w:hint="eastAsia" w:ascii="仿宋" w:hAnsi="仿宋" w:eastAsia="仿宋"/>
          <w:bCs/>
          <w:color w:val="auto"/>
          <w:sz w:val="32"/>
          <w:szCs w:val="32"/>
          <w:highlight w:val="none"/>
          <w:lang w:val="en-US" w:eastAsia="zh-CN"/>
        </w:rPr>
        <w:t>205</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16D66383">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3.</w:t>
      </w:r>
      <w:r>
        <w:rPr>
          <w:rStyle w:val="17"/>
          <w:rFonts w:hint="eastAsia" w:ascii="仿宋" w:hAnsi="仿宋" w:eastAsia="仿宋"/>
          <w:bCs/>
          <w:color w:val="auto"/>
          <w:sz w:val="32"/>
          <w:szCs w:val="32"/>
          <w:highlight w:val="none"/>
        </w:rPr>
        <w:t>科学技术（类）</w:t>
      </w:r>
      <w:r>
        <w:rPr>
          <w:rStyle w:val="17"/>
          <w:rFonts w:hint="eastAsia" w:ascii="仿宋" w:hAnsi="仿宋" w:eastAsia="仿宋"/>
          <w:bCs/>
          <w:color w:val="auto"/>
          <w:sz w:val="32"/>
          <w:szCs w:val="32"/>
          <w:highlight w:val="none"/>
          <w:lang w:val="en-US" w:eastAsia="zh-CN"/>
        </w:rPr>
        <w:t>206</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0DB79CCF">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4.</w:t>
      </w:r>
      <w:r>
        <w:rPr>
          <w:rStyle w:val="17"/>
          <w:rFonts w:hint="eastAsia" w:ascii="仿宋" w:hAnsi="仿宋" w:eastAsia="仿宋"/>
          <w:bCs/>
          <w:color w:val="auto"/>
          <w:sz w:val="32"/>
          <w:szCs w:val="32"/>
          <w:highlight w:val="none"/>
        </w:rPr>
        <w:t>文化旅游体育与传媒</w:t>
      </w:r>
      <w:r>
        <w:rPr>
          <w:rStyle w:val="17"/>
          <w:rFonts w:hint="eastAsia" w:ascii="仿宋" w:hAnsi="仿宋" w:eastAsia="仿宋"/>
          <w:bCs/>
          <w:color w:val="auto"/>
          <w:sz w:val="32"/>
          <w:szCs w:val="32"/>
          <w:highlight w:val="none"/>
          <w:lang w:val="en-US" w:eastAsia="zh-CN"/>
        </w:rPr>
        <w:t>207</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04</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06</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eastAsia="仿宋_GB2312" w:cs="仿宋_GB2312"/>
          <w:sz w:val="32"/>
          <w:szCs w:val="32"/>
        </w:rPr>
        <w:t>549.33</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w:t>
      </w:r>
      <w:r>
        <w:rPr>
          <w:rStyle w:val="17"/>
          <w:rFonts w:hint="eastAsia" w:ascii="仿宋" w:hAnsi="仿宋" w:eastAsia="仿宋"/>
          <w:b w:val="0"/>
          <w:bCs/>
          <w:color w:val="auto"/>
          <w:sz w:val="32"/>
          <w:szCs w:val="32"/>
          <w:highlight w:val="none"/>
          <w:lang w:eastAsia="zh-CN"/>
        </w:rPr>
        <w:t>是无</w:t>
      </w:r>
      <w:r>
        <w:rPr>
          <w:rStyle w:val="17"/>
          <w:rFonts w:hint="eastAsia" w:ascii="仿宋" w:hAnsi="仿宋" w:eastAsia="仿宋"/>
          <w:b w:val="0"/>
          <w:bCs/>
          <w:color w:val="auto"/>
          <w:sz w:val="32"/>
          <w:szCs w:val="32"/>
          <w:highlight w:val="none"/>
        </w:rPr>
        <w:t>。</w:t>
      </w:r>
    </w:p>
    <w:p w14:paraId="51353CBA">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5.</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06</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eastAsia="仿宋_GB2312" w:cs="仿宋_GB2312"/>
          <w:sz w:val="32"/>
          <w:szCs w:val="32"/>
        </w:rPr>
        <w:t>55.46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06FC6E2C">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6.</w:t>
      </w:r>
      <w:r>
        <w:rPr>
          <w:rFonts w:hint="eastAsia" w:ascii="仿宋" w:hAnsi="仿宋" w:eastAsia="仿宋"/>
          <w:b/>
          <w:bCs/>
          <w:color w:val="auto"/>
          <w:sz w:val="32"/>
          <w:szCs w:val="32"/>
          <w:highlight w:val="none"/>
        </w:rPr>
        <w:t>卫生健康</w:t>
      </w:r>
      <w:r>
        <w:rPr>
          <w:rFonts w:hint="eastAsia" w:ascii="仿宋" w:hAnsi="仿宋" w:eastAsia="仿宋"/>
          <w:b/>
          <w:bCs/>
          <w:color w:val="auto"/>
          <w:sz w:val="32"/>
          <w:szCs w:val="32"/>
          <w:highlight w:val="none"/>
          <w:lang w:val="en-US" w:eastAsia="zh-CN"/>
        </w:rPr>
        <w:t>210</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11</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02</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eastAsia="仿宋_GB2312" w:cs="仿宋_GB2312"/>
          <w:sz w:val="32"/>
          <w:szCs w:val="32"/>
        </w:rPr>
        <w:t>22.44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28B8EA3C">
      <w:pPr>
        <w:spacing w:line="600" w:lineRule="exact"/>
        <w:ind w:firstLine="643"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7</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b/>
          <w:bCs/>
          <w:color w:val="auto"/>
          <w:sz w:val="32"/>
          <w:szCs w:val="32"/>
          <w:highlight w:val="none"/>
          <w:lang w:val="en-US" w:eastAsia="zh-CN"/>
        </w:rPr>
        <w:t>221</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02</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eastAsia="仿宋_GB2312" w:cs="仿宋_GB2312"/>
          <w:sz w:val="32"/>
          <w:szCs w:val="32"/>
        </w:rPr>
        <w:t>29.89</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，决算数小于</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等于预算数的主要原因是</w:t>
      </w:r>
      <w:r>
        <w:rPr>
          <w:rStyle w:val="17"/>
          <w:rFonts w:hint="eastAsia" w:ascii="仿宋" w:hAnsi="仿宋" w:eastAsia="仿宋"/>
          <w:b w:val="0"/>
          <w:bCs/>
          <w:color w:val="auto"/>
          <w:sz w:val="32"/>
          <w:szCs w:val="32"/>
          <w:highlight w:val="none"/>
          <w:lang w:eastAsia="zh-CN"/>
        </w:rPr>
        <w:t>无</w:t>
      </w:r>
      <w:r>
        <w:rPr>
          <w:rStyle w:val="17"/>
          <w:rFonts w:hint="eastAsia" w:ascii="仿宋" w:hAnsi="仿宋" w:eastAsia="仿宋"/>
          <w:b w:val="0"/>
          <w:bCs/>
          <w:color w:val="auto"/>
          <w:sz w:val="32"/>
          <w:szCs w:val="32"/>
          <w:highlight w:val="none"/>
        </w:rPr>
        <w:t>。</w:t>
      </w:r>
    </w:p>
    <w:p w14:paraId="5DF9FCB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72DA4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EF764D">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77D1AB44">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458.17</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6AC2B3B9">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430.99</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84.10万元</w:t>
      </w:r>
      <w:r>
        <w:rPr>
          <w:rFonts w:hint="eastAsia" w:eastAsia="仿宋_GB2312" w:cs="仿宋_GB2312"/>
          <w:sz w:val="32"/>
          <w:szCs w:val="32"/>
        </w:rPr>
        <w:t>、津贴补贴</w:t>
      </w:r>
      <w:r>
        <w:rPr>
          <w:rFonts w:hint="eastAsia" w:eastAsia="仿宋_GB2312" w:cs="仿宋_GB2312"/>
          <w:sz w:val="32"/>
          <w:szCs w:val="32"/>
          <w:lang w:val="en-US" w:eastAsia="zh-CN"/>
        </w:rPr>
        <w:t>28.88万元</w:t>
      </w:r>
      <w:r>
        <w:rPr>
          <w:rFonts w:hint="eastAsia" w:eastAsia="仿宋_GB2312" w:cs="仿宋_GB2312"/>
          <w:sz w:val="32"/>
          <w:szCs w:val="32"/>
        </w:rPr>
        <w:t>、奖金</w:t>
      </w:r>
      <w:r>
        <w:rPr>
          <w:rFonts w:hint="eastAsia" w:eastAsia="仿宋_GB2312" w:cs="仿宋_GB2312"/>
          <w:sz w:val="32"/>
          <w:szCs w:val="32"/>
          <w:lang w:val="en-US" w:eastAsia="zh-CN"/>
        </w:rPr>
        <w:t>85.95万元</w:t>
      </w:r>
      <w:r>
        <w:rPr>
          <w:rFonts w:hint="eastAsia" w:eastAsia="仿宋_GB2312" w:cs="仿宋_GB2312"/>
          <w:sz w:val="32"/>
          <w:szCs w:val="32"/>
        </w:rPr>
        <w:t>、伙食补助费</w:t>
      </w:r>
      <w:r>
        <w:rPr>
          <w:rFonts w:hint="eastAsia" w:eastAsia="仿宋_GB2312" w:cs="仿宋_GB2312"/>
          <w:sz w:val="32"/>
          <w:szCs w:val="32"/>
          <w:lang w:val="en-US" w:eastAsia="zh-CN"/>
        </w:rPr>
        <w:t>10.44万元</w:t>
      </w:r>
      <w:r>
        <w:rPr>
          <w:rFonts w:hint="eastAsia" w:eastAsia="仿宋_GB2312" w:cs="仿宋_GB2312"/>
          <w:sz w:val="32"/>
          <w:szCs w:val="32"/>
        </w:rPr>
        <w:t>、绩效工资</w:t>
      </w:r>
      <w:r>
        <w:rPr>
          <w:rFonts w:hint="eastAsia" w:eastAsia="仿宋_GB2312" w:cs="仿宋_GB2312"/>
          <w:sz w:val="32"/>
          <w:szCs w:val="32"/>
          <w:lang w:val="en-US" w:eastAsia="zh-CN"/>
        </w:rPr>
        <w:t>68.92万元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36.98万元</w:t>
      </w:r>
      <w:r>
        <w:rPr>
          <w:rFonts w:hint="eastAsia" w:eastAsia="仿宋_GB2312" w:cs="仿宋_GB2312"/>
          <w:sz w:val="32"/>
          <w:szCs w:val="32"/>
        </w:rPr>
        <w:t>、职业年金缴费</w:t>
      </w:r>
      <w:r>
        <w:rPr>
          <w:rFonts w:hint="eastAsia" w:eastAsia="仿宋_GB2312" w:cs="仿宋_GB2312"/>
          <w:sz w:val="32"/>
          <w:szCs w:val="32"/>
          <w:lang w:val="en-US" w:eastAsia="zh-CN"/>
        </w:rPr>
        <w:t>18.49万元</w:t>
      </w:r>
      <w:r>
        <w:rPr>
          <w:rFonts w:hint="eastAsia" w:eastAsia="仿宋_GB2312" w:cs="仿宋_GB2312"/>
          <w:sz w:val="32"/>
          <w:szCs w:val="32"/>
        </w:rPr>
        <w:t>、职工基本医疗保险缴费</w:t>
      </w:r>
      <w:r>
        <w:rPr>
          <w:rFonts w:hint="eastAsia" w:eastAsia="仿宋_GB2312" w:cs="仿宋_GB2312"/>
          <w:sz w:val="32"/>
          <w:szCs w:val="32"/>
          <w:lang w:val="en-US" w:eastAsia="zh-CN"/>
        </w:rPr>
        <w:t>20.54万元</w:t>
      </w:r>
      <w:r>
        <w:rPr>
          <w:rFonts w:hint="eastAsia" w:eastAsia="仿宋_GB2312" w:cs="仿宋_GB2312"/>
          <w:sz w:val="32"/>
          <w:szCs w:val="32"/>
          <w:lang w:eastAsia="zh-CN"/>
        </w:rPr>
        <w:t>、</w:t>
      </w:r>
      <w:r>
        <w:rPr>
          <w:rFonts w:hint="eastAsia" w:eastAsia="仿宋_GB2312" w:cs="仿宋_GB2312"/>
          <w:sz w:val="32"/>
          <w:szCs w:val="32"/>
        </w:rPr>
        <w:t>其他社会保障缴费</w:t>
      </w:r>
      <w:r>
        <w:rPr>
          <w:rFonts w:hint="eastAsia" w:eastAsia="仿宋_GB2312" w:cs="仿宋_GB2312"/>
          <w:sz w:val="32"/>
          <w:szCs w:val="32"/>
          <w:lang w:val="en-US" w:eastAsia="zh-CN"/>
        </w:rPr>
        <w:t>3.71万元</w:t>
      </w:r>
      <w:r>
        <w:rPr>
          <w:rFonts w:hint="eastAsia" w:eastAsia="仿宋_GB2312" w:cs="仿宋_GB2312"/>
          <w:sz w:val="32"/>
          <w:szCs w:val="32"/>
        </w:rPr>
        <w:t>、其他工资福利支出</w:t>
      </w:r>
      <w:r>
        <w:rPr>
          <w:rFonts w:hint="eastAsia" w:eastAsia="仿宋_GB2312" w:cs="仿宋_GB2312"/>
          <w:sz w:val="32"/>
          <w:szCs w:val="32"/>
          <w:lang w:val="en-US" w:eastAsia="zh-CN"/>
        </w:rPr>
        <w:t>1.2万元</w:t>
      </w:r>
      <w:r>
        <w:rPr>
          <w:rFonts w:hint="eastAsia" w:eastAsia="仿宋_GB2312" w:cs="仿宋_GB2312"/>
          <w:sz w:val="32"/>
          <w:szCs w:val="32"/>
        </w:rPr>
        <w:t>、离休费、退休费、抚恤金</w:t>
      </w:r>
      <w:r>
        <w:rPr>
          <w:rFonts w:hint="eastAsia" w:eastAsia="仿宋_GB2312" w:cs="仿宋_GB2312"/>
          <w:sz w:val="32"/>
          <w:szCs w:val="32"/>
          <w:lang w:val="en-US" w:eastAsia="zh-CN"/>
        </w:rPr>
        <w:t>6.56万元</w:t>
      </w:r>
      <w:r>
        <w:rPr>
          <w:rFonts w:hint="eastAsia" w:eastAsia="仿宋_GB2312" w:cs="仿宋_GB2312"/>
          <w:sz w:val="32"/>
          <w:szCs w:val="32"/>
        </w:rPr>
        <w:t>、生活补助</w:t>
      </w:r>
      <w:r>
        <w:rPr>
          <w:rFonts w:hint="eastAsia" w:eastAsia="仿宋_GB2312" w:cs="仿宋_GB2312"/>
          <w:sz w:val="32"/>
          <w:szCs w:val="32"/>
          <w:lang w:val="en-US" w:eastAsia="zh-CN"/>
        </w:rPr>
        <w:t>35.26万元</w:t>
      </w:r>
      <w:r>
        <w:rPr>
          <w:rFonts w:hint="eastAsia" w:eastAsia="仿宋_GB2312" w:cs="仿宋_GB2312"/>
          <w:sz w:val="32"/>
          <w:szCs w:val="32"/>
        </w:rPr>
        <w:t>、医疗费补助、奖励金</w:t>
      </w:r>
      <w:r>
        <w:rPr>
          <w:rFonts w:hint="eastAsia" w:eastAsia="仿宋_GB2312" w:cs="仿宋_GB2312"/>
          <w:sz w:val="32"/>
          <w:szCs w:val="32"/>
          <w:lang w:val="en-US" w:eastAsia="zh-CN"/>
        </w:rPr>
        <w:t>0.05万元</w:t>
      </w:r>
      <w:r>
        <w:rPr>
          <w:rFonts w:hint="eastAsia" w:eastAsia="仿宋_GB2312" w:cs="仿宋_GB2312"/>
          <w:sz w:val="32"/>
          <w:szCs w:val="32"/>
        </w:rPr>
        <w:t>、住房公积金</w:t>
      </w:r>
      <w:r>
        <w:rPr>
          <w:rFonts w:hint="eastAsia" w:eastAsia="仿宋_GB2312" w:cs="仿宋_GB2312"/>
          <w:sz w:val="32"/>
          <w:szCs w:val="32"/>
          <w:lang w:val="en-US" w:eastAsia="zh-CN"/>
        </w:rPr>
        <w:t>29.89万元</w:t>
      </w:r>
      <w:r>
        <w:rPr>
          <w:rFonts w:hint="eastAsia" w:eastAsia="仿宋_GB2312" w:cs="仿宋_GB2312"/>
          <w:sz w:val="32"/>
          <w:szCs w:val="32"/>
        </w:rPr>
        <w:t>、其他对个人和家庭的补助支出</w:t>
      </w:r>
      <w:r>
        <w:rPr>
          <w:rFonts w:hint="eastAsia" w:eastAsia="仿宋_GB2312" w:cs="仿宋_GB2312"/>
          <w:sz w:val="32"/>
          <w:szCs w:val="32"/>
          <w:lang w:val="en-US" w:eastAsia="zh-CN"/>
        </w:rPr>
        <w:t>0万元</w:t>
      </w:r>
      <w:r>
        <w:rPr>
          <w:rFonts w:hint="eastAsia" w:eastAsia="仿宋_GB2312" w:cs="仿宋_GB2312"/>
          <w:sz w:val="32"/>
          <w:szCs w:val="32"/>
        </w:rPr>
        <w:t>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27.18</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4.61万元</w:t>
      </w:r>
      <w:r>
        <w:rPr>
          <w:rFonts w:hint="eastAsia" w:eastAsia="仿宋_GB2312" w:cs="仿宋_GB2312"/>
          <w:sz w:val="32"/>
          <w:szCs w:val="32"/>
        </w:rPr>
        <w:t>、印刷费、咨询费、手续费、水费、电费</w:t>
      </w:r>
      <w:r>
        <w:rPr>
          <w:rFonts w:hint="eastAsia" w:eastAsia="仿宋_GB2312" w:cs="仿宋_GB2312"/>
          <w:sz w:val="32"/>
          <w:szCs w:val="32"/>
          <w:lang w:val="en-US" w:eastAsia="zh-CN"/>
        </w:rPr>
        <w:t>0.6万元</w:t>
      </w:r>
      <w:r>
        <w:rPr>
          <w:rFonts w:hint="eastAsia" w:eastAsia="仿宋_GB2312" w:cs="仿宋_GB2312"/>
          <w:sz w:val="32"/>
          <w:szCs w:val="32"/>
        </w:rPr>
        <w:t>、邮电费、取暖费、物业管理费、差旅费</w:t>
      </w:r>
      <w:r>
        <w:rPr>
          <w:rFonts w:hint="eastAsia" w:eastAsia="仿宋_GB2312" w:cs="仿宋_GB2312"/>
          <w:sz w:val="32"/>
          <w:szCs w:val="32"/>
          <w:lang w:val="en-US" w:eastAsia="zh-CN"/>
        </w:rPr>
        <w:t>6.65万元</w:t>
      </w:r>
      <w:r>
        <w:rPr>
          <w:rFonts w:hint="eastAsia" w:eastAsia="仿宋_GB2312" w:cs="仿宋_GB2312"/>
          <w:sz w:val="32"/>
          <w:szCs w:val="32"/>
        </w:rPr>
        <w:t>、因公出国（境）费用、维修（护）费</w:t>
      </w:r>
      <w:r>
        <w:rPr>
          <w:rFonts w:hint="eastAsia" w:eastAsia="仿宋_GB2312" w:cs="仿宋_GB2312"/>
          <w:sz w:val="32"/>
          <w:szCs w:val="32"/>
          <w:lang w:val="en-US" w:eastAsia="zh-CN"/>
        </w:rPr>
        <w:t>3.17万元</w:t>
      </w:r>
      <w:r>
        <w:rPr>
          <w:rFonts w:hint="eastAsia" w:eastAsia="仿宋_GB2312" w:cs="仿宋_GB2312"/>
          <w:sz w:val="32"/>
          <w:szCs w:val="32"/>
        </w:rPr>
        <w:t>、租赁费、会议费、培训费0.</w:t>
      </w:r>
      <w:r>
        <w:rPr>
          <w:rFonts w:hint="eastAsia" w:eastAsia="仿宋_GB2312" w:cs="仿宋_GB2312"/>
          <w:sz w:val="32"/>
          <w:szCs w:val="32"/>
          <w:lang w:val="en-US" w:eastAsia="zh-CN"/>
        </w:rPr>
        <w:t>08万元</w:t>
      </w:r>
      <w:r>
        <w:rPr>
          <w:rFonts w:hint="eastAsia" w:eastAsia="仿宋_GB2312" w:cs="仿宋_GB2312"/>
          <w:sz w:val="32"/>
          <w:szCs w:val="32"/>
        </w:rPr>
        <w:t>、公务接待费</w:t>
      </w:r>
      <w:r>
        <w:rPr>
          <w:rFonts w:hint="eastAsia" w:eastAsia="仿宋_GB2312" w:cs="仿宋_GB2312"/>
          <w:sz w:val="32"/>
          <w:szCs w:val="32"/>
          <w:lang w:val="en-US" w:eastAsia="zh-CN"/>
        </w:rPr>
        <w:t>0.2万元</w:t>
      </w:r>
      <w:r>
        <w:rPr>
          <w:rFonts w:hint="eastAsia" w:eastAsia="仿宋_GB2312" w:cs="仿宋_GB2312"/>
          <w:sz w:val="32"/>
          <w:szCs w:val="32"/>
        </w:rPr>
        <w:t>、</w:t>
      </w:r>
      <w:r>
        <w:rPr>
          <w:rFonts w:hint="eastAsia" w:eastAsia="仿宋_GB2312" w:cs="仿宋_GB2312"/>
          <w:sz w:val="32"/>
          <w:szCs w:val="32"/>
          <w:lang w:val="en-US" w:eastAsia="zh-CN"/>
        </w:rPr>
        <w:t>专用材料费、</w:t>
      </w:r>
      <w:r>
        <w:rPr>
          <w:rFonts w:hint="eastAsia" w:eastAsia="仿宋_GB2312" w:cs="仿宋_GB2312"/>
          <w:sz w:val="32"/>
          <w:szCs w:val="32"/>
        </w:rPr>
        <w:t>劳务费、委托业务费、工会经费、福利费</w:t>
      </w:r>
      <w:r>
        <w:rPr>
          <w:rFonts w:hint="eastAsia" w:eastAsia="仿宋_GB2312" w:cs="仿宋_GB2312"/>
          <w:sz w:val="32"/>
          <w:szCs w:val="32"/>
          <w:lang w:val="en-US" w:eastAsia="zh-CN"/>
        </w:rPr>
        <w:t>4.61万元</w:t>
      </w:r>
      <w:r>
        <w:rPr>
          <w:rFonts w:hint="eastAsia" w:eastAsia="仿宋_GB2312" w:cs="仿宋_GB2312"/>
          <w:sz w:val="32"/>
          <w:szCs w:val="32"/>
        </w:rPr>
        <w:t>、公务用车运行维护费</w:t>
      </w:r>
      <w:r>
        <w:rPr>
          <w:rFonts w:hint="eastAsia" w:eastAsia="仿宋_GB2312" w:cs="仿宋_GB2312"/>
          <w:sz w:val="32"/>
          <w:szCs w:val="32"/>
          <w:lang w:val="en-US" w:eastAsia="zh-CN"/>
        </w:rPr>
        <w:t>3.08万元</w:t>
      </w:r>
      <w:r>
        <w:rPr>
          <w:rFonts w:hint="eastAsia" w:eastAsia="仿宋_GB2312" w:cs="仿宋_GB2312"/>
          <w:sz w:val="32"/>
          <w:szCs w:val="32"/>
        </w:rPr>
        <w:t>、其他交通费、税金及附加费用、其他商品和服务支出</w:t>
      </w:r>
      <w:r>
        <w:rPr>
          <w:rFonts w:hint="eastAsia" w:eastAsia="仿宋_GB2312" w:cs="仿宋_GB2312"/>
          <w:sz w:val="32"/>
          <w:szCs w:val="32"/>
          <w:lang w:val="en-US" w:eastAsia="zh-CN"/>
        </w:rPr>
        <w:t>4.16万元</w:t>
      </w:r>
      <w:r>
        <w:rPr>
          <w:rFonts w:hint="eastAsia" w:eastAsia="仿宋_GB2312" w:cs="仿宋_GB2312"/>
          <w:sz w:val="32"/>
          <w:szCs w:val="32"/>
        </w:rPr>
        <w:t>、办公设备购置、专用设备购置、信息网络及软件购置更新、其他资本性支出等。</w:t>
      </w:r>
    </w:p>
    <w:p w14:paraId="5B6C21F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28824942">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3.28</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较上年度减少</w:t>
      </w:r>
      <w:r>
        <w:rPr>
          <w:rFonts w:hint="eastAsia" w:eastAsia="仿宋_GB2312" w:cs="仿宋_GB2312"/>
          <w:sz w:val="32"/>
          <w:szCs w:val="32"/>
          <w:lang w:val="en-US" w:eastAsia="zh-CN"/>
        </w:rPr>
        <w:t>0.27</w:t>
      </w:r>
      <w:r>
        <w:rPr>
          <w:rFonts w:hint="eastAsia" w:eastAsia="仿宋_GB2312" w:cs="仿宋_GB2312"/>
          <w:sz w:val="32"/>
          <w:szCs w:val="32"/>
        </w:rPr>
        <w:t>万元，下降</w:t>
      </w:r>
      <w:r>
        <w:rPr>
          <w:rFonts w:hint="eastAsia" w:eastAsia="仿宋_GB2312" w:cs="仿宋_GB2312"/>
          <w:sz w:val="32"/>
          <w:szCs w:val="32"/>
          <w:lang w:val="en-US" w:eastAsia="zh-CN"/>
        </w:rPr>
        <w:t>7.6</w:t>
      </w:r>
      <w:r>
        <w:rPr>
          <w:rFonts w:hint="eastAsia" w:eastAsia="仿宋_GB2312" w:cs="仿宋_GB2312"/>
          <w:sz w:val="32"/>
          <w:szCs w:val="32"/>
        </w:rPr>
        <w:t>%。决算数小于预算数（或与预算数持平）的主要原因是</w:t>
      </w:r>
      <w:r>
        <w:rPr>
          <w:rFonts w:hint="eastAsia" w:eastAsia="仿宋_GB2312" w:cs="仿宋_GB2312"/>
          <w:sz w:val="32"/>
          <w:szCs w:val="32"/>
          <w:lang w:val="en-US" w:eastAsia="zh-CN"/>
        </w:rPr>
        <w:t>2025年车辆运行维护费用降低。</w:t>
      </w:r>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70D6E5B">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3.08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%。具体情况如下：</w:t>
      </w:r>
    </w:p>
    <w:p w14:paraId="42E8B9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83654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146050</wp:posOffset>
            </wp:positionH>
            <wp:positionV relativeFrom="paragraph">
              <wp:posOffset>184150</wp:posOffset>
            </wp:positionV>
            <wp:extent cx="4826000" cy="2743200"/>
            <wp:effectExtent l="4445" t="4445" r="8255" b="14605"/>
            <wp:wrapTopAndBottom/>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264C583">
      <w:pPr>
        <w:spacing w:line="600" w:lineRule="exact"/>
        <w:ind w:firstLine="640"/>
        <w:rPr>
          <w:rFonts w:hint="eastAsia" w:eastAsia="仿宋_GB2312" w:cs="仿宋_GB2312"/>
          <w:sz w:val="32"/>
          <w:szCs w:val="32"/>
          <w:lang w:val="en-US" w:eastAsia="zh-CN"/>
        </w:rPr>
      </w:pPr>
      <w:bookmarkStart w:id="40" w:name="_Toc15377218"/>
      <w:bookmarkStart w:id="41" w:name="_Toc15396610"/>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。因公出国（境）支出决算比202</w:t>
      </w:r>
      <w:r>
        <w:rPr>
          <w:rFonts w:hint="eastAsia" w:eastAsia="仿宋_GB2312" w:cs="仿宋_GB2312"/>
          <w:sz w:val="32"/>
          <w:szCs w:val="32"/>
          <w:lang w:val="en-US" w:eastAsia="zh-CN"/>
        </w:rPr>
        <w:t>4</w:t>
      </w:r>
      <w:r>
        <w:rPr>
          <w:rFonts w:hint="eastAsia" w:eastAsia="仿宋_GB2312" w:cs="仿宋_GB2312"/>
          <w:sz w:val="32"/>
          <w:szCs w:val="32"/>
        </w:rPr>
        <w:t>年增加/减少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%。主要原因是</w:t>
      </w:r>
      <w:r>
        <w:rPr>
          <w:rFonts w:hint="eastAsia" w:eastAsia="仿宋_GB2312" w:cs="仿宋_GB2312"/>
          <w:sz w:val="32"/>
          <w:szCs w:val="32"/>
          <w:lang w:val="en-US" w:eastAsia="zh-CN"/>
        </w:rPr>
        <w:t>无。</w:t>
      </w:r>
    </w:p>
    <w:p w14:paraId="6E6B8893">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3.08</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0.16</w:t>
      </w:r>
      <w:r>
        <w:rPr>
          <w:rFonts w:hint="eastAsia" w:eastAsia="仿宋_GB2312" w:cs="仿宋_GB2312"/>
          <w:sz w:val="32"/>
          <w:szCs w:val="32"/>
        </w:rPr>
        <w:t>万元，下降</w:t>
      </w:r>
      <w:r>
        <w:rPr>
          <w:rFonts w:hint="eastAsia" w:eastAsia="仿宋_GB2312" w:cs="仿宋_GB2312"/>
          <w:sz w:val="32"/>
          <w:szCs w:val="32"/>
          <w:lang w:val="en-US" w:eastAsia="zh-CN"/>
        </w:rPr>
        <w:t>4</w:t>
      </w:r>
      <w:r>
        <w:rPr>
          <w:rFonts w:hint="eastAsia" w:eastAsia="仿宋_GB2312" w:cs="仿宋_GB2312"/>
          <w:sz w:val="32"/>
          <w:szCs w:val="32"/>
        </w:rPr>
        <w:t>%。主要原因是</w:t>
      </w:r>
      <w:r>
        <w:rPr>
          <w:rFonts w:hint="eastAsia" w:eastAsia="仿宋_GB2312" w:cs="仿宋_GB2312"/>
          <w:sz w:val="32"/>
          <w:szCs w:val="32"/>
          <w:lang w:val="en-US" w:eastAsia="zh-CN"/>
        </w:rPr>
        <w:t>2025年车辆运行维护费用降低。</w:t>
      </w:r>
    </w:p>
    <w:p w14:paraId="693F1C5D">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万元。截至2024年12月31日，单位共有公务用车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3C8DB957">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b/>
          <w:bCs/>
          <w:sz w:val="32"/>
          <w:szCs w:val="32"/>
          <w:lang w:val="en-US" w:eastAsia="zh-CN"/>
        </w:rPr>
        <w:t>3.08</w:t>
      </w:r>
      <w:r>
        <w:rPr>
          <w:rFonts w:hint="eastAsia" w:eastAsia="仿宋_GB2312" w:cs="仿宋_GB2312"/>
          <w:sz w:val="32"/>
          <w:szCs w:val="32"/>
        </w:rPr>
        <w:t>万元。</w:t>
      </w:r>
      <w:r>
        <w:rPr>
          <w:rFonts w:hint="eastAsia" w:ascii="仿宋_GB2312" w:eastAsia="仿宋_GB2312"/>
          <w:color w:val="auto"/>
          <w:sz w:val="32"/>
          <w:szCs w:val="32"/>
          <w:highlight w:val="none"/>
        </w:rPr>
        <w:t>主要用于公务用车燃料费、维修费、过路过桥费、保险费等支出。</w:t>
      </w:r>
    </w:p>
    <w:p w14:paraId="6381C561">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0.2</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val="en-US" w:eastAsia="zh-CN"/>
        </w:rPr>
        <w:t>减少0.11</w:t>
      </w:r>
      <w:r>
        <w:rPr>
          <w:rFonts w:hint="eastAsia" w:eastAsia="仿宋_GB2312" w:cs="仿宋_GB2312"/>
          <w:sz w:val="32"/>
          <w:szCs w:val="32"/>
        </w:rPr>
        <w:t>万元，</w:t>
      </w:r>
      <w:r>
        <w:rPr>
          <w:rFonts w:hint="eastAsia" w:eastAsia="仿宋_GB2312" w:cs="仿宋_GB2312"/>
          <w:sz w:val="32"/>
          <w:szCs w:val="32"/>
          <w:lang w:val="en-US" w:eastAsia="zh-CN"/>
        </w:rPr>
        <w:t>减少35</w:t>
      </w:r>
      <w:r>
        <w:rPr>
          <w:rFonts w:hint="eastAsia" w:eastAsia="仿宋_GB2312" w:cs="仿宋_GB2312"/>
          <w:sz w:val="32"/>
          <w:szCs w:val="32"/>
        </w:rPr>
        <w:t>%。主要原因是</w:t>
      </w:r>
      <w:r>
        <w:rPr>
          <w:rFonts w:hint="eastAsia" w:eastAsia="仿宋_GB2312" w:cs="仿宋_GB2312"/>
          <w:sz w:val="32"/>
          <w:szCs w:val="32"/>
          <w:lang w:val="en-US" w:eastAsia="zh-CN"/>
        </w:rPr>
        <w:t>减少了公务接待费</w:t>
      </w:r>
      <w:r>
        <w:rPr>
          <w:rFonts w:hint="eastAsia" w:eastAsia="仿宋_GB2312" w:cs="仿宋_GB2312"/>
          <w:sz w:val="32"/>
          <w:szCs w:val="32"/>
        </w:rPr>
        <w:t>。其中：</w:t>
      </w:r>
    </w:p>
    <w:p w14:paraId="6DF502A4">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w:t>
      </w:r>
      <w:r>
        <w:rPr>
          <w:rFonts w:hint="eastAsia" w:eastAsia="仿宋_GB2312" w:cs="仿宋_GB2312"/>
          <w:sz w:val="32"/>
          <w:szCs w:val="32"/>
        </w:rPr>
        <w:t>元，主要用于开展业务活动开支的交通费、住宿费、用餐费等。国内公务接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26</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0.2</w:t>
      </w:r>
      <w:r>
        <w:rPr>
          <w:rFonts w:hint="eastAsia" w:eastAsia="仿宋_GB2312" w:cs="仿宋_GB2312"/>
          <w:sz w:val="32"/>
          <w:szCs w:val="32"/>
        </w:rPr>
        <w:t>万元，具体内容包括：</w:t>
      </w:r>
      <w:r>
        <w:rPr>
          <w:rFonts w:hint="eastAsia" w:eastAsia="仿宋_GB2312" w:cs="仿宋_GB2312"/>
          <w:sz w:val="32"/>
          <w:szCs w:val="32"/>
          <w:lang w:val="en-US" w:eastAsia="zh-CN"/>
        </w:rPr>
        <w:t>重阳节慰问老干部0.2万元</w:t>
      </w:r>
      <w:r>
        <w:rPr>
          <w:rFonts w:hint="eastAsia" w:eastAsia="仿宋_GB2312" w:cs="仿宋_GB2312"/>
          <w:sz w:val="32"/>
          <w:szCs w:val="32"/>
        </w:rPr>
        <w:t>。</w:t>
      </w:r>
    </w:p>
    <w:p w14:paraId="47749D65">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万元，主要用于</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。外事接待</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人次（不包括陪同人员），共计支出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0E0876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0F8D8FA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1CA41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2F5BE4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67.96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64.56</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购买打印复印机、24小时城市书屋项目、地方特色文献展陈项目、车辆保险</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67.96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BECC5F2">
      <w:pPr>
        <w:autoSpaceDE w:val="0"/>
        <w:autoSpaceDN w:val="0"/>
        <w:adjustRightInd w:val="0"/>
        <w:spacing w:line="600"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阿坝州图书馆</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1辆</w:t>
      </w:r>
      <w:r>
        <w:rPr>
          <w:rFonts w:hint="eastAsia" w:ascii="仿宋_GB2312" w:eastAsia="仿宋_GB2312"/>
          <w:color w:val="auto"/>
          <w:sz w:val="32"/>
          <w:szCs w:val="32"/>
          <w:highlight w:val="none"/>
        </w:rPr>
        <w:t>主要是用于</w:t>
      </w:r>
      <w:r>
        <w:rPr>
          <w:rFonts w:ascii="仿宋" w:hAnsi="仿宋" w:eastAsia="仿宋" w:cs="宋体"/>
          <w:color w:val="000000"/>
          <w:sz w:val="32"/>
          <w:szCs w:val="32"/>
        </w:rPr>
        <w:t>一般公务用车</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在2025年度，组织对购置图书等</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个项目涉及金额</w:t>
      </w:r>
      <w:r>
        <w:rPr>
          <w:rStyle w:val="35"/>
          <w:rFonts w:hint="eastAsia" w:ascii="仿宋_GB2312" w:hAnsi="仿宋_GB2312" w:eastAsia="仿宋_GB2312" w:cs="仿宋_GB2312"/>
          <w:color w:val="000000"/>
          <w:kern w:val="2"/>
          <w:sz w:val="32"/>
          <w:szCs w:val="32"/>
          <w:lang w:val="en-US" w:eastAsia="zh-CN" w:bidi="ar-SA"/>
        </w:rPr>
        <w:t>198.96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w:t>
      </w:r>
      <w:r>
        <w:rPr>
          <w:rFonts w:hint="eastAsia" w:ascii="仿宋_GB2312" w:hAnsi="仿宋_GB2312" w:eastAsia="仿宋_GB2312" w:cs="仿宋_GB2312"/>
          <w:color w:val="auto"/>
          <w:sz w:val="32"/>
          <w:szCs w:val="32"/>
          <w:highlight w:val="none"/>
          <w:lang w:eastAsia="zh-CN"/>
        </w:rPr>
        <w:t>政府性基金预算、国有资本经营预算、社会保险基金预算以及资本资产、债券资金等</w:t>
      </w:r>
      <w:r>
        <w:rPr>
          <w:rFonts w:hint="eastAsia" w:ascii="仿宋_GB2312" w:hAnsi="仿宋_GB2312" w:eastAsia="仿宋_GB2312" w:cs="仿宋_GB2312"/>
          <w:color w:val="auto"/>
          <w:sz w:val="32"/>
          <w:szCs w:val="32"/>
          <w:highlight w:val="none"/>
          <w:lang w:val="en-US" w:eastAsia="zh-CN"/>
        </w:rPr>
        <w:t>全面开展绩效自评，形成阿坝州图书馆</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w:t>
      </w:r>
      <w:r>
        <w:rPr>
          <w:rFonts w:hint="eastAsia" w:ascii="仿宋_GB2312" w:hAnsi="仿宋_GB2312" w:eastAsia="仿宋_GB2312" w:cs="仿宋_GB2312"/>
          <w:color w:val="auto"/>
          <w:sz w:val="32"/>
          <w:szCs w:val="32"/>
          <w:highlight w:val="none"/>
          <w:lang w:eastAsia="zh-CN"/>
        </w:rPr>
        <w:t>、阿坝州图书馆</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lang w:eastAsia="zh-CN"/>
        </w:rPr>
        <w:t>专项预算项目</w:t>
      </w:r>
      <w:r>
        <w:rPr>
          <w:rFonts w:hint="eastAsia" w:ascii="仿宋_GB2312" w:hAnsi="仿宋_GB2312" w:eastAsia="仿宋_GB2312" w:cs="仿宋_GB2312"/>
          <w:color w:val="auto"/>
          <w:sz w:val="32"/>
          <w:szCs w:val="32"/>
          <w:highlight w:val="none"/>
          <w:lang w:val="en-US" w:eastAsia="zh-CN"/>
        </w:rPr>
        <w:t>绩效自评报告，其中，部门整体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绩效自评得分为93分，绩效自评综述：</w:t>
      </w:r>
      <w:r>
        <w:rPr>
          <w:rFonts w:hint="eastAsia" w:ascii="仿宋_GB2312" w:hAnsi="仿宋_GB2312" w:eastAsia="仿宋_GB2312" w:cs="仿宋_GB2312"/>
          <w:color w:val="auto"/>
          <w:sz w:val="32"/>
          <w:szCs w:val="32"/>
          <w:highlight w:val="none"/>
          <w:lang w:eastAsia="zh-CN"/>
        </w:rPr>
        <w:t>专项预</w:t>
      </w:r>
      <w:r>
        <w:rPr>
          <w:rFonts w:hint="eastAsia" w:ascii="仿宋_GB2312" w:hAnsi="仿宋_GB2312" w:eastAsia="仿宋_GB2312" w:cs="仿宋_GB2312"/>
          <w:color w:val="auto"/>
          <w:sz w:val="32"/>
          <w:szCs w:val="32"/>
          <w:highlight w:val="none"/>
          <w:lang w:val="en-US" w:eastAsia="zh-CN"/>
        </w:rPr>
        <w:t>算项目绩效自评得分为90分，绩效自评综述：</w:t>
      </w:r>
      <w:r>
        <w:rPr>
          <w:rFonts w:hint="eastAsia" w:ascii="仿宋_GB2312" w:hAnsi="仿宋_GB2312" w:eastAsia="仿宋_GB2312" w:cs="仿宋_GB2312"/>
          <w:color w:val="auto"/>
          <w:sz w:val="32"/>
          <w:szCs w:val="32"/>
          <w:highlight w:val="none"/>
          <w:lang w:val="zh-CN" w:eastAsia="zh-CN"/>
        </w:rPr>
        <w:t>通过</w:t>
      </w:r>
      <w:r>
        <w:rPr>
          <w:rFonts w:hint="eastAsia" w:ascii="仿宋_GB2312" w:hAnsi="仿宋_GB2312" w:eastAsia="仿宋_GB2312" w:cs="仿宋_GB2312"/>
          <w:color w:val="auto"/>
          <w:sz w:val="32"/>
          <w:szCs w:val="32"/>
          <w:highlight w:val="none"/>
          <w:lang w:val="en-US" w:eastAsia="zh-CN"/>
        </w:rPr>
        <w:t>部门预算绩效自评总体结论，照绩效评价指标体系评分，评价等级为“优”。绩效自评报告详见附件。</w:t>
      </w:r>
      <w:r>
        <w:rPr>
          <w:rFonts w:hint="eastAsia" w:ascii="Times New Roman" w:hAnsi="Times New Roman" w:eastAsia="仿宋_GB2312" w:cs="仿宋_GB2312"/>
          <w:color w:val="auto"/>
          <w:kern w:val="2"/>
          <w:sz w:val="32"/>
          <w:szCs w:val="32"/>
          <w:highlight w:val="none"/>
          <w:lang w:val="en-US" w:eastAsia="zh-CN" w:bidi="ar-SA"/>
        </w:rPr>
        <w:t>（注：如不涉及，可根据实际修改表述。）</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8C013ED">
      <w:pPr>
        <w:spacing w:line="600" w:lineRule="exact"/>
        <w:jc w:val="left"/>
        <w:rPr>
          <w:rFonts w:ascii="Times New Roman" w:hAnsi="Times New Roman"/>
          <w:b/>
          <w:color w:val="auto"/>
          <w:sz w:val="44"/>
          <w:szCs w:val="44"/>
          <w:highlight w:val="none"/>
        </w:rPr>
      </w:pPr>
    </w:p>
    <w:p w14:paraId="441C1B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1BAAC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5CAB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60AA1B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CF8BD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D0F7B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712BA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9B9B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60693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46574F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0F1407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762EF3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5330E0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6B36A0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4044F0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5BAF2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2E4295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41309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38BB26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169D7C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7E340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8D156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0701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413FED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5F7A49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76D3D7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F0CE5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0E0C47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F0A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BABB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64591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44BC0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ECF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D353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D07BE49">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C8A74B2">
      <w:pPr>
        <w:widowControl/>
        <w:adjustRightInd w:val="0"/>
        <w:snapToGrid w:val="0"/>
        <w:spacing w:line="578" w:lineRule="exact"/>
        <w:ind w:firstLine="880" w:firstLineChars="200"/>
        <w:contextualSpacing/>
        <w:jc w:val="left"/>
        <w:rPr>
          <w:rFonts w:hint="default" w:ascii="Times New Roman" w:hAnsi="Times New Roman" w:eastAsia="方正小标宋简体" w:cs="Times New Roman"/>
          <w:b w:val="0"/>
          <w:bCs/>
          <w:sz w:val="44"/>
          <w:szCs w:val="44"/>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eastAsia="zh-CN"/>
        </w:rPr>
        <w:t>阿坝州图书馆</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0C7C2E3">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155485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部门基本情况</w:t>
      </w:r>
    </w:p>
    <w:p w14:paraId="23F3D85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ascii="Times New Roman" w:hAnsi="Times New Roman" w:eastAsia="仿宋_GB2312" w:cs="Times New Roman"/>
          <w:sz w:val="32"/>
          <w:szCs w:val="32"/>
          <w:lang w:val="zh-CN" w:eastAsia="zh-CN"/>
        </w:rPr>
        <w:t>阿坝州图书馆</w:t>
      </w:r>
      <w:r>
        <w:rPr>
          <w:rFonts w:hint="eastAsia" w:ascii="仿宋_GB2312" w:hAnsi="仿宋_GB2312" w:eastAsia="仿宋_GB2312" w:cs="仿宋_GB2312"/>
          <w:color w:val="000000"/>
          <w:kern w:val="0"/>
          <w:sz w:val="32"/>
          <w:szCs w:val="32"/>
          <w:lang w:val="zh-CN"/>
        </w:rPr>
        <w:t>设办公室、地方文献资源部、对外服务部、自动化服务部</w:t>
      </w:r>
      <w:r>
        <w:rPr>
          <w:rFonts w:hint="eastAsia" w:ascii="Times New Roman" w:hAnsi="Times New Roman" w:eastAsia="仿宋_GB2312" w:cs="Times New Roman"/>
          <w:sz w:val="32"/>
          <w:szCs w:val="32"/>
          <w:lang w:val="en-US" w:eastAsia="zh-CN"/>
        </w:rPr>
        <w:t>内设</w:t>
      </w:r>
      <w:r>
        <w:rPr>
          <w:rFonts w:hint="default" w:ascii="Times New Roman" w:hAnsi="Times New Roman" w:eastAsia="仿宋_GB2312" w:cs="Times New Roman"/>
          <w:sz w:val="32"/>
          <w:szCs w:val="32"/>
          <w:lang w:val="en-US" w:eastAsia="zh-CN"/>
        </w:rPr>
        <w:t>处室</w:t>
      </w:r>
      <w:r>
        <w:rPr>
          <w:rFonts w:hint="eastAsia" w:ascii="Times New Roman" w:hAnsi="Times New Roman" w:eastAsia="仿宋_GB2312" w:cs="Times New Roman"/>
          <w:sz w:val="32"/>
          <w:szCs w:val="32"/>
          <w:lang w:val="en-US" w:eastAsia="zh-CN"/>
        </w:rPr>
        <w:t>及下属单位情况</w:t>
      </w:r>
      <w:r>
        <w:rPr>
          <w:rFonts w:hint="default" w:ascii="Times New Roman" w:hAnsi="Times New Roman" w:eastAsia="仿宋_GB2312" w:cs="Times New Roman"/>
          <w:sz w:val="32"/>
          <w:szCs w:val="32"/>
          <w:lang w:val="en-US" w:eastAsia="zh-CN"/>
        </w:rPr>
        <w:t>。</w:t>
      </w:r>
      <w:r>
        <w:rPr>
          <w:rFonts w:hint="eastAsia" w:ascii="仿宋_GB2312" w:hAnsi="仿宋_GB2312" w:eastAsia="仿宋_GB2312" w:cs="仿宋_GB2312"/>
          <w:color w:val="000000"/>
          <w:kern w:val="0"/>
          <w:sz w:val="32"/>
          <w:szCs w:val="32"/>
          <w:lang w:val="zh-CN"/>
        </w:rPr>
        <w:t>州图书馆下</w:t>
      </w:r>
      <w:r>
        <w:rPr>
          <w:rFonts w:eastAsia="仿宋_GB2312" w:cs="仿宋_GB2312"/>
          <w:sz w:val="32"/>
          <w:szCs w:val="32"/>
        </w:rPr>
        <w:t>。</w:t>
      </w:r>
    </w:p>
    <w:p w14:paraId="42B5C36E">
      <w:pPr>
        <w:ind w:firstLine="643" w:firstLineChars="200"/>
        <w:rPr>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ascii="Times New Roman" w:hAnsi="Times New Roman" w:eastAsia="仿宋_GB2312" w:cs="Times New Roman"/>
          <w:sz w:val="32"/>
          <w:szCs w:val="32"/>
          <w:lang w:val="en-US" w:eastAsia="zh-CN"/>
        </w:rPr>
        <w:t>阿坝州图书馆职责和功能：</w:t>
      </w:r>
      <w:r>
        <w:rPr>
          <w:rStyle w:val="35"/>
          <w:rFonts w:hint="eastAsia" w:ascii="仿宋_GB2312" w:hAnsi="仿宋_GB2312" w:eastAsia="仿宋_GB2312" w:cs="仿宋_GB2312"/>
          <w:color w:val="000000"/>
          <w:sz w:val="32"/>
          <w:szCs w:val="32"/>
        </w:rPr>
        <w:t>保存借阅图书资料，促进社会经济文化发展，《图书、文献、报刊、影像、资料》采编与储藏。图书资料借阅，图书资料网络系统《设计/工施/维护/管理》，文献数字化处理。图书馆学研究，知识培训与社会教育《相关社会服务》。</w:t>
      </w:r>
    </w:p>
    <w:p w14:paraId="7B874CF5">
      <w:pPr>
        <w:ind w:firstLine="643" w:firstLineChars="200"/>
        <w:rPr>
          <w:szCs w:val="32"/>
        </w:rPr>
      </w:pPr>
      <w:r>
        <w:rPr>
          <w:rFonts w:ascii="Times New Roman" w:hAnsi="Times New Roman" w:eastAsia="楷体_GB2312" w:cs="楷体_GB2312"/>
          <w:b/>
          <w:sz w:val="32"/>
          <w:szCs w:val="32"/>
          <w:lang w:val="zh-CN"/>
        </w:rPr>
        <w:t>（</w:t>
      </w:r>
      <w:r>
        <w:rPr>
          <w:rFonts w:hint="eastAsia" w:ascii="Times New Roman" w:hAnsi="Times New Roman" w:eastAsia="楷体_GB2312" w:cs="楷体_GB2312"/>
          <w:b/>
          <w:sz w:val="32"/>
          <w:szCs w:val="32"/>
          <w:lang w:val="zh-CN"/>
        </w:rPr>
        <w:t>三</w:t>
      </w:r>
      <w:r>
        <w:rPr>
          <w:rFonts w:ascii="Times New Roman" w:hAnsi="Times New Roman" w:eastAsia="楷体_GB2312" w:cs="楷体_GB2312"/>
          <w:b/>
          <w:sz w:val="32"/>
          <w:szCs w:val="32"/>
          <w:lang w:val="zh-CN"/>
        </w:rPr>
        <w:t>）人员概况</w:t>
      </w:r>
      <w:r>
        <w:rPr>
          <w:rFonts w:hint="eastAsia" w:ascii="Times New Roman" w:hAnsi="Times New Roman" w:eastAsia="楷体_GB2312" w:cs="楷体_GB2312"/>
          <w:b/>
          <w:sz w:val="32"/>
          <w:szCs w:val="32"/>
          <w:lang w:val="zh-CN"/>
        </w:rPr>
        <w:t>。</w:t>
      </w:r>
      <w:r>
        <w:rPr>
          <w:rStyle w:val="35"/>
          <w:rFonts w:hint="eastAsia" w:ascii="仿宋_GB2312" w:hAnsi="仿宋_GB2312" w:eastAsia="仿宋_GB2312" w:cs="仿宋_GB2312"/>
          <w:color w:val="000000"/>
          <w:sz w:val="32"/>
          <w:szCs w:val="32"/>
          <w:lang w:val="en-US" w:eastAsia="zh-CN"/>
        </w:rPr>
        <w:t>根据(阿编发〔2019〕28号)文件，核事业编制16名。目前，实有在编在岗15人；专业技术岗位14人，工勤技能岗位1人。</w:t>
      </w:r>
    </w:p>
    <w:p w14:paraId="1772C6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66C1ADA1">
      <w:pPr>
        <w:pStyle w:val="27"/>
        <w:widowControl/>
        <w:numPr>
          <w:ilvl w:val="0"/>
          <w:numId w:val="0"/>
        </w:numPr>
        <w:adjustRightInd w:val="0"/>
        <w:snapToGrid w:val="0"/>
        <w:spacing w:line="480" w:lineRule="exact"/>
        <w:ind w:firstLine="643" w:firstLineChars="200"/>
        <w:jc w:val="left"/>
        <w:rPr>
          <w:rStyle w:val="35"/>
          <w:rFonts w:hint="eastAsia" w:ascii="仿宋_GB2312" w:hAnsi="仿宋_GB2312" w:eastAsia="仿宋_GB2312" w:cs="仿宋_GB2312"/>
          <w:color w:val="000000"/>
          <w:kern w:val="2"/>
          <w:sz w:val="32"/>
          <w:szCs w:val="32"/>
          <w:lang w:val="zh-CN" w:eastAsia="zh-CN" w:bidi="ar-SA"/>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Style w:val="35"/>
          <w:rFonts w:hint="eastAsia" w:ascii="仿宋_GB2312" w:hAnsi="仿宋_GB2312" w:eastAsia="仿宋_GB2312" w:cs="仿宋_GB2312"/>
          <w:color w:val="000000"/>
          <w:kern w:val="2"/>
          <w:sz w:val="32"/>
          <w:szCs w:val="32"/>
          <w:lang w:val="zh-CN" w:eastAsia="zh-CN" w:bidi="ar-SA"/>
        </w:rPr>
        <w:t>收入：</w:t>
      </w:r>
      <w:r>
        <w:rPr>
          <w:rStyle w:val="35"/>
          <w:rFonts w:hint="eastAsia" w:ascii="仿宋_GB2312" w:hAnsi="仿宋_GB2312" w:eastAsia="仿宋_GB2312" w:cs="仿宋_GB2312"/>
          <w:color w:val="000000"/>
          <w:kern w:val="2"/>
          <w:sz w:val="32"/>
          <w:szCs w:val="32"/>
          <w:lang w:val="en-US" w:eastAsia="zh-CN" w:bidi="ar-SA"/>
        </w:rPr>
        <w:t>657.12万</w:t>
      </w:r>
      <w:r>
        <w:rPr>
          <w:rStyle w:val="35"/>
          <w:rFonts w:hint="eastAsia" w:ascii="仿宋_GB2312" w:hAnsi="仿宋_GB2312" w:eastAsia="仿宋_GB2312" w:cs="仿宋_GB2312"/>
          <w:color w:val="000000"/>
          <w:kern w:val="2"/>
          <w:sz w:val="32"/>
          <w:szCs w:val="32"/>
          <w:lang w:val="zh-CN" w:eastAsia="zh-CN" w:bidi="ar-SA"/>
        </w:rPr>
        <w:t>元。其中，一般公共预算财政拨款收入</w:t>
      </w:r>
      <w:r>
        <w:rPr>
          <w:rStyle w:val="35"/>
          <w:rFonts w:hint="eastAsia" w:ascii="仿宋_GB2312" w:hAnsi="仿宋_GB2312" w:eastAsia="仿宋_GB2312" w:cs="仿宋_GB2312"/>
          <w:color w:val="000000"/>
          <w:kern w:val="2"/>
          <w:sz w:val="32"/>
          <w:szCs w:val="32"/>
          <w:lang w:val="en-US" w:eastAsia="zh-CN" w:bidi="ar-SA"/>
        </w:rPr>
        <w:t>657.12万</w:t>
      </w:r>
      <w:r>
        <w:rPr>
          <w:rStyle w:val="35"/>
          <w:rFonts w:hint="eastAsia" w:ascii="仿宋_GB2312" w:hAnsi="仿宋_GB2312" w:eastAsia="仿宋_GB2312" w:cs="仿宋_GB2312"/>
          <w:color w:val="000000"/>
          <w:kern w:val="2"/>
          <w:sz w:val="32"/>
          <w:szCs w:val="32"/>
          <w:lang w:val="zh-CN" w:eastAsia="zh-CN" w:bidi="ar-SA"/>
        </w:rPr>
        <w:t>元。</w:t>
      </w:r>
    </w:p>
    <w:p w14:paraId="597A2A91">
      <w:pPr>
        <w:pStyle w:val="27"/>
        <w:widowControl/>
        <w:numPr>
          <w:ilvl w:val="0"/>
          <w:numId w:val="0"/>
        </w:numPr>
        <w:adjustRightInd w:val="0"/>
        <w:snapToGrid w:val="0"/>
        <w:spacing w:line="480" w:lineRule="exact"/>
        <w:ind w:firstLine="643" w:firstLineChars="200"/>
        <w:jc w:val="left"/>
        <w:rPr>
          <w:rStyle w:val="35"/>
          <w:rFonts w:hint="default" w:ascii="仿宋_GB2312" w:hAnsi="仿宋_GB2312" w:eastAsia="仿宋_GB2312" w:cs="仿宋_GB2312"/>
          <w:color w:val="000000"/>
          <w:kern w:val="2"/>
          <w:sz w:val="32"/>
          <w:szCs w:val="32"/>
          <w:lang w:val="en-US" w:eastAsia="zh-CN" w:bidi="ar-SA"/>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lang w:val="zh-CN"/>
        </w:rPr>
        <w:t xml:space="preserve"> </w:t>
      </w:r>
      <w:r>
        <w:rPr>
          <w:rStyle w:val="35"/>
          <w:rFonts w:hint="eastAsia" w:ascii="仿宋_GB2312" w:hAnsi="仿宋_GB2312" w:eastAsia="仿宋_GB2312" w:cs="仿宋_GB2312"/>
          <w:color w:val="000000"/>
          <w:kern w:val="2"/>
          <w:sz w:val="32"/>
          <w:szCs w:val="32"/>
          <w:lang w:val="zh-CN" w:eastAsia="zh-CN" w:bidi="ar-SA"/>
        </w:rPr>
        <w:t>202</w:t>
      </w:r>
      <w:r>
        <w:rPr>
          <w:rStyle w:val="35"/>
          <w:rFonts w:hint="eastAsia" w:ascii="仿宋_GB2312" w:hAnsi="仿宋_GB2312" w:eastAsia="仿宋_GB2312" w:cs="仿宋_GB2312"/>
          <w:color w:val="000000"/>
          <w:kern w:val="2"/>
          <w:sz w:val="32"/>
          <w:szCs w:val="32"/>
          <w:lang w:val="en-US" w:eastAsia="zh-CN" w:bidi="ar-SA"/>
        </w:rPr>
        <w:t>5</w:t>
      </w:r>
      <w:r>
        <w:rPr>
          <w:rStyle w:val="35"/>
          <w:rFonts w:hint="eastAsia" w:ascii="仿宋_GB2312" w:hAnsi="仿宋_GB2312" w:eastAsia="仿宋_GB2312" w:cs="仿宋_GB2312"/>
          <w:color w:val="000000"/>
          <w:kern w:val="2"/>
          <w:sz w:val="32"/>
          <w:szCs w:val="32"/>
          <w:lang w:val="zh-CN" w:eastAsia="zh-CN" w:bidi="ar-SA"/>
        </w:rPr>
        <w:t>年部门支出：</w:t>
      </w:r>
      <w:r>
        <w:rPr>
          <w:rStyle w:val="35"/>
          <w:rFonts w:hint="eastAsia" w:ascii="仿宋_GB2312" w:hAnsi="仿宋_GB2312" w:eastAsia="仿宋_GB2312" w:cs="仿宋_GB2312"/>
          <w:color w:val="000000"/>
          <w:kern w:val="2"/>
          <w:sz w:val="32"/>
          <w:szCs w:val="32"/>
          <w:lang w:val="en-US" w:eastAsia="zh-CN" w:bidi="ar-SA"/>
        </w:rPr>
        <w:t>657.12万</w:t>
      </w:r>
      <w:r>
        <w:rPr>
          <w:rStyle w:val="35"/>
          <w:rFonts w:hint="eastAsia" w:ascii="仿宋_GB2312" w:hAnsi="仿宋_GB2312" w:eastAsia="仿宋_GB2312" w:cs="仿宋_GB2312"/>
          <w:color w:val="000000"/>
          <w:kern w:val="2"/>
          <w:sz w:val="32"/>
          <w:szCs w:val="32"/>
          <w:lang w:val="zh-CN" w:eastAsia="zh-CN" w:bidi="ar-SA"/>
        </w:rPr>
        <w:t>元。其中，基本支出</w:t>
      </w:r>
      <w:r>
        <w:rPr>
          <w:rStyle w:val="35"/>
          <w:rFonts w:hint="eastAsia" w:ascii="仿宋_GB2312" w:hAnsi="仿宋_GB2312" w:eastAsia="仿宋_GB2312" w:cs="仿宋_GB2312"/>
          <w:color w:val="000000"/>
          <w:kern w:val="2"/>
          <w:sz w:val="32"/>
          <w:szCs w:val="32"/>
          <w:lang w:val="en-US" w:eastAsia="zh-CN" w:bidi="ar-SA"/>
        </w:rPr>
        <w:t>458.17万</w:t>
      </w:r>
      <w:r>
        <w:rPr>
          <w:rStyle w:val="35"/>
          <w:rFonts w:hint="eastAsia" w:ascii="仿宋_GB2312" w:hAnsi="仿宋_GB2312" w:eastAsia="仿宋_GB2312" w:cs="仿宋_GB2312"/>
          <w:color w:val="000000"/>
          <w:kern w:val="2"/>
          <w:sz w:val="32"/>
          <w:szCs w:val="32"/>
          <w:lang w:val="zh-CN" w:eastAsia="zh-CN" w:bidi="ar-SA"/>
        </w:rPr>
        <w:t>元，项目支出</w:t>
      </w:r>
      <w:r>
        <w:rPr>
          <w:rStyle w:val="35"/>
          <w:rFonts w:hint="eastAsia" w:ascii="仿宋_GB2312" w:hAnsi="仿宋_GB2312" w:eastAsia="仿宋_GB2312" w:cs="仿宋_GB2312"/>
          <w:color w:val="000000"/>
          <w:kern w:val="2"/>
          <w:sz w:val="32"/>
          <w:szCs w:val="32"/>
          <w:lang w:val="en-US" w:eastAsia="zh-CN" w:bidi="ar-SA"/>
        </w:rPr>
        <w:t>198.96万</w:t>
      </w:r>
      <w:r>
        <w:rPr>
          <w:rStyle w:val="35"/>
          <w:rFonts w:hint="eastAsia" w:ascii="仿宋_GB2312" w:hAnsi="仿宋_GB2312" w:eastAsia="仿宋_GB2312" w:cs="仿宋_GB2312"/>
          <w:color w:val="000000"/>
          <w:kern w:val="2"/>
          <w:sz w:val="32"/>
          <w:szCs w:val="32"/>
          <w:lang w:val="zh-CN" w:eastAsia="zh-CN" w:bidi="ar-SA"/>
        </w:rPr>
        <w:t>元</w:t>
      </w:r>
      <w:r>
        <w:rPr>
          <w:rStyle w:val="35"/>
          <w:rFonts w:hint="eastAsia" w:ascii="仿宋_GB2312" w:hAnsi="仿宋_GB2312" w:eastAsia="仿宋_GB2312" w:cs="仿宋_GB2312"/>
          <w:color w:val="000000"/>
          <w:kern w:val="2"/>
          <w:sz w:val="32"/>
          <w:szCs w:val="32"/>
          <w:lang w:val="en-US" w:eastAsia="zh-CN" w:bidi="ar-SA"/>
        </w:rPr>
        <w:t>。</w:t>
      </w:r>
    </w:p>
    <w:p w14:paraId="60D594FC">
      <w:pPr>
        <w:snapToGrid w:val="0"/>
        <w:spacing w:line="500" w:lineRule="exact"/>
        <w:ind w:firstLine="643" w:firstLineChars="200"/>
        <w:rPr>
          <w:rFonts w:hint="default" w:eastAsia="仿宋_GB2312"/>
          <w:color w:val="000000"/>
          <w:kern w:val="0"/>
          <w:szCs w:val="32"/>
          <w:shd w:val="clear" w:color="auto" w:fill="FFFFFF"/>
          <w:lang w:val="en-US"/>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ascii="Times New Roman" w:hAnsi="Times New Roman" w:eastAsia="仿宋_GB2312" w:cs="Times New Roman"/>
          <w:sz w:val="32"/>
          <w:szCs w:val="32"/>
          <w:lang w:val="en-US" w:eastAsia="zh-CN"/>
        </w:rPr>
        <w:t>结余分配和结转结余情况。阿坝州图书馆202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年决算报表无结转结余情况。</w:t>
      </w:r>
    </w:p>
    <w:p w14:paraId="63CAC2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D4572F8">
      <w:pPr>
        <w:snapToGrid w:val="0"/>
        <w:spacing w:line="500" w:lineRule="exact"/>
        <w:ind w:firstLine="643" w:firstLineChars="200"/>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shd w:val="clear" w:color="auto" w:fill="FFFFFF"/>
          <w:lang w:val="zh-CN"/>
        </w:rPr>
        <w:t>（一）部门预算总体绩效分析。</w:t>
      </w:r>
      <w:r>
        <w:rPr>
          <w:rFonts w:hint="default" w:ascii="Times New Roman" w:hAnsi="Times New Roman" w:eastAsia="仿宋_GB2312" w:cs="Times New Roman"/>
          <w:sz w:val="32"/>
          <w:szCs w:val="32"/>
          <w:lang w:val="zh-CN" w:eastAsia="zh-CN"/>
        </w:rPr>
        <w:t>根据部门预算绩效评价指标体系“总体绩效”涉及二、三级指标进行逐项绩效分析并评分，依次包括履职效能、预算管理、财务管理、资产管理、采购管理等情况。</w:t>
      </w:r>
    </w:p>
    <w:p w14:paraId="166A2AE6">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CN" w:eastAsia="zh-CN"/>
        </w:rPr>
        <w:t>履职效能。部门整体绩效目标中选定3</w:t>
      </w:r>
      <w:r>
        <w:rPr>
          <w:rFonts w:hint="eastAsia"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5个核心职能目标，对职能目标完成效果情况绩效分析。</w:t>
      </w:r>
    </w:p>
    <w:p w14:paraId="55FCA702">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全民阅读活动</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zh-CN" w:eastAsia="zh-CN"/>
        </w:rPr>
        <w:t>万元，组织全民阅读系列活动20场，完成率 100%。其中涵盖亲子阅读、主题读书分享、经典诵读、图书漂流等多元活动类型，覆盖青少年、中老年、职场人群等全年龄段群体，活动场次与覆盖人群均超额完成年度计划。</w:t>
      </w:r>
    </w:p>
    <w:p w14:paraId="0319DB88">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阿坝州图书馆阿坝州地方特色文献展呈服务中心24小时自助城市书房</w:t>
      </w:r>
      <w:r>
        <w:rPr>
          <w:rFonts w:hint="eastAsia" w:eastAsia="仿宋_GB2312" w:cs="Times New Roman"/>
          <w:sz w:val="32"/>
          <w:szCs w:val="32"/>
          <w:lang w:val="zh-CN" w:eastAsia="zh-CN"/>
        </w:rPr>
        <w:t>，</w:t>
      </w:r>
      <w:r>
        <w:rPr>
          <w:rFonts w:hint="default" w:ascii="Times New Roman" w:hAnsi="Times New Roman" w:eastAsia="仿宋_GB2312" w:cs="Times New Roman"/>
          <w:sz w:val="32"/>
          <w:szCs w:val="32"/>
          <w:lang w:val="zh-CN" w:eastAsia="zh-CN"/>
        </w:rPr>
        <w:t>年度项目预算 50万元，截至</w:t>
      </w:r>
      <w:r>
        <w:rPr>
          <w:rFonts w:hint="eastAsia" w:eastAsia="仿宋_GB2312" w:cs="Times New Roman"/>
          <w:sz w:val="32"/>
          <w:szCs w:val="32"/>
          <w:lang w:val="en-US" w:eastAsia="zh-CN"/>
        </w:rPr>
        <w:t>25年</w:t>
      </w:r>
      <w:r>
        <w:rPr>
          <w:rFonts w:hint="default" w:ascii="Times New Roman" w:hAnsi="Times New Roman" w:eastAsia="仿宋_GB2312" w:cs="Times New Roman"/>
          <w:sz w:val="32"/>
          <w:szCs w:val="32"/>
          <w:lang w:val="zh-CN" w:eastAsia="zh-CN"/>
        </w:rPr>
        <w:t>资金拨付进度为 89.6%，已拨付经费严格按照预算规划使用，主要用于文献搜集整理、展呈空间建设、设备采购、展陈物料制作等核心环节，专款专用、账实相符，无违规支出、浪费等情况，经费管控规范有序。</w:t>
      </w:r>
    </w:p>
    <w:p w14:paraId="1C2942B7">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2.预算管理。预算编制遵循“量入为出，收支平衡”的原则， 所有收支纳入预算管理。收入预算应坚持积极稳妥原则，根据上  年度实际收入水平，结合当年的计划目标情况进行编制。支出预  算应根据上年度实际支出水平以及本年度工作计划、收入预算等  进行编制，既要保证我馆业务活动的需要，又要合理节约的精神， 处理好需要与可能两者间关系。预算编制人员按年度所有因素和事项的轻重缓急测算每一科目、款项支出的需求。预算执行按规定程序审核后由财务科严格遵照执行。凡已列入预算的，财务科应保证正常用款需要；凡未列入预算或超出预算的开支，未经规  定程序追加或调整的任何人无权决定付款。围绕预算编制质量、 单位收入统筹、支出执行进度、预算年终结余、严控一般性支出  进行绩效分析。</w:t>
      </w:r>
    </w:p>
    <w:p w14:paraId="23089BE8">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3. 财务管理。 按照《预算法》《会计法》等相关要求，我 局财政资金均按照预算用途使用，做到专款专用，支出真实合规， 无截留、挤占和挪用的行为。单位资金统一由财政集中管理，无 违规截留资金、违规处置固定资产行为。单位所有经济业务全部 纳入会计管理，按照《政府会计制度》进行统一核算，会计凭证 原始单据完整，凭证编制、装订、保管等符合相关要求，无私设  “小金库”和“账外账”行为。</w:t>
      </w:r>
    </w:p>
    <w:p w14:paraId="3925372A">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4.  资产管理。我馆制定了详细的资产管理制度，对资产申 购、采购、分配、保管、处置等细则进行规定，严格执行有关规 定。凡是符合政府采购要求均按政府采购程序进行采购，擅自采 购的不予报销费用。同时，加强资产管理，组织各科室定期对所 属的固定资产进行清理，明确相应的责任人。办公室明确专人管 理固定资产。资产管理得分为4.1分。</w:t>
      </w:r>
    </w:p>
    <w:p w14:paraId="5B1E6570">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5.采购管理。规范政府采购行为，提高资金使用效益，我馆严 格遵守《中华人民共和国招标投标法》与《政府采购法》等政府 采购有关法律法规，先后制定了我馆政府采购管理制度。严格依 法采购。202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年我馆有政府采购。采购管理得分为6分。</w:t>
      </w:r>
    </w:p>
    <w:p w14:paraId="2151ED09">
      <w:pPr>
        <w:snapToGrid w:val="0"/>
        <w:spacing w:line="500" w:lineRule="exact"/>
        <w:ind w:firstLine="643" w:firstLineChars="200"/>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sz w:val="32"/>
          <w:szCs w:val="32"/>
          <w:lang w:val="zh-CN" w:eastAsia="zh-CN"/>
        </w:rPr>
        <w:t>填报以下数据，并根据部门预算绩效评价指标体系“项目绩效”涉及二、三级指标进行逐项绩效分析并评分，依次包括项目决策、项目执行、目标实现等情况。 常年项目绩效分析。该类项目总数</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个，涉及预算总金额</w:t>
      </w:r>
      <w:r>
        <w:rPr>
          <w:rFonts w:hint="eastAsia" w:eastAsia="仿宋_GB2312" w:cs="Times New Roman"/>
          <w:sz w:val="32"/>
          <w:szCs w:val="32"/>
          <w:lang w:val="en-US" w:eastAsia="zh-CN"/>
        </w:rPr>
        <w:t>78</w:t>
      </w:r>
      <w:r>
        <w:rPr>
          <w:rFonts w:hint="default" w:ascii="Times New Roman" w:hAnsi="Times New Roman" w:eastAsia="仿宋_GB2312" w:cs="Times New Roman"/>
          <w:sz w:val="32"/>
          <w:szCs w:val="32"/>
          <w:lang w:val="zh-CN" w:eastAsia="zh-CN"/>
        </w:rPr>
        <w:t>万元，1-12月预算执行总体进度为100%,其中：结余率大于10%的项目共计0个。阶段(一次性)项目绩效分析。该类项目总数</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lang w:val="zh-CN" w:eastAsia="zh-CN"/>
        </w:rPr>
        <w:t>个，涉及预算总金额</w:t>
      </w:r>
      <w:r>
        <w:rPr>
          <w:rFonts w:hint="eastAsia" w:eastAsia="仿宋_GB2312" w:cs="Times New Roman"/>
          <w:sz w:val="32"/>
          <w:szCs w:val="32"/>
          <w:lang w:val="en-US" w:eastAsia="zh-CN"/>
        </w:rPr>
        <w:t>120.96</w:t>
      </w:r>
      <w:r>
        <w:rPr>
          <w:rFonts w:hint="default" w:ascii="Times New Roman" w:hAnsi="Times New Roman" w:eastAsia="仿宋_GB2312" w:cs="Times New Roman"/>
          <w:sz w:val="32"/>
          <w:szCs w:val="32"/>
          <w:lang w:val="zh-CN" w:eastAsia="zh-CN"/>
        </w:rPr>
        <w:t>万元，1-12月预算执行总体进度100%, 其中：预算结余率大于10%的项目共计0个。</w:t>
      </w:r>
    </w:p>
    <w:p w14:paraId="74136CA2">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1.  项目决策。我馆有</w:t>
      </w:r>
      <w:r>
        <w:rPr>
          <w:rFonts w:hint="eastAsia" w:eastAsia="仿宋_GB2312" w:cs="Times New Roman"/>
          <w:sz w:val="32"/>
          <w:szCs w:val="32"/>
          <w:lang w:val="en-US" w:eastAsia="zh-CN"/>
        </w:rPr>
        <w:t>14</w:t>
      </w:r>
      <w:r>
        <w:rPr>
          <w:rFonts w:hint="default" w:ascii="Times New Roman" w:hAnsi="Times New Roman" w:eastAsia="仿宋_GB2312" w:cs="Times New Roman"/>
          <w:sz w:val="32"/>
          <w:szCs w:val="32"/>
          <w:lang w:val="zh-CN" w:eastAsia="zh-CN"/>
        </w:rPr>
        <w:t>个项目，共计</w:t>
      </w:r>
      <w:r>
        <w:rPr>
          <w:rStyle w:val="35"/>
          <w:rFonts w:hint="eastAsia" w:ascii="仿宋_GB2312" w:hAnsi="仿宋_GB2312" w:eastAsia="仿宋_GB2312" w:cs="仿宋_GB2312"/>
          <w:color w:val="000000"/>
          <w:kern w:val="2"/>
          <w:sz w:val="32"/>
          <w:szCs w:val="32"/>
          <w:lang w:val="en-US" w:eastAsia="zh-CN" w:bidi="ar-SA"/>
        </w:rPr>
        <w:t>198.96</w:t>
      </w:r>
      <w:r>
        <w:rPr>
          <w:rFonts w:hint="default" w:ascii="Times New Roman" w:hAnsi="Times New Roman" w:eastAsia="仿宋_GB2312" w:cs="Times New Roman"/>
          <w:sz w:val="32"/>
          <w:szCs w:val="32"/>
          <w:lang w:val="zh-CN" w:eastAsia="zh-CN"/>
        </w:rPr>
        <w:t>万元</w:t>
      </w:r>
    </w:p>
    <w:p w14:paraId="65FB794C">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2.  项目执行。</w:t>
      </w:r>
      <w:r>
        <w:rPr>
          <w:rFonts w:hint="eastAsia" w:eastAsia="仿宋_GB2312" w:cs="Times New Roman"/>
          <w:sz w:val="32"/>
          <w:szCs w:val="32"/>
          <w:lang w:val="en-US" w:eastAsia="zh-CN"/>
        </w:rPr>
        <w:t>14</w:t>
      </w:r>
      <w:r>
        <w:rPr>
          <w:rFonts w:hint="default" w:ascii="Times New Roman" w:hAnsi="Times New Roman" w:eastAsia="仿宋_GB2312" w:cs="Times New Roman"/>
          <w:sz w:val="32"/>
          <w:szCs w:val="32"/>
          <w:lang w:val="zh-CN" w:eastAsia="zh-CN"/>
        </w:rPr>
        <w:t>个项目执行完成结果</w:t>
      </w:r>
      <w:r>
        <w:rPr>
          <w:rStyle w:val="35"/>
          <w:rFonts w:hint="eastAsia" w:ascii="仿宋_GB2312" w:hAnsi="仿宋_GB2312" w:eastAsia="仿宋_GB2312" w:cs="仿宋_GB2312"/>
          <w:color w:val="000000"/>
          <w:kern w:val="2"/>
          <w:sz w:val="32"/>
          <w:szCs w:val="32"/>
          <w:lang w:val="en-US" w:eastAsia="zh-CN" w:bidi="ar-SA"/>
        </w:rPr>
        <w:t>198.96</w:t>
      </w:r>
      <w:r>
        <w:rPr>
          <w:rFonts w:hint="default" w:ascii="Times New Roman" w:hAnsi="Times New Roman" w:eastAsia="仿宋_GB2312" w:cs="Times New Roman"/>
          <w:sz w:val="32"/>
          <w:szCs w:val="32"/>
          <w:lang w:val="zh-CN" w:eastAsia="zh-CN"/>
        </w:rPr>
        <w:t>万元。</w:t>
      </w:r>
    </w:p>
    <w:p w14:paraId="37CF3957">
      <w:pPr>
        <w:snapToGrid w:val="0"/>
        <w:spacing w:line="50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zh-CN" w:eastAsia="zh-CN"/>
        </w:rPr>
        <w:t>3.  目标实现。在202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zh-CN" w:eastAsia="zh-CN"/>
        </w:rPr>
        <w:t>年底全部完成100%。</w:t>
      </w:r>
    </w:p>
    <w:p w14:paraId="08F7FE41">
      <w:pPr>
        <w:snapToGrid w:val="0"/>
        <w:spacing w:line="50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省级部门</w:t>
      </w:r>
      <w:r>
        <w:rPr>
          <w:rFonts w:hint="eastAsia" w:ascii="Times New Roman" w:hAnsi="Times New Roman" w:eastAsia="仿宋_GB2312" w:cs="Times New Roman"/>
          <w:sz w:val="32"/>
          <w:szCs w:val="32"/>
          <w:lang w:val="zh-CN" w:eastAsia="zh-CN"/>
        </w:rPr>
        <w:t>对</w:t>
      </w:r>
      <w:r>
        <w:rPr>
          <w:rFonts w:hint="default"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年度一般公共预算、政府性基金预算、国有资本经营预算安排的常年项目、阶段项目绩效目标完成情况</w:t>
      </w:r>
      <w:r>
        <w:rPr>
          <w:rFonts w:hint="eastAsia" w:ascii="Times New Roman" w:hAnsi="Times New Roman" w:eastAsia="仿宋_GB2312" w:cs="Times New Roman"/>
          <w:sz w:val="32"/>
          <w:szCs w:val="32"/>
          <w:lang w:val="en-US" w:eastAsia="zh-CN"/>
        </w:rPr>
        <w:t>，以及</w:t>
      </w:r>
      <w:r>
        <w:rPr>
          <w:rFonts w:hint="default" w:ascii="Times New Roman" w:hAnsi="Times New Roman" w:eastAsia="仿宋_GB2312" w:cs="Times New Roman"/>
          <w:sz w:val="32"/>
          <w:szCs w:val="32"/>
          <w:lang w:val="en-US" w:eastAsia="zh-CN"/>
        </w:rPr>
        <w:t>债券资金、政府购买服务</w:t>
      </w:r>
      <w:r>
        <w:rPr>
          <w:rFonts w:hint="eastAsia" w:ascii="Times New Roman" w:hAnsi="Times New Roman" w:eastAsia="仿宋_GB2312" w:cs="Times New Roman"/>
          <w:sz w:val="32"/>
          <w:szCs w:val="32"/>
          <w:lang w:val="en-US" w:eastAsia="zh-CN"/>
        </w:rPr>
        <w:t>有关情况</w:t>
      </w:r>
      <w:r>
        <w:rPr>
          <w:rFonts w:hint="default" w:ascii="Times New Roman" w:hAnsi="Times New Roman" w:eastAsia="仿宋_GB2312" w:cs="Times New Roman"/>
          <w:sz w:val="32"/>
          <w:szCs w:val="32"/>
          <w:lang w:val="en-US" w:eastAsia="zh-CN"/>
        </w:rPr>
        <w:t>进行梳理阐述。</w:t>
      </w:r>
    </w:p>
    <w:p w14:paraId="1F13AC8C">
      <w:pPr>
        <w:pageBreakBefore w:val="0"/>
        <w:kinsoku/>
        <w:wordWrap/>
        <w:overflowPunct/>
        <w:topLinePunct w:val="0"/>
        <w:autoSpaceDE/>
        <w:autoSpaceDN/>
        <w:bidi w:val="0"/>
        <w:adjustRightInd/>
        <w:snapToGrid/>
        <w:spacing w:line="578" w:lineRule="exact"/>
        <w:ind w:firstLine="643" w:firstLineChars="200"/>
        <w:textAlignment w:val="auto"/>
        <w:rPr>
          <w:rFonts w:eastAsia="仿宋_GB2312"/>
          <w:sz w:val="32"/>
          <w:szCs w:val="32"/>
          <w:lang w:bidi="ar"/>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default" w:ascii="Times New Roman" w:hAnsi="Times New Roman" w:eastAsia="仿宋_GB2312" w:cs="Times New Roman"/>
          <w:sz w:val="32"/>
          <w:szCs w:val="32"/>
          <w:u w:val="none"/>
        </w:rPr>
        <w:t>项目前期严格按照实际制定预算情况，设立专门监督小组，由各部门分管领导任负责人，负责项目的日常监督管理，全程跟进项目资金的拨付进程和使用情况。实现了责任细分，责任到人。</w:t>
      </w:r>
    </w:p>
    <w:p w14:paraId="4BF4F3A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14:paraId="0BC3D86E">
      <w:pPr>
        <w:pageBreakBefore w:val="0"/>
        <w:kinsoku/>
        <w:wordWrap/>
        <w:overflowPunct/>
        <w:topLinePunct w:val="0"/>
        <w:autoSpaceDE/>
        <w:autoSpaceDN/>
        <w:bidi w:val="0"/>
        <w:adjustRightInd/>
        <w:snapToGrid/>
        <w:spacing w:line="578" w:lineRule="exact"/>
        <w:ind w:firstLine="643" w:firstLineChars="200"/>
        <w:textAlignment w:val="auto"/>
        <w:rPr>
          <w:rFonts w:eastAsia="仿宋_GB2312"/>
          <w:sz w:val="32"/>
          <w:szCs w:val="32"/>
          <w:lang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sz w:val="32"/>
          <w:szCs w:val="32"/>
          <w:u w:val="none"/>
        </w:rPr>
        <w:t>项目前期严格按照实际制定预算情况，设立专门监督小组，由各部门分管领导任负责人，负责项目的日常监督管理，全程跟进项目资金的拨付进程和使用情况。实现了责任细分，责任到人。</w:t>
      </w:r>
    </w:p>
    <w:p w14:paraId="471B8EC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p>
    <w:p w14:paraId="17E94CB3">
      <w:pPr>
        <w:pageBreakBefore w:val="0"/>
        <w:numPr>
          <w:ilvl w:val="0"/>
          <w:numId w:val="2"/>
        </w:numPr>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评价结论及建议</w:t>
      </w:r>
      <w:bookmarkStart w:id="53" w:name="_Hlk110546638"/>
    </w:p>
    <w:p w14:paraId="03D19B51">
      <w:pPr>
        <w:pageBreakBefore w:val="0"/>
        <w:numPr>
          <w:ilvl w:val="0"/>
          <w:numId w:val="0"/>
        </w:numPr>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仿宋_GB2312" w:cs="Times New Roman"/>
          <w:sz w:val="32"/>
          <w:szCs w:val="32"/>
          <w:u w:val="none"/>
        </w:rPr>
      </w:pPr>
      <w:r>
        <w:rPr>
          <w:rFonts w:ascii="Times New Roman" w:hAnsi="Times New Roman" w:eastAsia="楷体_GB2312" w:cs="Times New Roman"/>
          <w:b/>
          <w:bCs/>
          <w:color w:val="000000"/>
          <w:kern w:val="0"/>
          <w:sz w:val="32"/>
          <w:szCs w:val="32"/>
          <w:shd w:val="clear" w:color="auto" w:fill="FFFFFF"/>
          <w:lang w:val="zh-CN"/>
        </w:rPr>
        <w:t>(一)评价结论。</w:t>
      </w:r>
      <w:r>
        <w:rPr>
          <w:rFonts w:hint="default" w:ascii="Times New Roman" w:hAnsi="Times New Roman" w:eastAsia="仿宋_GB2312" w:cs="Times New Roman"/>
          <w:sz w:val="32"/>
          <w:szCs w:val="32"/>
          <w:u w:val="none"/>
        </w:rPr>
        <w:t>通过部门预算绩效自评总体结论，照绩效 评价指标体系评分，项目总得分90分，评价等级为“优。</w:t>
      </w:r>
    </w:p>
    <w:p w14:paraId="44F0F6EE">
      <w:pPr>
        <w:pageBreakBefore w:val="0"/>
        <w:kinsoku/>
        <w:wordWrap/>
        <w:overflowPunct/>
        <w:topLinePunct w:val="0"/>
        <w:autoSpaceDE/>
        <w:autoSpaceDN/>
        <w:bidi w:val="0"/>
        <w:adjustRightInd/>
        <w:snapToGrid/>
        <w:spacing w:line="578" w:lineRule="exact"/>
        <w:ind w:firstLine="643" w:firstLineChars="200"/>
        <w:textAlignment w:val="auto"/>
        <w:rPr>
          <w:rFonts w:hint="eastAsia" w:ascii="Times New Roman" w:hAnsi="Times New Roman" w:eastAsia="楷体_GB2312" w:cs="Times New Roman"/>
          <w:b/>
          <w:bCs/>
          <w:color w:val="000000"/>
          <w:kern w:val="0"/>
          <w:sz w:val="32"/>
          <w:szCs w:val="32"/>
          <w:shd w:val="clear" w:color="auto" w:fill="FFFFFF"/>
          <w:lang w:val="en-US" w:eastAsia="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二</w:t>
      </w:r>
      <w:r>
        <w:rPr>
          <w:rFonts w:ascii="Times New Roman" w:hAnsi="Times New Roman" w:eastAsia="楷体_GB2312" w:cs="Times New Roman"/>
          <w:b/>
          <w:bCs/>
          <w:color w:val="000000"/>
          <w:kern w:val="0"/>
          <w:sz w:val="32"/>
          <w:szCs w:val="32"/>
          <w:shd w:val="clear" w:color="auto" w:fill="FFFFFF"/>
          <w:lang w:val="zh-CN"/>
        </w:rPr>
        <w:t>)</w:t>
      </w:r>
      <w:r>
        <w:rPr>
          <w:rFonts w:hint="default" w:ascii="Times New Roman" w:hAnsi="Times New Roman" w:eastAsia="楷体_GB2312" w:cs="Times New Roman"/>
          <w:b/>
          <w:bCs/>
          <w:color w:val="000000"/>
          <w:kern w:val="0"/>
          <w:sz w:val="32"/>
          <w:szCs w:val="32"/>
          <w:shd w:val="clear" w:color="auto" w:fill="FFFFFF"/>
          <w:lang w:val="zh-CN" w:eastAsia="en-US"/>
        </w:rPr>
        <w:t>存在问题。</w:t>
      </w:r>
      <w:r>
        <w:rPr>
          <w:rFonts w:hint="eastAsia" w:ascii="Times New Roman" w:hAnsi="Times New Roman" w:eastAsia="楷体_GB2312" w:cs="Times New Roman"/>
          <w:b/>
          <w:bCs/>
          <w:color w:val="000000"/>
          <w:kern w:val="0"/>
          <w:sz w:val="32"/>
          <w:szCs w:val="32"/>
          <w:shd w:val="clear" w:color="auto" w:fill="FFFFFF"/>
          <w:lang w:val="en-US" w:eastAsia="zh-CN"/>
        </w:rPr>
        <w:t xml:space="preserve"> </w:t>
      </w:r>
    </w:p>
    <w:p w14:paraId="1AE51705">
      <w:pPr>
        <w:snapToGrid w:val="0"/>
        <w:spacing w:line="500" w:lineRule="exact"/>
        <w:ind w:firstLine="640" w:firstLineChars="200"/>
        <w:rPr>
          <w:rFonts w:hint="eastAsia" w:ascii="Times New Roman" w:hAnsi="Times New Roman" w:eastAsia="仿宋_GB2312" w:cs="Times New Roman"/>
          <w:sz w:val="32"/>
          <w:szCs w:val="32"/>
          <w:u w:val="none"/>
          <w:lang w:val="zh-CN"/>
        </w:rPr>
      </w:pPr>
      <w:r>
        <w:rPr>
          <w:rFonts w:hint="default" w:ascii="Times New Roman" w:hAnsi="Times New Roman" w:eastAsia="仿宋_GB2312" w:cs="Times New Roman"/>
          <w:sz w:val="32"/>
          <w:szCs w:val="32"/>
          <w:u w:val="none"/>
        </w:rPr>
        <w:t>首先，针对项目具体工作内容，项目主管部门应当设置完善  的绩效目标，不仅要包括产出目标，还应包括项目效益目标。其次，未来项目完工后，项目单位要积极开展绩效自评工作，</w:t>
      </w:r>
      <w:r>
        <w:rPr>
          <w:rFonts w:hint="eastAsia" w:ascii="仿宋_GB2312" w:hAnsi="仿宋_GB2312" w:eastAsia="仿宋_GB2312" w:cs="仿宋_GB2312"/>
          <w:sz w:val="32"/>
          <w:szCs w:val="32"/>
          <w:lang w:val="en-US" w:eastAsia="zh-CN"/>
        </w:rPr>
        <w:t>真实、全面、准确的衡量项目资金的效益效率，真实反映项目实际情况，针对存在问题和不足，及时分析形成原因，给未来类似项目的工作积累经验。</w:t>
      </w:r>
    </w:p>
    <w:p w14:paraId="15767EC5">
      <w:pPr>
        <w:pageBreakBefore w:val="0"/>
        <w:kinsoku/>
        <w:wordWrap/>
        <w:overflowPunct/>
        <w:topLinePunct w:val="0"/>
        <w:autoSpaceDE/>
        <w:autoSpaceDN/>
        <w:bidi w:val="0"/>
        <w:adjustRightInd/>
        <w:snapToGrid/>
        <w:spacing w:line="578" w:lineRule="exact"/>
        <w:ind w:firstLine="643" w:firstLineChars="200"/>
        <w:textAlignment w:val="auto"/>
        <w:rPr>
          <w:rFonts w:hint="default" w:ascii="Times New Roman" w:hAnsi="Times New Roman" w:eastAsia="楷体_GB2312" w:cs="Times New Roman"/>
          <w:b/>
          <w:bCs/>
          <w:color w:val="000000"/>
          <w:kern w:val="0"/>
          <w:sz w:val="32"/>
          <w:szCs w:val="32"/>
          <w:shd w:val="clear" w:color="auto" w:fill="FFFFFF"/>
          <w:lang w:val="zh-CN"/>
        </w:rPr>
      </w:pP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en-US" w:eastAsia="zh-CN"/>
        </w:rPr>
        <w:t>三</w:t>
      </w:r>
      <w:r>
        <w:rPr>
          <w:rFonts w:ascii="Times New Roman" w:hAnsi="Times New Roman" w:eastAsia="楷体_GB2312" w:cs="Times New Roman"/>
          <w:b/>
          <w:bCs/>
          <w:color w:val="000000"/>
          <w:kern w:val="0"/>
          <w:sz w:val="32"/>
          <w:szCs w:val="32"/>
          <w:shd w:val="clear" w:color="auto" w:fill="FFFFFF"/>
          <w:lang w:val="zh-CN"/>
        </w:rPr>
        <w:t>)</w:t>
      </w:r>
      <w:r>
        <w:rPr>
          <w:rFonts w:hint="eastAsia" w:ascii="Times New Roman" w:hAnsi="Times New Roman" w:eastAsia="楷体_GB2312" w:cs="Times New Roman"/>
          <w:b/>
          <w:bCs/>
          <w:color w:val="000000"/>
          <w:kern w:val="0"/>
          <w:sz w:val="32"/>
          <w:szCs w:val="32"/>
          <w:shd w:val="clear" w:color="auto" w:fill="FFFFFF"/>
          <w:lang w:val="zh-CN" w:eastAsia="zh-CN"/>
        </w:rPr>
        <w:t>改进建议</w:t>
      </w:r>
      <w:r>
        <w:rPr>
          <w:rFonts w:hint="eastAsia" w:ascii="Times New Roman" w:hAnsi="Times New Roman" w:eastAsia="楷体_GB2312" w:cs="Times New Roman"/>
          <w:b/>
          <w:bCs/>
          <w:color w:val="000000"/>
          <w:kern w:val="0"/>
          <w:sz w:val="32"/>
          <w:szCs w:val="32"/>
          <w:shd w:val="clear" w:color="auto" w:fill="FFFFFF"/>
          <w:lang w:val="zh-CN"/>
        </w:rPr>
        <w:t>。</w:t>
      </w:r>
    </w:p>
    <w:p w14:paraId="10CE0C41">
      <w:pPr>
        <w:pageBreakBefore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u w:val="none"/>
        </w:rPr>
      </w:pPr>
      <w:r>
        <w:rPr>
          <w:rFonts w:hint="default" w:ascii="Times New Roman" w:hAnsi="Times New Roman" w:eastAsia="仿宋_GB2312" w:cs="Times New Roman"/>
          <w:sz w:val="32"/>
          <w:szCs w:val="32"/>
          <w:u w:val="none"/>
        </w:rPr>
        <w:t>一是进一步加强预算执行刚性约束。在工作中明确预算项目 具体内容的同时明确项目执行进度。二是强化业财融合。增强业  务人员和财务人员“全员、全方位、全过程”预算控制思想，加 强业务与财务间沟通协调，使业务和财务都能更好的服务于全单 位工作提质增效。</w:t>
      </w:r>
    </w:p>
    <w:p w14:paraId="72B26C1B">
      <w:pPr>
        <w:pStyle w:val="7"/>
        <w:spacing w:line="560" w:lineRule="exact"/>
        <w:ind w:left="0" w:leftChars="0" w:firstLine="640"/>
        <w:rPr>
          <w:rFonts w:ascii="Times New Roman" w:eastAsia="仿宋_GB2312"/>
          <w:sz w:val="32"/>
          <w:lang w:val="zh-CN" w:bidi="ar"/>
        </w:rPr>
      </w:pPr>
    </w:p>
    <w:bookmarkEnd w:id="53"/>
    <w:p w14:paraId="4D838D1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B23225F">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4E6813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33DE46D6">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tbl>
      <w:tblPr>
        <w:tblStyle w:val="15"/>
        <w:tblW w:w="9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28"/>
        <w:gridCol w:w="1020"/>
        <w:gridCol w:w="1253"/>
        <w:gridCol w:w="396"/>
        <w:gridCol w:w="1021"/>
        <w:gridCol w:w="486"/>
        <w:gridCol w:w="846"/>
        <w:gridCol w:w="486"/>
        <w:gridCol w:w="486"/>
        <w:gridCol w:w="1442"/>
      </w:tblGrid>
      <w:tr w14:paraId="33ABD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C286F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1906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0C8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E07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51320021T000000060617-购置图书</w:t>
            </w:r>
          </w:p>
        </w:tc>
      </w:tr>
      <w:tr w14:paraId="6D0DC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43E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B45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42068FCA">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55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0B39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4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25E4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BF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4C7C8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6C1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A9ECE">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04C17">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EDF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图书采购数量：纸质图书5500册，电子图书、期刊4500种，11万册</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BB5E2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严格按照采购标准筛选图书，优先选择正版、优质、口碑良好的出版物，本年度购置图书均通过质量检验，无盗版、残次、内容违规等问题，图书质量合格率100%，符合项目预设的质量要求。</w:t>
            </w:r>
          </w:p>
        </w:tc>
      </w:tr>
      <w:tr w14:paraId="32BC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F1CDD">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F8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24F3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001B5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3C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D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5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5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87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7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A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9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2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2D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707A7">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5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F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33.89</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0A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2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4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270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9A4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F93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5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4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A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33.89</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5A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33.89</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C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B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4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1AFC6">
            <w:pPr>
              <w:rPr>
                <w:rFonts w:hint="eastAsia" w:ascii="黑体" w:hAnsi="黑体" w:eastAsia="黑体" w:cs="黑体"/>
                <w:i/>
                <w:iCs/>
                <w:color w:val="000000"/>
                <w:sz w:val="18"/>
                <w:szCs w:val="18"/>
                <w:u w:val="none"/>
              </w:rPr>
            </w:pPr>
          </w:p>
        </w:tc>
      </w:tr>
      <w:tr w14:paraId="62D58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2D93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1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B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3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FF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3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9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F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82DAE">
            <w:pPr>
              <w:rPr>
                <w:rFonts w:hint="eastAsia" w:ascii="黑体" w:hAnsi="黑体" w:eastAsia="黑体" w:cs="黑体"/>
                <w:i/>
                <w:iCs/>
                <w:color w:val="000000"/>
                <w:sz w:val="18"/>
                <w:szCs w:val="18"/>
                <w:u w:val="none"/>
              </w:rPr>
            </w:pPr>
          </w:p>
        </w:tc>
      </w:tr>
      <w:tr w14:paraId="4990C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60AF">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C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4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3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C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5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5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3B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9678E">
            <w:pPr>
              <w:rPr>
                <w:rFonts w:hint="eastAsia" w:ascii="黑体" w:hAnsi="黑体" w:eastAsia="黑体" w:cs="黑体"/>
                <w:i/>
                <w:iCs/>
                <w:color w:val="000000"/>
                <w:sz w:val="18"/>
                <w:szCs w:val="18"/>
                <w:u w:val="none"/>
              </w:rPr>
            </w:pPr>
          </w:p>
        </w:tc>
      </w:tr>
      <w:tr w14:paraId="55885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057EF">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6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8FBF">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7921A">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93AB6">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D08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1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1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1859">
            <w:pPr>
              <w:rPr>
                <w:rFonts w:hint="eastAsia" w:ascii="黑体" w:hAnsi="黑体" w:eastAsia="黑体" w:cs="黑体"/>
                <w:i/>
                <w:iCs/>
                <w:color w:val="000000"/>
                <w:sz w:val="18"/>
                <w:szCs w:val="18"/>
                <w:u w:val="none"/>
              </w:rPr>
            </w:pPr>
          </w:p>
        </w:tc>
      </w:tr>
      <w:tr w14:paraId="1F92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46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3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F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6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3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3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A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0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D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1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E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98F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5C442">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4E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1C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7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采购计划完成100%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F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A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3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A6E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A9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5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2806">
            <w:pPr>
              <w:jc w:val="center"/>
              <w:rPr>
                <w:rFonts w:hint="eastAsia" w:ascii="微软雅黑" w:hAnsi="微软雅黑" w:eastAsia="微软雅黑" w:cs="微软雅黑"/>
                <w:i/>
                <w:iCs/>
                <w:color w:val="000000"/>
                <w:sz w:val="16"/>
                <w:szCs w:val="16"/>
                <w:u w:val="none"/>
              </w:rPr>
            </w:pPr>
          </w:p>
        </w:tc>
      </w:tr>
      <w:tr w14:paraId="5E0C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13378">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95224">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7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A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图书完整率95%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B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C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达成</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85BB">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75D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0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9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FE08">
            <w:pPr>
              <w:jc w:val="center"/>
              <w:rPr>
                <w:rFonts w:hint="eastAsia" w:ascii="微软雅黑" w:hAnsi="微软雅黑" w:eastAsia="微软雅黑" w:cs="微软雅黑"/>
                <w:i/>
                <w:iCs/>
                <w:color w:val="000000"/>
                <w:sz w:val="16"/>
                <w:szCs w:val="16"/>
                <w:u w:val="none"/>
              </w:rPr>
            </w:pPr>
          </w:p>
        </w:tc>
      </w:tr>
      <w:tr w14:paraId="03CF9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06D58">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653C5">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4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A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0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C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5F6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733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1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A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AFAB">
            <w:pPr>
              <w:jc w:val="center"/>
              <w:rPr>
                <w:rFonts w:hint="eastAsia" w:ascii="微软雅黑" w:hAnsi="微软雅黑" w:eastAsia="微软雅黑" w:cs="微软雅黑"/>
                <w:i/>
                <w:iCs/>
                <w:color w:val="000000"/>
                <w:sz w:val="16"/>
                <w:szCs w:val="16"/>
                <w:u w:val="none"/>
              </w:rPr>
            </w:pPr>
          </w:p>
        </w:tc>
      </w:tr>
      <w:tr w14:paraId="525F5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0AA2D">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23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4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7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图书借阅率达到95%，读者覆盖率80%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F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6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A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900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3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D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20D9">
            <w:pPr>
              <w:jc w:val="center"/>
              <w:rPr>
                <w:rFonts w:hint="eastAsia" w:ascii="微软雅黑" w:hAnsi="微软雅黑" w:eastAsia="微软雅黑" w:cs="微软雅黑"/>
                <w:i/>
                <w:iCs/>
                <w:color w:val="000000"/>
                <w:sz w:val="16"/>
                <w:szCs w:val="16"/>
                <w:u w:val="none"/>
              </w:rPr>
            </w:pPr>
          </w:p>
        </w:tc>
      </w:tr>
      <w:tr w14:paraId="4F2F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DB1E">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7D3F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6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5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长期满足读者需求</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1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5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B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5DC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2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7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B9A1">
            <w:pPr>
              <w:jc w:val="center"/>
              <w:rPr>
                <w:rFonts w:hint="eastAsia" w:ascii="微软雅黑" w:hAnsi="微软雅黑" w:eastAsia="微软雅黑" w:cs="微软雅黑"/>
                <w:i/>
                <w:iCs/>
                <w:color w:val="000000"/>
                <w:sz w:val="16"/>
                <w:szCs w:val="16"/>
                <w:u w:val="none"/>
              </w:rPr>
            </w:pPr>
          </w:p>
        </w:tc>
      </w:tr>
      <w:tr w14:paraId="14139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82802">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D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C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E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A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1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C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D55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1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D9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4D6C">
            <w:pPr>
              <w:jc w:val="center"/>
              <w:rPr>
                <w:rFonts w:hint="eastAsia" w:ascii="微软雅黑" w:hAnsi="微软雅黑" w:eastAsia="微软雅黑" w:cs="微软雅黑"/>
                <w:i/>
                <w:iCs/>
                <w:color w:val="000000"/>
                <w:sz w:val="16"/>
                <w:szCs w:val="16"/>
                <w:u w:val="none"/>
              </w:rPr>
            </w:pPr>
          </w:p>
        </w:tc>
      </w:tr>
      <w:tr w14:paraId="4ABF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DECF5">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9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D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6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本项目成本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1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D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C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548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0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9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871B">
            <w:pPr>
              <w:jc w:val="center"/>
              <w:rPr>
                <w:rFonts w:hint="eastAsia" w:ascii="微软雅黑" w:hAnsi="微软雅黑" w:eastAsia="微软雅黑" w:cs="微软雅黑"/>
                <w:i/>
                <w:iCs/>
                <w:color w:val="000000"/>
                <w:sz w:val="16"/>
                <w:szCs w:val="16"/>
                <w:u w:val="none"/>
              </w:rPr>
            </w:pPr>
          </w:p>
        </w:tc>
      </w:tr>
      <w:tr w14:paraId="51F2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A76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3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C10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5AF9">
            <w:pPr>
              <w:rPr>
                <w:rFonts w:hint="eastAsia" w:ascii="宋体" w:hAnsi="宋体" w:eastAsia="宋体" w:cs="宋体"/>
                <w:i w:val="0"/>
                <w:iCs w:val="0"/>
                <w:color w:val="000000"/>
                <w:sz w:val="18"/>
                <w:szCs w:val="18"/>
                <w:u w:val="none"/>
              </w:rPr>
            </w:pPr>
          </w:p>
        </w:tc>
      </w:tr>
      <w:tr w14:paraId="7A3CB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8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315B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本年度购置图书项目整体实施顺利，圆满完成了年度各项既定目标，自评结果良好优秀。项目实施过程规范、经费使用合理、成效显著，有效发挥了图书购置项目的公益价值，切实满足了广大读者的阅读需求，达到了项目立项时的预期目标。</w:t>
            </w:r>
          </w:p>
        </w:tc>
      </w:tr>
      <w:tr w14:paraId="3EA46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0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5B2D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自评中发现，部分图书在借阅过程中出现破损、污渍等情况，图书分类整理的及时性不足，部分图书上架位置不够规范，给读者借阅带来不便，后续管理维护的精细化程度有待提升。</w:t>
            </w:r>
          </w:p>
        </w:tc>
      </w:tr>
      <w:tr w14:paraId="260F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0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D705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确图书后续管理维护的责任分工，配备专人负责图书的日常检查、破损修复、分类整理和上架规范，建立图书管理考核机制，将管理工作纳入绩效考核，定期开展自查自纠，及时发现并解决管理中的问题。同时，加强对读者的宣传引导，规范借阅行为，减少图书破损、丢失等情况。</w:t>
            </w:r>
          </w:p>
        </w:tc>
      </w:tr>
      <w:tr w14:paraId="69E0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B4EF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2DA4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CD50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5740A161">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4D74C63F">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54553D1D">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1395BF5A">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2603947">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60FD9D5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FF99E89">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7AE25D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DDC18B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10DF719">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7264E622">
            <w:pPr>
              <w:rPr>
                <w:rFonts w:hint="eastAsia" w:ascii="宋体" w:hAnsi="宋体" w:eastAsia="宋体" w:cs="宋体"/>
                <w:i w:val="0"/>
                <w:iCs w:val="0"/>
                <w:color w:val="000000"/>
                <w:sz w:val="18"/>
                <w:szCs w:val="18"/>
                <w:u w:val="none"/>
              </w:rPr>
            </w:pPr>
          </w:p>
        </w:tc>
      </w:tr>
      <w:tr w14:paraId="72863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1F15A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1F7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73D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4A0A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51320024T000010435921-2024年全民阅读活动</w:t>
            </w:r>
          </w:p>
        </w:tc>
      </w:tr>
      <w:tr w14:paraId="27D8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DED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FA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14BB97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84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2CC2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6C4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F9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456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AE38F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F0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51000">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79E6">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5B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线下阅读活动为主体，结合新建的阿坝州图书馆新馆、红军长征雪山草地文献中心、阿来城市书房、朗读亭开展线上线下全民阅读推广活动，打造阿坝州全民阅读品牌。提升公共文化服务水平，满足群众多样化阅读需求。</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D5B4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年度计划组织全民阅读系列活动20场，完成率 100%。其中涵盖亲子阅读、主题读书分享、经典诵读、图书漂流等多元活动类型，覆盖青少年、中老年、职场人群等全年龄段群体，活动场次与覆盖人群均超额完成年度计划。</w:t>
            </w:r>
          </w:p>
        </w:tc>
      </w:tr>
      <w:tr w14:paraId="0A747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F974D">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32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4A5F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2B47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F6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2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E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A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DC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B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8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B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6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0D6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B7576">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E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4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5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97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9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8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1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D1D67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2FC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B1B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F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E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785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5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3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A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3C5F1">
            <w:pPr>
              <w:rPr>
                <w:rFonts w:hint="eastAsia" w:ascii="黑体" w:hAnsi="黑体" w:eastAsia="黑体" w:cs="黑体"/>
                <w:i/>
                <w:iCs/>
                <w:color w:val="000000"/>
                <w:sz w:val="18"/>
                <w:szCs w:val="18"/>
                <w:u w:val="none"/>
              </w:rPr>
            </w:pPr>
          </w:p>
        </w:tc>
      </w:tr>
      <w:tr w14:paraId="109C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0017">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B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8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9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22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9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D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3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6CB2D">
            <w:pPr>
              <w:rPr>
                <w:rFonts w:hint="eastAsia" w:ascii="黑体" w:hAnsi="黑体" w:eastAsia="黑体" w:cs="黑体"/>
                <w:i/>
                <w:iCs/>
                <w:color w:val="000000"/>
                <w:sz w:val="18"/>
                <w:szCs w:val="18"/>
                <w:u w:val="none"/>
              </w:rPr>
            </w:pPr>
          </w:p>
        </w:tc>
      </w:tr>
      <w:tr w14:paraId="0714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6692">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3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8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5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C7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6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3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1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5584">
            <w:pPr>
              <w:rPr>
                <w:rFonts w:hint="eastAsia" w:ascii="黑体" w:hAnsi="黑体" w:eastAsia="黑体" w:cs="黑体"/>
                <w:i/>
                <w:iCs/>
                <w:color w:val="000000"/>
                <w:sz w:val="18"/>
                <w:szCs w:val="18"/>
                <w:u w:val="none"/>
              </w:rPr>
            </w:pPr>
          </w:p>
        </w:tc>
      </w:tr>
      <w:tr w14:paraId="2EFFE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67F55">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8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7AD8">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1AF8">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6287E">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3FB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3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5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4E3D6">
            <w:pPr>
              <w:rPr>
                <w:rFonts w:hint="eastAsia" w:ascii="黑体" w:hAnsi="黑体" w:eastAsia="黑体" w:cs="黑体"/>
                <w:i/>
                <w:iCs/>
                <w:color w:val="000000"/>
                <w:sz w:val="18"/>
                <w:szCs w:val="18"/>
                <w:u w:val="none"/>
              </w:rPr>
            </w:pPr>
          </w:p>
        </w:tc>
      </w:tr>
      <w:tr w14:paraId="1DC5C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3E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0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F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1B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D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6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E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C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5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E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DCD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227C">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A2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F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5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活动参与人次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8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7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0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CE4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F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3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0BFC">
            <w:pPr>
              <w:jc w:val="center"/>
              <w:rPr>
                <w:rFonts w:hint="eastAsia" w:ascii="微软雅黑" w:hAnsi="微软雅黑" w:eastAsia="微软雅黑" w:cs="微软雅黑"/>
                <w:i/>
                <w:iCs/>
                <w:color w:val="000000"/>
                <w:sz w:val="16"/>
                <w:szCs w:val="16"/>
                <w:u w:val="none"/>
              </w:rPr>
            </w:pPr>
          </w:p>
        </w:tc>
      </w:tr>
      <w:tr w14:paraId="2E88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5145E">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08149">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E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8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6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8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D68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0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4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1FF8">
            <w:pPr>
              <w:jc w:val="center"/>
              <w:rPr>
                <w:rFonts w:hint="eastAsia" w:ascii="微软雅黑" w:hAnsi="微软雅黑" w:eastAsia="微软雅黑" w:cs="微软雅黑"/>
                <w:i/>
                <w:iCs/>
                <w:color w:val="000000"/>
                <w:sz w:val="16"/>
                <w:szCs w:val="16"/>
                <w:u w:val="none"/>
              </w:rPr>
            </w:pPr>
          </w:p>
        </w:tc>
      </w:tr>
      <w:tr w14:paraId="40C3A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745D4">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87593">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3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C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年度工作完成及时率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6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D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3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2B7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7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E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640B">
            <w:pPr>
              <w:jc w:val="center"/>
              <w:rPr>
                <w:rFonts w:hint="eastAsia" w:ascii="微软雅黑" w:hAnsi="微软雅黑" w:eastAsia="微软雅黑" w:cs="微软雅黑"/>
                <w:i/>
                <w:iCs/>
                <w:color w:val="000000"/>
                <w:sz w:val="16"/>
                <w:szCs w:val="16"/>
                <w:u w:val="none"/>
              </w:rPr>
            </w:pPr>
          </w:p>
        </w:tc>
      </w:tr>
      <w:tr w14:paraId="36D96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DBCE0">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09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E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3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促进地区文化高质量发展</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A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6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8B5F">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03B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A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2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47C5">
            <w:pPr>
              <w:jc w:val="center"/>
              <w:rPr>
                <w:rFonts w:hint="eastAsia" w:ascii="微软雅黑" w:hAnsi="微软雅黑" w:eastAsia="微软雅黑" w:cs="微软雅黑"/>
                <w:i/>
                <w:iCs/>
                <w:color w:val="000000"/>
                <w:sz w:val="16"/>
                <w:szCs w:val="16"/>
                <w:u w:val="none"/>
              </w:rPr>
            </w:pPr>
          </w:p>
        </w:tc>
      </w:tr>
      <w:tr w14:paraId="3AF3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5C88">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CEA1">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B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长期有效促进</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B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3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6F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4EF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7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A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8B02">
            <w:pPr>
              <w:jc w:val="center"/>
              <w:rPr>
                <w:rFonts w:hint="eastAsia" w:ascii="微软雅黑" w:hAnsi="微软雅黑" w:eastAsia="微软雅黑" w:cs="微软雅黑"/>
                <w:i/>
                <w:iCs/>
                <w:color w:val="000000"/>
                <w:sz w:val="16"/>
                <w:szCs w:val="16"/>
                <w:u w:val="none"/>
              </w:rPr>
            </w:pPr>
          </w:p>
        </w:tc>
      </w:tr>
      <w:tr w14:paraId="7CC5D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F80D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2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9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F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B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D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4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0B0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4E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8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24DC">
            <w:pPr>
              <w:jc w:val="center"/>
              <w:rPr>
                <w:rFonts w:hint="eastAsia" w:ascii="微软雅黑" w:hAnsi="微软雅黑" w:eastAsia="微软雅黑" w:cs="微软雅黑"/>
                <w:i/>
                <w:iCs/>
                <w:color w:val="000000"/>
                <w:sz w:val="16"/>
                <w:szCs w:val="16"/>
                <w:u w:val="none"/>
              </w:rPr>
            </w:pPr>
          </w:p>
        </w:tc>
      </w:tr>
      <w:tr w14:paraId="1986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6D79">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E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E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2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资金支出额度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1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8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8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44E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1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6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B85A">
            <w:pPr>
              <w:jc w:val="center"/>
              <w:rPr>
                <w:rFonts w:hint="eastAsia" w:ascii="微软雅黑" w:hAnsi="微软雅黑" w:eastAsia="微软雅黑" w:cs="微软雅黑"/>
                <w:i/>
                <w:iCs/>
                <w:color w:val="000000"/>
                <w:sz w:val="16"/>
                <w:szCs w:val="16"/>
                <w:u w:val="none"/>
              </w:rPr>
            </w:pPr>
          </w:p>
        </w:tc>
      </w:tr>
      <w:tr w14:paraId="5F8A8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C6C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D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761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B34D">
            <w:pPr>
              <w:rPr>
                <w:rFonts w:hint="eastAsia" w:ascii="宋体" w:hAnsi="宋体" w:eastAsia="宋体" w:cs="宋体"/>
                <w:i w:val="0"/>
                <w:iCs w:val="0"/>
                <w:color w:val="000000"/>
                <w:sz w:val="18"/>
                <w:szCs w:val="18"/>
                <w:u w:val="none"/>
              </w:rPr>
            </w:pPr>
          </w:p>
        </w:tc>
      </w:tr>
      <w:tr w14:paraId="446D1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8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CFCD3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项目自评100分，活动紧扣时代主题与群众需求，开展 “经典诵读”“红色书籍阅读分享” 等特色活动，引导群众从 “被动阅读” 转向 “主动思考”。实现了 “以读促思、以思促学” 的育人效果</w:t>
            </w:r>
          </w:p>
        </w:tc>
      </w:tr>
      <w:tr w14:paraId="7157A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7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9A04B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活动策划、组织、执行环节缺乏专业阅读推广人才支撑，部分活动主持、引导环节不够深入，难以有效引导群众深度阅读；活动效果评估仅依赖参与人数、反馈意见，缺乏对群众阅读习惯养成、素养提升的长期跟踪评估。</w:t>
            </w:r>
          </w:p>
        </w:tc>
      </w:tr>
      <w:tr w14:paraId="517C7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1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670A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组建专业阅读推广人才队伍：选拔培训现有工作人员，重点提升阅读策划、活动引导、效果评估等技能；邀请高校专家、文化学者、资深阅读推广人作为顾问，为活动提供专业指导。</w:t>
            </w:r>
          </w:p>
        </w:tc>
      </w:tr>
      <w:tr w14:paraId="0F6F4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11B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196E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9D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30EA4B16">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66BD72B8">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47FC6928">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5F7CE311">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0839CFE0">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223F5BD5">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0359FB7">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3653282D">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44050A4">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48FC082">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33D57D55">
            <w:pPr>
              <w:rPr>
                <w:rFonts w:hint="eastAsia" w:ascii="宋体" w:hAnsi="宋体" w:eastAsia="宋体" w:cs="宋体"/>
                <w:i w:val="0"/>
                <w:iCs w:val="0"/>
                <w:color w:val="000000"/>
                <w:sz w:val="18"/>
                <w:szCs w:val="18"/>
                <w:u w:val="none"/>
              </w:rPr>
            </w:pPr>
          </w:p>
        </w:tc>
      </w:tr>
      <w:tr w14:paraId="1B4B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1526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A56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C4A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F38A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51320024T000010436094-阿来城市书房运行管理费</w:t>
            </w:r>
          </w:p>
        </w:tc>
      </w:tr>
      <w:tr w14:paraId="77E74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32C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7326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263E0A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19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55FA5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C5B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64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32E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0594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28D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FBD9">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AFDAB">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1D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新建的阿来城市书房作为州庆重点项目和地方文化名片，得到广大读者和社会好评，并作为州、县文化亮点工程和文化旅游休闲打卡地。没有相应的运行费用，为确保能正常运行，每年都需要纳入财政预算.</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C8F7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运营保障目标：书房严格执行既定开放时间，无无故闭馆、提前闭馆情况；完成书房日常保洁、图书整理、秩序维护等工作，保障书房环境整洁、运营有序，满足群众日常阅读需求。</w:t>
            </w:r>
          </w:p>
        </w:tc>
      </w:tr>
      <w:tr w14:paraId="76A18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11465">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90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746C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6FD51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C6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E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4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D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9A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5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C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4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2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C496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2790D">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9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7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2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9.45</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58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1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6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B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D28D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FCA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B9E1E">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D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5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40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9.45</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A3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7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B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1F24">
            <w:pPr>
              <w:rPr>
                <w:rFonts w:hint="eastAsia" w:ascii="黑体" w:hAnsi="黑体" w:eastAsia="黑体" w:cs="黑体"/>
                <w:i/>
                <w:iCs/>
                <w:color w:val="000000"/>
                <w:sz w:val="18"/>
                <w:szCs w:val="18"/>
                <w:u w:val="none"/>
              </w:rPr>
            </w:pPr>
          </w:p>
        </w:tc>
      </w:tr>
      <w:tr w14:paraId="6CD5F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F842D">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7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B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9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E8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7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3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7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4227">
            <w:pPr>
              <w:rPr>
                <w:rFonts w:hint="eastAsia" w:ascii="黑体" w:hAnsi="黑体" w:eastAsia="黑体" w:cs="黑体"/>
                <w:i/>
                <w:iCs/>
                <w:color w:val="000000"/>
                <w:sz w:val="18"/>
                <w:szCs w:val="18"/>
                <w:u w:val="none"/>
              </w:rPr>
            </w:pPr>
          </w:p>
        </w:tc>
      </w:tr>
      <w:tr w14:paraId="24E5C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8003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A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B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E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FC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8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E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F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24813">
            <w:pPr>
              <w:rPr>
                <w:rFonts w:hint="eastAsia" w:ascii="黑体" w:hAnsi="黑体" w:eastAsia="黑体" w:cs="黑体"/>
                <w:i/>
                <w:iCs/>
                <w:color w:val="000000"/>
                <w:sz w:val="18"/>
                <w:szCs w:val="18"/>
                <w:u w:val="none"/>
              </w:rPr>
            </w:pPr>
          </w:p>
        </w:tc>
      </w:tr>
      <w:tr w14:paraId="6FA8E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C8A0F">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6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C93D">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8844">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2EC39">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C46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3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C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61EEB">
            <w:pPr>
              <w:rPr>
                <w:rFonts w:hint="eastAsia" w:ascii="黑体" w:hAnsi="黑体" w:eastAsia="黑体" w:cs="黑体"/>
                <w:i/>
                <w:iCs/>
                <w:color w:val="000000"/>
                <w:sz w:val="18"/>
                <w:szCs w:val="18"/>
                <w:u w:val="none"/>
              </w:rPr>
            </w:pPr>
          </w:p>
        </w:tc>
      </w:tr>
      <w:tr w14:paraId="0EE7E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C2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8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1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4D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2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D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B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4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E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4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D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3EC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2DF3A">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FE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A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E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年借阅流通量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1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5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F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E96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4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C2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44F9">
            <w:pPr>
              <w:jc w:val="center"/>
              <w:rPr>
                <w:rFonts w:hint="eastAsia" w:ascii="微软雅黑" w:hAnsi="微软雅黑" w:eastAsia="微软雅黑" w:cs="微软雅黑"/>
                <w:i/>
                <w:iCs/>
                <w:color w:val="000000"/>
                <w:sz w:val="16"/>
                <w:szCs w:val="16"/>
                <w:u w:val="none"/>
              </w:rPr>
            </w:pPr>
          </w:p>
        </w:tc>
      </w:tr>
      <w:tr w14:paraId="6B0F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E52D">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5FAC1">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1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E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设施设备维护及时率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1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A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E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C9E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B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9866">
            <w:pPr>
              <w:jc w:val="center"/>
              <w:rPr>
                <w:rFonts w:hint="eastAsia" w:ascii="微软雅黑" w:hAnsi="微软雅黑" w:eastAsia="微软雅黑" w:cs="微软雅黑"/>
                <w:i/>
                <w:iCs/>
                <w:color w:val="000000"/>
                <w:sz w:val="16"/>
                <w:szCs w:val="16"/>
                <w:u w:val="none"/>
              </w:rPr>
            </w:pPr>
          </w:p>
        </w:tc>
      </w:tr>
      <w:tr w14:paraId="3E1AA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D699">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D65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5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6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完成年度目标及时率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C5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4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9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7AE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E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2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13BB">
            <w:pPr>
              <w:jc w:val="center"/>
              <w:rPr>
                <w:rFonts w:hint="eastAsia" w:ascii="微软雅黑" w:hAnsi="微软雅黑" w:eastAsia="微软雅黑" w:cs="微软雅黑"/>
                <w:i/>
                <w:iCs/>
                <w:color w:val="000000"/>
                <w:sz w:val="16"/>
                <w:szCs w:val="16"/>
                <w:u w:val="none"/>
              </w:rPr>
            </w:pPr>
          </w:p>
        </w:tc>
      </w:tr>
      <w:tr w14:paraId="486E7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9BFD3">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7E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5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9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提升阿来城市书房城市文化品牌影响力</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4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1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C01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316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2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8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F6C3">
            <w:pPr>
              <w:jc w:val="center"/>
              <w:rPr>
                <w:rFonts w:hint="eastAsia" w:ascii="微软雅黑" w:hAnsi="微软雅黑" w:eastAsia="微软雅黑" w:cs="微软雅黑"/>
                <w:i/>
                <w:iCs/>
                <w:color w:val="000000"/>
                <w:sz w:val="16"/>
                <w:szCs w:val="16"/>
                <w:u w:val="none"/>
              </w:rPr>
            </w:pPr>
          </w:p>
        </w:tc>
      </w:tr>
      <w:tr w14:paraId="3867C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7B58F">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901F9">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3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8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提升阿来城市书房管理水平</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E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6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F95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A50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F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F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5CC0">
            <w:pPr>
              <w:jc w:val="center"/>
              <w:rPr>
                <w:rFonts w:hint="eastAsia" w:ascii="微软雅黑" w:hAnsi="微软雅黑" w:eastAsia="微软雅黑" w:cs="微软雅黑"/>
                <w:i/>
                <w:iCs/>
                <w:color w:val="000000"/>
                <w:sz w:val="16"/>
                <w:szCs w:val="16"/>
                <w:u w:val="none"/>
              </w:rPr>
            </w:pPr>
          </w:p>
        </w:tc>
      </w:tr>
      <w:tr w14:paraId="77E1E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8C3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4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5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D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7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A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4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FD5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0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8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B31D">
            <w:pPr>
              <w:jc w:val="center"/>
              <w:rPr>
                <w:rFonts w:hint="eastAsia" w:ascii="微软雅黑" w:hAnsi="微软雅黑" w:eastAsia="微软雅黑" w:cs="微软雅黑"/>
                <w:i/>
                <w:iCs/>
                <w:color w:val="000000"/>
                <w:sz w:val="16"/>
                <w:szCs w:val="16"/>
                <w:u w:val="none"/>
              </w:rPr>
            </w:pPr>
          </w:p>
        </w:tc>
      </w:tr>
      <w:tr w14:paraId="5A55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40BC7">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3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9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9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成本费用控制范围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3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4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1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5DC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4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D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E8696">
            <w:pPr>
              <w:jc w:val="center"/>
              <w:rPr>
                <w:rFonts w:hint="eastAsia" w:ascii="微软雅黑" w:hAnsi="微软雅黑" w:eastAsia="微软雅黑" w:cs="微软雅黑"/>
                <w:i/>
                <w:iCs/>
                <w:color w:val="000000"/>
                <w:sz w:val="16"/>
                <w:szCs w:val="16"/>
                <w:u w:val="none"/>
              </w:rPr>
            </w:pPr>
          </w:p>
        </w:tc>
      </w:tr>
      <w:tr w14:paraId="57E0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F1F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6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9D5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8E1F">
            <w:pPr>
              <w:rPr>
                <w:rFonts w:hint="eastAsia" w:ascii="宋体" w:hAnsi="宋体" w:eastAsia="宋体" w:cs="宋体"/>
                <w:i w:val="0"/>
                <w:iCs w:val="0"/>
                <w:color w:val="000000"/>
                <w:sz w:val="18"/>
                <w:szCs w:val="18"/>
                <w:u w:val="none"/>
              </w:rPr>
            </w:pPr>
          </w:p>
        </w:tc>
      </w:tr>
      <w:tr w14:paraId="02274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4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AE10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本年度书房运行管理费项目整体实施顺利，圆满完成了年度各项既定目标，自评结果优秀。项目实施过程规范、经费使用合理、运营成效显著，有效发挥了运行管理费的保障作用，切实保障了书房有序运营，提升了阅读服务质量，满足了群众的阅读需求，达到了项目实施的预期目标，为书香建设提供了有力支撑。</w:t>
            </w:r>
          </w:p>
        </w:tc>
      </w:tr>
      <w:tr w14:paraId="00BB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1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93146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服务运营创新性不足：服务形式较为单一，主要以基础借阅、咨询服务为主，缺乏特色阅读活动、读者互动等创新性服务；服务人员创新意识不足，对新型服务形式的探索不够，难以更好地适应新时代读者阅读需求。</w:t>
            </w:r>
          </w:p>
        </w:tc>
      </w:tr>
      <w:tr w14:paraId="2F62D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9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573D5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创新服务形式，提升服务品质：组织服务人员开展创新服务专项培训，提升创新意识和专业能力；探索开展特色阅读活动、亲子阅读、线上借阅、文献解读等创新性服务，丰富服务形式，满足不同读者群体的个性化需求，提升书房服务吸引力。</w:t>
            </w:r>
          </w:p>
        </w:tc>
      </w:tr>
      <w:tr w14:paraId="22ECF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BBB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DF71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B9A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2738FA47">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2DD0BC40">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43AC5486">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29781DB2">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295059B5">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0EB90A09">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E1410AB">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AA6F27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F2018BE">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452496A">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4E5C5640">
            <w:pPr>
              <w:rPr>
                <w:rFonts w:hint="eastAsia" w:ascii="宋体" w:hAnsi="宋体" w:eastAsia="宋体" w:cs="宋体"/>
                <w:i w:val="0"/>
                <w:iCs w:val="0"/>
                <w:color w:val="000000"/>
                <w:sz w:val="18"/>
                <w:szCs w:val="18"/>
                <w:u w:val="none"/>
              </w:rPr>
            </w:pPr>
          </w:p>
        </w:tc>
      </w:tr>
      <w:tr w14:paraId="73E3F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FB426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A21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971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A3AE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51320024T000010436281-州图书馆新馆物管和保洁费</w:t>
            </w:r>
          </w:p>
        </w:tc>
      </w:tr>
      <w:tr w14:paraId="0B929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0B4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0E3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50B16C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75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6013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DE7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CD84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229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8BA3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F83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5612A">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D0AC9">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A29E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阿坝州图书馆新馆、红军长征雪山草地文献中心、阿来城市书房建设完成投入使用后，得到广大读者和社会好评，并作为州、县文化亮点工程和文化旅游休闲打卡地。使建其形成深度挖掘场馆文化元素，开发系列文创产品。针对不同年龄段读者设计研学课程，开展沉浸式体验活动。借助文化场馆，激发阿坝文旅新活力。</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5618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业主满意度目标：通过问卷调查、业主反馈、上门走访等方式收集意见，本年度业主对物管和保洁服务的整体满意度为100%，有效解决了业主反映的保洁不到位、物管响应不及时等突出问题。</w:t>
            </w:r>
          </w:p>
        </w:tc>
      </w:tr>
      <w:tr w14:paraId="3C01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0DD3">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EE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14A4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3457E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E1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71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A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D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59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C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9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7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D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671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5FE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D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0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2B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39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5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2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4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5086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A74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31FD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8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E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E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0E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C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C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9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4C35">
            <w:pPr>
              <w:rPr>
                <w:rFonts w:hint="eastAsia" w:ascii="黑体" w:hAnsi="黑体" w:eastAsia="黑体" w:cs="黑体"/>
                <w:i/>
                <w:iCs/>
                <w:color w:val="000000"/>
                <w:sz w:val="18"/>
                <w:szCs w:val="18"/>
                <w:u w:val="none"/>
              </w:rPr>
            </w:pPr>
          </w:p>
        </w:tc>
      </w:tr>
      <w:tr w14:paraId="34469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AAF48">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B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D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0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F2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4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0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2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BCF6F">
            <w:pPr>
              <w:rPr>
                <w:rFonts w:hint="eastAsia" w:ascii="黑体" w:hAnsi="黑体" w:eastAsia="黑体" w:cs="黑体"/>
                <w:i/>
                <w:iCs/>
                <w:color w:val="000000"/>
                <w:sz w:val="18"/>
                <w:szCs w:val="18"/>
                <w:u w:val="none"/>
              </w:rPr>
            </w:pPr>
          </w:p>
        </w:tc>
      </w:tr>
      <w:tr w14:paraId="3CDD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215C8">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4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8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1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E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6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C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9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F8C3A">
            <w:pPr>
              <w:rPr>
                <w:rFonts w:hint="eastAsia" w:ascii="黑体" w:hAnsi="黑体" w:eastAsia="黑体" w:cs="黑体"/>
                <w:i/>
                <w:iCs/>
                <w:color w:val="000000"/>
                <w:sz w:val="18"/>
                <w:szCs w:val="18"/>
                <w:u w:val="none"/>
              </w:rPr>
            </w:pPr>
          </w:p>
        </w:tc>
      </w:tr>
      <w:tr w14:paraId="4187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95D5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5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995C">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EA31">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3D89F">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CD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0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D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63E26">
            <w:pPr>
              <w:rPr>
                <w:rFonts w:hint="eastAsia" w:ascii="黑体" w:hAnsi="黑体" w:eastAsia="黑体" w:cs="黑体"/>
                <w:i/>
                <w:iCs/>
                <w:color w:val="000000"/>
                <w:sz w:val="18"/>
                <w:szCs w:val="18"/>
                <w:u w:val="none"/>
              </w:rPr>
            </w:pPr>
          </w:p>
        </w:tc>
      </w:tr>
      <w:tr w14:paraId="4F874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5A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93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7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E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A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6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EA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7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E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3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D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39EE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B4E4">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94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34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A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物管、保洁人数</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A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3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0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DE5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D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8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D067">
            <w:pPr>
              <w:jc w:val="center"/>
              <w:rPr>
                <w:rFonts w:hint="eastAsia" w:ascii="微软雅黑" w:hAnsi="微软雅黑" w:eastAsia="微软雅黑" w:cs="微软雅黑"/>
                <w:i/>
                <w:iCs/>
                <w:color w:val="000000"/>
                <w:sz w:val="16"/>
                <w:szCs w:val="16"/>
                <w:u w:val="none"/>
              </w:rPr>
            </w:pPr>
          </w:p>
        </w:tc>
      </w:tr>
      <w:tr w14:paraId="31D76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56692">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C710B">
            <w:pPr>
              <w:jc w:val="center"/>
              <w:rPr>
                <w:rFonts w:hint="eastAsia" w:ascii="宋体" w:hAnsi="宋体" w:eastAsia="宋体" w:cs="宋体"/>
                <w:i w:val="0"/>
                <w:iCs w:val="0"/>
                <w:color w:val="000000"/>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CEADC">
            <w:pPr>
              <w:jc w:val="center"/>
              <w:rPr>
                <w:rFonts w:hint="eastAsia" w:ascii="宋体" w:hAnsi="宋体" w:eastAsia="宋体" w:cs="宋体"/>
                <w:i w:val="0"/>
                <w:iCs w:val="0"/>
                <w:color w:val="000000"/>
                <w:sz w:val="18"/>
                <w:szCs w:val="18"/>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C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物业管理面积</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1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3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E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5E9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1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D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7462">
            <w:pPr>
              <w:jc w:val="center"/>
              <w:rPr>
                <w:rFonts w:hint="eastAsia" w:ascii="微软雅黑" w:hAnsi="微软雅黑" w:eastAsia="微软雅黑" w:cs="微软雅黑"/>
                <w:i/>
                <w:iCs/>
                <w:color w:val="000000"/>
                <w:sz w:val="16"/>
                <w:szCs w:val="16"/>
                <w:u w:val="none"/>
              </w:rPr>
            </w:pPr>
          </w:p>
        </w:tc>
      </w:tr>
      <w:tr w14:paraId="20CA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E79D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20190">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5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A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物业服务质量达标率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6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8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6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37B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5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2C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E1F6">
            <w:pPr>
              <w:jc w:val="center"/>
              <w:rPr>
                <w:rFonts w:hint="eastAsia" w:ascii="微软雅黑" w:hAnsi="微软雅黑" w:eastAsia="微软雅黑" w:cs="微软雅黑"/>
                <w:i/>
                <w:iCs/>
                <w:color w:val="000000"/>
                <w:sz w:val="16"/>
                <w:szCs w:val="16"/>
                <w:u w:val="none"/>
              </w:rPr>
            </w:pPr>
          </w:p>
        </w:tc>
      </w:tr>
      <w:tr w14:paraId="6265E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27CF8">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B2E50">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F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5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服务保障时间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B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6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按照相关规定完成全年目标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F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747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E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5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C2CD">
            <w:pPr>
              <w:jc w:val="center"/>
              <w:rPr>
                <w:rFonts w:hint="eastAsia" w:ascii="微软雅黑" w:hAnsi="微软雅黑" w:eastAsia="微软雅黑" w:cs="微软雅黑"/>
                <w:i/>
                <w:iCs/>
                <w:color w:val="000000"/>
                <w:sz w:val="16"/>
                <w:szCs w:val="16"/>
                <w:u w:val="none"/>
              </w:rPr>
            </w:pPr>
          </w:p>
        </w:tc>
      </w:tr>
      <w:tr w14:paraId="52CE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952CB">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8A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D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3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为读者提供宁静舒适的阅读环境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1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2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高效满足</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F84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C8C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A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1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B71B">
            <w:pPr>
              <w:jc w:val="center"/>
              <w:rPr>
                <w:rFonts w:hint="eastAsia" w:ascii="微软雅黑" w:hAnsi="微软雅黑" w:eastAsia="微软雅黑" w:cs="微软雅黑"/>
                <w:i/>
                <w:iCs/>
                <w:color w:val="000000"/>
                <w:sz w:val="16"/>
                <w:szCs w:val="16"/>
                <w:u w:val="none"/>
              </w:rPr>
            </w:pPr>
          </w:p>
        </w:tc>
      </w:tr>
      <w:tr w14:paraId="48579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21A6E">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8C44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7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C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长期为读者提供宁静舒适的阅读环境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E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0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DDE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AF4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E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B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B1FD0">
            <w:pPr>
              <w:jc w:val="center"/>
              <w:rPr>
                <w:rFonts w:hint="eastAsia" w:ascii="微软雅黑" w:hAnsi="微软雅黑" w:eastAsia="微软雅黑" w:cs="微软雅黑"/>
                <w:i/>
                <w:iCs/>
                <w:color w:val="000000"/>
                <w:sz w:val="16"/>
                <w:szCs w:val="16"/>
                <w:u w:val="none"/>
              </w:rPr>
            </w:pPr>
          </w:p>
        </w:tc>
      </w:tr>
      <w:tr w14:paraId="4E30D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0C50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D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3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7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3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9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9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00A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1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B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1B33">
            <w:pPr>
              <w:jc w:val="center"/>
              <w:rPr>
                <w:rFonts w:hint="eastAsia" w:ascii="微软雅黑" w:hAnsi="微软雅黑" w:eastAsia="微软雅黑" w:cs="微软雅黑"/>
                <w:i/>
                <w:iCs/>
                <w:color w:val="000000"/>
                <w:sz w:val="16"/>
                <w:szCs w:val="16"/>
                <w:u w:val="none"/>
              </w:rPr>
            </w:pPr>
          </w:p>
        </w:tc>
      </w:tr>
      <w:tr w14:paraId="6E806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697EE">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8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4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2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B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4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B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ECA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7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6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E39E">
            <w:pPr>
              <w:jc w:val="center"/>
              <w:rPr>
                <w:rFonts w:hint="eastAsia" w:ascii="微软雅黑" w:hAnsi="微软雅黑" w:eastAsia="微软雅黑" w:cs="微软雅黑"/>
                <w:i/>
                <w:iCs/>
                <w:color w:val="000000"/>
                <w:sz w:val="16"/>
                <w:szCs w:val="16"/>
                <w:u w:val="none"/>
              </w:rPr>
            </w:pPr>
          </w:p>
        </w:tc>
      </w:tr>
      <w:tr w14:paraId="4C85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238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F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F37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96D3">
            <w:pPr>
              <w:rPr>
                <w:rFonts w:hint="eastAsia" w:ascii="宋体" w:hAnsi="宋体" w:eastAsia="宋体" w:cs="宋体"/>
                <w:i w:val="0"/>
                <w:iCs w:val="0"/>
                <w:color w:val="000000"/>
                <w:sz w:val="18"/>
                <w:szCs w:val="18"/>
                <w:u w:val="none"/>
              </w:rPr>
            </w:pPr>
          </w:p>
        </w:tc>
      </w:tr>
      <w:tr w14:paraId="72437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6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3FD1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通过主动收集业主意见、及时解决业主诉求，畅通业主沟通渠道，业主对物管和保洁服务的认可度显著提升，全年无投诉，形成了“服务有回应、诉求有落实”的良好互动氛围，提升了业主归属感。</w:t>
            </w:r>
          </w:p>
        </w:tc>
      </w:tr>
      <w:tr w14:paraId="736A1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4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FFE5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经费使用精细化不够：部分保洁物资采购缺乏统筹规划，存在浪费情况；物管和保洁人员薪酬分配不够合理，激励机制不健全，导致部分工作人员工作积极性不高，影响服务质量。</w:t>
            </w:r>
          </w:p>
        </w:tc>
      </w:tr>
      <w:tr w14:paraId="14158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1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E46F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规范经费管理，完善激励机制：制定详细的经费预算规划，加强经费使用管控，合理采购保洁物资，建立物资领用、登记制度，杜绝浪费；优化薪酬分配方案，将服务质量、工作成效、业主评价与薪酬挂钩，建立激励机制，激发工作人员的工作积极性和责任心，提升服务质量。</w:t>
            </w:r>
          </w:p>
        </w:tc>
      </w:tr>
      <w:tr w14:paraId="5F782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0F0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53C17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EA3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3DCAADF3">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06589E19">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39AFDE5C">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021C191F">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69A5E1B0">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3A2C509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B69D270">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1DE2AD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5F43D57">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27EE9E4">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26E9EAA0">
            <w:pPr>
              <w:rPr>
                <w:rFonts w:hint="eastAsia" w:ascii="宋体" w:hAnsi="宋体" w:eastAsia="宋体" w:cs="宋体"/>
                <w:i w:val="0"/>
                <w:iCs w:val="0"/>
                <w:color w:val="000000"/>
                <w:sz w:val="18"/>
                <w:szCs w:val="18"/>
                <w:u w:val="none"/>
              </w:rPr>
            </w:pPr>
          </w:p>
        </w:tc>
      </w:tr>
      <w:tr w14:paraId="2FD5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579F3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8F83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74E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5B4A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51320024T000011993209-阿坝州文化旅游促进交流交往交融项目（阿坝州图书馆智慧城市书房（阿来城市书房）二期建设项目））</w:t>
            </w:r>
          </w:p>
        </w:tc>
      </w:tr>
      <w:tr w14:paraId="6002B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479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2B58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5E7128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73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17506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5E7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BC0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BBE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AA07A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944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FB54B">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1107E">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677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阿来特色文化品牌，整合图书馆资源、满足藏羌民族文化教学、科研及交流，满足社会公民对了解感悟、体验和研究藏羌民族文化精神的需求</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E671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经费主要用于点位装修、智慧设备采购安装、图书配置、验收检测等，严格遵循财务制度和项目管理要求，专款专用、账实相符，无超支、挪用、浪费等违规情况，经费管控规范有序。</w:t>
            </w:r>
          </w:p>
        </w:tc>
      </w:tr>
      <w:tr w14:paraId="432B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5F831">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62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4F42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47A06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EF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A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4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F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57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3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F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D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D3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B56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39FB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C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7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C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EA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B9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1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1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1D9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AD4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4CA0B">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9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A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7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AE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1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C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0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0503">
            <w:pPr>
              <w:rPr>
                <w:rFonts w:hint="eastAsia" w:ascii="黑体" w:hAnsi="黑体" w:eastAsia="黑体" w:cs="黑体"/>
                <w:i/>
                <w:iCs/>
                <w:color w:val="000000"/>
                <w:sz w:val="18"/>
                <w:szCs w:val="18"/>
                <w:u w:val="none"/>
              </w:rPr>
            </w:pPr>
          </w:p>
        </w:tc>
      </w:tr>
      <w:tr w14:paraId="73F2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EBB1">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C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2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1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F9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E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4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78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0AFC7">
            <w:pPr>
              <w:rPr>
                <w:rFonts w:hint="eastAsia" w:ascii="黑体" w:hAnsi="黑体" w:eastAsia="黑体" w:cs="黑体"/>
                <w:i/>
                <w:iCs/>
                <w:color w:val="000000"/>
                <w:sz w:val="18"/>
                <w:szCs w:val="18"/>
                <w:u w:val="none"/>
              </w:rPr>
            </w:pPr>
          </w:p>
        </w:tc>
      </w:tr>
      <w:tr w14:paraId="66A9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22B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E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4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4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41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1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A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2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6FB9F">
            <w:pPr>
              <w:rPr>
                <w:rFonts w:hint="eastAsia" w:ascii="黑体" w:hAnsi="黑体" w:eastAsia="黑体" w:cs="黑体"/>
                <w:i/>
                <w:iCs/>
                <w:color w:val="000000"/>
                <w:sz w:val="18"/>
                <w:szCs w:val="18"/>
                <w:u w:val="none"/>
              </w:rPr>
            </w:pPr>
          </w:p>
        </w:tc>
      </w:tr>
      <w:tr w14:paraId="3152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0987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E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C68E">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84C9">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A334CF">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7B0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3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C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3FE3A">
            <w:pPr>
              <w:rPr>
                <w:rFonts w:hint="eastAsia" w:ascii="黑体" w:hAnsi="黑体" w:eastAsia="黑体" w:cs="黑体"/>
                <w:i/>
                <w:iCs/>
                <w:color w:val="000000"/>
                <w:sz w:val="18"/>
                <w:szCs w:val="18"/>
                <w:u w:val="none"/>
              </w:rPr>
            </w:pPr>
          </w:p>
        </w:tc>
      </w:tr>
      <w:tr w14:paraId="420B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7D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C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A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C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9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5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1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B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3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5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3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51D5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A0664">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34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11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1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升级改造总面积</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1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B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6C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m/s</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E4C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C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A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DAFE">
            <w:pPr>
              <w:jc w:val="center"/>
              <w:rPr>
                <w:rFonts w:hint="eastAsia" w:ascii="微软雅黑" w:hAnsi="微软雅黑" w:eastAsia="微软雅黑" w:cs="微软雅黑"/>
                <w:i/>
                <w:iCs/>
                <w:color w:val="000000"/>
                <w:sz w:val="16"/>
                <w:szCs w:val="16"/>
                <w:u w:val="none"/>
              </w:rPr>
            </w:pPr>
          </w:p>
        </w:tc>
      </w:tr>
      <w:tr w14:paraId="66BC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452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E6969">
            <w:pPr>
              <w:jc w:val="center"/>
              <w:rPr>
                <w:rFonts w:hint="eastAsia" w:ascii="宋体" w:hAnsi="宋体" w:eastAsia="宋体" w:cs="宋体"/>
                <w:i w:val="0"/>
                <w:iCs w:val="0"/>
                <w:color w:val="000000"/>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D410">
            <w:pPr>
              <w:jc w:val="center"/>
              <w:rPr>
                <w:rFonts w:hint="eastAsia" w:ascii="宋体" w:hAnsi="宋体" w:eastAsia="宋体" w:cs="宋体"/>
                <w:i w:val="0"/>
                <w:iCs w:val="0"/>
                <w:color w:val="000000"/>
                <w:sz w:val="18"/>
                <w:szCs w:val="18"/>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F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新建数字化展陈设备设施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6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C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2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B7C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A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3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020F">
            <w:pPr>
              <w:jc w:val="center"/>
              <w:rPr>
                <w:rFonts w:hint="eastAsia" w:ascii="微软雅黑" w:hAnsi="微软雅黑" w:eastAsia="微软雅黑" w:cs="微软雅黑"/>
                <w:i/>
                <w:iCs/>
                <w:color w:val="000000"/>
                <w:sz w:val="16"/>
                <w:szCs w:val="16"/>
                <w:u w:val="none"/>
              </w:rPr>
            </w:pPr>
          </w:p>
        </w:tc>
      </w:tr>
      <w:tr w14:paraId="2B34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CA9D3">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329E2">
            <w:pPr>
              <w:jc w:val="center"/>
              <w:rPr>
                <w:rFonts w:hint="eastAsia" w:ascii="宋体" w:hAnsi="宋体" w:eastAsia="宋体" w:cs="宋体"/>
                <w:i w:val="0"/>
                <w:iCs w:val="0"/>
                <w:color w:val="000000"/>
                <w:sz w:val="18"/>
                <w:szCs w:val="18"/>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CCE37">
            <w:pPr>
              <w:jc w:val="center"/>
              <w:rPr>
                <w:rFonts w:hint="eastAsia" w:ascii="宋体" w:hAnsi="宋体" w:eastAsia="宋体" w:cs="宋体"/>
                <w:i w:val="0"/>
                <w:iCs w:val="0"/>
                <w:color w:val="000000"/>
                <w:sz w:val="18"/>
                <w:szCs w:val="18"/>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5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原信息化设施设备升级改造</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D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8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E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1E7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6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0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EB2A">
            <w:pPr>
              <w:jc w:val="center"/>
              <w:rPr>
                <w:rFonts w:hint="eastAsia" w:ascii="微软雅黑" w:hAnsi="微软雅黑" w:eastAsia="微软雅黑" w:cs="微软雅黑"/>
                <w:i/>
                <w:iCs/>
                <w:color w:val="000000"/>
                <w:sz w:val="16"/>
                <w:szCs w:val="16"/>
                <w:u w:val="none"/>
              </w:rPr>
            </w:pPr>
          </w:p>
        </w:tc>
      </w:tr>
      <w:tr w14:paraId="726EE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FFDB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15453">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D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D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升级改造验收合格率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2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1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2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4CB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6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3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8E44">
            <w:pPr>
              <w:jc w:val="center"/>
              <w:rPr>
                <w:rFonts w:hint="eastAsia" w:ascii="微软雅黑" w:hAnsi="微软雅黑" w:eastAsia="微软雅黑" w:cs="微软雅黑"/>
                <w:i/>
                <w:iCs/>
                <w:color w:val="000000"/>
                <w:sz w:val="16"/>
                <w:szCs w:val="16"/>
                <w:u w:val="none"/>
              </w:rPr>
            </w:pPr>
          </w:p>
        </w:tc>
      </w:tr>
      <w:tr w14:paraId="56B9E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F5D46">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77E6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B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6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改造完成时间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D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8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C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75A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E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4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8B56">
            <w:pPr>
              <w:jc w:val="center"/>
              <w:rPr>
                <w:rFonts w:hint="eastAsia" w:ascii="微软雅黑" w:hAnsi="微软雅黑" w:eastAsia="微软雅黑" w:cs="微软雅黑"/>
                <w:i/>
                <w:iCs/>
                <w:color w:val="000000"/>
                <w:sz w:val="16"/>
                <w:szCs w:val="16"/>
                <w:u w:val="none"/>
              </w:rPr>
            </w:pPr>
          </w:p>
        </w:tc>
      </w:tr>
      <w:tr w14:paraId="33856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7E7AB">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65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1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4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打造特色品牌，服务广大读者</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0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E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6FBC">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090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4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B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EF48">
            <w:pPr>
              <w:jc w:val="center"/>
              <w:rPr>
                <w:rFonts w:hint="eastAsia" w:ascii="微软雅黑" w:hAnsi="微软雅黑" w:eastAsia="微软雅黑" w:cs="微软雅黑"/>
                <w:i/>
                <w:iCs/>
                <w:color w:val="000000"/>
                <w:sz w:val="16"/>
                <w:szCs w:val="16"/>
                <w:u w:val="none"/>
              </w:rPr>
            </w:pPr>
          </w:p>
        </w:tc>
      </w:tr>
      <w:tr w14:paraId="0FD78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968B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98F0">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2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E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持续研究藏羌民族文化精神的需求</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4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F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A5EA">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62A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2DEF">
            <w:pPr>
              <w:jc w:val="center"/>
              <w:rPr>
                <w:rFonts w:hint="eastAsia" w:ascii="微软雅黑" w:hAnsi="微软雅黑" w:eastAsia="微软雅黑" w:cs="微软雅黑"/>
                <w:i/>
                <w:iCs/>
                <w:color w:val="000000"/>
                <w:sz w:val="16"/>
                <w:szCs w:val="16"/>
                <w:u w:val="none"/>
              </w:rPr>
            </w:pPr>
          </w:p>
        </w:tc>
      </w:tr>
      <w:tr w14:paraId="612DD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FD42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C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8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8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1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6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2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2A9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3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8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4B05">
            <w:pPr>
              <w:jc w:val="center"/>
              <w:rPr>
                <w:rFonts w:hint="eastAsia" w:ascii="微软雅黑" w:hAnsi="微软雅黑" w:eastAsia="微软雅黑" w:cs="微软雅黑"/>
                <w:i/>
                <w:iCs/>
                <w:color w:val="000000"/>
                <w:sz w:val="16"/>
                <w:szCs w:val="16"/>
                <w:u w:val="none"/>
              </w:rPr>
            </w:pPr>
          </w:p>
        </w:tc>
      </w:tr>
      <w:tr w14:paraId="4361D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7C38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2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二期建设项目总成本</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E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5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13.77</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D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11B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D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5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73CC">
            <w:pPr>
              <w:jc w:val="center"/>
              <w:rPr>
                <w:rFonts w:hint="eastAsia" w:ascii="微软雅黑" w:hAnsi="微软雅黑" w:eastAsia="微软雅黑" w:cs="微软雅黑"/>
                <w:i/>
                <w:iCs/>
                <w:color w:val="000000"/>
                <w:sz w:val="16"/>
                <w:szCs w:val="16"/>
                <w:u w:val="none"/>
              </w:rPr>
            </w:pPr>
          </w:p>
        </w:tc>
      </w:tr>
      <w:tr w14:paraId="1E7E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A59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F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246B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4FD2">
            <w:pPr>
              <w:rPr>
                <w:rFonts w:hint="eastAsia" w:ascii="宋体" w:hAnsi="宋体" w:eastAsia="宋体" w:cs="宋体"/>
                <w:i w:val="0"/>
                <w:iCs w:val="0"/>
                <w:color w:val="000000"/>
                <w:sz w:val="18"/>
                <w:szCs w:val="18"/>
                <w:u w:val="none"/>
              </w:rPr>
            </w:pPr>
          </w:p>
        </w:tc>
      </w:tr>
      <w:tr w14:paraId="5DBC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18510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本年度智慧城市书房二期建设项目整体实施顺利，实完成了智慧城市书房二期的硬件升级、功能完善、点位拓展等核心任务，进一步扩大了智慧书房覆盖范围、提升了智慧化服务水平，满足了群众多元化、便捷化的阅读需求，达到了项目建设的预期目标，为书香城市建设和智慧城市文化板块完善提供了有力支撑。</w:t>
            </w:r>
          </w:p>
        </w:tc>
      </w:tr>
      <w:tr w14:paraId="4289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1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9F7AF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部分工作人员对智慧设备操作、应急处置等技能掌握不够熟练；运营管理制度不够细化，针对智慧书房无人值守期间的安全管理、应急处置等预案不够完善，难以充分应对运营中的各类问题。</w:t>
            </w:r>
          </w:p>
        </w:tc>
      </w:tr>
      <w:tr w14:paraId="2A3F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8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3BCC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工作人员系统性培训，重点强化智慧设备操作、应急处置、服务规范等核心技能，确保工作人员熟练掌握相关技能；细化运营管理制度，完善无人值守期间的安全管理、应急处置预案，开展应急演练，提升应对各类突发情况的能力，为正式运营做好充分准备。</w:t>
            </w:r>
          </w:p>
        </w:tc>
      </w:tr>
      <w:tr w14:paraId="40B81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D0E1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0240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B47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1665EE83">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76E1A271">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41A0E234">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15F7B89F">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DC8E05F">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1EB54F7D">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D3550E6">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33145AC">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2658080">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3487210">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75CBDE7B">
            <w:pPr>
              <w:rPr>
                <w:rFonts w:hint="eastAsia" w:ascii="宋体" w:hAnsi="宋体" w:eastAsia="宋体" w:cs="宋体"/>
                <w:i w:val="0"/>
                <w:iCs w:val="0"/>
                <w:color w:val="000000"/>
                <w:sz w:val="18"/>
                <w:szCs w:val="18"/>
                <w:u w:val="none"/>
              </w:rPr>
            </w:pPr>
          </w:p>
        </w:tc>
      </w:tr>
      <w:tr w14:paraId="33CE4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3C4E3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194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A8C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FD93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51320025T000012281586-中央和省级财政公共图书馆、美术馆、文化馆（站）免费开放资金预算的通知</w:t>
            </w:r>
          </w:p>
        </w:tc>
      </w:tr>
      <w:tr w14:paraId="256F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844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D20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5A4C86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FB1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437A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035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824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6AB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82B76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FF8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AF509">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35C8">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E4F4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项目的实施保障了人民群众基本文化权益，丰富基层人民群众精神文化生活</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0261C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资金拨付及时率100%，资金严格按照规定用途使用，主要用于免费开放期间的人员薪酬、设施维护、物资采购、服务提升、宣传推广等，专款专用、账实相符，无超支、挪用、截留、浪费等违规情况，资金管控规范有序</w:t>
            </w:r>
          </w:p>
        </w:tc>
      </w:tr>
      <w:tr w14:paraId="61155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2D8E7">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BD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2F98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0E98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65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A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9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5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14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A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8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7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5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03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84B1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A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3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C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273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7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A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0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B0EF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859C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206E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2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1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2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19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5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E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C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0D65C">
            <w:pPr>
              <w:rPr>
                <w:rFonts w:hint="eastAsia" w:ascii="黑体" w:hAnsi="黑体" w:eastAsia="黑体" w:cs="黑体"/>
                <w:i/>
                <w:iCs/>
                <w:color w:val="000000"/>
                <w:sz w:val="18"/>
                <w:szCs w:val="18"/>
                <w:u w:val="none"/>
              </w:rPr>
            </w:pPr>
          </w:p>
        </w:tc>
      </w:tr>
      <w:tr w14:paraId="0B78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041F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3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2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A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FD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3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C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1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DA1E6">
            <w:pPr>
              <w:rPr>
                <w:rFonts w:hint="eastAsia" w:ascii="黑体" w:hAnsi="黑体" w:eastAsia="黑体" w:cs="黑体"/>
                <w:i/>
                <w:iCs/>
                <w:color w:val="000000"/>
                <w:sz w:val="18"/>
                <w:szCs w:val="18"/>
                <w:u w:val="none"/>
              </w:rPr>
            </w:pPr>
          </w:p>
        </w:tc>
      </w:tr>
      <w:tr w14:paraId="1956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B3C2D">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6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1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A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708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E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4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0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5C0A3">
            <w:pPr>
              <w:rPr>
                <w:rFonts w:hint="eastAsia" w:ascii="黑体" w:hAnsi="黑体" w:eastAsia="黑体" w:cs="黑体"/>
                <w:i/>
                <w:iCs/>
                <w:color w:val="000000"/>
                <w:sz w:val="18"/>
                <w:szCs w:val="18"/>
                <w:u w:val="none"/>
              </w:rPr>
            </w:pPr>
          </w:p>
        </w:tc>
      </w:tr>
      <w:tr w14:paraId="2D5B7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1B3DB">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2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FDC6">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8972">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B81CD">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C0C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2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D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AA32A">
            <w:pPr>
              <w:rPr>
                <w:rFonts w:hint="eastAsia" w:ascii="黑体" w:hAnsi="黑体" w:eastAsia="黑体" w:cs="黑体"/>
                <w:i/>
                <w:iCs/>
                <w:color w:val="000000"/>
                <w:sz w:val="18"/>
                <w:szCs w:val="18"/>
                <w:u w:val="none"/>
              </w:rPr>
            </w:pPr>
          </w:p>
        </w:tc>
      </w:tr>
      <w:tr w14:paraId="6917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65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6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0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D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5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F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3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A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6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7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0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4AE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6F423">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2B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3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4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免费开放服务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C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D35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8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F45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4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1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169B">
            <w:pPr>
              <w:jc w:val="center"/>
              <w:rPr>
                <w:rFonts w:hint="eastAsia" w:ascii="微软雅黑" w:hAnsi="微软雅黑" w:eastAsia="微软雅黑" w:cs="微软雅黑"/>
                <w:i/>
                <w:iCs/>
                <w:color w:val="000000"/>
                <w:sz w:val="16"/>
                <w:szCs w:val="16"/>
                <w:u w:val="none"/>
              </w:rPr>
            </w:pPr>
          </w:p>
        </w:tc>
      </w:tr>
      <w:tr w14:paraId="6AAA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49CFB">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48C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4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8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7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9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6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E67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B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E2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8B6C">
            <w:pPr>
              <w:jc w:val="center"/>
              <w:rPr>
                <w:rFonts w:hint="eastAsia" w:ascii="微软雅黑" w:hAnsi="微软雅黑" w:eastAsia="微软雅黑" w:cs="微软雅黑"/>
                <w:i/>
                <w:iCs/>
                <w:color w:val="000000"/>
                <w:sz w:val="16"/>
                <w:szCs w:val="16"/>
                <w:u w:val="none"/>
              </w:rPr>
            </w:pPr>
          </w:p>
        </w:tc>
      </w:tr>
      <w:tr w14:paraId="60A92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29E8A">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5ADA5">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C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5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D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7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4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FF3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F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4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49E0">
            <w:pPr>
              <w:jc w:val="center"/>
              <w:rPr>
                <w:rFonts w:hint="eastAsia" w:ascii="微软雅黑" w:hAnsi="微软雅黑" w:eastAsia="微软雅黑" w:cs="微软雅黑"/>
                <w:i/>
                <w:iCs/>
                <w:color w:val="000000"/>
                <w:sz w:val="16"/>
                <w:szCs w:val="16"/>
                <w:u w:val="none"/>
              </w:rPr>
            </w:pPr>
          </w:p>
        </w:tc>
      </w:tr>
      <w:tr w14:paraId="6ABD6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43059">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025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A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E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更好的满足读者需要</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4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D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2B36">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190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D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2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8193">
            <w:pPr>
              <w:jc w:val="center"/>
              <w:rPr>
                <w:rFonts w:hint="eastAsia" w:ascii="微软雅黑" w:hAnsi="微软雅黑" w:eastAsia="微软雅黑" w:cs="微软雅黑"/>
                <w:i/>
                <w:iCs/>
                <w:color w:val="000000"/>
                <w:sz w:val="16"/>
                <w:szCs w:val="16"/>
                <w:u w:val="none"/>
              </w:rPr>
            </w:pPr>
          </w:p>
        </w:tc>
      </w:tr>
      <w:tr w14:paraId="5C9CB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E9742">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1D155">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F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8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持续丰富基层人民群众精神文化生活</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F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C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0C32">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E3F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A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6C12">
            <w:pPr>
              <w:jc w:val="center"/>
              <w:rPr>
                <w:rFonts w:hint="eastAsia" w:ascii="微软雅黑" w:hAnsi="微软雅黑" w:eastAsia="微软雅黑" w:cs="微软雅黑"/>
                <w:i/>
                <w:iCs/>
                <w:color w:val="000000"/>
                <w:sz w:val="16"/>
                <w:szCs w:val="16"/>
                <w:u w:val="none"/>
              </w:rPr>
            </w:pPr>
          </w:p>
        </w:tc>
      </w:tr>
      <w:tr w14:paraId="5D5AD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77C78">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8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1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F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C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3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E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377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C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3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AD12">
            <w:pPr>
              <w:jc w:val="center"/>
              <w:rPr>
                <w:rFonts w:hint="eastAsia" w:ascii="微软雅黑" w:hAnsi="微软雅黑" w:eastAsia="微软雅黑" w:cs="微软雅黑"/>
                <w:i/>
                <w:iCs/>
                <w:color w:val="000000"/>
                <w:sz w:val="16"/>
                <w:szCs w:val="16"/>
                <w:u w:val="none"/>
              </w:rPr>
            </w:pPr>
          </w:p>
        </w:tc>
      </w:tr>
      <w:tr w14:paraId="73CD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6C76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7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2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7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本项目金额为3.5万元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C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C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4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EB1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6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9312">
            <w:pPr>
              <w:jc w:val="center"/>
              <w:rPr>
                <w:rFonts w:hint="eastAsia" w:ascii="微软雅黑" w:hAnsi="微软雅黑" w:eastAsia="微软雅黑" w:cs="微软雅黑"/>
                <w:i/>
                <w:iCs/>
                <w:color w:val="000000"/>
                <w:sz w:val="16"/>
                <w:szCs w:val="16"/>
                <w:u w:val="none"/>
              </w:rPr>
            </w:pPr>
          </w:p>
        </w:tc>
      </w:tr>
      <w:tr w14:paraId="2266E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E0A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3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7D2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0710">
            <w:pPr>
              <w:rPr>
                <w:rFonts w:hint="eastAsia" w:ascii="宋体" w:hAnsi="宋体" w:eastAsia="宋体" w:cs="宋体"/>
                <w:i w:val="0"/>
                <w:iCs w:val="0"/>
                <w:color w:val="000000"/>
                <w:sz w:val="18"/>
                <w:szCs w:val="18"/>
                <w:u w:val="none"/>
              </w:rPr>
            </w:pPr>
          </w:p>
        </w:tc>
      </w:tr>
      <w:tr w14:paraId="65DB4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8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B1B89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本年度免费开放资金项目整体实施顺利，圆满完成了年度各项既定目标。项目实施过程规范、资金使用合理、成效显著，有效发挥了免费开放资金的保障和支撑作用，切实推动了免费开放政策落地见效，提升了公益服务质量和覆盖面，满足了群众日益增长的公益服务需求，达到了项目实施的预期目标，为公共文化事业高质量发展提供了有力保障。</w:t>
            </w:r>
          </w:p>
        </w:tc>
      </w:tr>
      <w:tr w14:paraId="5BB43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F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155E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宣传方式较为单一，多以线下公告、简单推文为主，线上宣传覆盖面有限，对偏远地区、老年群体等重点人群的宣传触达不足；宣传内容重点不突出，未能充分展现免费开放服务的亮点，导致部分群众对免费开放政策、服务内容知晓度不高。</w:t>
            </w:r>
          </w:p>
        </w:tc>
      </w:tr>
      <w:tr w14:paraId="6082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E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C1285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善宣传扶持政策：建议加大对免费开放宣传推广的资金和资源扶持，培养专业宣传人才，提升宣传质量；鼓励媒体、公益组织参与免费开放宣传，扩大宣传影响力，推动免费开放政策深入人心，让更多群众受益。</w:t>
            </w:r>
          </w:p>
        </w:tc>
      </w:tr>
      <w:tr w14:paraId="4506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939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8B85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AEC9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58395FB1">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3D9A9AC9">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1F641B61">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33FB7713">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7AA824C3">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4847E4D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737188D2">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0ED540D1">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5F71678">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3E9DDF00">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1E5D2A92">
            <w:pPr>
              <w:rPr>
                <w:rFonts w:hint="eastAsia" w:ascii="宋体" w:hAnsi="宋体" w:eastAsia="宋体" w:cs="宋体"/>
                <w:i w:val="0"/>
                <w:iCs w:val="0"/>
                <w:color w:val="000000"/>
                <w:sz w:val="18"/>
                <w:szCs w:val="18"/>
                <w:u w:val="none"/>
              </w:rPr>
            </w:pPr>
          </w:p>
        </w:tc>
      </w:tr>
      <w:tr w14:paraId="4918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94D00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E8B2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7B3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3A13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51320025T000012461388-编辑出版红军长征雪山草地文献中心建设、阿来书屋建设专著</w:t>
            </w:r>
          </w:p>
        </w:tc>
      </w:tr>
      <w:tr w14:paraId="18BE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712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F29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464AC5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1A0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33E3F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F62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A96E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10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24833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02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1D808">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5A59">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239A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通过编辑出版编辑出版红军长征雪山草地文献中心建设和阿来书屋建设专著，记录编辑出版红军长征在雪山草地的重要历史 以及建设阿来书屋的建设历程，展示其文化特色和成就，传承和推广阿坝州文化，提升地区文化软实力。为学者和研究人员提供丰富的研究资料，推动阿坝州文化事业的发展。丰富阿坝州图书馆馆藏资源，提升图书馆服务水平和影响力，满足读者对阿坝州文化的需求，促进全民阅读活动的开展。</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7A09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严格遵循编辑规范，完成专著框架搭建、内容撰写、初稿修改、多轮校对等工作，确保专著内容严谨、逻辑清晰、表述准确，符合红军长征雪山草地文献中心建设的核心定位。</w:t>
            </w:r>
          </w:p>
        </w:tc>
      </w:tr>
      <w:tr w14:paraId="65CE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8B831">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A7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D385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45B87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0B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D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F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2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43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2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D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1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B9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F57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BA5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A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B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4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BC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C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B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1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83DF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9E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53FCB">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F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E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F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C8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8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F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D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CCBCE">
            <w:pPr>
              <w:rPr>
                <w:rFonts w:hint="eastAsia" w:ascii="黑体" w:hAnsi="黑体" w:eastAsia="黑体" w:cs="黑体"/>
                <w:i/>
                <w:iCs/>
                <w:color w:val="000000"/>
                <w:sz w:val="18"/>
                <w:szCs w:val="18"/>
                <w:u w:val="none"/>
              </w:rPr>
            </w:pPr>
          </w:p>
        </w:tc>
      </w:tr>
      <w:tr w14:paraId="029D9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6D516">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C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3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7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3C2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E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D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F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BA1AF">
            <w:pPr>
              <w:rPr>
                <w:rFonts w:hint="eastAsia" w:ascii="黑体" w:hAnsi="黑体" w:eastAsia="黑体" w:cs="黑体"/>
                <w:i/>
                <w:iCs/>
                <w:color w:val="000000"/>
                <w:sz w:val="18"/>
                <w:szCs w:val="18"/>
                <w:u w:val="none"/>
              </w:rPr>
            </w:pPr>
          </w:p>
        </w:tc>
      </w:tr>
      <w:tr w14:paraId="22B86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408C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8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0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0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14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D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4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6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23278">
            <w:pPr>
              <w:rPr>
                <w:rFonts w:hint="eastAsia" w:ascii="黑体" w:hAnsi="黑体" w:eastAsia="黑体" w:cs="黑体"/>
                <w:i/>
                <w:iCs/>
                <w:color w:val="000000"/>
                <w:sz w:val="18"/>
                <w:szCs w:val="18"/>
                <w:u w:val="none"/>
              </w:rPr>
            </w:pPr>
          </w:p>
        </w:tc>
      </w:tr>
      <w:tr w14:paraId="02333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B2336">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D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84E1">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53D7">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CABC0F">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4FE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C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3D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F0987">
            <w:pPr>
              <w:rPr>
                <w:rFonts w:hint="eastAsia" w:ascii="黑体" w:hAnsi="黑体" w:eastAsia="黑体" w:cs="黑体"/>
                <w:i/>
                <w:iCs/>
                <w:color w:val="000000"/>
                <w:sz w:val="18"/>
                <w:szCs w:val="18"/>
                <w:u w:val="none"/>
              </w:rPr>
            </w:pPr>
          </w:p>
        </w:tc>
      </w:tr>
      <w:tr w14:paraId="4E741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7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A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2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2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4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1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D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35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8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C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7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905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8E13">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E7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B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0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出版专著数量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5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E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B2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册</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8AA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A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9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24E0">
            <w:pPr>
              <w:jc w:val="center"/>
              <w:rPr>
                <w:rFonts w:hint="eastAsia" w:ascii="微软雅黑" w:hAnsi="微软雅黑" w:eastAsia="微软雅黑" w:cs="微软雅黑"/>
                <w:i/>
                <w:iCs/>
                <w:color w:val="000000"/>
                <w:sz w:val="16"/>
                <w:szCs w:val="16"/>
                <w:u w:val="none"/>
              </w:rPr>
            </w:pPr>
          </w:p>
        </w:tc>
      </w:tr>
      <w:tr w14:paraId="53FD4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DE45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D911C">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5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出版计划完成率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F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1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3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6D70">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B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9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1D81">
            <w:pPr>
              <w:jc w:val="center"/>
              <w:rPr>
                <w:rFonts w:hint="eastAsia" w:ascii="微软雅黑" w:hAnsi="微软雅黑" w:eastAsia="微软雅黑" w:cs="微软雅黑"/>
                <w:i/>
                <w:iCs/>
                <w:color w:val="000000"/>
                <w:sz w:val="16"/>
                <w:szCs w:val="16"/>
                <w:u w:val="none"/>
              </w:rPr>
            </w:pPr>
          </w:p>
        </w:tc>
      </w:tr>
      <w:tr w14:paraId="55AC4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9758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785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4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B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出版完成及时率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5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3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49B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F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2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C011">
            <w:pPr>
              <w:jc w:val="center"/>
              <w:rPr>
                <w:rFonts w:hint="eastAsia" w:ascii="微软雅黑" w:hAnsi="微软雅黑" w:eastAsia="微软雅黑" w:cs="微软雅黑"/>
                <w:i/>
                <w:iCs/>
                <w:color w:val="000000"/>
                <w:sz w:val="16"/>
                <w:szCs w:val="16"/>
                <w:u w:val="none"/>
              </w:rPr>
            </w:pPr>
          </w:p>
        </w:tc>
      </w:tr>
      <w:tr w14:paraId="37C0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98DC9">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88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E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B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出版专著资源将提升影响力</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C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B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C212">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A1D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5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E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393F">
            <w:pPr>
              <w:jc w:val="center"/>
              <w:rPr>
                <w:rFonts w:hint="eastAsia" w:ascii="微软雅黑" w:hAnsi="微软雅黑" w:eastAsia="微软雅黑" w:cs="微软雅黑"/>
                <w:i/>
                <w:iCs/>
                <w:color w:val="000000"/>
                <w:sz w:val="16"/>
                <w:szCs w:val="16"/>
                <w:u w:val="none"/>
              </w:rPr>
            </w:pPr>
          </w:p>
        </w:tc>
      </w:tr>
      <w:tr w14:paraId="3DC7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BE3E">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13230">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9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9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为地区文化建设做出长期贡献</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1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C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88F67">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C7D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F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0A7B">
            <w:pPr>
              <w:jc w:val="center"/>
              <w:rPr>
                <w:rFonts w:hint="eastAsia" w:ascii="微软雅黑" w:hAnsi="微软雅黑" w:eastAsia="微软雅黑" w:cs="微软雅黑"/>
                <w:i/>
                <w:iCs/>
                <w:color w:val="000000"/>
                <w:sz w:val="16"/>
                <w:szCs w:val="16"/>
                <w:u w:val="none"/>
              </w:rPr>
            </w:pPr>
          </w:p>
        </w:tc>
      </w:tr>
      <w:tr w14:paraId="5B7B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E34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0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5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8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读者及工作人员满意度≥90%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1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2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4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682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3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8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B39D">
            <w:pPr>
              <w:jc w:val="center"/>
              <w:rPr>
                <w:rFonts w:hint="eastAsia" w:ascii="微软雅黑" w:hAnsi="微软雅黑" w:eastAsia="微软雅黑" w:cs="微软雅黑"/>
                <w:i/>
                <w:iCs/>
                <w:color w:val="000000"/>
                <w:sz w:val="16"/>
                <w:szCs w:val="16"/>
                <w:u w:val="none"/>
              </w:rPr>
            </w:pPr>
          </w:p>
        </w:tc>
      </w:tr>
      <w:tr w14:paraId="7274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BB2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E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F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8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C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F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8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206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7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A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60E4">
            <w:pPr>
              <w:jc w:val="center"/>
              <w:rPr>
                <w:rFonts w:hint="eastAsia" w:ascii="微软雅黑" w:hAnsi="微软雅黑" w:eastAsia="微软雅黑" w:cs="微软雅黑"/>
                <w:i/>
                <w:iCs/>
                <w:color w:val="000000"/>
                <w:sz w:val="16"/>
                <w:szCs w:val="16"/>
                <w:u w:val="none"/>
              </w:rPr>
            </w:pPr>
          </w:p>
        </w:tc>
      </w:tr>
      <w:tr w14:paraId="66B06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CF1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2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0AB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B60E">
            <w:pPr>
              <w:rPr>
                <w:rFonts w:hint="eastAsia" w:ascii="宋体" w:hAnsi="宋体" w:eastAsia="宋体" w:cs="宋体"/>
                <w:i w:val="0"/>
                <w:iCs w:val="0"/>
                <w:color w:val="000000"/>
                <w:sz w:val="18"/>
                <w:szCs w:val="18"/>
                <w:u w:val="none"/>
              </w:rPr>
            </w:pPr>
          </w:p>
        </w:tc>
      </w:tr>
      <w:tr w14:paraId="23B04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9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51A96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红军长征雪山草地文献资源得到系统梳理：通过系统搜集、整理相关文献资料，抢救性保护了一批珍贵历史史料，填补了红军长征雪山草地相关文献整理的部分空白，形成了规范、完整的文献汇编成果，为红军历史研究、红色文化传承提供了重要的基础资料。</w:t>
            </w:r>
          </w:p>
        </w:tc>
      </w:tr>
      <w:tr w14:paraId="420E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9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FCA0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文献搜集的深度和广度不足：部分偏远区域、零散的红军长征雪山草地相关文献未能全面搜集，口述史料、民间留存史料的挖掘不够深入；文献分类整理的精细化程度不够，部分文献的标注、溯源不够规范，影响文献资源的利用效率。</w:t>
            </w:r>
          </w:p>
        </w:tc>
      </w:tr>
      <w:tr w14:paraId="0C34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B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C220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深化文献搜集整理，提升资源质量：开展红军长征雪山草地文献专项补充搜集工作，重点挖掘偏远区域、民间留存的口述史料、实物文献，扩大文献搜集覆盖面。</w:t>
            </w:r>
          </w:p>
        </w:tc>
      </w:tr>
      <w:tr w14:paraId="55A9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F84F5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DD6C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0C48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53A09CB9">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24AAB684">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244C2F07">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3C810849">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4AAC79AD">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2C5D3734">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FBB2343">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19B0A00E">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3FAF07A">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B48E3AE">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292D95F2">
            <w:pPr>
              <w:rPr>
                <w:rFonts w:hint="eastAsia" w:ascii="宋体" w:hAnsi="宋体" w:eastAsia="宋体" w:cs="宋体"/>
                <w:i w:val="0"/>
                <w:iCs w:val="0"/>
                <w:color w:val="000000"/>
                <w:sz w:val="18"/>
                <w:szCs w:val="18"/>
                <w:u w:val="none"/>
              </w:rPr>
            </w:pPr>
          </w:p>
        </w:tc>
      </w:tr>
      <w:tr w14:paraId="255B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C6EEF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240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3E9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25DC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51320025T000012461423-州图书馆新馆（红军长征雪山草地文献中心）聘请红军长征雪山草地文献中心红军长征文化专业讲解员</w:t>
            </w:r>
          </w:p>
        </w:tc>
      </w:tr>
      <w:tr w14:paraId="2E336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31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B4C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0AB84D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62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6DE4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11F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74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BE0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18231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3895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A3548">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68F62">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67B2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阿坝州作为红军长征的重要途经地，拥有丰富的长征历史文化资源。阿坝州图书馆红军长征雪山草地文献中心聘请专业讲解员能够更好地向公众传播红军长征在雪山草地的英雄事迹和伟大精神，传承红色基因。</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BA885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年度计划招聘红军长征文化专业讲解员1名，招聘人员均具备相关学历或红色文化背景，通过资格审查、面试等环节，初步具备讲解岗位基础能力，为队伍建设奠定了人员基础。</w:t>
            </w:r>
          </w:p>
        </w:tc>
      </w:tr>
      <w:tr w14:paraId="7179F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563CB">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8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2BF6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17D3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5C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5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2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20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7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6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3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E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4AAB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86B3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4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58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F8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2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E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F73D">
            <w:pPr>
              <w:jc w:val="center"/>
              <w:rPr>
                <w:rFonts w:hint="eastAsia" w:ascii="宋体" w:hAnsi="宋体" w:eastAsia="宋体" w:cs="宋体"/>
                <w:i w:val="0"/>
                <w:iCs w:val="0"/>
                <w:color w:val="000000"/>
                <w:sz w:val="18"/>
                <w:szCs w:val="18"/>
                <w:u w:val="none"/>
              </w:rPr>
            </w:pP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5679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C6C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5118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2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8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D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0C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2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F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E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FCBDA">
            <w:pPr>
              <w:rPr>
                <w:rFonts w:hint="eastAsia" w:ascii="黑体" w:hAnsi="黑体" w:eastAsia="黑体" w:cs="黑体"/>
                <w:i/>
                <w:iCs/>
                <w:color w:val="000000"/>
                <w:sz w:val="18"/>
                <w:szCs w:val="18"/>
                <w:u w:val="none"/>
              </w:rPr>
            </w:pPr>
          </w:p>
        </w:tc>
      </w:tr>
      <w:tr w14:paraId="5B10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30ABE">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B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7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C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10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1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A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3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55AA4">
            <w:pPr>
              <w:rPr>
                <w:rFonts w:hint="eastAsia" w:ascii="黑体" w:hAnsi="黑体" w:eastAsia="黑体" w:cs="黑体"/>
                <w:i/>
                <w:iCs/>
                <w:color w:val="000000"/>
                <w:sz w:val="18"/>
                <w:szCs w:val="18"/>
                <w:u w:val="none"/>
              </w:rPr>
            </w:pPr>
          </w:p>
        </w:tc>
      </w:tr>
      <w:tr w14:paraId="2650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789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2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D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C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25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B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8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F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E965B">
            <w:pPr>
              <w:rPr>
                <w:rFonts w:hint="eastAsia" w:ascii="黑体" w:hAnsi="黑体" w:eastAsia="黑体" w:cs="黑体"/>
                <w:i/>
                <w:iCs/>
                <w:color w:val="000000"/>
                <w:sz w:val="18"/>
                <w:szCs w:val="18"/>
                <w:u w:val="none"/>
              </w:rPr>
            </w:pPr>
          </w:p>
        </w:tc>
      </w:tr>
      <w:tr w14:paraId="68979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63E7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2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264B">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3381">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746E7">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190E">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D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1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C4248">
            <w:pPr>
              <w:rPr>
                <w:rFonts w:hint="eastAsia" w:ascii="黑体" w:hAnsi="黑体" w:eastAsia="黑体" w:cs="黑体"/>
                <w:i/>
                <w:iCs/>
                <w:color w:val="000000"/>
                <w:sz w:val="18"/>
                <w:szCs w:val="18"/>
                <w:u w:val="none"/>
              </w:rPr>
            </w:pPr>
          </w:p>
        </w:tc>
      </w:tr>
      <w:tr w14:paraId="42D66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85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3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0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5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1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C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1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8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D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3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2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990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D8E15">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5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0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DB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聘请专业讲解员</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A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C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B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4B1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E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BE3B">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AA0F">
            <w:pPr>
              <w:jc w:val="center"/>
              <w:rPr>
                <w:rFonts w:hint="eastAsia" w:ascii="微软雅黑" w:hAnsi="微软雅黑" w:eastAsia="微软雅黑" w:cs="微软雅黑"/>
                <w:i/>
                <w:iCs/>
                <w:color w:val="000000"/>
                <w:sz w:val="16"/>
                <w:szCs w:val="16"/>
                <w:u w:val="none"/>
              </w:rPr>
            </w:pPr>
          </w:p>
        </w:tc>
      </w:tr>
      <w:tr w14:paraId="12C84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E5C6D">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EC82A">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E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D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D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6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5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96E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7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4DF5">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AD45">
            <w:pPr>
              <w:jc w:val="center"/>
              <w:rPr>
                <w:rFonts w:hint="eastAsia" w:ascii="微软雅黑" w:hAnsi="微软雅黑" w:eastAsia="微软雅黑" w:cs="微软雅黑"/>
                <w:i/>
                <w:iCs/>
                <w:color w:val="000000"/>
                <w:sz w:val="16"/>
                <w:szCs w:val="16"/>
                <w:u w:val="none"/>
              </w:rPr>
            </w:pPr>
          </w:p>
        </w:tc>
      </w:tr>
      <w:tr w14:paraId="4BFA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6BEA">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F4EF9">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9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2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1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C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238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4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BB6B">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905D">
            <w:pPr>
              <w:jc w:val="center"/>
              <w:rPr>
                <w:rFonts w:hint="eastAsia" w:ascii="微软雅黑" w:hAnsi="微软雅黑" w:eastAsia="微软雅黑" w:cs="微软雅黑"/>
                <w:i/>
                <w:iCs/>
                <w:color w:val="000000"/>
                <w:sz w:val="16"/>
                <w:szCs w:val="16"/>
                <w:u w:val="none"/>
              </w:rPr>
            </w:pPr>
          </w:p>
        </w:tc>
      </w:tr>
      <w:tr w14:paraId="04DB6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65C11">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5C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4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C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向公众传播红军长征在雪山草地的英雄事迹和伟大精神</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4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4A63">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A1C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F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4A8D">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4A19">
            <w:pPr>
              <w:jc w:val="center"/>
              <w:rPr>
                <w:rFonts w:hint="eastAsia" w:ascii="微软雅黑" w:hAnsi="微软雅黑" w:eastAsia="微软雅黑" w:cs="微软雅黑"/>
                <w:i/>
                <w:iCs/>
                <w:color w:val="000000"/>
                <w:sz w:val="16"/>
                <w:szCs w:val="16"/>
                <w:u w:val="none"/>
              </w:rPr>
            </w:pPr>
          </w:p>
        </w:tc>
      </w:tr>
      <w:tr w14:paraId="4818D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3CDC8">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B15F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4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2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提升公众对长征精神认知</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4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B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读者认可度逐步提升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AD6D">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A75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4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FD5E">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9467">
            <w:pPr>
              <w:jc w:val="center"/>
              <w:rPr>
                <w:rFonts w:hint="eastAsia" w:ascii="微软雅黑" w:hAnsi="微软雅黑" w:eastAsia="微软雅黑" w:cs="微软雅黑"/>
                <w:i/>
                <w:iCs/>
                <w:color w:val="000000"/>
                <w:sz w:val="16"/>
                <w:szCs w:val="16"/>
                <w:u w:val="none"/>
              </w:rPr>
            </w:pPr>
          </w:p>
        </w:tc>
      </w:tr>
      <w:tr w14:paraId="7196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A5509">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3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B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9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4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2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E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570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6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EE89">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1AE6">
            <w:pPr>
              <w:jc w:val="center"/>
              <w:rPr>
                <w:rFonts w:hint="eastAsia" w:ascii="微软雅黑" w:hAnsi="微软雅黑" w:eastAsia="微软雅黑" w:cs="微软雅黑"/>
                <w:i/>
                <w:iCs/>
                <w:color w:val="000000"/>
                <w:sz w:val="16"/>
                <w:szCs w:val="16"/>
                <w:u w:val="none"/>
              </w:rPr>
            </w:pPr>
          </w:p>
        </w:tc>
      </w:tr>
      <w:tr w14:paraId="52E08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346E5">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2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5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3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0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4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A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034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4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95C5">
            <w:pPr>
              <w:jc w:val="cente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B1D9">
            <w:pPr>
              <w:jc w:val="center"/>
              <w:rPr>
                <w:rFonts w:hint="eastAsia" w:ascii="微软雅黑" w:hAnsi="微软雅黑" w:eastAsia="微软雅黑" w:cs="微软雅黑"/>
                <w:i/>
                <w:iCs/>
                <w:color w:val="000000"/>
                <w:sz w:val="16"/>
                <w:szCs w:val="16"/>
                <w:u w:val="none"/>
              </w:rPr>
            </w:pPr>
          </w:p>
        </w:tc>
      </w:tr>
      <w:tr w14:paraId="27CB0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0E1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E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F36D">
            <w:pPr>
              <w:rPr>
                <w:rFonts w:hint="eastAsia" w:ascii="宋体" w:hAnsi="宋体" w:eastAsia="宋体" w:cs="宋体"/>
                <w:i w:val="0"/>
                <w:iCs w:val="0"/>
                <w:color w:val="000000"/>
                <w:sz w:val="18"/>
                <w:szCs w:val="18"/>
                <w:u w:val="none"/>
              </w:rPr>
            </w:pP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06A4">
            <w:pPr>
              <w:rPr>
                <w:rFonts w:hint="eastAsia" w:ascii="宋体" w:hAnsi="宋体" w:eastAsia="宋体" w:cs="宋体"/>
                <w:i w:val="0"/>
                <w:iCs w:val="0"/>
                <w:color w:val="000000"/>
                <w:sz w:val="18"/>
                <w:szCs w:val="18"/>
                <w:u w:val="none"/>
              </w:rPr>
            </w:pPr>
          </w:p>
        </w:tc>
      </w:tr>
      <w:tr w14:paraId="39F93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B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7D08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本年度聘请红军长征雪山草地文献中心红军长征文化专业讲解员项目整体实施顺利，圆满完成了年度人员招聘、培训、服务保障等各项既定目标。项目实施过程规范、经费使用合理、队伍建设成效显著，有效提升了文献中心红色讲解服务能力，推动了红军长征文化的传承与传播，达到了项目实施的预期目标，为红色文化服务体系建设提供了有力支撑。</w:t>
            </w:r>
          </w:p>
        </w:tc>
      </w:tr>
      <w:tr w14:paraId="3E036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C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1C36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部分讲解内容以史料陈述为主，对红军长征雪山草地的历史细节、人物故事、精神内涵挖掘不够深入，缺乏个性化、特色化的讲解亮点，难以满足不同观众群体的深度需求。</w:t>
            </w:r>
          </w:p>
        </w:tc>
      </w:tr>
      <w:tr w14:paraId="1852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A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87A4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组建讲解内容研发小组，联合党史专家、文献中心工作人员，深入挖掘红军长征雪山草地的历史细节、人物故事、精神内涵，开发系列特色讲解内容（如主题故事讲解、红色人物专访、历史场景还原讲解）；针对不同观众群体定制差异化讲解脚本，提升讲解深度与针对性。</w:t>
            </w:r>
          </w:p>
        </w:tc>
      </w:tr>
      <w:tr w14:paraId="1213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5D6D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74C4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9CD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29A53621">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770D8724">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67365E93">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43FA7002">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5542296D">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46E92F4E">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D7F5D22">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7CE99D90">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17A6C845">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556C265">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3763D051">
            <w:pPr>
              <w:rPr>
                <w:rFonts w:hint="eastAsia" w:ascii="宋体" w:hAnsi="宋体" w:eastAsia="宋体" w:cs="宋体"/>
                <w:i w:val="0"/>
                <w:iCs w:val="0"/>
                <w:color w:val="000000"/>
                <w:sz w:val="18"/>
                <w:szCs w:val="18"/>
                <w:u w:val="none"/>
              </w:rPr>
            </w:pPr>
          </w:p>
        </w:tc>
      </w:tr>
      <w:tr w14:paraId="048F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8006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E27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35A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B2FA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51320025T000012466101-阿坝州文化旅游促进交流交往交融项目阿坝州图书馆阿坝州地方特色文献展呈服务中心24小时自助城市书房事前绩效评估报告</w:t>
            </w:r>
          </w:p>
        </w:tc>
      </w:tr>
      <w:tr w14:paraId="62B6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575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7B1B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2926BA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391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2EB86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A04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758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D2B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3DC0C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B0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4C139">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F358">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D44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建成阿坝州地方特色文献展呈服务中心及 24 小时自助城市书房，提升阿坝州文化旅游形象。有效整合地方特色文献资源，为读者提供便捷的阅读服务，满足群众文化需求。促进文化交流交往交融，增强阿坝州文化旅游的吸引力和影响力。</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E6AE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计划实现书房24小时常态化开放，目前书房仍处于建设优化阶段，尚未正式实现24小时开放，开放筹备工作推进滞后；自助借阅设备、门禁系统等已部分到位，但未完成全面调试，暂无法正常投入使用，设备运维体系尚未建立。</w:t>
            </w:r>
          </w:p>
        </w:tc>
      </w:tr>
      <w:tr w14:paraId="23C5F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6D30D">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283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074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525C6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1E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E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2F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4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B7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F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D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C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B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7833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500E8">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40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6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5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1C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F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C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C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3436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目前书房仍处于建设优化阶段，资金开放工作推进滞后</w:t>
            </w:r>
          </w:p>
        </w:tc>
      </w:tr>
      <w:tr w14:paraId="2EBC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0EBC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7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0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1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8B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20.35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C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4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F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A9F0A">
            <w:pPr>
              <w:rPr>
                <w:rFonts w:hint="eastAsia" w:ascii="黑体" w:hAnsi="黑体" w:eastAsia="黑体" w:cs="黑体"/>
                <w:i/>
                <w:iCs/>
                <w:color w:val="000000"/>
                <w:sz w:val="18"/>
                <w:szCs w:val="18"/>
                <w:u w:val="none"/>
              </w:rPr>
            </w:pPr>
          </w:p>
        </w:tc>
      </w:tr>
      <w:tr w14:paraId="2350D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2B7A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4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3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9B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3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8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1B57">
            <w:pPr>
              <w:rPr>
                <w:rFonts w:hint="eastAsia" w:ascii="黑体" w:hAnsi="黑体" w:eastAsia="黑体" w:cs="黑体"/>
                <w:i/>
                <w:iCs/>
                <w:color w:val="000000"/>
                <w:sz w:val="18"/>
                <w:szCs w:val="18"/>
                <w:u w:val="none"/>
              </w:rPr>
            </w:pPr>
          </w:p>
        </w:tc>
      </w:tr>
      <w:tr w14:paraId="7009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6C2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6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A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6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2E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6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6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7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02B32">
            <w:pPr>
              <w:rPr>
                <w:rFonts w:hint="eastAsia" w:ascii="黑体" w:hAnsi="黑体" w:eastAsia="黑体" w:cs="黑体"/>
                <w:i/>
                <w:iCs/>
                <w:color w:val="000000"/>
                <w:sz w:val="18"/>
                <w:szCs w:val="18"/>
                <w:u w:val="none"/>
              </w:rPr>
            </w:pPr>
          </w:p>
        </w:tc>
      </w:tr>
      <w:tr w14:paraId="2394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D49A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D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82C2">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6B60">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A45E86">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881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C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0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FD0ED">
            <w:pPr>
              <w:rPr>
                <w:rFonts w:hint="eastAsia" w:ascii="黑体" w:hAnsi="黑体" w:eastAsia="黑体" w:cs="黑体"/>
                <w:i/>
                <w:iCs/>
                <w:color w:val="000000"/>
                <w:sz w:val="18"/>
                <w:szCs w:val="18"/>
                <w:u w:val="none"/>
              </w:rPr>
            </w:pPr>
          </w:p>
        </w:tc>
      </w:tr>
      <w:tr w14:paraId="425CB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0D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B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5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4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2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47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9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0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F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B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E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795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F31AC">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E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9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地方特色文献展呈服务中心暨 24 小时自助城市书房</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3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B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3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D3A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8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4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3AA8">
            <w:pPr>
              <w:jc w:val="center"/>
              <w:rPr>
                <w:rFonts w:hint="eastAsia" w:ascii="微软雅黑" w:hAnsi="微软雅黑" w:eastAsia="微软雅黑" w:cs="微软雅黑"/>
                <w:i/>
                <w:iCs/>
                <w:color w:val="000000"/>
                <w:sz w:val="16"/>
                <w:szCs w:val="16"/>
                <w:u w:val="none"/>
              </w:rPr>
            </w:pPr>
          </w:p>
        </w:tc>
      </w:tr>
      <w:tr w14:paraId="34617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56CBC">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DB98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6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9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6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7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5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1E2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8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B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AE7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书房仍处于建设阶段</w:t>
            </w:r>
          </w:p>
        </w:tc>
      </w:tr>
      <w:tr w14:paraId="29D9A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4B600">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2E11">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4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1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8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A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0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10A5">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B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B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C7A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书房仍处于建设阶段</w:t>
            </w:r>
          </w:p>
        </w:tc>
      </w:tr>
      <w:tr w14:paraId="7D794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2B706">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A8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6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1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提升城市文化品位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A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D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F0E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6D6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9E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7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6142">
            <w:pPr>
              <w:jc w:val="center"/>
              <w:rPr>
                <w:rFonts w:hint="eastAsia" w:ascii="微软雅黑" w:hAnsi="微软雅黑" w:eastAsia="微软雅黑" w:cs="微软雅黑"/>
                <w:i/>
                <w:iCs/>
                <w:color w:val="000000"/>
                <w:sz w:val="16"/>
                <w:szCs w:val="16"/>
                <w:u w:val="none"/>
              </w:rPr>
            </w:pPr>
          </w:p>
        </w:tc>
      </w:tr>
      <w:tr w14:paraId="0DAB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B08D4">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730A4">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5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6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提升读者对城市书房认可</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E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0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BEBA">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97F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A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9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E23E">
            <w:pPr>
              <w:jc w:val="center"/>
              <w:rPr>
                <w:rFonts w:hint="eastAsia" w:ascii="微软雅黑" w:hAnsi="微软雅黑" w:eastAsia="微软雅黑" w:cs="微软雅黑"/>
                <w:i/>
                <w:iCs/>
                <w:color w:val="000000"/>
                <w:sz w:val="16"/>
                <w:szCs w:val="16"/>
                <w:u w:val="none"/>
              </w:rPr>
            </w:pPr>
          </w:p>
        </w:tc>
      </w:tr>
      <w:tr w14:paraId="2F57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0E1D9">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6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9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C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读者及工作人员满读者及工作人员满意度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0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1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0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6C8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C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3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51C6">
            <w:pPr>
              <w:jc w:val="center"/>
              <w:rPr>
                <w:rFonts w:hint="eastAsia" w:ascii="微软雅黑" w:hAnsi="微软雅黑" w:eastAsia="微软雅黑" w:cs="微软雅黑"/>
                <w:i/>
                <w:iCs/>
                <w:color w:val="000000"/>
                <w:sz w:val="16"/>
                <w:szCs w:val="16"/>
                <w:u w:val="none"/>
              </w:rPr>
            </w:pPr>
          </w:p>
        </w:tc>
      </w:tr>
      <w:tr w14:paraId="09245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8D6C7">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F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B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A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资金支出金额</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1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8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2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E70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E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0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648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目前书房仍处于建设优化阶段，资金开放工作推进滞后</w:t>
            </w:r>
          </w:p>
        </w:tc>
      </w:tr>
      <w:tr w14:paraId="1D79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EE0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0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9BB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C7B7">
            <w:pPr>
              <w:rPr>
                <w:rFonts w:hint="eastAsia" w:ascii="宋体" w:hAnsi="宋体" w:eastAsia="宋体" w:cs="宋体"/>
                <w:i w:val="0"/>
                <w:iCs w:val="0"/>
                <w:color w:val="000000"/>
                <w:sz w:val="18"/>
                <w:szCs w:val="18"/>
                <w:u w:val="none"/>
              </w:rPr>
            </w:pPr>
          </w:p>
        </w:tc>
      </w:tr>
      <w:tr w14:paraId="54E6A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6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0516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75分，本年度地方特色文献展呈服务中心24小时自助城市书房项目未按计划完成年度既定目标。核心原因是项目资金拨付进度滞后（仅39.9%），导致书房建设、设备调试、文献展呈、运营保障等各项核心工作推进受阻，未能实现24小时自助运营、便民服务落地等核心目标。目前项目处于阶段性推进状态，已完成部分前期筹备和基础工作，后续需加快资金拨付、强化推进力度，确保项目早日完成、发挥实效</w:t>
            </w:r>
          </w:p>
        </w:tc>
      </w:tr>
      <w:tr w14:paraId="62B73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3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2509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因资金拨付进度仅39.9%，资金保障不足，导致书房装修优化、自助设备全面采购与调试、地方特色文献全面展呈等工作无法按时推进，项目整体进度未达年度计划要求，未实现核心建设及运营目标。</w:t>
            </w:r>
          </w:p>
        </w:tc>
      </w:tr>
      <w:tr w14:paraId="52C6A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2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85BB2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高度重视项目推进情况，协调解决资金拨付过程中的难点问题，尽快拨付剩余项目资金，确保项目有充足的资金保障，加快推进进度，早日实现项目目标。</w:t>
            </w:r>
          </w:p>
        </w:tc>
      </w:tr>
      <w:tr w14:paraId="51F16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2712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EBF7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F3E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36A7EA0E">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3C61EC46">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5F1A8829">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4CD161E5">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4D343C2F">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2840BD26">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44672244">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782368A5">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5C2E23A0">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02805B8C">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53598137">
            <w:pPr>
              <w:rPr>
                <w:rFonts w:hint="eastAsia" w:ascii="宋体" w:hAnsi="宋体" w:eastAsia="宋体" w:cs="宋体"/>
                <w:i w:val="0"/>
                <w:iCs w:val="0"/>
                <w:color w:val="000000"/>
                <w:sz w:val="18"/>
                <w:szCs w:val="18"/>
                <w:u w:val="none"/>
              </w:rPr>
            </w:pPr>
          </w:p>
        </w:tc>
      </w:tr>
      <w:tr w14:paraId="4286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77B9C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B1F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084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B629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51320025T000013722874-公共图书馆、美术馆、文化馆（站）免费开放省级补助资金</w:t>
            </w:r>
          </w:p>
        </w:tc>
      </w:tr>
      <w:tr w14:paraId="5B5BE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0A7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811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6C161A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1D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2816F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D09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300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84F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1ED3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0944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D8B9">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6AA2">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E79E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主要目的是为进一步规范中央对地方公共图书馆免费开放补助资金的管理，提高财政资金使用效益，保障了人民群众基本文化权益，为我州广大读者提供图书阅读免费场所,丰富群众文化生活,促进专业交流。</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6AAE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资金拨付及时率100%，资金严格按照规定用途使用，主要用于免费开放期间的人员薪酬、设施维护、物资采购、服务提升、宣传推广等，专款专用、账实相符，无超支、挪用、截留、浪费等违规情况，资金管控规范有序。</w:t>
            </w:r>
          </w:p>
        </w:tc>
      </w:tr>
      <w:tr w14:paraId="3729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B63D6">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16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90FD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2E45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7B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D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0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DF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A9C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9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6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4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E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C77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F199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3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A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0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D8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3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2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6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B3EC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FD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59CEE">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9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0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0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5ED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D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2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D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ED6A">
            <w:pPr>
              <w:rPr>
                <w:rFonts w:hint="eastAsia" w:ascii="黑体" w:hAnsi="黑体" w:eastAsia="黑体" w:cs="黑体"/>
                <w:i/>
                <w:iCs/>
                <w:color w:val="000000"/>
                <w:sz w:val="18"/>
                <w:szCs w:val="18"/>
                <w:u w:val="none"/>
              </w:rPr>
            </w:pPr>
          </w:p>
        </w:tc>
      </w:tr>
      <w:tr w14:paraId="26077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818A8">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D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1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B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1A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2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5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F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3F749">
            <w:pPr>
              <w:rPr>
                <w:rFonts w:hint="eastAsia" w:ascii="黑体" w:hAnsi="黑体" w:eastAsia="黑体" w:cs="黑体"/>
                <w:i/>
                <w:iCs/>
                <w:color w:val="000000"/>
                <w:sz w:val="18"/>
                <w:szCs w:val="18"/>
                <w:u w:val="none"/>
              </w:rPr>
            </w:pPr>
          </w:p>
        </w:tc>
      </w:tr>
      <w:tr w14:paraId="5B4BE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A1201">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4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4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D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C6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3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A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8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B2A69">
            <w:pPr>
              <w:rPr>
                <w:rFonts w:hint="eastAsia" w:ascii="黑体" w:hAnsi="黑体" w:eastAsia="黑体" w:cs="黑体"/>
                <w:i/>
                <w:iCs/>
                <w:color w:val="000000"/>
                <w:sz w:val="18"/>
                <w:szCs w:val="18"/>
                <w:u w:val="none"/>
              </w:rPr>
            </w:pPr>
          </w:p>
        </w:tc>
      </w:tr>
      <w:tr w14:paraId="67F9C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A05A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1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4DEC">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AB69">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8AA84A">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C02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6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8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D45D5">
            <w:pPr>
              <w:rPr>
                <w:rFonts w:hint="eastAsia" w:ascii="黑体" w:hAnsi="黑体" w:eastAsia="黑体" w:cs="黑体"/>
                <w:i/>
                <w:iCs/>
                <w:color w:val="000000"/>
                <w:sz w:val="18"/>
                <w:szCs w:val="18"/>
                <w:u w:val="none"/>
              </w:rPr>
            </w:pPr>
          </w:p>
        </w:tc>
      </w:tr>
      <w:tr w14:paraId="05D7A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53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0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9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4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8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8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5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C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1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D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9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2DE7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B9C29">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43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2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2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免费开放服务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3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2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A58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C5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C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A2C6">
            <w:pPr>
              <w:jc w:val="center"/>
              <w:rPr>
                <w:rFonts w:hint="eastAsia" w:ascii="微软雅黑" w:hAnsi="微软雅黑" w:eastAsia="微软雅黑" w:cs="微软雅黑"/>
                <w:i/>
                <w:iCs/>
                <w:color w:val="000000"/>
                <w:sz w:val="16"/>
                <w:szCs w:val="16"/>
                <w:u w:val="none"/>
              </w:rPr>
            </w:pPr>
          </w:p>
        </w:tc>
      </w:tr>
      <w:tr w14:paraId="5A5E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B7DEB">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5603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0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B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年度完成计划率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F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E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B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490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D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7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E82F">
            <w:pPr>
              <w:jc w:val="center"/>
              <w:rPr>
                <w:rFonts w:hint="eastAsia" w:ascii="微软雅黑" w:hAnsi="微软雅黑" w:eastAsia="微软雅黑" w:cs="微软雅黑"/>
                <w:i/>
                <w:iCs/>
                <w:color w:val="000000"/>
                <w:sz w:val="16"/>
                <w:szCs w:val="16"/>
                <w:u w:val="none"/>
              </w:rPr>
            </w:pPr>
          </w:p>
        </w:tc>
      </w:tr>
      <w:tr w14:paraId="718CF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7A549">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400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D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1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年度工作完成及时率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9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0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99A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8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4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29C1">
            <w:pPr>
              <w:jc w:val="center"/>
              <w:rPr>
                <w:rFonts w:hint="eastAsia" w:ascii="微软雅黑" w:hAnsi="微软雅黑" w:eastAsia="微软雅黑" w:cs="微软雅黑"/>
                <w:i/>
                <w:iCs/>
                <w:color w:val="000000"/>
                <w:sz w:val="16"/>
                <w:szCs w:val="16"/>
                <w:u w:val="none"/>
              </w:rPr>
            </w:pPr>
          </w:p>
        </w:tc>
      </w:tr>
      <w:tr w14:paraId="58A96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B111B">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C2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1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F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更好的满足读者需要</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4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D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E9167">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CB9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F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A857">
            <w:pPr>
              <w:jc w:val="center"/>
              <w:rPr>
                <w:rFonts w:hint="eastAsia" w:ascii="微软雅黑" w:hAnsi="微软雅黑" w:eastAsia="微软雅黑" w:cs="微软雅黑"/>
                <w:i/>
                <w:iCs/>
                <w:color w:val="000000"/>
                <w:sz w:val="16"/>
                <w:szCs w:val="16"/>
                <w:u w:val="none"/>
              </w:rPr>
            </w:pPr>
          </w:p>
        </w:tc>
      </w:tr>
      <w:tr w14:paraId="3379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DE97B">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50C71">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D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7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持续富群众文化生活</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C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7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8FA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8A76">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8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6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5377">
            <w:pPr>
              <w:jc w:val="center"/>
              <w:rPr>
                <w:rFonts w:hint="eastAsia" w:ascii="微软雅黑" w:hAnsi="微软雅黑" w:eastAsia="微软雅黑" w:cs="微软雅黑"/>
                <w:i/>
                <w:iCs/>
                <w:color w:val="000000"/>
                <w:sz w:val="16"/>
                <w:szCs w:val="16"/>
                <w:u w:val="none"/>
              </w:rPr>
            </w:pPr>
          </w:p>
        </w:tc>
      </w:tr>
      <w:tr w14:paraId="45BC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B2125">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5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6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1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3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5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A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519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F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4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037E">
            <w:pPr>
              <w:jc w:val="center"/>
              <w:rPr>
                <w:rFonts w:hint="eastAsia" w:ascii="微软雅黑" w:hAnsi="微软雅黑" w:eastAsia="微软雅黑" w:cs="微软雅黑"/>
                <w:i/>
                <w:iCs/>
                <w:color w:val="000000"/>
                <w:sz w:val="16"/>
                <w:szCs w:val="16"/>
                <w:u w:val="none"/>
              </w:rPr>
            </w:pPr>
          </w:p>
        </w:tc>
      </w:tr>
      <w:tr w14:paraId="071DB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56C30">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7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1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本项目金额36万元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D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3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3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CE3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A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3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A715">
            <w:pPr>
              <w:jc w:val="center"/>
              <w:rPr>
                <w:rFonts w:hint="eastAsia" w:ascii="微软雅黑" w:hAnsi="微软雅黑" w:eastAsia="微软雅黑" w:cs="微软雅黑"/>
                <w:i/>
                <w:iCs/>
                <w:color w:val="000000"/>
                <w:sz w:val="16"/>
                <w:szCs w:val="16"/>
                <w:u w:val="none"/>
              </w:rPr>
            </w:pPr>
          </w:p>
        </w:tc>
      </w:tr>
      <w:tr w14:paraId="204F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07A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2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A4E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6D77">
            <w:pPr>
              <w:rPr>
                <w:rFonts w:hint="eastAsia" w:ascii="宋体" w:hAnsi="宋体" w:eastAsia="宋体" w:cs="宋体"/>
                <w:i w:val="0"/>
                <w:iCs w:val="0"/>
                <w:color w:val="000000"/>
                <w:sz w:val="18"/>
                <w:szCs w:val="18"/>
                <w:u w:val="none"/>
              </w:rPr>
            </w:pPr>
          </w:p>
        </w:tc>
      </w:tr>
      <w:tr w14:paraId="032A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E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4410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项目自评总分100分，本年度免费开放资金项目整体实施顺利，圆满完成了年度各项既定目标。项目实施过程规范、资金使用合理、成效显著，有效发挥了免费开放资金的保障和支撑作用，切实推动了免费开放政策落地见效，提升了公益服务质量和覆盖面，满足了群众日益增长的公益服务需求，达到了项目实施的预期目标，为公共文化事业高质量发展提供了有力保障。</w:t>
            </w:r>
          </w:p>
        </w:tc>
      </w:tr>
      <w:tr w14:paraId="4B02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C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3C8D0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宣传方式较为单一，多以线下公告、简单推文为主，线上宣传覆盖面有限，对偏远地区、老年群体等重点人群的宣传触达不足；宣传内容重点不突出，未能充分展现免费开放服务的亮点，导致部分群众对免费开放政策、服务内容知晓度不高。</w:t>
            </w:r>
          </w:p>
        </w:tc>
      </w:tr>
      <w:tr w14:paraId="39420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A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A7CE2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善宣传扶持政策：建议加大对免费开放宣传推广的资金和资源扶持，培养专业宣传人才，提升宣传质量；鼓励媒体、公益组织参与免费开放宣传，扩大宣传影响力，推动免费开放政策深入人心，让更多群众受益。</w:t>
            </w:r>
          </w:p>
        </w:tc>
      </w:tr>
      <w:tr w14:paraId="52116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FD23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21A4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ABA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tcBorders>
              <w:top w:val="nil"/>
              <w:left w:val="nil"/>
              <w:bottom w:val="nil"/>
              <w:right w:val="nil"/>
            </w:tcBorders>
            <w:shd w:val="clear" w:color="auto" w:fill="auto"/>
            <w:vAlign w:val="center"/>
          </w:tcPr>
          <w:p w14:paraId="0A78D15C">
            <w:pPr>
              <w:rPr>
                <w:rFonts w:hint="eastAsia" w:ascii="宋体" w:hAnsi="宋体" w:eastAsia="宋体" w:cs="宋体"/>
                <w:i w:val="0"/>
                <w:iCs w:val="0"/>
                <w:color w:val="000000"/>
                <w:sz w:val="18"/>
                <w:szCs w:val="18"/>
                <w:u w:val="none"/>
              </w:rPr>
            </w:pPr>
          </w:p>
        </w:tc>
        <w:tc>
          <w:tcPr>
            <w:tcW w:w="1128" w:type="dxa"/>
            <w:tcBorders>
              <w:top w:val="nil"/>
              <w:left w:val="nil"/>
              <w:bottom w:val="nil"/>
              <w:right w:val="nil"/>
            </w:tcBorders>
            <w:shd w:val="clear" w:color="auto" w:fill="auto"/>
            <w:vAlign w:val="center"/>
          </w:tcPr>
          <w:p w14:paraId="6F08B433">
            <w:pPr>
              <w:rPr>
                <w:rFonts w:hint="eastAsia" w:ascii="宋体" w:hAnsi="宋体" w:eastAsia="宋体" w:cs="宋体"/>
                <w:i w:val="0"/>
                <w:iCs w:val="0"/>
                <w:color w:val="000000"/>
                <w:sz w:val="18"/>
                <w:szCs w:val="18"/>
                <w:u w:val="none"/>
              </w:rPr>
            </w:pPr>
          </w:p>
        </w:tc>
        <w:tc>
          <w:tcPr>
            <w:tcW w:w="1020" w:type="dxa"/>
            <w:tcBorders>
              <w:top w:val="nil"/>
              <w:left w:val="nil"/>
              <w:bottom w:val="nil"/>
              <w:right w:val="nil"/>
            </w:tcBorders>
            <w:shd w:val="clear" w:color="auto" w:fill="auto"/>
            <w:vAlign w:val="center"/>
          </w:tcPr>
          <w:p w14:paraId="51F243C3">
            <w:pPr>
              <w:rPr>
                <w:rFonts w:hint="eastAsia" w:ascii="宋体" w:hAnsi="宋体" w:eastAsia="宋体" w:cs="宋体"/>
                <w:i w:val="0"/>
                <w:iCs w:val="0"/>
                <w:color w:val="000000"/>
                <w:sz w:val="18"/>
                <w:szCs w:val="18"/>
                <w:u w:val="none"/>
              </w:rPr>
            </w:pPr>
          </w:p>
        </w:tc>
        <w:tc>
          <w:tcPr>
            <w:tcW w:w="1253" w:type="dxa"/>
            <w:tcBorders>
              <w:top w:val="nil"/>
              <w:left w:val="nil"/>
              <w:bottom w:val="nil"/>
              <w:right w:val="nil"/>
            </w:tcBorders>
            <w:shd w:val="clear" w:color="auto" w:fill="auto"/>
            <w:vAlign w:val="center"/>
          </w:tcPr>
          <w:p w14:paraId="15E8EA39">
            <w:pPr>
              <w:rPr>
                <w:rFonts w:hint="eastAsia" w:ascii="宋体" w:hAnsi="宋体" w:eastAsia="宋体" w:cs="宋体"/>
                <w:i w:val="0"/>
                <w:iCs w:val="0"/>
                <w:color w:val="000000"/>
                <w:sz w:val="18"/>
                <w:szCs w:val="18"/>
                <w:u w:val="none"/>
              </w:rPr>
            </w:pPr>
          </w:p>
        </w:tc>
        <w:tc>
          <w:tcPr>
            <w:tcW w:w="396" w:type="dxa"/>
            <w:tcBorders>
              <w:top w:val="nil"/>
              <w:left w:val="nil"/>
              <w:bottom w:val="nil"/>
              <w:right w:val="nil"/>
            </w:tcBorders>
            <w:shd w:val="clear" w:color="auto" w:fill="auto"/>
            <w:vAlign w:val="center"/>
          </w:tcPr>
          <w:p w14:paraId="2F5F0E20">
            <w:pPr>
              <w:rPr>
                <w:rFonts w:hint="eastAsia" w:ascii="宋体" w:hAnsi="宋体" w:eastAsia="宋体" w:cs="宋体"/>
                <w:i w:val="0"/>
                <w:iCs w:val="0"/>
                <w:color w:val="000000"/>
                <w:sz w:val="18"/>
                <w:szCs w:val="18"/>
                <w:u w:val="none"/>
              </w:rPr>
            </w:pPr>
          </w:p>
        </w:tc>
        <w:tc>
          <w:tcPr>
            <w:tcW w:w="1021" w:type="dxa"/>
            <w:tcBorders>
              <w:top w:val="nil"/>
              <w:left w:val="nil"/>
              <w:bottom w:val="nil"/>
              <w:right w:val="nil"/>
            </w:tcBorders>
            <w:shd w:val="clear" w:color="auto" w:fill="auto"/>
            <w:vAlign w:val="center"/>
          </w:tcPr>
          <w:p w14:paraId="0152A437">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6F9B2726">
            <w:pPr>
              <w:rPr>
                <w:rFonts w:hint="eastAsia" w:ascii="宋体" w:hAnsi="宋体" w:eastAsia="宋体" w:cs="宋体"/>
                <w:i w:val="0"/>
                <w:iCs w:val="0"/>
                <w:color w:val="000000"/>
                <w:sz w:val="18"/>
                <w:szCs w:val="18"/>
                <w:u w:val="none"/>
              </w:rPr>
            </w:pPr>
          </w:p>
        </w:tc>
        <w:tc>
          <w:tcPr>
            <w:tcW w:w="846" w:type="dxa"/>
            <w:tcBorders>
              <w:top w:val="nil"/>
              <w:left w:val="nil"/>
              <w:bottom w:val="nil"/>
              <w:right w:val="nil"/>
            </w:tcBorders>
            <w:shd w:val="clear" w:color="auto" w:fill="auto"/>
            <w:vAlign w:val="center"/>
          </w:tcPr>
          <w:p w14:paraId="5829519E">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86AE2AB">
            <w:pPr>
              <w:rPr>
                <w:rFonts w:hint="eastAsia" w:ascii="宋体" w:hAnsi="宋体" w:eastAsia="宋体" w:cs="宋体"/>
                <w:i w:val="0"/>
                <w:iCs w:val="0"/>
                <w:color w:val="000000"/>
                <w:sz w:val="18"/>
                <w:szCs w:val="18"/>
                <w:u w:val="none"/>
              </w:rPr>
            </w:pPr>
          </w:p>
        </w:tc>
        <w:tc>
          <w:tcPr>
            <w:tcW w:w="486" w:type="dxa"/>
            <w:tcBorders>
              <w:top w:val="nil"/>
              <w:left w:val="nil"/>
              <w:bottom w:val="nil"/>
              <w:right w:val="nil"/>
            </w:tcBorders>
            <w:shd w:val="clear" w:color="auto" w:fill="auto"/>
            <w:vAlign w:val="center"/>
          </w:tcPr>
          <w:p w14:paraId="2D522ED4">
            <w:pPr>
              <w:rPr>
                <w:rFonts w:hint="eastAsia" w:ascii="宋体" w:hAnsi="宋体" w:eastAsia="宋体" w:cs="宋体"/>
                <w:i w:val="0"/>
                <w:iCs w:val="0"/>
                <w:color w:val="000000"/>
                <w:sz w:val="18"/>
                <w:szCs w:val="18"/>
                <w:u w:val="none"/>
              </w:rPr>
            </w:pPr>
          </w:p>
        </w:tc>
        <w:tc>
          <w:tcPr>
            <w:tcW w:w="1442" w:type="dxa"/>
            <w:tcBorders>
              <w:top w:val="nil"/>
              <w:left w:val="nil"/>
              <w:bottom w:val="nil"/>
              <w:right w:val="nil"/>
            </w:tcBorders>
            <w:shd w:val="clear" w:color="auto" w:fill="auto"/>
            <w:vAlign w:val="center"/>
          </w:tcPr>
          <w:p w14:paraId="48979B28">
            <w:pPr>
              <w:rPr>
                <w:rFonts w:hint="eastAsia" w:ascii="宋体" w:hAnsi="宋体" w:eastAsia="宋体" w:cs="宋体"/>
                <w:i w:val="0"/>
                <w:iCs w:val="0"/>
                <w:color w:val="000000"/>
                <w:sz w:val="18"/>
                <w:szCs w:val="18"/>
                <w:u w:val="none"/>
              </w:rPr>
            </w:pPr>
          </w:p>
        </w:tc>
      </w:tr>
      <w:tr w14:paraId="1BC5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3AF6C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280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48D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D11B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51320025T000013919420-2025年浙江援建资金——阿坝州图书馆阿坝州地方特色文献展呈服务中心24小时自助城市书房</w:t>
            </w:r>
          </w:p>
        </w:tc>
      </w:tr>
      <w:tr w14:paraId="0F6F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A61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0693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0ACD64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00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2DA07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A8A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ECB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9B2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8BC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70C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2B080">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7551B">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9B9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构建全面系统的阿坝州地方特色文献馆藏体系，涵盖历史、民俗、艺术、地理等多方面。 打造一个具有吸引力和互动性的展呈空间，为读者提供沉浸式的地方文献体验。 提升地方特色文献的服务水平，包括借阅、咨询、研究支持等，满足不同读者需求。  通过项目实施，使阿坝州图书馆成为展示阿坝地方文化的重要窗口和文化交流平台。</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0EBF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年度项目预算 50万元，截至目前资金拨付进度为 89.6%，已拨付经费严格按照预算规划使用，主要用于文献搜集整理、展呈空间建设、设备采购、展陈物料制作等核心环节，专款专用、账实相符，无违规支出、浪费等情况，经费管控规范有序。</w:t>
            </w:r>
          </w:p>
        </w:tc>
      </w:tr>
      <w:tr w14:paraId="0527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73657">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A89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9929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67DB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B8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2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7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7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3A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9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3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5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6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572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6BEBB">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5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F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D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7DC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E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3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B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7A96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年度项目预算 50万元，截至目前资金拨付进度为 89.6%，已拨付经费严格按照预算规划使用，该完成项目时间为2026年。</w:t>
            </w:r>
          </w:p>
        </w:tc>
      </w:tr>
      <w:tr w14:paraId="194D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A3CF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D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3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A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5AA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8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89.64%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3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D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C1034">
            <w:pPr>
              <w:rPr>
                <w:rFonts w:hint="eastAsia" w:ascii="黑体" w:hAnsi="黑体" w:eastAsia="黑体" w:cs="黑体"/>
                <w:i/>
                <w:iCs/>
                <w:color w:val="000000"/>
                <w:sz w:val="18"/>
                <w:szCs w:val="18"/>
                <w:u w:val="none"/>
              </w:rPr>
            </w:pPr>
          </w:p>
        </w:tc>
      </w:tr>
      <w:tr w14:paraId="4DAA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5292B">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B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8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B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A0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4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E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3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6A690">
            <w:pPr>
              <w:rPr>
                <w:rFonts w:hint="eastAsia" w:ascii="黑体" w:hAnsi="黑体" w:eastAsia="黑体" w:cs="黑体"/>
                <w:i/>
                <w:iCs/>
                <w:color w:val="000000"/>
                <w:sz w:val="18"/>
                <w:szCs w:val="18"/>
                <w:u w:val="none"/>
              </w:rPr>
            </w:pPr>
          </w:p>
        </w:tc>
      </w:tr>
      <w:tr w14:paraId="37ED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A3A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9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5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D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BA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8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5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7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1FB55">
            <w:pPr>
              <w:rPr>
                <w:rFonts w:hint="eastAsia" w:ascii="黑体" w:hAnsi="黑体" w:eastAsia="黑体" w:cs="黑体"/>
                <w:i/>
                <w:iCs/>
                <w:color w:val="000000"/>
                <w:sz w:val="18"/>
                <w:szCs w:val="18"/>
                <w:u w:val="none"/>
              </w:rPr>
            </w:pPr>
          </w:p>
        </w:tc>
      </w:tr>
      <w:tr w14:paraId="2CC53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4E767">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2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1C96">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E032">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C1FD4">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489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5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2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57268">
            <w:pPr>
              <w:rPr>
                <w:rFonts w:hint="eastAsia" w:ascii="黑体" w:hAnsi="黑体" w:eastAsia="黑体" w:cs="黑体"/>
                <w:i/>
                <w:iCs/>
                <w:color w:val="000000"/>
                <w:sz w:val="18"/>
                <w:szCs w:val="18"/>
                <w:u w:val="none"/>
              </w:rPr>
            </w:pPr>
          </w:p>
        </w:tc>
      </w:tr>
      <w:tr w14:paraId="13340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1E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2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9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A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5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5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E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7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F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A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86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8D49">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A2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3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D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陈列室</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9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9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9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CE97">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3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5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341D">
            <w:pPr>
              <w:jc w:val="center"/>
              <w:rPr>
                <w:rFonts w:hint="eastAsia" w:ascii="微软雅黑" w:hAnsi="微软雅黑" w:eastAsia="微软雅黑" w:cs="微软雅黑"/>
                <w:i/>
                <w:iCs/>
                <w:color w:val="000000"/>
                <w:sz w:val="16"/>
                <w:szCs w:val="16"/>
                <w:u w:val="none"/>
              </w:rPr>
            </w:pPr>
          </w:p>
        </w:tc>
      </w:tr>
      <w:tr w14:paraId="7E8EF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D9BD5">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EA494">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D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达到行业标准符合基本展陈</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C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A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25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1A7D">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4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1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937A">
            <w:pPr>
              <w:jc w:val="center"/>
              <w:rPr>
                <w:rFonts w:hint="eastAsia" w:ascii="微软雅黑" w:hAnsi="微软雅黑" w:eastAsia="微软雅黑" w:cs="微软雅黑"/>
                <w:i/>
                <w:iCs/>
                <w:color w:val="000000"/>
                <w:sz w:val="16"/>
                <w:szCs w:val="16"/>
                <w:u w:val="none"/>
              </w:rPr>
            </w:pPr>
          </w:p>
        </w:tc>
      </w:tr>
      <w:tr w14:paraId="4090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A8BE1">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E38A2">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E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完成项目时间</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4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B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4788">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1473">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D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0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892E">
            <w:pPr>
              <w:jc w:val="center"/>
              <w:rPr>
                <w:rFonts w:hint="eastAsia" w:ascii="微软雅黑" w:hAnsi="微软雅黑" w:eastAsia="微软雅黑" w:cs="微软雅黑"/>
                <w:i/>
                <w:iCs/>
                <w:color w:val="000000"/>
                <w:sz w:val="16"/>
                <w:szCs w:val="16"/>
                <w:u w:val="none"/>
              </w:rPr>
            </w:pPr>
          </w:p>
        </w:tc>
      </w:tr>
      <w:tr w14:paraId="435C9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5C2FC">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5B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C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5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展示宣传阿坝州地方特色文献资料</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6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6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长期宣传</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60E4">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DA6C">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4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7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EDBF">
            <w:pPr>
              <w:jc w:val="center"/>
              <w:rPr>
                <w:rFonts w:hint="eastAsia" w:ascii="微软雅黑" w:hAnsi="微软雅黑" w:eastAsia="微软雅黑" w:cs="微软雅黑"/>
                <w:i/>
                <w:iCs/>
                <w:color w:val="000000"/>
                <w:sz w:val="16"/>
                <w:szCs w:val="16"/>
                <w:u w:val="none"/>
              </w:rPr>
            </w:pPr>
          </w:p>
        </w:tc>
      </w:tr>
      <w:tr w14:paraId="44EC9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E3631">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8C47D">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B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2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建成阿坝州地方特色文献展示服务中心</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1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F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长期宣传</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F620">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44C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2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4E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影响力现在还比较小，该完成项目时间为2026年。</w:t>
            </w:r>
          </w:p>
        </w:tc>
      </w:tr>
      <w:tr w14:paraId="18AA9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684D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C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3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A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地方文献研究者和读者满意度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D0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0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0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D97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E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F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816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满意度现在还比较少，该完成项目时间为2026年。</w:t>
            </w:r>
          </w:p>
        </w:tc>
      </w:tr>
      <w:tr w14:paraId="2A334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1BA9">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4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A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2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项目开展经费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7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6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D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9632">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4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6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24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已拨付经费严格按照预算规划使用，该完成项目时间为2026年。</w:t>
            </w:r>
          </w:p>
        </w:tc>
      </w:tr>
      <w:tr w14:paraId="0F1B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A35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D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0ED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678D">
            <w:pPr>
              <w:rPr>
                <w:rFonts w:hint="eastAsia" w:ascii="宋体" w:hAnsi="宋体" w:eastAsia="宋体" w:cs="宋体"/>
                <w:i w:val="0"/>
                <w:iCs w:val="0"/>
                <w:color w:val="000000"/>
                <w:sz w:val="18"/>
                <w:szCs w:val="18"/>
                <w:u w:val="none"/>
              </w:rPr>
            </w:pPr>
          </w:p>
        </w:tc>
      </w:tr>
      <w:tr w14:paraId="283D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5"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B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395A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81分，本年度地方特色文献展呈服务中心项目整体实施顺利，按计划正常推进。核心任务均按进度完成，文献整理、展呈空间建设等重点工作取得阶段性成果，经费使用规范透明，项目管理有序。目前项目处于收尾冲刺阶段，剩余工作已明确责任与时间节点，预计可按期完成，整体达到了项目实施的阶段性预期目标，为地方文化传承、公共文化服务提升提供了有力支撑。</w:t>
            </w:r>
          </w:p>
        </w:tc>
      </w:tr>
      <w:tr w14:paraId="1116C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1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2D89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剩余约 10% 的地方特色文献整理工作仍在收尾，部分文献的标注、溯源不够规范；少数民间留存史料的挖掘与整理不够充分，未完全实现文献资源的全面、精准梳理。</w:t>
            </w:r>
          </w:p>
        </w:tc>
      </w:tr>
      <w:tr w14:paraId="3EC5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7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B0254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加快文献整理收尾，提升资源质量：集中力量完成剩余 10% 文献的整理、标注与溯源工作，重点补充民间史料的深度挖掘；邀请党史、地方文化专家参与审核，规范文献分类、标注标准，确保所有文献资源完整、精准、可利用。</w:t>
            </w:r>
          </w:p>
        </w:tc>
      </w:tr>
      <w:tr w14:paraId="1B01B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B8C3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FA1A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E17F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9" w:hRule="atLeast"/>
        </w:trPr>
        <w:tc>
          <w:tcPr>
            <w:tcW w:w="91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95F751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BBE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10A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9944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51320026T000014260787-中央财政公共文化服务体系建设补助资金（三馆一站免开补助资金）</w:t>
            </w:r>
          </w:p>
        </w:tc>
      </w:tr>
      <w:tr w14:paraId="43FE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110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4442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州文广旅局部门</w:t>
            </w:r>
          </w:p>
        </w:tc>
        <w:tc>
          <w:tcPr>
            <w:tcW w:w="846" w:type="dxa"/>
            <w:tcBorders>
              <w:top w:val="nil"/>
              <w:left w:val="nil"/>
              <w:bottom w:val="nil"/>
              <w:right w:val="nil"/>
            </w:tcBorders>
            <w:shd w:val="clear" w:color="auto" w:fill="auto"/>
            <w:vAlign w:val="center"/>
          </w:tcPr>
          <w:p w14:paraId="1EAA65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4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662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州图书馆</w:t>
            </w:r>
          </w:p>
        </w:tc>
      </w:tr>
      <w:tr w14:paraId="29E4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65F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C50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CA2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9E33F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34B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404FF">
            <w:pP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57142">
            <w:pPr>
              <w:rPr>
                <w:rFonts w:hint="eastAsia" w:ascii="宋体" w:hAnsi="宋体" w:eastAsia="宋体" w:cs="宋体"/>
                <w:i w:val="0"/>
                <w:iCs w:val="0"/>
                <w:color w:val="000000"/>
                <w:sz w:val="18"/>
                <w:szCs w:val="18"/>
                <w:u w:val="none"/>
              </w:rPr>
            </w:pPr>
          </w:p>
        </w:tc>
        <w:tc>
          <w:tcPr>
            <w:tcW w:w="417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07B4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项目的实施保障了人民群众基本文化权益，丰富基层人民群众精神文化生活</w:t>
            </w:r>
          </w:p>
        </w:tc>
        <w:tc>
          <w:tcPr>
            <w:tcW w:w="32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FA39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资金拨付及时率100%，资金严格按照规定用途使用，主要用于免费开放期间的人员薪酬、设施维护、物资采购、服务提升、宣传推广等，专款专用、账实相符，无超支、挪用、截留、浪费等违规情况，资金管控规范有序。</w:t>
            </w:r>
          </w:p>
        </w:tc>
      </w:tr>
      <w:tr w14:paraId="28BD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168ED">
            <w:pP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D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CCC7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项目实施过程规范、经费使用合理、成效显著，有效发挥了项目资金的保障和支撑作用</w:t>
            </w:r>
          </w:p>
        </w:tc>
      </w:tr>
      <w:tr w14:paraId="1D2A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9C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F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1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81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B1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5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1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C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1EF5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7C3D3">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1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7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F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E4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1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A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6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3918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645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258EF">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E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7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E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89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B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5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DB47D">
            <w:pPr>
              <w:rPr>
                <w:rFonts w:hint="eastAsia" w:ascii="黑体" w:hAnsi="黑体" w:eastAsia="黑体" w:cs="黑体"/>
                <w:i/>
                <w:iCs/>
                <w:color w:val="000000"/>
                <w:sz w:val="18"/>
                <w:szCs w:val="18"/>
                <w:u w:val="none"/>
              </w:rPr>
            </w:pPr>
          </w:p>
        </w:tc>
      </w:tr>
      <w:tr w14:paraId="40973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BE50D">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C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9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8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50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8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0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F73C5">
            <w:pPr>
              <w:rPr>
                <w:rFonts w:hint="eastAsia" w:ascii="黑体" w:hAnsi="黑体" w:eastAsia="黑体" w:cs="黑体"/>
                <w:i/>
                <w:iCs/>
                <w:color w:val="000000"/>
                <w:sz w:val="18"/>
                <w:szCs w:val="18"/>
                <w:u w:val="none"/>
              </w:rPr>
            </w:pPr>
          </w:p>
        </w:tc>
      </w:tr>
      <w:tr w14:paraId="5E522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7FFEC">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4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9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4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E9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3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3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C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07113">
            <w:pPr>
              <w:rPr>
                <w:rFonts w:hint="eastAsia" w:ascii="黑体" w:hAnsi="黑体" w:eastAsia="黑体" w:cs="黑体"/>
                <w:i/>
                <w:iCs/>
                <w:color w:val="000000"/>
                <w:sz w:val="18"/>
                <w:szCs w:val="18"/>
                <w:u w:val="none"/>
              </w:rPr>
            </w:pPr>
          </w:p>
        </w:tc>
      </w:tr>
      <w:tr w14:paraId="28502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38254">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7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1083">
            <w:pPr>
              <w:jc w:val="center"/>
              <w:rPr>
                <w:rFonts w:hint="eastAsia" w:ascii="微软雅黑" w:hAnsi="微软雅黑" w:eastAsia="微软雅黑" w:cs="微软雅黑"/>
                <w:i/>
                <w:iCs/>
                <w:color w:val="000000"/>
                <w:sz w:val="16"/>
                <w:szCs w:val="16"/>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6C86">
            <w:pPr>
              <w:jc w:val="center"/>
              <w:rPr>
                <w:rFonts w:hint="eastAsia" w:ascii="微软雅黑" w:hAnsi="微软雅黑" w:eastAsia="微软雅黑" w:cs="微软雅黑"/>
                <w:i/>
                <w:iCs/>
                <w:color w:val="000000"/>
                <w:sz w:val="16"/>
                <w:szCs w:val="16"/>
                <w:u w:val="none"/>
              </w:rPr>
            </w:pPr>
          </w:p>
        </w:tc>
        <w:tc>
          <w:tcPr>
            <w:tcW w:w="19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1AE2F">
            <w:pPr>
              <w:jc w:val="center"/>
              <w:rPr>
                <w:rFonts w:hint="eastAsia" w:ascii="微软雅黑" w:hAnsi="微软雅黑" w:eastAsia="微软雅黑" w:cs="微软雅黑"/>
                <w:i/>
                <w:iCs/>
                <w:color w:val="000000"/>
                <w:sz w:val="16"/>
                <w:szCs w:val="16"/>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6C0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2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8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D18C0">
            <w:pPr>
              <w:rPr>
                <w:rFonts w:hint="eastAsia" w:ascii="黑体" w:hAnsi="黑体" w:eastAsia="黑体" w:cs="黑体"/>
                <w:i/>
                <w:iCs/>
                <w:color w:val="000000"/>
                <w:sz w:val="18"/>
                <w:szCs w:val="18"/>
                <w:u w:val="none"/>
              </w:rPr>
            </w:pPr>
          </w:p>
        </w:tc>
      </w:tr>
      <w:tr w14:paraId="2AF8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6"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2D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1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1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F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1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7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4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A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2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E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D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347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9BB27">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11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B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1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免费开发服务</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2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B98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300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4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312F">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B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B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901A">
            <w:pPr>
              <w:jc w:val="center"/>
              <w:rPr>
                <w:rFonts w:hint="eastAsia" w:ascii="微软雅黑" w:hAnsi="微软雅黑" w:eastAsia="微软雅黑" w:cs="微软雅黑"/>
                <w:i/>
                <w:iCs/>
                <w:color w:val="000000"/>
                <w:sz w:val="16"/>
                <w:szCs w:val="16"/>
                <w:u w:val="none"/>
              </w:rPr>
            </w:pPr>
          </w:p>
        </w:tc>
      </w:tr>
      <w:tr w14:paraId="4990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A414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3EE7E">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6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5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C9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E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E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9201">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A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7C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D711">
            <w:pPr>
              <w:jc w:val="center"/>
              <w:rPr>
                <w:rFonts w:hint="eastAsia" w:ascii="微软雅黑" w:hAnsi="微软雅黑" w:eastAsia="微软雅黑" w:cs="微软雅黑"/>
                <w:i/>
                <w:iCs/>
                <w:color w:val="000000"/>
                <w:sz w:val="16"/>
                <w:szCs w:val="16"/>
                <w:u w:val="none"/>
              </w:rPr>
            </w:pPr>
          </w:p>
        </w:tc>
      </w:tr>
      <w:tr w14:paraId="4844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24017">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EBC6B">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D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9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年度工作完成率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E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E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D15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F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E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B9880">
            <w:pPr>
              <w:jc w:val="center"/>
              <w:rPr>
                <w:rFonts w:hint="eastAsia" w:ascii="微软雅黑" w:hAnsi="微软雅黑" w:eastAsia="微软雅黑" w:cs="微软雅黑"/>
                <w:i/>
                <w:iCs/>
                <w:color w:val="000000"/>
                <w:sz w:val="16"/>
                <w:szCs w:val="16"/>
                <w:u w:val="none"/>
              </w:rPr>
            </w:pPr>
          </w:p>
        </w:tc>
      </w:tr>
      <w:tr w14:paraId="1348E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AB8F1">
            <w:pPr>
              <w:jc w:val="center"/>
              <w:rPr>
                <w:rFonts w:hint="eastAsia" w:ascii="宋体" w:hAnsi="宋体" w:eastAsia="宋体" w:cs="宋体"/>
                <w:i w:val="0"/>
                <w:iCs w:val="0"/>
                <w:color w:val="000000"/>
                <w:sz w:val="18"/>
                <w:szCs w:val="18"/>
                <w:u w:val="none"/>
              </w:rPr>
            </w:pPr>
          </w:p>
        </w:tc>
        <w:tc>
          <w:tcPr>
            <w:tcW w:w="11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54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E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C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更好的满足读者需要</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8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1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A8F1">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5BF8">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8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E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C771">
            <w:pPr>
              <w:jc w:val="center"/>
              <w:rPr>
                <w:rFonts w:hint="eastAsia" w:ascii="微软雅黑" w:hAnsi="微软雅黑" w:eastAsia="微软雅黑" w:cs="微软雅黑"/>
                <w:i/>
                <w:iCs/>
                <w:color w:val="000000"/>
                <w:sz w:val="16"/>
                <w:szCs w:val="16"/>
                <w:u w:val="none"/>
              </w:rPr>
            </w:pPr>
          </w:p>
        </w:tc>
      </w:tr>
      <w:tr w14:paraId="0286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0DB7E">
            <w:pPr>
              <w:jc w:val="center"/>
              <w:rPr>
                <w:rFonts w:hint="eastAsia" w:ascii="宋体" w:hAnsi="宋体" w:eastAsia="宋体" w:cs="宋体"/>
                <w:i w:val="0"/>
                <w:iCs w:val="0"/>
                <w:color w:val="000000"/>
                <w:sz w:val="18"/>
                <w:szCs w:val="18"/>
                <w:u w:val="none"/>
              </w:rPr>
            </w:pPr>
          </w:p>
        </w:tc>
        <w:tc>
          <w:tcPr>
            <w:tcW w:w="11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D6A7B">
            <w:pPr>
              <w:jc w:val="center"/>
              <w:rPr>
                <w:rFonts w:hint="eastAsia" w:ascii="宋体" w:hAnsi="宋体" w:eastAsia="宋体" w:cs="宋体"/>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0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B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持续丰富基层人民群众需求</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D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CA0F">
            <w:pPr>
              <w:jc w:val="center"/>
              <w:rPr>
                <w:rFonts w:hint="eastAsia" w:ascii="宋体" w:hAnsi="宋体" w:eastAsia="宋体" w:cs="宋体"/>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6049">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4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C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4B29">
            <w:pPr>
              <w:jc w:val="center"/>
              <w:rPr>
                <w:rFonts w:hint="eastAsia" w:ascii="微软雅黑" w:hAnsi="微软雅黑" w:eastAsia="微软雅黑" w:cs="微软雅黑"/>
                <w:i/>
                <w:iCs/>
                <w:color w:val="000000"/>
                <w:sz w:val="16"/>
                <w:szCs w:val="16"/>
                <w:u w:val="none"/>
              </w:rPr>
            </w:pPr>
          </w:p>
        </w:tc>
      </w:tr>
      <w:tr w14:paraId="38C0A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DE315">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4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6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F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9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9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0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2C8A">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8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9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7777">
            <w:pPr>
              <w:jc w:val="center"/>
              <w:rPr>
                <w:rFonts w:hint="eastAsia" w:ascii="微软雅黑" w:hAnsi="微软雅黑" w:eastAsia="微软雅黑" w:cs="微软雅黑"/>
                <w:i/>
                <w:iCs/>
                <w:color w:val="000000"/>
                <w:sz w:val="16"/>
                <w:szCs w:val="16"/>
                <w:u w:val="none"/>
              </w:rPr>
            </w:pPr>
          </w:p>
        </w:tc>
      </w:tr>
      <w:tr w14:paraId="2453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F4A8A">
            <w:pPr>
              <w:jc w:val="center"/>
              <w:rPr>
                <w:rFonts w:hint="eastAsia" w:ascii="宋体" w:hAnsi="宋体" w:eastAsia="宋体" w:cs="宋体"/>
                <w:i w:val="0"/>
                <w:iCs w:val="0"/>
                <w:color w:val="000000"/>
                <w:sz w:val="18"/>
                <w:szCs w:val="18"/>
                <w:u w:val="none"/>
              </w:rPr>
            </w:pP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6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0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本项目金额为40万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5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5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9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5264">
            <w:pPr>
              <w:jc w:val="center"/>
              <w:rPr>
                <w:rFonts w:hint="eastAsia"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B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1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BAE5">
            <w:pPr>
              <w:jc w:val="center"/>
              <w:rPr>
                <w:rFonts w:hint="eastAsia" w:ascii="微软雅黑" w:hAnsi="微软雅黑" w:eastAsia="微软雅黑" w:cs="微软雅黑"/>
                <w:i/>
                <w:iCs/>
                <w:color w:val="000000"/>
                <w:sz w:val="16"/>
                <w:szCs w:val="16"/>
                <w:u w:val="none"/>
              </w:rPr>
            </w:pPr>
          </w:p>
        </w:tc>
      </w:tr>
      <w:tr w14:paraId="2B1D0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672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F9A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3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8D8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80A0">
            <w:pPr>
              <w:rPr>
                <w:rFonts w:hint="eastAsia" w:ascii="宋体" w:hAnsi="宋体" w:eastAsia="宋体" w:cs="宋体"/>
                <w:i w:val="0"/>
                <w:iCs w:val="0"/>
                <w:color w:val="000000"/>
                <w:sz w:val="18"/>
                <w:szCs w:val="18"/>
                <w:u w:val="none"/>
              </w:rPr>
            </w:pPr>
          </w:p>
        </w:tc>
      </w:tr>
      <w:tr w14:paraId="4940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F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1BCE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项目自评总分100分，本年度免费开放资金项目整体实施顺利，圆满完成了年度各项既定目标。项目实施过程规范、资金使用合理、成效显著，有效发挥了免费开放资金的保障和支撑作用，切实推动了免费开放政策落地见效，提升了公益服务质量和覆盖面，满足了群众日益增长的公益服务需求，达到了项目实施的预期目标，为公共文化事业高质量发展提供了有力保障。</w:t>
            </w:r>
          </w:p>
        </w:tc>
      </w:tr>
      <w:tr w14:paraId="5E6D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3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02752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宣传方式较为单一，多以线下公告、简单推文为主，线上宣传覆盖面有限，对偏远地区、老年群体等重点人群的宣传触达不足；宣传内容重点不突出，未能充分展现免费开放服务的亮点，导致部分群众对免费开放政策、服务内容知晓度不高。</w:t>
            </w:r>
          </w:p>
        </w:tc>
      </w:tr>
      <w:tr w14:paraId="0500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F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56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6379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善宣传扶持政策：建议加大对免费开放宣传推广的资金和资源扶持，培养专业宣传人才，提升宣传质量；鼓励媒体、公益组织参与免费开放宣传，扩大宣传影响力，推动免费开放政策深入人心，让更多群众受益。</w:t>
            </w:r>
          </w:p>
        </w:tc>
      </w:tr>
      <w:tr w14:paraId="2879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437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5FD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7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1355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4E9CCF21">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816DDA3">
      <w:pPr>
        <w:pStyle w:val="5"/>
        <w:rPr>
          <w:rFonts w:hint="eastAsia" w:ascii="Times New Roman" w:hAnsi="Times New Roman" w:cs="宋体"/>
          <w:color w:val="FF0000"/>
          <w:kern w:val="0"/>
          <w:sz w:val="32"/>
          <w:szCs w:val="32"/>
          <w:highlight w:val="yellow"/>
          <w:shd w:val="clear" w:color="auto" w:fill="FFFFFF"/>
          <w:lang w:val="zh-CN"/>
        </w:rPr>
      </w:pPr>
    </w:p>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C3CF256">
      <w:pPr>
        <w:pStyle w:val="34"/>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专项预算项目绩效评价报告</w:t>
      </w:r>
    </w:p>
    <w:p w14:paraId="3BA21DFC">
      <w:pPr>
        <w:pStyle w:val="34"/>
        <w:spacing w:line="578" w:lineRule="exact"/>
        <w:ind w:firstLine="640"/>
        <w:jc w:val="center"/>
        <w:rPr>
          <w:rFonts w:ascii="Times New Roman" w:hAnsi="Times New Roman"/>
          <w:color w:val="auto"/>
          <w:kern w:val="2"/>
          <w:sz w:val="32"/>
          <w:szCs w:val="32"/>
        </w:rPr>
      </w:pPr>
    </w:p>
    <w:p w14:paraId="2B224323">
      <w:pPr>
        <w:adjustRightInd w:val="0"/>
        <w:snapToGrid w:val="0"/>
        <w:spacing w:line="578" w:lineRule="exact"/>
        <w:ind w:firstLine="640" w:firstLineChars="200"/>
        <w:rPr>
          <w:rFonts w:eastAsia="黑体"/>
          <w:sz w:val="32"/>
          <w:szCs w:val="32"/>
          <w:lang w:val="zh-CN"/>
        </w:rPr>
      </w:pPr>
      <w:r>
        <w:rPr>
          <w:rFonts w:hint="eastAsia" w:eastAsia="黑体"/>
          <w:sz w:val="32"/>
          <w:szCs w:val="32"/>
        </w:rPr>
        <w:t>一、</w:t>
      </w:r>
      <w:r>
        <w:rPr>
          <w:rFonts w:hint="eastAsia" w:eastAsia="黑体"/>
          <w:sz w:val="32"/>
          <w:szCs w:val="32"/>
          <w:lang w:val="zh-CN"/>
        </w:rPr>
        <w:t>项目概况</w:t>
      </w:r>
    </w:p>
    <w:p w14:paraId="10CDBC2E">
      <w:pPr>
        <w:keepNext w:val="0"/>
        <w:keepLines w:val="0"/>
        <w:pageBreakBefore w:val="0"/>
        <w:kinsoku/>
        <w:wordWrap/>
        <w:overflowPunct/>
        <w:topLinePunct w:val="0"/>
        <w:autoSpaceDE/>
        <w:autoSpaceDN/>
        <w:bidi w:val="0"/>
        <w:spacing w:line="560" w:lineRule="exact"/>
        <w:ind w:firstLine="643" w:firstLineChars="200"/>
        <w:jc w:val="left"/>
        <w:rPr>
          <w:rFonts w:eastAsia="仿宋_GB2312" w:cs="仿宋_GB2312"/>
          <w:kern w:val="0"/>
          <w:sz w:val="32"/>
          <w:szCs w:val="32"/>
          <w:shd w:val="clear" w:color="auto" w:fill="FFFFFF"/>
          <w:lang w:val="zh-CN"/>
        </w:rPr>
      </w:pPr>
      <w:r>
        <w:rPr>
          <w:rFonts w:hint="eastAsia" w:eastAsia="楷体_GB2312"/>
          <w:b/>
          <w:sz w:val="32"/>
          <w:szCs w:val="32"/>
          <w:lang w:val="zh-CN"/>
        </w:rPr>
        <w:t>（一）设立背景及基本情况。</w:t>
      </w:r>
      <w:r>
        <w:rPr>
          <w:rFonts w:hint="eastAsia" w:ascii="仿宋" w:hAnsi="仿宋" w:eastAsia="仿宋" w:cs="仿宋"/>
          <w:b w:val="0"/>
          <w:bCs w:val="0"/>
          <w:color w:val="000000"/>
          <w:sz w:val="32"/>
          <w:szCs w:val="32"/>
          <w:lang w:val="en-US" w:eastAsia="zh-CN"/>
        </w:rPr>
        <w:t>阿坝州文化旅游促进交流交往交融项目（阿坝州图书馆智慧城市书房（阿来城市书房）二期阿来城市书房二期建设项目投资200万元，其中：100万元资金为2025年浙江对口支援阿坝州项目。由州发改委于2024年6月通过专家评审后下达。100万元为州财政配套建设经费。</w:t>
      </w:r>
    </w:p>
    <w:p w14:paraId="3CE3E2A2">
      <w:pPr>
        <w:keepNext w:val="0"/>
        <w:keepLines w:val="0"/>
        <w:pageBreakBefore w:val="0"/>
        <w:widowControl w:val="0"/>
        <w:tabs>
          <w:tab w:val="left" w:pos="3885"/>
        </w:tabs>
        <w:kinsoku/>
        <w:wordWrap/>
        <w:overflowPunct/>
        <w:topLinePunct w:val="0"/>
        <w:autoSpaceDE/>
        <w:autoSpaceDN/>
        <w:bidi w:val="0"/>
        <w:snapToGrid w:val="0"/>
        <w:spacing w:before="0" w:after="0" w:line="360" w:lineRule="auto"/>
        <w:ind w:right="0" w:firstLine="643" w:firstLineChars="200"/>
        <w:jc w:val="both"/>
        <w:textAlignment w:val="auto"/>
        <w:rPr>
          <w:rFonts w:eastAsia="仿宋_GB2312" w:cs="仿宋_GB2312"/>
          <w:kern w:val="0"/>
          <w:sz w:val="32"/>
          <w:szCs w:val="32"/>
          <w:lang w:val="zh-CN"/>
        </w:rPr>
      </w:pPr>
      <w:r>
        <w:rPr>
          <w:rFonts w:hint="eastAsia" w:eastAsia="楷体_GB2312"/>
          <w:b/>
          <w:sz w:val="32"/>
          <w:szCs w:val="32"/>
          <w:lang w:val="zh-CN"/>
        </w:rPr>
        <w:t>（二）</w:t>
      </w:r>
      <w:r>
        <w:rPr>
          <w:rFonts w:eastAsia="楷体_GB2312"/>
          <w:b/>
          <w:sz w:val="32"/>
          <w:szCs w:val="32"/>
        </w:rPr>
        <w:t>实施目的及支持方向</w:t>
      </w:r>
      <w:r>
        <w:rPr>
          <w:rFonts w:hint="eastAsia" w:eastAsia="楷体_GB2312"/>
          <w:b/>
          <w:sz w:val="32"/>
          <w:szCs w:val="32"/>
        </w:rPr>
        <w:t>。</w:t>
      </w:r>
      <w:r>
        <w:rPr>
          <w:rFonts w:hint="eastAsia" w:ascii="仿宋" w:hAnsi="仿宋" w:eastAsia="仿宋" w:cs="仿宋"/>
          <w:sz w:val="32"/>
          <w:szCs w:val="32"/>
          <w:lang w:val="en-US" w:eastAsia="zh-CN"/>
        </w:rPr>
        <w:t>整合图书馆资源、满足藏羌民族文化教学、科研及交流，满足社会公民对了解感悟、体验和研究藏羌民族文化精神的需求。利用阿来文化品牌提升优质的公共文化服务空间，借鉴浙江城市书房建设经验，建设完成后以社会购买服务方式引进社会培训、特色藏茶文化等元素为广大读者提供休闲、舒适的阅读环境。利于满足藏羌民族文化的弘扬传播和展示传播，丰富提升阿坝藏族羌族自治州图书馆功能作用具有重要现实意义。</w:t>
      </w:r>
    </w:p>
    <w:p w14:paraId="4ABF77D3">
      <w:pPr>
        <w:keepNext w:val="0"/>
        <w:keepLines w:val="0"/>
        <w:pageBreakBefore w:val="0"/>
        <w:kinsoku/>
        <w:wordWrap/>
        <w:overflowPunct/>
        <w:topLinePunct w:val="0"/>
        <w:autoSpaceDE/>
        <w:autoSpaceDN/>
        <w:bidi w:val="0"/>
        <w:spacing w:line="560" w:lineRule="exact"/>
        <w:ind w:firstLine="643" w:firstLineChars="200"/>
        <w:jc w:val="left"/>
        <w:rPr>
          <w:rFonts w:hint="eastAsia" w:eastAsia="楷体_GB2312"/>
          <w:b/>
          <w:sz w:val="32"/>
          <w:szCs w:val="32"/>
          <w:lang w:val="zh-CN"/>
        </w:rPr>
      </w:pPr>
      <w:r>
        <w:rPr>
          <w:rFonts w:hint="eastAsia" w:eastAsia="楷体_GB2312"/>
          <w:b/>
          <w:sz w:val="32"/>
          <w:szCs w:val="32"/>
          <w:lang w:val="zh-CN"/>
        </w:rPr>
        <w:t>（三）</w:t>
      </w:r>
      <w:r>
        <w:rPr>
          <w:rFonts w:eastAsia="楷体_GB2312"/>
          <w:b/>
          <w:sz w:val="32"/>
          <w:szCs w:val="32"/>
        </w:rPr>
        <w:t>预算安排及分配管理</w:t>
      </w:r>
      <w:r>
        <w:rPr>
          <w:rFonts w:hint="eastAsia" w:eastAsia="楷体_GB2312"/>
          <w:b/>
          <w:sz w:val="32"/>
          <w:szCs w:val="32"/>
          <w:lang w:val="zh-CN"/>
        </w:rPr>
        <w:t>。</w:t>
      </w:r>
    </w:p>
    <w:p w14:paraId="048540B0">
      <w:pPr>
        <w:keepNext w:val="0"/>
        <w:keepLines w:val="0"/>
        <w:pageBreakBefore w:val="0"/>
        <w:kinsoku/>
        <w:wordWrap/>
        <w:overflowPunct/>
        <w:topLinePunct w:val="0"/>
        <w:autoSpaceDE/>
        <w:autoSpaceDN/>
        <w:bidi w:val="0"/>
        <w:spacing w:line="560" w:lineRule="exact"/>
        <w:ind w:left="19" w:leftChars="9" w:firstLine="620" w:firstLineChars="194"/>
        <w:jc w:val="both"/>
        <w:rPr>
          <w:rFonts w:hint="default" w:ascii="仿宋" w:hAnsi="仿宋" w:eastAsia="仿宋" w:cs="仿宋"/>
          <w:sz w:val="32"/>
          <w:szCs w:val="32"/>
          <w:lang w:val="en-US" w:eastAsia="zh-CN"/>
        </w:rPr>
      </w:pPr>
      <w:r>
        <w:rPr>
          <w:rFonts w:hint="eastAsia" w:ascii="仿宋" w:hAnsi="仿宋" w:eastAsia="仿宋" w:cs="仿宋"/>
          <w:color w:val="000000"/>
          <w:sz w:val="32"/>
          <w:szCs w:val="32"/>
        </w:rPr>
        <w:t>资金计划及到位。</w:t>
      </w:r>
      <w:r>
        <w:rPr>
          <w:rFonts w:hint="eastAsia" w:ascii="仿宋" w:hAnsi="仿宋" w:eastAsia="仿宋" w:cs="仿宋"/>
          <w:b w:val="0"/>
          <w:bCs w:val="0"/>
          <w:color w:val="000000"/>
          <w:sz w:val="32"/>
          <w:szCs w:val="32"/>
          <w:lang w:val="en-US" w:eastAsia="zh-CN"/>
        </w:rPr>
        <w:t>浙江对口支援阿坝州2025年第二批项目100万元，100万元为州财政2025年度预算配套建设经费。于</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6月</w:t>
      </w:r>
      <w:r>
        <w:rPr>
          <w:rFonts w:hint="eastAsia" w:ascii="仿宋" w:hAnsi="仿宋" w:eastAsia="仿宋" w:cs="仿宋"/>
          <w:color w:val="000000"/>
          <w:sz w:val="32"/>
          <w:szCs w:val="32"/>
        </w:rPr>
        <w:t>全部到位。资金使用。截止</w:t>
      </w:r>
      <w:r>
        <w:rPr>
          <w:rFonts w:hint="eastAsia" w:ascii="仿宋" w:hAnsi="仿宋" w:eastAsia="仿宋" w:cs="仿宋"/>
          <w:color w:val="000000"/>
          <w:sz w:val="32"/>
          <w:szCs w:val="32"/>
          <w:lang w:val="en-US" w:eastAsia="zh-CN"/>
        </w:rPr>
        <w:t>2025年12月</w:t>
      </w:r>
      <w:r>
        <w:rPr>
          <w:rFonts w:hint="eastAsia" w:ascii="仿宋" w:hAnsi="仿宋" w:eastAsia="仿宋" w:cs="仿宋"/>
          <w:color w:val="000000"/>
          <w:sz w:val="32"/>
          <w:szCs w:val="32"/>
        </w:rPr>
        <w:t>，已</w:t>
      </w:r>
      <w:r>
        <w:rPr>
          <w:rFonts w:hint="eastAsia" w:ascii="仿宋" w:hAnsi="仿宋" w:eastAsia="仿宋" w:cs="仿宋"/>
          <w:color w:val="000000"/>
          <w:sz w:val="32"/>
          <w:szCs w:val="32"/>
          <w:lang w:val="en-US" w:eastAsia="zh-CN"/>
        </w:rPr>
        <w:t>完成197.83万元投资，</w:t>
      </w:r>
      <w:r>
        <w:rPr>
          <w:rFonts w:hint="eastAsia" w:ascii="仿宋" w:hAnsi="仿宋" w:eastAsia="仿宋" w:cs="仿宋"/>
          <w:color w:val="000000"/>
          <w:sz w:val="32"/>
          <w:szCs w:val="32"/>
        </w:rPr>
        <w:t>支付率达</w:t>
      </w:r>
      <w:r>
        <w:rPr>
          <w:rFonts w:hint="eastAsia" w:ascii="仿宋" w:hAnsi="仿宋" w:eastAsia="仿宋" w:cs="仿宋"/>
          <w:color w:val="000000"/>
          <w:sz w:val="32"/>
          <w:szCs w:val="32"/>
          <w:lang w:val="en-US" w:eastAsia="zh-CN"/>
        </w:rPr>
        <w:t>99</w:t>
      </w:r>
      <w:r>
        <w:rPr>
          <w:rFonts w:hint="eastAsia" w:ascii="仿宋" w:hAnsi="仿宋" w:eastAsia="仿宋" w:cs="仿宋"/>
          <w:color w:val="000000"/>
          <w:sz w:val="32"/>
          <w:szCs w:val="32"/>
        </w:rPr>
        <w:t>％。付依据合规合法，资金支付与预算相符。</w:t>
      </w:r>
      <w:r>
        <w:rPr>
          <w:rFonts w:hint="eastAsia" w:ascii="仿宋" w:hAnsi="仿宋" w:eastAsia="仿宋"/>
          <w:sz w:val="32"/>
          <w:szCs w:val="32"/>
          <w:lang w:val="en-US" w:eastAsia="zh-CN"/>
        </w:rPr>
        <w:t>按照工程建设进度购相关规定。</w:t>
      </w:r>
    </w:p>
    <w:p w14:paraId="5383257D">
      <w:pPr>
        <w:keepNext w:val="0"/>
        <w:keepLines w:val="0"/>
        <w:pageBreakBefore w:val="0"/>
        <w:kinsoku/>
        <w:wordWrap/>
        <w:overflowPunct/>
        <w:topLinePunct w:val="0"/>
        <w:autoSpaceDE/>
        <w:autoSpaceDN/>
        <w:bidi w:val="0"/>
        <w:spacing w:line="560" w:lineRule="exact"/>
        <w:ind w:firstLine="643" w:firstLineChars="200"/>
        <w:jc w:val="both"/>
        <w:rPr>
          <w:rFonts w:eastAsia="仿宋_GB2312" w:cs="仿宋_GB2312"/>
          <w:kern w:val="0"/>
          <w:sz w:val="32"/>
          <w:szCs w:val="32"/>
          <w:lang w:val="zh-CN"/>
        </w:rPr>
      </w:pPr>
      <w:r>
        <w:rPr>
          <w:rFonts w:hint="eastAsia" w:eastAsia="楷体_GB2312"/>
          <w:b/>
          <w:sz w:val="32"/>
          <w:szCs w:val="32"/>
          <w:lang w:val="zh-CN"/>
        </w:rPr>
        <w:t>（四）项目绩效目标设置。</w:t>
      </w:r>
      <w:r>
        <w:rPr>
          <w:rFonts w:hint="eastAsia" w:ascii="仿宋" w:hAnsi="仿宋" w:eastAsia="仿宋" w:cs="仿宋"/>
          <w:color w:val="000000"/>
          <w:sz w:val="32"/>
          <w:szCs w:val="32"/>
        </w:rPr>
        <w:t>该项目经费严格遵守财务管理制度，对照项目资金管理办法，经费报销依次经过具体经办人、</w:t>
      </w:r>
      <w:r>
        <w:rPr>
          <w:rFonts w:hint="eastAsia" w:ascii="仿宋" w:hAnsi="仿宋" w:eastAsia="仿宋" w:cs="仿宋"/>
          <w:color w:val="000000"/>
          <w:sz w:val="32"/>
          <w:szCs w:val="32"/>
          <w:lang w:val="en-US" w:eastAsia="zh-CN"/>
        </w:rPr>
        <w:t>分管财务领导、会计</w:t>
      </w:r>
      <w:r>
        <w:rPr>
          <w:rFonts w:hint="eastAsia" w:ascii="仿宋" w:hAnsi="仿宋" w:eastAsia="仿宋" w:cs="仿宋"/>
          <w:color w:val="000000"/>
          <w:sz w:val="32"/>
          <w:szCs w:val="32"/>
        </w:rPr>
        <w:t>、主要领导的审核及签字确认，及时由出纳录入预算一体化，经主管部门、归口科室、支付中心审核后进行支出。严格按照政府会计制度进行会计核算，规范的使用对应科目进行入账。</w:t>
      </w:r>
    </w:p>
    <w:p w14:paraId="3A439BB0">
      <w:pPr>
        <w:adjustRightInd w:val="0"/>
        <w:snapToGrid w:val="0"/>
        <w:spacing w:line="578" w:lineRule="exact"/>
        <w:ind w:firstLine="640" w:firstLineChars="200"/>
        <w:rPr>
          <w:rFonts w:eastAsia="黑体"/>
          <w:sz w:val="32"/>
          <w:szCs w:val="32"/>
        </w:rPr>
      </w:pPr>
      <w:r>
        <w:rPr>
          <w:rFonts w:hint="eastAsia" w:eastAsia="黑体"/>
          <w:sz w:val="32"/>
          <w:szCs w:val="32"/>
        </w:rPr>
        <w:t>二、评价实施</w:t>
      </w:r>
    </w:p>
    <w:p w14:paraId="7CA4FB59">
      <w:pPr>
        <w:keepNext w:val="0"/>
        <w:keepLines w:val="0"/>
        <w:pageBreakBefore w:val="0"/>
        <w:widowControl w:val="0"/>
        <w:numPr>
          <w:ilvl w:val="0"/>
          <w:numId w:val="0"/>
        </w:numPr>
        <w:kinsoku/>
        <w:wordWrap/>
        <w:overflowPunct/>
        <w:topLinePunct w:val="0"/>
        <w:autoSpaceDE/>
        <w:autoSpaceDN/>
        <w:bidi w:val="0"/>
        <w:spacing w:line="560" w:lineRule="exact"/>
        <w:ind w:firstLine="643" w:firstLineChars="200"/>
        <w:jc w:val="left"/>
        <w:rPr>
          <w:rFonts w:eastAsia="仿宋_GB2312" w:cs="仿宋_GB2312"/>
          <w:kern w:val="0"/>
          <w:sz w:val="32"/>
          <w:szCs w:val="32"/>
          <w:lang w:val="zh-CN"/>
        </w:rPr>
      </w:pPr>
      <w:r>
        <w:rPr>
          <w:rFonts w:hint="eastAsia" w:eastAsia="楷体_GB2312"/>
          <w:b/>
          <w:sz w:val="32"/>
          <w:szCs w:val="32"/>
          <w:lang w:val="zh-CN"/>
        </w:rPr>
        <w:t>（一）评价目的。</w:t>
      </w:r>
      <w:r>
        <w:rPr>
          <w:rFonts w:hint="eastAsia" w:ascii="仿宋" w:hAnsi="仿宋" w:eastAsia="仿宋" w:cs="仿宋"/>
          <w:bCs/>
          <w:color w:val="000000"/>
          <w:kern w:val="2"/>
          <w:sz w:val="32"/>
          <w:szCs w:val="32"/>
          <w:lang w:val="en-US" w:eastAsia="zh-CN" w:bidi="ar-SA"/>
        </w:rPr>
        <w:t>整合图书馆资源、满足藏羌民族文化教学、科研及交流，满足社会公民对了解感悟、体验和研究藏羌民族文化精神的需求。打造阿来特色文化品牌，利用阿来文化品牌提升优质的公共文化服务空间，借鉴浙江城市书房建设经验，建设完成后以社会购买服务方式引进社会培训、特色藏茶文化等元素为广大读者提供休闲、舒适的阅读环境。</w:t>
      </w:r>
    </w:p>
    <w:p w14:paraId="52088FE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eastAsia="仿宋_GB2312" w:cs="仿宋_GB2312"/>
          <w:kern w:val="0"/>
          <w:sz w:val="32"/>
          <w:szCs w:val="32"/>
          <w:lang w:val="zh-CN"/>
        </w:rPr>
      </w:pPr>
      <w:r>
        <w:rPr>
          <w:rFonts w:hint="eastAsia" w:eastAsia="楷体_GB2312"/>
          <w:b/>
          <w:sz w:val="32"/>
          <w:szCs w:val="32"/>
          <w:lang w:val="zh-CN"/>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部门预算项目实际列支内容与绩效目标设置方向相符。</w:t>
      </w:r>
    </w:p>
    <w:p w14:paraId="67DD443F">
      <w:pPr>
        <w:tabs>
          <w:tab w:val="left" w:pos="3885"/>
        </w:tabs>
        <w:autoSpaceDE/>
        <w:autoSpaceDN/>
        <w:snapToGrid w:val="0"/>
        <w:spacing w:before="0" w:after="0" w:line="600" w:lineRule="exact"/>
        <w:ind w:left="0" w:right="0" w:firstLine="643" w:firstLineChars="200"/>
        <w:jc w:val="both"/>
        <w:rPr>
          <w:rFonts w:hint="eastAsia" w:ascii="仿宋" w:hAnsi="仿宋" w:eastAsia="仿宋" w:cs="仿宋"/>
          <w:b/>
          <w:bCs/>
          <w:color w:val="000000"/>
          <w:sz w:val="32"/>
          <w:szCs w:val="32"/>
        </w:rPr>
      </w:pPr>
      <w:r>
        <w:rPr>
          <w:rFonts w:hint="eastAsia" w:eastAsia="楷体_GB2312"/>
          <w:b/>
          <w:sz w:val="32"/>
          <w:szCs w:val="32"/>
          <w:lang w:val="zh-CN"/>
        </w:rPr>
        <w:t>（三）评价选点。</w:t>
      </w:r>
      <w:r>
        <w:rPr>
          <w:rFonts w:hint="default" w:ascii="Times New Roman" w:hAnsi="Times New Roman" w:eastAsia="仿宋_GB2312" w:cs="Times New Roman"/>
          <w:color w:val="auto"/>
          <w:kern w:val="2"/>
          <w:sz w:val="32"/>
          <w:szCs w:val="32"/>
          <w:lang w:val="en-US" w:eastAsia="zh-CN" w:bidi="ar-SA"/>
        </w:rPr>
        <w:t>以阿来文化品牌为依托，全方位地收集、整理、抢救、保存藏羌民族文化文献、书籍、资料，建立藏羌民族文化专题数据库，为藏羌民族历史研究、学术探讨提供科研基地；也能更广泛地传播藏羌民族文化和为广大群众提供更便捷的藏羌民族文化教育渠道，成为展示藏羌历史的平台。充分发挥图书馆保存文化遗产，开展社会教育，传递科学情报，开发智力资源，提供文化娱乐的社会功能，成为社会效益显著的振兴阿坝州有力的文化支撑。借鉴浙江城市书房建设经验，以社会购买服务方式引进社会培训、特色藏茶文化等元素为广大读者提供休闲、舒适的阅读环境。</w:t>
      </w:r>
    </w:p>
    <w:p w14:paraId="25AD765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eastAsia="楷体_GB2312"/>
          <w:b/>
          <w:sz w:val="32"/>
          <w:szCs w:val="32"/>
          <w:lang w:val="zh-CN"/>
        </w:rPr>
        <w:t>（四）评价方法。</w:t>
      </w:r>
      <w:r>
        <w:rPr>
          <w:rFonts w:hint="eastAsia" w:ascii="仿宋_GB2312" w:hAnsi="仿宋_GB2312" w:eastAsia="仿宋_GB2312" w:cs="仿宋_GB2312"/>
          <w:b w:val="0"/>
          <w:bCs w:val="0"/>
          <w:kern w:val="0"/>
          <w:position w:val="0"/>
          <w:sz w:val="32"/>
          <w:szCs w:val="32"/>
          <w:highlight w:val="none"/>
          <w:lang w:val="zh-CN" w:eastAsia="zh-CN" w:bidi="ar-SA"/>
        </w:rPr>
        <w:t>根据项目情况和评价重点，用来收集相关材料和开展具体评价的方法。采用成本效益分析法、标杆管理法、案卷研究法、单位自评法、实地勘察法、问卷调查法、座谈调研法等多种方法。</w:t>
      </w:r>
    </w:p>
    <w:p w14:paraId="74F475BE">
      <w:pPr>
        <w:spacing w:line="578" w:lineRule="exact"/>
        <w:ind w:firstLine="640"/>
        <w:rPr>
          <w:rFonts w:eastAsia="仿宋_GB2312"/>
          <w:bCs/>
        </w:rPr>
      </w:pPr>
      <w:r>
        <w:rPr>
          <w:rFonts w:hint="eastAsia" w:eastAsia="楷体_GB2312"/>
          <w:b/>
          <w:sz w:val="32"/>
          <w:szCs w:val="32"/>
          <w:lang w:val="zh-CN"/>
        </w:rPr>
        <w:t>（五）评价组织。</w:t>
      </w:r>
      <w:r>
        <w:rPr>
          <w:rFonts w:hint="eastAsia" w:ascii="仿宋_GB2312" w:hAnsi="仿宋_GB2312" w:eastAsia="仿宋_GB2312" w:cs="仿宋_GB2312"/>
          <w:b w:val="0"/>
          <w:bCs w:val="0"/>
          <w:kern w:val="0"/>
          <w:position w:val="0"/>
          <w:sz w:val="32"/>
          <w:szCs w:val="32"/>
          <w:highlight w:val="none"/>
          <w:lang w:val="zh-CN" w:eastAsia="zh-CN" w:bidi="ar-SA"/>
        </w:rPr>
        <w:t>项目前期严格按照实际制定预算情况，设立专门监督小组，由各部门主任任负责人，负责项目的日常监督管理，全程跟进项目资金的拨付进程和使用情况。实现了责任细分，责任到人。</w:t>
      </w:r>
    </w:p>
    <w:p w14:paraId="15EBD293">
      <w:pPr>
        <w:adjustRightInd w:val="0"/>
        <w:snapToGrid w:val="0"/>
        <w:spacing w:line="578" w:lineRule="exact"/>
        <w:ind w:firstLine="640" w:firstLineChars="200"/>
        <w:rPr>
          <w:sz w:val="32"/>
          <w:szCs w:val="32"/>
          <w:lang w:val="zh-CN"/>
        </w:rPr>
      </w:pPr>
      <w:r>
        <w:rPr>
          <w:rFonts w:hint="eastAsia" w:eastAsia="黑体"/>
          <w:sz w:val="32"/>
          <w:szCs w:val="32"/>
        </w:rPr>
        <w:t>三、绩效分析</w:t>
      </w:r>
      <w:r>
        <w:rPr>
          <w:rFonts w:hint="eastAsia"/>
          <w:sz w:val="32"/>
          <w:szCs w:val="32"/>
          <w:lang w:val="zh-CN"/>
        </w:rPr>
        <w:tab/>
      </w:r>
    </w:p>
    <w:tbl>
      <w:tblPr>
        <w:tblStyle w:val="15"/>
        <w:tblW w:w="9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9"/>
        <w:gridCol w:w="1430"/>
        <w:gridCol w:w="1293"/>
        <w:gridCol w:w="1588"/>
        <w:gridCol w:w="502"/>
        <w:gridCol w:w="1294"/>
        <w:gridCol w:w="616"/>
        <w:gridCol w:w="1072"/>
        <w:gridCol w:w="616"/>
      </w:tblGrid>
      <w:tr w14:paraId="354A5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6" w:hRule="atLeast"/>
        </w:trPr>
        <w:tc>
          <w:tcPr>
            <w:tcW w:w="7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D5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2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9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1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04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6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6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6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14:paraId="484E4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ABA1F">
            <w:pPr>
              <w:jc w:val="center"/>
              <w:rPr>
                <w:rFonts w:hint="eastAsia" w:ascii="宋体" w:hAnsi="宋体" w:eastAsia="宋体" w:cs="宋体"/>
                <w:i w:val="0"/>
                <w:iCs w:val="0"/>
                <w:color w:val="000000"/>
                <w:sz w:val="18"/>
                <w:szCs w:val="18"/>
                <w:u w:val="none"/>
              </w:rPr>
            </w:pP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FB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BE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F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升级改造总面积</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4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0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704</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D34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M</w:t>
            </w:r>
            <w:r>
              <w:rPr>
                <w:rFonts w:hint="eastAsia" w:ascii="宋体" w:hAnsi="宋体" w:cs="宋体"/>
                <w:i w:val="0"/>
                <w:iCs w:val="0"/>
                <w:color w:val="000000"/>
                <w:kern w:val="0"/>
                <w:sz w:val="18"/>
                <w:szCs w:val="18"/>
                <w:u w:val="none"/>
                <w:lang w:val="en-US" w:eastAsia="zh-CN" w:bidi="ar"/>
              </w:rPr>
              <w:t>2</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D35C">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9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4792D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845CC">
            <w:pPr>
              <w:jc w:val="center"/>
              <w:rPr>
                <w:rFonts w:hint="eastAsia" w:ascii="宋体" w:hAnsi="宋体" w:eastAsia="宋体" w:cs="宋体"/>
                <w:i w:val="0"/>
                <w:iCs w:val="0"/>
                <w:color w:val="000000"/>
                <w:sz w:val="18"/>
                <w:szCs w:val="18"/>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0C164">
            <w:pPr>
              <w:jc w:val="center"/>
              <w:rPr>
                <w:rFonts w:hint="eastAsia" w:ascii="宋体" w:hAnsi="宋体" w:eastAsia="宋体" w:cs="宋体"/>
                <w:i w:val="0"/>
                <w:iCs w:val="0"/>
                <w:color w:val="000000"/>
                <w:sz w:val="18"/>
                <w:szCs w:val="18"/>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80FD8">
            <w:pPr>
              <w:jc w:val="center"/>
              <w:rPr>
                <w:rFonts w:hint="eastAsia" w:ascii="宋体" w:hAnsi="宋体" w:eastAsia="宋体" w:cs="宋体"/>
                <w:i w:val="0"/>
                <w:iCs w:val="0"/>
                <w:color w:val="000000"/>
                <w:sz w:val="18"/>
                <w:szCs w:val="18"/>
                <w:u w:val="none"/>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F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新建数字化展陈设备设施</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5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1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4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FE5E">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5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1B22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8DB4">
            <w:pPr>
              <w:jc w:val="center"/>
              <w:rPr>
                <w:rFonts w:hint="eastAsia" w:ascii="宋体" w:hAnsi="宋体" w:eastAsia="宋体" w:cs="宋体"/>
                <w:i w:val="0"/>
                <w:iCs w:val="0"/>
                <w:color w:val="000000"/>
                <w:sz w:val="18"/>
                <w:szCs w:val="18"/>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7ECC0">
            <w:pPr>
              <w:jc w:val="center"/>
              <w:rPr>
                <w:rFonts w:hint="eastAsia" w:ascii="宋体" w:hAnsi="宋体" w:eastAsia="宋体" w:cs="宋体"/>
                <w:i w:val="0"/>
                <w:iCs w:val="0"/>
                <w:color w:val="000000"/>
                <w:sz w:val="18"/>
                <w:szCs w:val="18"/>
                <w:u w:val="none"/>
              </w:rPr>
            </w:pPr>
          </w:p>
        </w:tc>
        <w:tc>
          <w:tcPr>
            <w:tcW w:w="1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F80CF">
            <w:pPr>
              <w:jc w:val="center"/>
              <w:rPr>
                <w:rFonts w:hint="eastAsia" w:ascii="宋体" w:hAnsi="宋体" w:eastAsia="宋体" w:cs="宋体"/>
                <w:i w:val="0"/>
                <w:iCs w:val="0"/>
                <w:color w:val="000000"/>
                <w:sz w:val="18"/>
                <w:szCs w:val="18"/>
                <w:u w:val="none"/>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3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原信息化设施设备升级改造</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6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2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9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批</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599B">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8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50975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DC6F8">
            <w:pPr>
              <w:jc w:val="center"/>
              <w:rPr>
                <w:rFonts w:hint="eastAsia" w:ascii="宋体" w:hAnsi="宋体" w:eastAsia="宋体" w:cs="宋体"/>
                <w:i w:val="0"/>
                <w:iCs w:val="0"/>
                <w:color w:val="000000"/>
                <w:sz w:val="18"/>
                <w:szCs w:val="18"/>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69EC9">
            <w:pPr>
              <w:jc w:val="center"/>
              <w:rPr>
                <w:rFonts w:hint="eastAsia" w:ascii="宋体" w:hAnsi="宋体" w:eastAsia="宋体" w:cs="宋体"/>
                <w:i w:val="0"/>
                <w:iCs w:val="0"/>
                <w:color w:val="000000"/>
                <w:sz w:val="18"/>
                <w:szCs w:val="18"/>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7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6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升级改造验收合格率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3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5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6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CCB9">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6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D7B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1EFD">
            <w:pPr>
              <w:jc w:val="center"/>
              <w:rPr>
                <w:rFonts w:hint="eastAsia" w:ascii="宋体" w:hAnsi="宋体" w:eastAsia="宋体" w:cs="宋体"/>
                <w:i w:val="0"/>
                <w:iCs w:val="0"/>
                <w:color w:val="000000"/>
                <w:sz w:val="18"/>
                <w:szCs w:val="18"/>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E3D86">
            <w:pPr>
              <w:jc w:val="center"/>
              <w:rPr>
                <w:rFonts w:hint="eastAsia" w:ascii="宋体" w:hAnsi="宋体" w:eastAsia="宋体" w:cs="宋体"/>
                <w:i w:val="0"/>
                <w:iCs w:val="0"/>
                <w:color w:val="000000"/>
                <w:sz w:val="18"/>
                <w:szCs w:val="18"/>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2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B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改造完成时间</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F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F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E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D996">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E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9908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D704C">
            <w:pPr>
              <w:jc w:val="center"/>
              <w:rPr>
                <w:rFonts w:hint="eastAsia" w:ascii="宋体" w:hAnsi="宋体" w:eastAsia="宋体" w:cs="宋体"/>
                <w:i w:val="0"/>
                <w:iCs w:val="0"/>
                <w:color w:val="000000"/>
                <w:sz w:val="18"/>
                <w:szCs w:val="18"/>
                <w:u w:val="none"/>
              </w:rPr>
            </w:pP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21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7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1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打造特色品牌，服务广大读者</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D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4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AD00">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7194">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0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7F20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B32F6">
            <w:pPr>
              <w:jc w:val="center"/>
              <w:rPr>
                <w:rFonts w:hint="eastAsia" w:ascii="宋体" w:hAnsi="宋体" w:eastAsia="宋体" w:cs="宋体"/>
                <w:i w:val="0"/>
                <w:iCs w:val="0"/>
                <w:color w:val="000000"/>
                <w:sz w:val="18"/>
                <w:szCs w:val="18"/>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A1A62">
            <w:pPr>
              <w:jc w:val="center"/>
              <w:rPr>
                <w:rFonts w:hint="eastAsia" w:ascii="宋体" w:hAnsi="宋体" w:eastAsia="宋体" w:cs="宋体"/>
                <w:i w:val="0"/>
                <w:iCs w:val="0"/>
                <w:color w:val="000000"/>
                <w:sz w:val="18"/>
                <w:szCs w:val="18"/>
                <w:u w:val="none"/>
              </w:rPr>
            </w:pP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9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0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持续研究藏羌民族文化精神的需求</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D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7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有效促进</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E37E">
            <w:pPr>
              <w:jc w:val="center"/>
              <w:rPr>
                <w:rFonts w:hint="eastAsia" w:ascii="宋体" w:hAnsi="宋体" w:eastAsia="宋体" w:cs="宋体"/>
                <w:i w:val="0"/>
                <w:iCs w:val="0"/>
                <w:color w:val="000000"/>
                <w:sz w:val="18"/>
                <w:szCs w:val="18"/>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DB64">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4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FAD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44A00">
            <w:pPr>
              <w:jc w:val="center"/>
              <w:rPr>
                <w:rFonts w:hint="eastAsia" w:ascii="宋体" w:hAnsi="宋体" w:eastAsia="宋体" w:cs="宋体"/>
                <w:i w:val="0"/>
                <w:iCs w:val="0"/>
                <w:color w:val="000000"/>
                <w:sz w:val="18"/>
                <w:szCs w:val="18"/>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E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9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读者满意率</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1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7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7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5AB2">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A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E46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7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E7825">
            <w:pPr>
              <w:jc w:val="center"/>
              <w:rPr>
                <w:rFonts w:hint="eastAsia" w:ascii="宋体" w:hAnsi="宋体" w:eastAsia="宋体" w:cs="宋体"/>
                <w:i w:val="0"/>
                <w:iCs w:val="0"/>
                <w:color w:val="000000"/>
                <w:sz w:val="18"/>
                <w:szCs w:val="18"/>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F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6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E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二期建设项目总成本</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4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989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3.41</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2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4867">
            <w:pPr>
              <w:jc w:val="center"/>
              <w:rPr>
                <w:rFonts w:hint="eastAsia" w:ascii="微软雅黑" w:hAnsi="微软雅黑" w:eastAsia="微软雅黑" w:cs="微软雅黑"/>
                <w:i/>
                <w:iCs/>
                <w:color w:val="000000"/>
                <w:sz w:val="16"/>
                <w:szCs w:val="16"/>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4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bl>
    <w:p w14:paraId="68F99CCA">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p>
    <w:p w14:paraId="4E7ADDCE">
      <w:pPr>
        <w:spacing w:line="578" w:lineRule="exact"/>
        <w:ind w:firstLine="640"/>
        <w:rPr>
          <w:rFonts w:eastAsia="楷体_GB2312"/>
          <w:b/>
          <w:sz w:val="32"/>
          <w:szCs w:val="32"/>
        </w:rPr>
      </w:pPr>
      <w:r>
        <w:rPr>
          <w:rFonts w:hint="eastAsia" w:eastAsia="楷体_GB2312"/>
          <w:b/>
          <w:sz w:val="32"/>
          <w:szCs w:val="32"/>
          <w:lang w:val="zh-CN"/>
        </w:rPr>
        <w:t>（一）</w:t>
      </w:r>
      <w:r>
        <w:rPr>
          <w:rFonts w:hint="eastAsia" w:eastAsia="楷体_GB2312"/>
          <w:b/>
          <w:sz w:val="32"/>
          <w:szCs w:val="32"/>
        </w:rPr>
        <w:t>通用指标</w:t>
      </w:r>
      <w:r>
        <w:rPr>
          <w:rFonts w:eastAsia="楷体_GB2312"/>
          <w:b/>
          <w:bCs/>
          <w:color w:val="000000"/>
          <w:kern w:val="0"/>
          <w:sz w:val="32"/>
          <w:szCs w:val="32"/>
          <w:shd w:val="clear" w:color="auto" w:fill="FFFFFF"/>
          <w:lang w:val="zh-CN"/>
        </w:rPr>
        <w:t>绩效分析。</w:t>
      </w:r>
    </w:p>
    <w:p w14:paraId="14973D6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仿宋_GB2312" w:hAnsi="仿宋_GB2312" w:eastAsia="仿宋_GB2312" w:cs="仿宋_GB2312"/>
          <w:b w:val="0"/>
          <w:bCs w:val="0"/>
          <w:kern w:val="0"/>
          <w:position w:val="0"/>
          <w:sz w:val="32"/>
          <w:szCs w:val="32"/>
          <w:highlight w:val="none"/>
          <w:lang w:val="zh-CN" w:eastAsia="zh-CN" w:bidi="ar-SA"/>
        </w:rPr>
        <w:t>填报以下数据，并</w:t>
      </w:r>
      <w:r>
        <w:rPr>
          <w:rFonts w:hint="default" w:ascii="仿宋_GB2312" w:hAnsi="仿宋_GB2312" w:eastAsia="仿宋_GB2312" w:cs="仿宋_GB2312"/>
          <w:b w:val="0"/>
          <w:bCs w:val="0"/>
          <w:kern w:val="0"/>
          <w:position w:val="0"/>
          <w:sz w:val="32"/>
          <w:szCs w:val="32"/>
          <w:highlight w:val="none"/>
          <w:lang w:val="zh-CN" w:eastAsia="zh-CN" w:bidi="ar-SA"/>
        </w:rPr>
        <w:t>根据部门预算绩效评价指标体系“项目绩效”涉及</w:t>
      </w:r>
      <w:r>
        <w:rPr>
          <w:rFonts w:hint="eastAsia" w:ascii="仿宋_GB2312" w:hAnsi="仿宋_GB2312" w:eastAsia="仿宋_GB2312" w:cs="仿宋_GB2312"/>
          <w:b w:val="0"/>
          <w:bCs w:val="0"/>
          <w:kern w:val="0"/>
          <w:position w:val="0"/>
          <w:sz w:val="32"/>
          <w:szCs w:val="32"/>
          <w:highlight w:val="none"/>
          <w:lang w:val="zh-CN" w:eastAsia="zh-CN" w:bidi="ar-SA"/>
        </w:rPr>
        <w:t>二、三级</w:t>
      </w:r>
      <w:r>
        <w:rPr>
          <w:rFonts w:hint="default" w:ascii="仿宋_GB2312" w:hAnsi="仿宋_GB2312" w:eastAsia="仿宋_GB2312" w:cs="仿宋_GB2312"/>
          <w:b w:val="0"/>
          <w:bCs w:val="0"/>
          <w:kern w:val="0"/>
          <w:position w:val="0"/>
          <w:sz w:val="32"/>
          <w:szCs w:val="32"/>
          <w:highlight w:val="none"/>
          <w:lang w:val="zh-CN" w:eastAsia="zh-CN" w:bidi="ar-SA"/>
        </w:rPr>
        <w:t>指标进行</w:t>
      </w:r>
      <w:r>
        <w:rPr>
          <w:rFonts w:hint="eastAsia" w:ascii="仿宋_GB2312" w:hAnsi="仿宋_GB2312" w:eastAsia="仿宋_GB2312" w:cs="仿宋_GB2312"/>
          <w:b w:val="0"/>
          <w:bCs w:val="0"/>
          <w:kern w:val="0"/>
          <w:position w:val="0"/>
          <w:sz w:val="32"/>
          <w:szCs w:val="32"/>
          <w:highlight w:val="none"/>
          <w:lang w:val="zh-CN" w:eastAsia="zh-CN" w:bidi="ar-SA"/>
        </w:rPr>
        <w:t>逐项</w:t>
      </w:r>
      <w:r>
        <w:rPr>
          <w:rFonts w:hint="default" w:ascii="仿宋_GB2312" w:hAnsi="仿宋_GB2312" w:eastAsia="仿宋_GB2312" w:cs="仿宋_GB2312"/>
          <w:b w:val="0"/>
          <w:bCs w:val="0"/>
          <w:kern w:val="0"/>
          <w:position w:val="0"/>
          <w:sz w:val="32"/>
          <w:szCs w:val="32"/>
          <w:highlight w:val="none"/>
          <w:lang w:val="zh-CN" w:eastAsia="zh-CN" w:bidi="ar-SA"/>
        </w:rPr>
        <w:t>绩效分析</w:t>
      </w:r>
      <w:r>
        <w:rPr>
          <w:rFonts w:hint="eastAsia" w:ascii="仿宋_GB2312" w:hAnsi="仿宋_GB2312" w:eastAsia="仿宋_GB2312" w:cs="仿宋_GB2312"/>
          <w:b w:val="0"/>
          <w:bCs w:val="0"/>
          <w:kern w:val="0"/>
          <w:position w:val="0"/>
          <w:sz w:val="32"/>
          <w:szCs w:val="32"/>
          <w:highlight w:val="none"/>
          <w:lang w:val="zh-CN" w:eastAsia="zh-CN" w:bidi="ar-SA"/>
        </w:rPr>
        <w:t>并评分</w:t>
      </w:r>
      <w:r>
        <w:rPr>
          <w:rFonts w:hint="default" w:ascii="仿宋_GB2312" w:hAnsi="仿宋_GB2312" w:eastAsia="仿宋_GB2312" w:cs="仿宋_GB2312"/>
          <w:b w:val="0"/>
          <w:bCs w:val="0"/>
          <w:kern w:val="0"/>
          <w:position w:val="0"/>
          <w:sz w:val="32"/>
          <w:szCs w:val="32"/>
          <w:highlight w:val="none"/>
          <w:lang w:val="zh-CN" w:eastAsia="zh-CN" w:bidi="ar-SA"/>
        </w:rPr>
        <w:t>，依次包括项目决策、项目执行、目标实现等情况</w:t>
      </w:r>
      <w:r>
        <w:rPr>
          <w:rFonts w:hint="eastAsia" w:ascii="仿宋_GB2312" w:hAnsi="仿宋_GB2312" w:eastAsia="仿宋_GB2312" w:cs="仿宋_GB2312"/>
          <w:b w:val="0"/>
          <w:bCs w:val="0"/>
          <w:kern w:val="0"/>
          <w:position w:val="0"/>
          <w:sz w:val="32"/>
          <w:szCs w:val="32"/>
          <w:highlight w:val="none"/>
          <w:lang w:val="zh-CN" w:eastAsia="zh-CN" w:bidi="ar-SA"/>
        </w:rPr>
        <w:t>。</w:t>
      </w:r>
    </w:p>
    <w:p w14:paraId="41CD76D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r>
        <w:rPr>
          <w:rFonts w:hint="default" w:ascii="仿宋_GB2312" w:hAnsi="仿宋_GB2312" w:eastAsia="仿宋_GB2312" w:cs="仿宋_GB2312"/>
          <w:b w:val="0"/>
          <w:bCs w:val="0"/>
          <w:kern w:val="0"/>
          <w:position w:val="0"/>
          <w:sz w:val="32"/>
          <w:szCs w:val="32"/>
          <w:highlight w:val="none"/>
          <w:lang w:val="zh-CN" w:eastAsia="zh-CN" w:bidi="ar-SA"/>
        </w:rPr>
        <w:t>常年项目绩效分析。该类项目总数</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default" w:ascii="仿宋_GB2312" w:hAnsi="仿宋_GB2312" w:eastAsia="仿宋_GB2312" w:cs="仿宋_GB2312"/>
          <w:b w:val="0"/>
          <w:bCs w:val="0"/>
          <w:kern w:val="0"/>
          <w:position w:val="0"/>
          <w:sz w:val="32"/>
          <w:szCs w:val="32"/>
          <w:highlight w:val="none"/>
          <w:lang w:val="zh-CN" w:eastAsia="zh-CN" w:bidi="ar-SA"/>
        </w:rPr>
        <w:t>个，涉及预算总金额</w:t>
      </w:r>
      <w:r>
        <w:rPr>
          <w:rFonts w:hint="eastAsia" w:ascii="仿宋_GB2312" w:hAnsi="仿宋_GB2312" w:eastAsia="仿宋_GB2312" w:cs="仿宋_GB2312"/>
          <w:b w:val="0"/>
          <w:bCs w:val="0"/>
          <w:kern w:val="0"/>
          <w:position w:val="0"/>
          <w:sz w:val="32"/>
          <w:szCs w:val="32"/>
          <w:highlight w:val="none"/>
          <w:lang w:val="en-US" w:eastAsia="zh-CN" w:bidi="ar-SA"/>
        </w:rPr>
        <w:t>10.88</w:t>
      </w:r>
      <w:r>
        <w:rPr>
          <w:rFonts w:hint="default" w:ascii="仿宋_GB2312" w:hAnsi="仿宋_GB2312" w:eastAsia="仿宋_GB2312" w:cs="仿宋_GB2312"/>
          <w:b w:val="0"/>
          <w:bCs w:val="0"/>
          <w:kern w:val="0"/>
          <w:position w:val="0"/>
          <w:sz w:val="32"/>
          <w:szCs w:val="32"/>
          <w:highlight w:val="none"/>
          <w:lang w:val="zh-CN" w:eastAsia="zh-CN" w:bidi="ar-SA"/>
        </w:rPr>
        <w:t>万元，1</w:t>
      </w:r>
      <w:r>
        <w:rPr>
          <w:rFonts w:hint="eastAsia" w:ascii="仿宋_GB2312" w:hAnsi="仿宋_GB2312" w:eastAsia="仿宋_GB2312" w:cs="仿宋_GB2312"/>
          <w:b w:val="0"/>
          <w:bCs w:val="0"/>
          <w:kern w:val="0"/>
          <w:position w:val="0"/>
          <w:sz w:val="32"/>
          <w:szCs w:val="32"/>
          <w:highlight w:val="none"/>
          <w:lang w:val="zh-CN" w:eastAsia="zh-CN" w:bidi="ar-SA"/>
        </w:rPr>
        <w:t>—</w:t>
      </w:r>
      <w:r>
        <w:rPr>
          <w:rFonts w:hint="default" w:ascii="仿宋_GB2312" w:hAnsi="仿宋_GB2312" w:eastAsia="仿宋_GB2312" w:cs="仿宋_GB2312"/>
          <w:b w:val="0"/>
          <w:bCs w:val="0"/>
          <w:kern w:val="0"/>
          <w:position w:val="0"/>
          <w:sz w:val="32"/>
          <w:szCs w:val="32"/>
          <w:highlight w:val="none"/>
          <w:lang w:val="zh-CN" w:eastAsia="zh-CN" w:bidi="ar-SA"/>
        </w:rPr>
        <w:t xml:space="preserve">12月预算执行总体进度为 </w:t>
      </w:r>
      <w:r>
        <w:rPr>
          <w:rFonts w:hint="eastAsia" w:ascii="仿宋_GB2312" w:hAnsi="仿宋_GB2312" w:eastAsia="仿宋_GB2312" w:cs="仿宋_GB2312"/>
          <w:b w:val="0"/>
          <w:bCs w:val="0"/>
          <w:kern w:val="0"/>
          <w:position w:val="0"/>
          <w:sz w:val="32"/>
          <w:szCs w:val="32"/>
          <w:highlight w:val="none"/>
          <w:lang w:val="en-US" w:eastAsia="zh-CN" w:bidi="ar-SA"/>
        </w:rPr>
        <w:t>100</w:t>
      </w:r>
      <w:r>
        <w:rPr>
          <w:rFonts w:hint="default" w:ascii="仿宋_GB2312" w:hAnsi="仿宋_GB2312" w:eastAsia="仿宋_GB2312" w:cs="仿宋_GB2312"/>
          <w:b w:val="0"/>
          <w:bCs w:val="0"/>
          <w:kern w:val="0"/>
          <w:position w:val="0"/>
          <w:sz w:val="32"/>
          <w:szCs w:val="32"/>
          <w:highlight w:val="none"/>
          <w:lang w:val="zh-CN" w:eastAsia="zh-CN" w:bidi="ar-SA"/>
        </w:rPr>
        <w:t xml:space="preserve">  %，其中：预算结余率大于10%的项目共计 </w:t>
      </w:r>
      <w:r>
        <w:rPr>
          <w:rFonts w:hint="eastAsia" w:ascii="仿宋_GB2312" w:hAnsi="仿宋_GB2312" w:eastAsia="仿宋_GB2312" w:cs="仿宋_GB2312"/>
          <w:b w:val="0"/>
          <w:bCs w:val="0"/>
          <w:kern w:val="0"/>
          <w:position w:val="0"/>
          <w:sz w:val="32"/>
          <w:szCs w:val="32"/>
          <w:highlight w:val="none"/>
          <w:lang w:val="en-US" w:eastAsia="zh-CN" w:bidi="ar-SA"/>
        </w:rPr>
        <w:t>0</w:t>
      </w:r>
      <w:r>
        <w:rPr>
          <w:rFonts w:hint="default" w:ascii="仿宋_GB2312" w:hAnsi="仿宋_GB2312" w:eastAsia="仿宋_GB2312" w:cs="仿宋_GB2312"/>
          <w:b w:val="0"/>
          <w:bCs w:val="0"/>
          <w:kern w:val="0"/>
          <w:position w:val="0"/>
          <w:sz w:val="32"/>
          <w:szCs w:val="32"/>
          <w:highlight w:val="none"/>
          <w:lang w:val="zh-CN" w:eastAsia="zh-CN" w:bidi="ar-SA"/>
        </w:rPr>
        <w:t>个。</w:t>
      </w:r>
    </w:p>
    <w:p w14:paraId="2052C49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r>
        <w:rPr>
          <w:rFonts w:hint="default" w:ascii="仿宋_GB2312" w:hAnsi="仿宋_GB2312" w:eastAsia="仿宋_GB2312" w:cs="仿宋_GB2312"/>
          <w:b w:val="0"/>
          <w:bCs w:val="0"/>
          <w:kern w:val="0"/>
          <w:position w:val="0"/>
          <w:sz w:val="32"/>
          <w:szCs w:val="32"/>
          <w:highlight w:val="none"/>
          <w:lang w:val="zh-CN" w:eastAsia="zh-CN" w:bidi="ar-SA"/>
        </w:rPr>
        <w:t>阶段</w:t>
      </w:r>
      <w:r>
        <w:rPr>
          <w:rFonts w:hint="eastAsia" w:ascii="仿宋_GB2312" w:hAnsi="仿宋_GB2312" w:eastAsia="仿宋_GB2312" w:cs="仿宋_GB2312"/>
          <w:b w:val="0"/>
          <w:bCs w:val="0"/>
          <w:kern w:val="0"/>
          <w:position w:val="0"/>
          <w:sz w:val="32"/>
          <w:szCs w:val="32"/>
          <w:highlight w:val="none"/>
          <w:lang w:val="zh-CN" w:eastAsia="zh-CN" w:bidi="ar-SA"/>
        </w:rPr>
        <w:t>（</w:t>
      </w:r>
      <w:r>
        <w:rPr>
          <w:rFonts w:hint="default" w:ascii="仿宋_GB2312" w:hAnsi="仿宋_GB2312" w:eastAsia="仿宋_GB2312" w:cs="仿宋_GB2312"/>
          <w:b w:val="0"/>
          <w:bCs w:val="0"/>
          <w:kern w:val="0"/>
          <w:position w:val="0"/>
          <w:sz w:val="32"/>
          <w:szCs w:val="32"/>
          <w:highlight w:val="none"/>
          <w:lang w:val="zh-CN" w:eastAsia="zh-CN" w:bidi="ar-SA"/>
        </w:rPr>
        <w:t>一次性</w:t>
      </w:r>
      <w:r>
        <w:rPr>
          <w:rFonts w:hint="eastAsia" w:ascii="仿宋_GB2312" w:hAnsi="仿宋_GB2312" w:eastAsia="仿宋_GB2312" w:cs="仿宋_GB2312"/>
          <w:b w:val="0"/>
          <w:bCs w:val="0"/>
          <w:kern w:val="0"/>
          <w:position w:val="0"/>
          <w:sz w:val="32"/>
          <w:szCs w:val="32"/>
          <w:highlight w:val="none"/>
          <w:lang w:val="zh-CN" w:eastAsia="zh-CN" w:bidi="ar-SA"/>
        </w:rPr>
        <w:t>）</w:t>
      </w:r>
      <w:r>
        <w:rPr>
          <w:rFonts w:hint="default" w:ascii="仿宋_GB2312" w:hAnsi="仿宋_GB2312" w:eastAsia="仿宋_GB2312" w:cs="仿宋_GB2312"/>
          <w:b w:val="0"/>
          <w:bCs w:val="0"/>
          <w:kern w:val="0"/>
          <w:position w:val="0"/>
          <w:sz w:val="32"/>
          <w:szCs w:val="32"/>
          <w:highlight w:val="none"/>
          <w:lang w:val="zh-CN" w:eastAsia="zh-CN" w:bidi="ar-SA"/>
        </w:rPr>
        <w:t>项目绩效分析。该类项目总数</w:t>
      </w:r>
      <w:r>
        <w:rPr>
          <w:rFonts w:hint="eastAsia" w:ascii="仿宋_GB2312" w:hAnsi="仿宋_GB2312" w:eastAsia="仿宋_GB2312" w:cs="仿宋_GB2312"/>
          <w:b w:val="0"/>
          <w:bCs w:val="0"/>
          <w:kern w:val="0"/>
          <w:position w:val="0"/>
          <w:sz w:val="32"/>
          <w:szCs w:val="32"/>
          <w:highlight w:val="none"/>
          <w:lang w:val="en-US" w:eastAsia="zh-CN" w:bidi="ar-SA"/>
        </w:rPr>
        <w:t>1</w:t>
      </w:r>
      <w:r>
        <w:rPr>
          <w:rFonts w:hint="default" w:ascii="仿宋_GB2312" w:hAnsi="仿宋_GB2312" w:eastAsia="仿宋_GB2312" w:cs="仿宋_GB2312"/>
          <w:b w:val="0"/>
          <w:bCs w:val="0"/>
          <w:kern w:val="0"/>
          <w:position w:val="0"/>
          <w:sz w:val="32"/>
          <w:szCs w:val="32"/>
          <w:highlight w:val="none"/>
          <w:lang w:val="zh-CN" w:eastAsia="zh-CN" w:bidi="ar-SA"/>
        </w:rPr>
        <w:t>个，涉及预算总金额</w:t>
      </w:r>
      <w:r>
        <w:rPr>
          <w:rFonts w:hint="eastAsia" w:ascii="仿宋_GB2312" w:hAnsi="仿宋_GB2312" w:eastAsia="仿宋_GB2312" w:cs="仿宋_GB2312"/>
          <w:b w:val="0"/>
          <w:bCs w:val="0"/>
          <w:kern w:val="0"/>
          <w:position w:val="0"/>
          <w:sz w:val="32"/>
          <w:szCs w:val="32"/>
          <w:highlight w:val="none"/>
          <w:lang w:val="en-US" w:eastAsia="zh-CN" w:bidi="ar-SA"/>
        </w:rPr>
        <w:t>3.41</w:t>
      </w:r>
      <w:r>
        <w:rPr>
          <w:rFonts w:hint="default" w:ascii="仿宋_GB2312" w:hAnsi="仿宋_GB2312" w:eastAsia="仿宋_GB2312" w:cs="仿宋_GB2312"/>
          <w:b w:val="0"/>
          <w:bCs w:val="0"/>
          <w:kern w:val="0"/>
          <w:position w:val="0"/>
          <w:sz w:val="32"/>
          <w:szCs w:val="32"/>
          <w:highlight w:val="none"/>
          <w:lang w:val="zh-CN" w:eastAsia="zh-CN" w:bidi="ar-SA"/>
        </w:rPr>
        <w:t>万元，1</w:t>
      </w:r>
      <w:r>
        <w:rPr>
          <w:rFonts w:hint="eastAsia" w:ascii="仿宋_GB2312" w:hAnsi="仿宋_GB2312" w:eastAsia="仿宋_GB2312" w:cs="仿宋_GB2312"/>
          <w:b w:val="0"/>
          <w:bCs w:val="0"/>
          <w:kern w:val="0"/>
          <w:position w:val="0"/>
          <w:sz w:val="32"/>
          <w:szCs w:val="32"/>
          <w:highlight w:val="none"/>
          <w:lang w:val="zh-CN" w:eastAsia="zh-CN" w:bidi="ar-SA"/>
        </w:rPr>
        <w:t>—</w:t>
      </w:r>
      <w:r>
        <w:rPr>
          <w:rFonts w:hint="default" w:ascii="仿宋_GB2312" w:hAnsi="仿宋_GB2312" w:eastAsia="仿宋_GB2312" w:cs="仿宋_GB2312"/>
          <w:b w:val="0"/>
          <w:bCs w:val="0"/>
          <w:kern w:val="0"/>
          <w:position w:val="0"/>
          <w:sz w:val="32"/>
          <w:szCs w:val="32"/>
          <w:highlight w:val="none"/>
          <w:lang w:val="zh-CN" w:eastAsia="zh-CN" w:bidi="ar-SA"/>
        </w:rPr>
        <w:t>12月预算执行总体进度</w:t>
      </w:r>
      <w:r>
        <w:rPr>
          <w:rFonts w:hint="eastAsia" w:ascii="仿宋_GB2312" w:hAnsi="仿宋_GB2312" w:eastAsia="仿宋_GB2312" w:cs="仿宋_GB2312"/>
          <w:b w:val="0"/>
          <w:bCs w:val="0"/>
          <w:kern w:val="0"/>
          <w:position w:val="0"/>
          <w:sz w:val="32"/>
          <w:szCs w:val="32"/>
          <w:highlight w:val="none"/>
          <w:lang w:val="en-US" w:eastAsia="zh-CN" w:bidi="ar-SA"/>
        </w:rPr>
        <w:t>100</w:t>
      </w:r>
      <w:r>
        <w:rPr>
          <w:rFonts w:hint="default" w:ascii="仿宋_GB2312" w:hAnsi="仿宋_GB2312" w:eastAsia="仿宋_GB2312" w:cs="仿宋_GB2312"/>
          <w:b w:val="0"/>
          <w:bCs w:val="0"/>
          <w:kern w:val="0"/>
          <w:position w:val="0"/>
          <w:sz w:val="32"/>
          <w:szCs w:val="32"/>
          <w:highlight w:val="none"/>
          <w:lang w:val="zh-CN" w:eastAsia="zh-CN" w:bidi="ar-SA"/>
        </w:rPr>
        <w:t xml:space="preserve"> %，其中：预算结余率大于10%的项目共计 </w:t>
      </w:r>
      <w:r>
        <w:rPr>
          <w:rFonts w:hint="eastAsia" w:ascii="仿宋_GB2312" w:hAnsi="仿宋_GB2312" w:eastAsia="仿宋_GB2312" w:cs="仿宋_GB2312"/>
          <w:b w:val="0"/>
          <w:bCs w:val="0"/>
          <w:kern w:val="0"/>
          <w:position w:val="0"/>
          <w:sz w:val="32"/>
          <w:szCs w:val="32"/>
          <w:highlight w:val="none"/>
          <w:lang w:val="en-US" w:eastAsia="zh-CN" w:bidi="ar-SA"/>
        </w:rPr>
        <w:t>0</w:t>
      </w:r>
      <w:r>
        <w:rPr>
          <w:rFonts w:hint="default" w:ascii="仿宋_GB2312" w:hAnsi="仿宋_GB2312" w:eastAsia="仿宋_GB2312" w:cs="仿宋_GB2312"/>
          <w:b w:val="0"/>
          <w:bCs w:val="0"/>
          <w:kern w:val="0"/>
          <w:position w:val="0"/>
          <w:sz w:val="32"/>
          <w:szCs w:val="32"/>
          <w:highlight w:val="none"/>
          <w:lang w:val="zh-CN" w:eastAsia="zh-CN" w:bidi="ar-SA"/>
        </w:rPr>
        <w:t xml:space="preserve">  个。</w:t>
      </w:r>
    </w:p>
    <w:p w14:paraId="2F7FA3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val="zh-CN" w:eastAsia="zh-CN"/>
        </w:rPr>
        <w:t>项目决策</w:t>
      </w:r>
      <w:r>
        <w:rPr>
          <w:rFonts w:hint="eastAsia" w:ascii="仿宋_GB2312" w:hAnsi="仿宋_GB2312" w:eastAsia="仿宋_GB2312" w:cs="仿宋_GB2312"/>
          <w:b w:val="0"/>
          <w:bCs w:val="0"/>
          <w:kern w:val="0"/>
          <w:position w:val="0"/>
          <w:sz w:val="32"/>
          <w:szCs w:val="32"/>
          <w:highlight w:val="none"/>
          <w:lang w:val="zh-CN" w:eastAsia="zh-CN" w:bidi="ar-SA"/>
        </w:rPr>
        <w:t>。我馆有</w:t>
      </w:r>
      <w:r>
        <w:rPr>
          <w:rFonts w:hint="eastAsia" w:ascii="仿宋_GB2312" w:hAnsi="仿宋_GB2312" w:eastAsia="仿宋_GB2312" w:cs="仿宋_GB2312"/>
          <w:b w:val="0"/>
          <w:bCs w:val="0"/>
          <w:kern w:val="0"/>
          <w:position w:val="0"/>
          <w:sz w:val="32"/>
          <w:szCs w:val="32"/>
          <w:highlight w:val="none"/>
          <w:lang w:val="en-US" w:eastAsia="zh-CN" w:bidi="ar-SA"/>
        </w:rPr>
        <w:t>1个项目，共计3.41万元</w:t>
      </w:r>
    </w:p>
    <w:p w14:paraId="10FF834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val="zh-CN" w:eastAsia="zh-CN"/>
        </w:rPr>
        <w:t>项目执行</w:t>
      </w:r>
      <w:r>
        <w:rPr>
          <w:rFonts w:hint="eastAsia" w:ascii="仿宋_GB2312" w:hAnsi="仿宋_GB2312" w:eastAsia="仿宋_GB2312" w:cs="仿宋_GB2312"/>
          <w:b w:val="0"/>
          <w:bCs w:val="0"/>
          <w:kern w:val="0"/>
          <w:position w:val="0"/>
          <w:sz w:val="32"/>
          <w:szCs w:val="32"/>
          <w:highlight w:val="none"/>
          <w:lang w:val="zh-CN" w:eastAsia="zh-CN" w:bidi="ar-SA"/>
        </w:rPr>
        <w:t>。</w:t>
      </w:r>
      <w:r>
        <w:rPr>
          <w:rFonts w:hint="eastAsia" w:ascii="仿宋_GB2312" w:hAnsi="仿宋_GB2312" w:eastAsia="仿宋_GB2312" w:cs="仿宋_GB2312"/>
          <w:b w:val="0"/>
          <w:bCs w:val="0"/>
          <w:kern w:val="0"/>
          <w:position w:val="0"/>
          <w:sz w:val="32"/>
          <w:szCs w:val="32"/>
          <w:highlight w:val="none"/>
          <w:lang w:val="en-US" w:eastAsia="zh-CN" w:bidi="ar-SA"/>
        </w:rPr>
        <w:t>1个项目</w:t>
      </w:r>
      <w:r>
        <w:rPr>
          <w:rFonts w:hint="eastAsia" w:ascii="仿宋_GB2312" w:hAnsi="仿宋_GB2312" w:eastAsia="仿宋_GB2312" w:cs="仿宋_GB2312"/>
          <w:b w:val="0"/>
          <w:bCs w:val="0"/>
          <w:kern w:val="0"/>
          <w:position w:val="0"/>
          <w:sz w:val="32"/>
          <w:szCs w:val="32"/>
          <w:highlight w:val="none"/>
          <w:lang w:val="zh-CN" w:eastAsia="zh-CN" w:bidi="ar-SA"/>
        </w:rPr>
        <w:t>执行完成结果</w:t>
      </w:r>
      <w:r>
        <w:rPr>
          <w:rFonts w:hint="eastAsia" w:ascii="仿宋_GB2312" w:hAnsi="仿宋_GB2312" w:eastAsia="仿宋_GB2312" w:cs="仿宋_GB2312"/>
          <w:b w:val="0"/>
          <w:bCs w:val="0"/>
          <w:kern w:val="0"/>
          <w:position w:val="0"/>
          <w:sz w:val="32"/>
          <w:szCs w:val="32"/>
          <w:highlight w:val="none"/>
          <w:lang w:val="en-US" w:eastAsia="zh-CN" w:bidi="ar-SA"/>
        </w:rPr>
        <w:t>3.41万元</w:t>
      </w:r>
      <w:r>
        <w:rPr>
          <w:rFonts w:hint="eastAsia" w:ascii="仿宋_GB2312" w:hAnsi="仿宋_GB2312" w:eastAsia="仿宋_GB2312" w:cs="仿宋_GB2312"/>
          <w:b w:val="0"/>
          <w:bCs w:val="0"/>
          <w:kern w:val="0"/>
          <w:position w:val="0"/>
          <w:sz w:val="32"/>
          <w:szCs w:val="32"/>
          <w:highlight w:val="none"/>
          <w:lang w:val="zh-CN" w:eastAsia="zh-CN" w:bidi="ar-SA"/>
        </w:rPr>
        <w:t>。</w:t>
      </w:r>
    </w:p>
    <w:p w14:paraId="7C4A9A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楷体_GB2312" w:eastAsia="楷体_GB2312" w:cs="楷体_GB2312"/>
          <w:color w:val="auto"/>
          <w:sz w:val="32"/>
          <w:szCs w:val="32"/>
          <w:lang w:val="en-US" w:eastAsia="zh-CN"/>
        </w:rPr>
        <w:t>3.</w:t>
      </w:r>
      <w:r>
        <w:rPr>
          <w:rFonts w:hint="eastAsia" w:ascii="楷体_GB2312" w:hAnsi="楷体_GB2312" w:eastAsia="楷体_GB2312" w:cs="楷体_GB2312"/>
          <w:color w:val="auto"/>
          <w:sz w:val="32"/>
          <w:szCs w:val="32"/>
          <w:lang w:val="zh-CN" w:eastAsia="zh-CN"/>
        </w:rPr>
        <w:t>目标实现</w:t>
      </w:r>
      <w:r>
        <w:rPr>
          <w:rFonts w:hint="eastAsia" w:ascii="仿宋_GB2312" w:hAnsi="仿宋_GB2312" w:eastAsia="仿宋_GB2312" w:cs="仿宋_GB2312"/>
          <w:b w:val="0"/>
          <w:bCs w:val="0"/>
          <w:kern w:val="0"/>
          <w:position w:val="0"/>
          <w:sz w:val="32"/>
          <w:szCs w:val="32"/>
          <w:highlight w:val="none"/>
          <w:lang w:val="zh-CN" w:eastAsia="zh-CN" w:bidi="ar-SA"/>
        </w:rPr>
        <w:t>。在</w:t>
      </w:r>
      <w:r>
        <w:rPr>
          <w:rFonts w:hint="eastAsia" w:ascii="仿宋_GB2312" w:hAnsi="仿宋_GB2312" w:eastAsia="仿宋_GB2312" w:cs="仿宋_GB2312"/>
          <w:b w:val="0"/>
          <w:bCs w:val="0"/>
          <w:kern w:val="0"/>
          <w:position w:val="0"/>
          <w:sz w:val="32"/>
          <w:szCs w:val="32"/>
          <w:highlight w:val="none"/>
          <w:lang w:val="en-US" w:eastAsia="zh-CN" w:bidi="ar-SA"/>
        </w:rPr>
        <w:t>2025年底全部完成100%。</w:t>
      </w:r>
    </w:p>
    <w:p w14:paraId="2438C0E0">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eastAsia="楷体_GB2312"/>
          <w:b/>
          <w:sz w:val="32"/>
          <w:szCs w:val="32"/>
          <w:lang w:val="zh-CN"/>
        </w:rPr>
        <w:t>（二）</w:t>
      </w:r>
      <w:r>
        <w:rPr>
          <w:rFonts w:hint="eastAsia" w:eastAsia="楷体_GB2312"/>
          <w:b/>
          <w:sz w:val="32"/>
          <w:szCs w:val="32"/>
        </w:rPr>
        <w:t>专用指标</w:t>
      </w:r>
      <w:r>
        <w:rPr>
          <w:rFonts w:eastAsia="楷体_GB2312"/>
          <w:b/>
          <w:bCs/>
          <w:color w:val="000000"/>
          <w:kern w:val="0"/>
          <w:sz w:val="32"/>
          <w:szCs w:val="32"/>
          <w:shd w:val="clear" w:color="auto" w:fill="FFFFFF"/>
          <w:lang w:val="zh-CN"/>
        </w:rPr>
        <w:t>绩效分析。</w:t>
      </w:r>
      <w:r>
        <w:rPr>
          <w:rFonts w:hint="eastAsia" w:ascii="仿宋_GB2312" w:hAnsi="仿宋_GB2312" w:eastAsia="仿宋_GB2312" w:cs="仿宋_GB2312"/>
          <w:b w:val="0"/>
          <w:bCs w:val="0"/>
          <w:kern w:val="0"/>
          <w:position w:val="0"/>
          <w:sz w:val="32"/>
          <w:szCs w:val="32"/>
          <w:highlight w:val="none"/>
          <w:lang w:val="zh-CN" w:eastAsia="zh-CN" w:bidi="ar-SA"/>
        </w:rPr>
        <w:t>根据</w:t>
      </w:r>
      <w:r>
        <w:rPr>
          <w:rFonts w:hint="eastAsia" w:ascii="仿宋_GB2312" w:hAnsi="仿宋_GB2312"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仿宋_GB2312" w:hAnsi="仿宋_GB2312" w:eastAsia="仿宋_GB2312" w:cs="仿宋_GB2312"/>
          <w:b w:val="0"/>
          <w:bCs w:val="0"/>
          <w:kern w:val="0"/>
          <w:position w:val="0"/>
          <w:sz w:val="32"/>
          <w:szCs w:val="32"/>
          <w:highlight w:val="none"/>
          <w:lang w:val="zh-CN" w:eastAsia="zh-CN" w:bidi="ar-SA"/>
        </w:rPr>
        <w:t>包括产业发展、民生保障、基础设施、行政运转等方面。</w:t>
      </w:r>
    </w:p>
    <w:p w14:paraId="5892D77A">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1.产业发展。</w:t>
      </w:r>
      <w:r>
        <w:rPr>
          <w:rFonts w:hint="eastAsia" w:ascii="仿宋_GB2312" w:hAnsi="仿宋_GB2312" w:eastAsia="仿宋_GB2312" w:cs="仿宋_GB2312"/>
          <w:b w:val="0"/>
          <w:bCs w:val="0"/>
          <w:kern w:val="0"/>
          <w:position w:val="0"/>
          <w:sz w:val="32"/>
          <w:szCs w:val="32"/>
          <w:highlight w:val="none"/>
          <w:lang w:val="en-US" w:eastAsia="zh-CN" w:bidi="ar-SA"/>
        </w:rPr>
        <w:t>围绕符合性、成长性、经济性进行绩效分析。</w:t>
      </w:r>
    </w:p>
    <w:p w14:paraId="42A34581">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仿宋_GB2312" w:cs="Times New Roman"/>
          <w:color w:val="auto"/>
          <w:kern w:val="2"/>
          <w:sz w:val="32"/>
          <w:szCs w:val="32"/>
          <w:lang w:val="en-US" w:eastAsia="zh-CN" w:bidi="ar-SA"/>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val="zh-CN" w:eastAsia="zh-CN"/>
        </w:rPr>
        <w:t>民生保障。</w:t>
      </w:r>
      <w:r>
        <w:rPr>
          <w:rFonts w:hint="default" w:ascii="Times New Roman" w:hAnsi="Times New Roman" w:eastAsia="仿宋_GB2312" w:cs="Times New Roman"/>
          <w:color w:val="auto"/>
          <w:kern w:val="2"/>
          <w:sz w:val="32"/>
          <w:szCs w:val="32"/>
          <w:lang w:val="en-US" w:eastAsia="zh-CN" w:bidi="ar-SA"/>
        </w:rPr>
        <w:t>以阿来文化品牌为依托，全方位地收集、整理、抢救、保存藏羌民族文化文献、书籍、资料，建立藏羌民族文化专题数据库，为藏羌民族历史研究、学术探讨提供科研基地</w:t>
      </w:r>
    </w:p>
    <w:p w14:paraId="4E416D31">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3.基础设施。</w:t>
      </w:r>
      <w:r>
        <w:rPr>
          <w:rFonts w:hint="eastAsia" w:ascii="仿宋_GB2312" w:hAnsi="仿宋_GB2312" w:eastAsia="仿宋_GB2312" w:cs="仿宋_GB2312"/>
          <w:b w:val="0"/>
          <w:bCs w:val="0"/>
          <w:kern w:val="0"/>
          <w:position w:val="0"/>
          <w:sz w:val="32"/>
          <w:szCs w:val="32"/>
          <w:highlight w:val="none"/>
          <w:lang w:val="en-US" w:eastAsia="zh-CN" w:bidi="ar-SA"/>
        </w:rPr>
        <w:t>对照项目实施方案和计划，未发生质量检查问题不存在发现影响工程质量的问题，对照项目实施方案和计划，支撑项目整体推进的各类要素保障齐备。</w:t>
      </w:r>
    </w:p>
    <w:p w14:paraId="3F9D2A58">
      <w:pPr>
        <w:keepNext w:val="0"/>
        <w:keepLines w:val="0"/>
        <w:pageBreakBefore w:val="0"/>
        <w:kinsoku/>
        <w:wordWrap/>
        <w:overflowPunct/>
        <w:topLinePunct w:val="0"/>
        <w:autoSpaceDE/>
        <w:autoSpaceDN/>
        <w:bidi w:val="0"/>
        <w:snapToGrid w:val="0"/>
        <w:spacing w:line="560" w:lineRule="exact"/>
        <w:ind w:right="11" w:firstLine="601"/>
        <w:textAlignment w:val="baseline"/>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楷体_GB2312" w:hAnsi="楷体_GB2312" w:eastAsia="楷体_GB2312" w:cs="楷体_GB2312"/>
          <w:color w:val="auto"/>
          <w:sz w:val="32"/>
          <w:szCs w:val="32"/>
          <w:lang w:val="en-US" w:eastAsia="zh-CN"/>
        </w:rPr>
        <w:t>4.</w:t>
      </w:r>
      <w:r>
        <w:rPr>
          <w:rFonts w:hint="eastAsia" w:ascii="楷体_GB2312" w:hAnsi="楷体_GB2312" w:eastAsia="楷体_GB2312" w:cs="楷体_GB2312"/>
          <w:color w:val="auto"/>
          <w:sz w:val="32"/>
          <w:szCs w:val="32"/>
          <w:lang w:val="zh-CN" w:eastAsia="zh-CN"/>
        </w:rPr>
        <w:t>行政运转。</w:t>
      </w:r>
      <w:r>
        <w:rPr>
          <w:rFonts w:hint="default" w:ascii="Times New Roman" w:hAnsi="Times New Roman" w:eastAsia="仿宋_GB2312" w:cs="Times New Roman"/>
          <w:color w:val="auto"/>
          <w:kern w:val="2"/>
          <w:sz w:val="32"/>
          <w:szCs w:val="32"/>
          <w:lang w:val="en-US" w:eastAsia="zh-CN" w:bidi="ar-SA"/>
        </w:rPr>
        <w:t>提供文化娱乐的社会功能，成为社会效益显著的振兴阿坝州有力的文化支撑</w:t>
      </w:r>
      <w:r>
        <w:rPr>
          <w:rFonts w:hint="eastAsia" w:eastAsia="仿宋_GB2312" w:cs="Times New Roman"/>
          <w:color w:val="auto"/>
          <w:kern w:val="2"/>
          <w:sz w:val="32"/>
          <w:szCs w:val="32"/>
          <w:lang w:val="en-US" w:eastAsia="zh-CN" w:bidi="ar-SA"/>
        </w:rPr>
        <w:t>.</w:t>
      </w:r>
    </w:p>
    <w:p w14:paraId="463029D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2"/>
        <w:rPr>
          <w:rFonts w:hint="eastAsia" w:ascii="仿宋_GB2312" w:hAnsi="仿宋_GB2312" w:eastAsia="仿宋_GB2312" w:cs="仿宋_GB2312"/>
          <w:b w:val="0"/>
          <w:bCs w:val="0"/>
          <w:kern w:val="0"/>
          <w:position w:val="0"/>
          <w:sz w:val="32"/>
          <w:szCs w:val="32"/>
          <w:highlight w:val="none"/>
          <w:lang w:val="en-US" w:eastAsia="zh-CN" w:bidi="ar-SA"/>
        </w:rPr>
      </w:pPr>
      <w:bookmarkStart w:id="54" w:name="_Toc3650"/>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仿宋_GB2312" w:hAnsi="仿宋_GB2312" w:eastAsia="仿宋_GB2312" w:cs="仿宋_GB2312"/>
          <w:b w:val="0"/>
          <w:bCs w:val="0"/>
          <w:kern w:val="0"/>
          <w:position w:val="0"/>
          <w:sz w:val="32"/>
          <w:szCs w:val="32"/>
          <w:highlight w:val="none"/>
          <w:lang w:val="zh-CN" w:eastAsia="zh-CN" w:bidi="ar-SA"/>
        </w:rPr>
        <w:t>该专项指标</w:t>
      </w:r>
      <w:r>
        <w:rPr>
          <w:rFonts w:hint="eastAsia" w:ascii="仿宋_GB2312" w:hAnsi="仿宋_GB2312" w:eastAsia="仿宋_GB2312" w:cs="仿宋_GB2312"/>
          <w:b w:val="0"/>
          <w:bCs w:val="0"/>
          <w:kern w:val="0"/>
          <w:position w:val="0"/>
          <w:sz w:val="32"/>
          <w:szCs w:val="32"/>
          <w:highlight w:val="none"/>
          <w:lang w:val="en-US" w:eastAsia="zh-CN" w:bidi="ar-SA"/>
        </w:rPr>
        <w:t>2025年底全部执行</w:t>
      </w:r>
      <w:r>
        <w:rPr>
          <w:rFonts w:hint="eastAsia" w:ascii="仿宋_GB2312" w:hAnsi="仿宋_GB2312" w:eastAsia="仿宋_GB2312" w:cs="仿宋_GB2312"/>
          <w:b w:val="0"/>
          <w:bCs w:val="0"/>
          <w:kern w:val="0"/>
          <w:position w:val="0"/>
          <w:sz w:val="32"/>
          <w:szCs w:val="32"/>
          <w:highlight w:val="none"/>
          <w:lang w:val="zh-CN" w:eastAsia="zh-CN" w:bidi="ar-SA"/>
        </w:rPr>
        <w:t>。</w:t>
      </w:r>
      <w:bookmarkEnd w:id="54"/>
    </w:p>
    <w:p w14:paraId="670E1A10">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四、评价结论</w:t>
      </w:r>
    </w:p>
    <w:p w14:paraId="68CB4AB7">
      <w:pPr>
        <w:widowControl/>
        <w:adjustRightInd w:val="0"/>
        <w:snapToGrid w:val="0"/>
        <w:spacing w:line="578" w:lineRule="exact"/>
        <w:ind w:firstLine="640" w:firstLineChars="200"/>
        <w:contextualSpacing/>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zh-CN" w:eastAsia="zh-CN" w:bidi="ar-SA"/>
        </w:rPr>
        <w:t>通过</w:t>
      </w:r>
      <w:r>
        <w:rPr>
          <w:rFonts w:hint="eastAsia" w:ascii="仿宋_GB2312" w:hAnsi="仿宋_GB2312" w:eastAsia="仿宋_GB2312" w:cs="仿宋_GB2312"/>
          <w:b w:val="0"/>
          <w:bCs w:val="0"/>
          <w:color w:val="auto"/>
          <w:kern w:val="0"/>
          <w:position w:val="0"/>
          <w:sz w:val="32"/>
          <w:szCs w:val="32"/>
          <w:highlight w:val="none"/>
          <w:lang w:val="en-US" w:eastAsia="zh-CN" w:bidi="ar-SA"/>
        </w:rPr>
        <w:t>部门预算绩效自评总体结论，照绩效评价指标体系评分，项目总得分90分，评价等级为“优。</w:t>
      </w:r>
    </w:p>
    <w:p w14:paraId="025B69A7">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五、存在主要问题</w:t>
      </w:r>
    </w:p>
    <w:p w14:paraId="38E22B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项目具体工作内容，项目主管部门应当设置完善的绩效目标，不仅要包括产出目标，还应包括项目效益目标。其次，未来项目完工后，项目单位要积极开展绩效自评工作，真实、全面、准确的衡量项目资金的效益效率，真实反映项目实际情况，针对存在问题和不足，及时分析形成原因，给未来类似项目的工作积累经验。</w:t>
      </w:r>
    </w:p>
    <w:p w14:paraId="2906606D">
      <w:pPr>
        <w:spacing w:line="578" w:lineRule="exact"/>
        <w:ind w:firstLine="640"/>
        <w:rPr>
          <w:rFonts w:ascii="黑体" w:hAnsi="黑体" w:eastAsia="黑体" w:cs="黑体"/>
          <w:kern w:val="0"/>
          <w:sz w:val="32"/>
          <w:szCs w:val="32"/>
          <w:lang w:val="zh-CN"/>
        </w:rPr>
      </w:pPr>
      <w:r>
        <w:rPr>
          <w:rFonts w:hint="eastAsia" w:ascii="黑体" w:hAnsi="黑体" w:eastAsia="黑体" w:cs="黑体"/>
          <w:kern w:val="0"/>
          <w:sz w:val="32"/>
          <w:szCs w:val="32"/>
          <w:lang w:val="zh-CN"/>
        </w:rPr>
        <w:t>六、改进建议</w:t>
      </w:r>
    </w:p>
    <w:p w14:paraId="482BDD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kern w:val="0"/>
          <w:position w:val="0"/>
          <w:sz w:val="32"/>
          <w:szCs w:val="32"/>
          <w:highlight w:val="none"/>
          <w:lang w:val="en-US" w:eastAsia="zh-CN" w:bidi="ar-SA"/>
        </w:rPr>
        <w:t xml:space="preserve">  </w:t>
      </w:r>
      <w:r>
        <w:rPr>
          <w:rFonts w:hint="eastAsia" w:ascii="仿宋_GB2312" w:hAnsi="仿宋_GB2312" w:eastAsia="仿宋_GB2312" w:cs="仿宋_GB2312"/>
          <w:b/>
          <w:bCs w:val="0"/>
          <w:sz w:val="32"/>
          <w:szCs w:val="32"/>
          <w:lang w:val="en-US" w:eastAsia="zh-CN"/>
        </w:rPr>
        <w:t>一是</w:t>
      </w:r>
      <w:r>
        <w:rPr>
          <w:rFonts w:hint="eastAsia" w:ascii="仿宋_GB2312" w:hAnsi="仿宋_GB2312" w:eastAsia="仿宋_GB2312" w:cs="仿宋_GB2312"/>
          <w:sz w:val="32"/>
          <w:szCs w:val="32"/>
          <w:lang w:val="en-US" w:eastAsia="zh-CN"/>
        </w:rPr>
        <w:t>进一步加强预算执行刚性约束。在工作中明确预算项目具体内容的同时明确项目执行进度。</w:t>
      </w:r>
      <w:r>
        <w:rPr>
          <w:rFonts w:hint="eastAsia" w:ascii="仿宋_GB2312" w:hAnsi="仿宋_GB2312" w:eastAsia="仿宋_GB2312" w:cs="仿宋_GB2312"/>
          <w:b/>
          <w:bCs w:val="0"/>
          <w:sz w:val="32"/>
          <w:szCs w:val="32"/>
          <w:lang w:val="en-US" w:eastAsia="zh-CN"/>
        </w:rPr>
        <w:t>二是</w:t>
      </w:r>
      <w:r>
        <w:rPr>
          <w:rFonts w:hint="eastAsia" w:ascii="仿宋_GB2312" w:hAnsi="仿宋_GB2312" w:eastAsia="仿宋_GB2312" w:cs="仿宋_GB2312"/>
          <w:b w:val="0"/>
          <w:bCs/>
          <w:sz w:val="32"/>
          <w:szCs w:val="32"/>
          <w:lang w:val="en-US" w:eastAsia="zh-CN"/>
        </w:rPr>
        <w:t>强化业财</w:t>
      </w:r>
      <w:r>
        <w:rPr>
          <w:rFonts w:hint="eastAsia" w:ascii="仿宋_GB2312" w:hAnsi="仿宋_GB2312" w:eastAsia="仿宋_GB2312" w:cs="仿宋_GB2312"/>
          <w:sz w:val="32"/>
          <w:szCs w:val="32"/>
          <w:lang w:val="en-US" w:eastAsia="zh-CN"/>
        </w:rPr>
        <w:t>融合。增强业务人员和财务人员“全员、全方位、全过程”预算控制思想，加强业务与财务间沟通协调，使业务和财务都能更好的服务于全单位工作提质增效。</w:t>
      </w:r>
    </w:p>
    <w:p w14:paraId="3FEA70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5"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5"/>
      <w:bookmarkStart w:id="56"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6"/>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0"/>
      <w:r>
        <w:rPr>
          <w:rFonts w:hint="eastAsia" w:ascii="Times New Roman" w:hAnsi="Times New Roman" w:eastAsia="仿宋_GB2312" w:cs="仿宋_GB2312"/>
          <w:color w:val="auto"/>
          <w:sz w:val="32"/>
          <w:szCs w:val="32"/>
          <w:highlight w:val="none"/>
        </w:rPr>
        <w:t>二、收入决算表</w:t>
      </w:r>
      <w:bookmarkEnd w:id="57"/>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1"/>
      <w:r>
        <w:rPr>
          <w:rFonts w:hint="eastAsia" w:ascii="Times New Roman" w:hAnsi="Times New Roman" w:eastAsia="仿宋_GB2312" w:cs="仿宋_GB2312"/>
          <w:color w:val="auto"/>
          <w:sz w:val="32"/>
          <w:szCs w:val="32"/>
          <w:highlight w:val="none"/>
        </w:rPr>
        <w:t>三、支出决算表</w:t>
      </w:r>
      <w:bookmarkEnd w:id="58"/>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2"/>
      <w:r>
        <w:rPr>
          <w:rFonts w:hint="eastAsia" w:ascii="Times New Roman" w:hAnsi="Times New Roman" w:eastAsia="仿宋_GB2312" w:cs="仿宋_GB2312"/>
          <w:color w:val="auto"/>
          <w:sz w:val="32"/>
          <w:szCs w:val="32"/>
          <w:highlight w:val="none"/>
        </w:rPr>
        <w:t>四、财政拨款收入支出决算总表</w:t>
      </w:r>
      <w:bookmarkEnd w:id="59"/>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3"/>
      <w:r>
        <w:rPr>
          <w:rFonts w:hint="eastAsia" w:ascii="Times New Roman" w:hAnsi="Times New Roman" w:eastAsia="仿宋_GB2312" w:cs="仿宋_GB2312"/>
          <w:color w:val="auto"/>
          <w:sz w:val="32"/>
          <w:szCs w:val="32"/>
          <w:highlight w:val="none"/>
        </w:rPr>
        <w:t>五、财政拨款支出决算明细表</w:t>
      </w:r>
      <w:bookmarkEnd w:id="60"/>
      <w:bookmarkStart w:id="61"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1"/>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5"/>
      <w:r>
        <w:rPr>
          <w:rFonts w:hint="eastAsia" w:ascii="Times New Roman" w:hAnsi="Times New Roman" w:eastAsia="仿宋_GB2312" w:cs="仿宋_GB2312"/>
          <w:color w:val="auto"/>
          <w:sz w:val="32"/>
          <w:szCs w:val="32"/>
          <w:highlight w:val="none"/>
        </w:rPr>
        <w:t>七、一般公共预算财政拨款支出决算明细表</w:t>
      </w:r>
      <w:bookmarkEnd w:id="62"/>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6"/>
      <w:r>
        <w:rPr>
          <w:rFonts w:hint="eastAsia" w:ascii="Times New Roman" w:hAnsi="Times New Roman" w:eastAsia="仿宋_GB2312" w:cs="仿宋_GB2312"/>
          <w:color w:val="auto"/>
          <w:sz w:val="32"/>
          <w:szCs w:val="32"/>
          <w:highlight w:val="none"/>
        </w:rPr>
        <w:t>八、一般公共预算财政拨款基本支出决算表</w:t>
      </w:r>
      <w:bookmarkEnd w:id="63"/>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7"/>
      <w:r>
        <w:rPr>
          <w:rFonts w:hint="eastAsia" w:ascii="Times New Roman" w:hAnsi="Times New Roman" w:eastAsia="仿宋_GB2312" w:cs="仿宋_GB2312"/>
          <w:color w:val="auto"/>
          <w:sz w:val="32"/>
          <w:szCs w:val="32"/>
          <w:highlight w:val="none"/>
        </w:rPr>
        <w:t>九、一般公共预算财政拨款项目支出决算表</w:t>
      </w:r>
      <w:bookmarkEnd w:id="64"/>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8"/>
      <w:r>
        <w:rPr>
          <w:rFonts w:hint="eastAsia" w:ascii="Times New Roman" w:hAnsi="Times New Roman" w:eastAsia="仿宋_GB2312" w:cs="仿宋_GB2312"/>
          <w:color w:val="auto"/>
          <w:sz w:val="32"/>
          <w:szCs w:val="32"/>
          <w:highlight w:val="none"/>
        </w:rPr>
        <w:t>十、</w:t>
      </w:r>
      <w:bookmarkEnd w:id="65"/>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9"/>
      <w:r>
        <w:rPr>
          <w:rFonts w:hint="eastAsia" w:ascii="Times New Roman" w:hAnsi="Times New Roman" w:eastAsia="仿宋_GB2312" w:cs="仿宋_GB2312"/>
          <w:color w:val="auto"/>
          <w:sz w:val="32"/>
          <w:szCs w:val="32"/>
          <w:highlight w:val="none"/>
        </w:rPr>
        <w:t>十一、</w:t>
      </w:r>
      <w:bookmarkEnd w:id="6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30"/>
      <w:r>
        <w:rPr>
          <w:rFonts w:hint="eastAsia" w:ascii="Times New Roman" w:hAnsi="Times New Roman" w:eastAsia="仿宋_GB2312" w:cs="仿宋_GB2312"/>
          <w:color w:val="auto"/>
          <w:sz w:val="32"/>
          <w:szCs w:val="32"/>
          <w:highlight w:val="none"/>
        </w:rPr>
        <w:t>十二、</w:t>
      </w:r>
      <w:bookmarkEnd w:id="67"/>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8" w:name="_Toc15396631"/>
      <w:r>
        <w:rPr>
          <w:rFonts w:hint="eastAsia" w:ascii="Times New Roman" w:hAnsi="Times New Roman" w:eastAsia="仿宋_GB2312" w:cs="仿宋_GB2312"/>
          <w:color w:val="auto"/>
          <w:sz w:val="32"/>
          <w:szCs w:val="32"/>
          <w:highlight w:val="none"/>
        </w:rPr>
        <w:t>十三、</w:t>
      </w:r>
      <w:bookmarkEnd w:id="68"/>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0"/>
      <w:jc w:val="center"/>
    </w:pPr>
  </w:p>
  <w:p w14:paraId="3B0C36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E09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0"/>
      <w:jc w:val="center"/>
    </w:pPr>
  </w:p>
  <w:p w14:paraId="66082FB3">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0E15E4"/>
    <w:multiLevelType w:val="singleLevel"/>
    <w:tmpl w:val="6C0E15E4"/>
    <w:lvl w:ilvl="0" w:tentative="0">
      <w:start w:val="4"/>
      <w:numFmt w:val="chineseCounting"/>
      <w:suff w:val="nothing"/>
      <w:lvlText w:val="%1、"/>
      <w:lvlJc w:val="left"/>
      <w:rPr>
        <w:rFonts w:hint="eastAsia"/>
      </w:rPr>
    </w:lvl>
  </w:abstractNum>
  <w:abstractNum w:abstractNumId="1">
    <w:nsid w:val="762499C7"/>
    <w:multiLevelType w:val="singleLevel"/>
    <w:tmpl w:val="762499C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014D"/>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B396B"/>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0D17073"/>
    <w:rsid w:val="111C1188"/>
    <w:rsid w:val="11772AA4"/>
    <w:rsid w:val="118107EC"/>
    <w:rsid w:val="13D50BC4"/>
    <w:rsid w:val="14022904"/>
    <w:rsid w:val="152F2A07"/>
    <w:rsid w:val="165E0673"/>
    <w:rsid w:val="16BB723D"/>
    <w:rsid w:val="186504BB"/>
    <w:rsid w:val="1938089F"/>
    <w:rsid w:val="19A445FC"/>
    <w:rsid w:val="1B7D550C"/>
    <w:rsid w:val="1BE8440E"/>
    <w:rsid w:val="1BF70D7E"/>
    <w:rsid w:val="1D155CEE"/>
    <w:rsid w:val="1E740ACF"/>
    <w:rsid w:val="1EBD15A5"/>
    <w:rsid w:val="1F62156A"/>
    <w:rsid w:val="1FDC6E9A"/>
    <w:rsid w:val="1FF35744"/>
    <w:rsid w:val="1FF6BC77"/>
    <w:rsid w:val="21962A9E"/>
    <w:rsid w:val="21AE7C77"/>
    <w:rsid w:val="22BC3C41"/>
    <w:rsid w:val="2369138D"/>
    <w:rsid w:val="23860B96"/>
    <w:rsid w:val="240371BF"/>
    <w:rsid w:val="24044C11"/>
    <w:rsid w:val="24CB10B2"/>
    <w:rsid w:val="260F557C"/>
    <w:rsid w:val="281408E2"/>
    <w:rsid w:val="29FD04D3"/>
    <w:rsid w:val="2BFF7BC6"/>
    <w:rsid w:val="2C8A61B5"/>
    <w:rsid w:val="2D2E01CF"/>
    <w:rsid w:val="2DF04E50"/>
    <w:rsid w:val="2E9545B0"/>
    <w:rsid w:val="2F040D46"/>
    <w:rsid w:val="2FAE5751"/>
    <w:rsid w:val="2FB1A395"/>
    <w:rsid w:val="2FCE09BB"/>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352EDF"/>
    <w:rsid w:val="3AAD7A3A"/>
    <w:rsid w:val="3AB79AF3"/>
    <w:rsid w:val="3B7EF35A"/>
    <w:rsid w:val="3B9FDB6C"/>
    <w:rsid w:val="3BF5BC2F"/>
    <w:rsid w:val="3CEBA265"/>
    <w:rsid w:val="3D98207C"/>
    <w:rsid w:val="3D9B0D99"/>
    <w:rsid w:val="3DEE7CF3"/>
    <w:rsid w:val="3DF02244"/>
    <w:rsid w:val="3E78745D"/>
    <w:rsid w:val="3FF4CAE0"/>
    <w:rsid w:val="3FF7B227"/>
    <w:rsid w:val="40E54C45"/>
    <w:rsid w:val="412D23F3"/>
    <w:rsid w:val="43A407DF"/>
    <w:rsid w:val="44515BEA"/>
    <w:rsid w:val="44E268DA"/>
    <w:rsid w:val="453F7E5B"/>
    <w:rsid w:val="46A4144B"/>
    <w:rsid w:val="486A6C7A"/>
    <w:rsid w:val="49176D9B"/>
    <w:rsid w:val="4A627F82"/>
    <w:rsid w:val="4B0E749A"/>
    <w:rsid w:val="4B4F25DA"/>
    <w:rsid w:val="4BDA0CFB"/>
    <w:rsid w:val="4BE068DB"/>
    <w:rsid w:val="4C8F3363"/>
    <w:rsid w:val="4D3C0CCC"/>
    <w:rsid w:val="4D577224"/>
    <w:rsid w:val="4DBF1CEB"/>
    <w:rsid w:val="4EAB630A"/>
    <w:rsid w:val="4ECE2238"/>
    <w:rsid w:val="4F833267"/>
    <w:rsid w:val="4FE9BD67"/>
    <w:rsid w:val="4FFB052F"/>
    <w:rsid w:val="53083A92"/>
    <w:rsid w:val="537E6D0A"/>
    <w:rsid w:val="53AF27A2"/>
    <w:rsid w:val="53F74C96"/>
    <w:rsid w:val="56894B5E"/>
    <w:rsid w:val="56E47B74"/>
    <w:rsid w:val="57BD3DD4"/>
    <w:rsid w:val="5AF92295"/>
    <w:rsid w:val="5BB36D43"/>
    <w:rsid w:val="5BDD79E6"/>
    <w:rsid w:val="5BF561CA"/>
    <w:rsid w:val="5BFF5DFC"/>
    <w:rsid w:val="5CD71FC4"/>
    <w:rsid w:val="5D1F11B5"/>
    <w:rsid w:val="5DAE1B18"/>
    <w:rsid w:val="5DE7D9E5"/>
    <w:rsid w:val="5ECEC941"/>
    <w:rsid w:val="5F493CB7"/>
    <w:rsid w:val="5F572BC5"/>
    <w:rsid w:val="5FBF9FF3"/>
    <w:rsid w:val="5FCD4E2C"/>
    <w:rsid w:val="5FD15F49"/>
    <w:rsid w:val="5FEF394A"/>
    <w:rsid w:val="5FF67715"/>
    <w:rsid w:val="6258386D"/>
    <w:rsid w:val="62BF3928"/>
    <w:rsid w:val="63972DD1"/>
    <w:rsid w:val="647F5392"/>
    <w:rsid w:val="664B1D71"/>
    <w:rsid w:val="67AA3209"/>
    <w:rsid w:val="681C4F0D"/>
    <w:rsid w:val="69046D0F"/>
    <w:rsid w:val="698D0931"/>
    <w:rsid w:val="6A993CED"/>
    <w:rsid w:val="6AD1573B"/>
    <w:rsid w:val="6B053271"/>
    <w:rsid w:val="6BCE6674"/>
    <w:rsid w:val="6C471485"/>
    <w:rsid w:val="6C4A05C8"/>
    <w:rsid w:val="6C8742B8"/>
    <w:rsid w:val="6C8A170F"/>
    <w:rsid w:val="6CB43082"/>
    <w:rsid w:val="6CB54609"/>
    <w:rsid w:val="6D2466C3"/>
    <w:rsid w:val="6DBF5E93"/>
    <w:rsid w:val="6DFF077E"/>
    <w:rsid w:val="6E5C7E2A"/>
    <w:rsid w:val="6E7E3605"/>
    <w:rsid w:val="6E7FDCC7"/>
    <w:rsid w:val="6ED6A62E"/>
    <w:rsid w:val="6EE00B15"/>
    <w:rsid w:val="6EEC4790"/>
    <w:rsid w:val="6F544B20"/>
    <w:rsid w:val="6F554B3B"/>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350300"/>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默认段落字体1"/>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a:p>
            <a:pPr defTabSz="914400">
              <a:defRPr lang="zh-CN" sz="1400" b="1" i="0" u="none" strike="noStrike" kern="1200" baseline="0">
                <a:solidFill>
                  <a:schemeClr val="tx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[工作簿1]Sheet1!$K$7</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[工作簿1]Sheet1!$L$6:$M$6</c:f>
              <c:numCache>
                <c:formatCode>General</c:formatCode>
                <c:ptCount val="2"/>
                <c:pt idx="0">
                  <c:v>2024</c:v>
                </c:pt>
                <c:pt idx="1">
                  <c:v>2025</c:v>
                </c:pt>
              </c:numCache>
            </c:numRef>
          </c:cat>
          <c:val>
            <c:numRef>
              <c:f>[工作簿1]Sheet1!$L$7:$M$7</c:f>
              <c:numCache>
                <c:formatCode>General</c:formatCode>
                <c:ptCount val="2"/>
                <c:pt idx="0">
                  <c:v>762.46</c:v>
                </c:pt>
                <c:pt idx="1">
                  <c:v>657.12</c:v>
                </c:pt>
              </c:numCache>
            </c:numRef>
          </c:val>
        </c:ser>
        <c:ser>
          <c:idx val="1"/>
          <c:order val="1"/>
          <c:tx>
            <c:strRef>
              <c:f>[工作簿1]Sheet1!$K$8</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[工作簿1]Sheet1!$L$6:$M$6</c:f>
              <c:numCache>
                <c:formatCode>General</c:formatCode>
                <c:ptCount val="2"/>
                <c:pt idx="0">
                  <c:v>2024</c:v>
                </c:pt>
                <c:pt idx="1">
                  <c:v>2025</c:v>
                </c:pt>
              </c:numCache>
            </c:numRef>
          </c:cat>
          <c:val>
            <c:numRef>
              <c:f>[工作簿1]Sheet1!$L$8:$M$8</c:f>
              <c:numCache>
                <c:formatCode>General</c:formatCode>
                <c:ptCount val="2"/>
                <c:pt idx="0">
                  <c:v>762.46</c:v>
                </c:pt>
                <c:pt idx="1">
                  <c:v>657.12</c:v>
                </c:pt>
              </c:numCache>
            </c:numRef>
          </c:val>
        </c:ser>
        <c:dLbls>
          <c:showLegendKey val="0"/>
          <c:showVal val="1"/>
          <c:showCatName val="0"/>
          <c:showSerName val="0"/>
          <c:showPercent val="0"/>
          <c:showBubbleSize val="0"/>
        </c:dLbls>
        <c:gapWidth val="260"/>
        <c:overlap val="-32"/>
        <c:axId val="457822397"/>
        <c:axId val="423077629"/>
      </c:barChart>
      <c:catAx>
        <c:axId val="45782239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077629"/>
        <c:crosses val="autoZero"/>
        <c:auto val="1"/>
        <c:lblAlgn val="ctr"/>
        <c:lblOffset val="100"/>
        <c:noMultiLvlLbl val="0"/>
      </c:catAx>
      <c:valAx>
        <c:axId val="423077629"/>
        <c:scaling>
          <c:orientation val="minMax"/>
        </c:scaling>
        <c:delete val="1"/>
        <c:axPos val="l"/>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82239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202b83-c51f-4b50-91c4-a8228010574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[工作簿1]Sheet1!$D$17</c:f>
              <c:strCache>
                <c:ptCount val="1"/>
                <c:pt idx="0">
                  <c:v>2025年一般公共预算财政拨款收入657.12万元</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[工作簿1]Sheet1!$D$18:$D$19</c:f>
              <c:numCache>
                <c:formatCode>General</c:formatCode>
                <c:ptCount val="2"/>
                <c:pt idx="1" c:formatCode="0%">
                  <c:v>1</c:v>
                </c:pt>
              </c:numCache>
            </c:numRef>
          </c:val>
        </c:ser>
        <c:dLbls>
          <c:showLegendKey val="0"/>
          <c:showVal val="0"/>
          <c:showCatName val="1"/>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8fadf6d-5c22-4185-8308-183ea441b2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2025支出决算</a:t>
            </a:r>
          </a:p>
        </c:rich>
      </c:tx>
      <c:layout/>
      <c:overlay val="0"/>
      <c:spPr>
        <a:noFill/>
        <a:ln>
          <a:noFill/>
        </a:ln>
        <a:effectLst/>
      </c:spPr>
    </c:title>
    <c:autoTitleDeleted val="0"/>
    <c:plotArea>
      <c:layout/>
      <c:pieChart>
        <c:varyColors val="1"/>
        <c:ser>
          <c:idx val="0"/>
          <c:order val="0"/>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[工作簿1]Sheet1!$L$17:$L$19</c15:sqref>
                  </c15:fullRef>
                </c:ext>
              </c:extLst>
              <c:f>[工作簿1]Sheet1!$L$18:$L$19</c:f>
              <c:strCache>
                <c:ptCount val="2"/>
                <c:pt idx="0">
                  <c:v>基本支出458.17万元</c:v>
                </c:pt>
                <c:pt idx="1">
                  <c:v>项目支出198.96万元</c:v>
                </c:pt>
              </c:strCache>
            </c:strRef>
          </c:cat>
          <c:val>
            <c:numRef>
              <c:extLst>
                <c:ext xmlns:c15="http://schemas.microsoft.com/office/drawing/2012/chart" uri="{02D57815-91ED-43cb-92C2-25804820EDAC}">
                  <c15:fullRef>
                    <c15:sqref>Sheet1!$M$17:$M$19</c15:sqref>
                  </c15:fullRef>
                </c:ext>
              </c:extLst>
              <c:f>[工作簿1]Sheet1!$M$18:$M$19</c:f>
              <c:numCache>
                <c:formatCode>0%</c:formatCode>
                <c:ptCount val="2"/>
                <c:pt idx="0">
                  <c:v>0.69</c:v>
                </c:pt>
                <c:pt idx="1">
                  <c:v>0.31</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592ab8-1ae0-4108-a050-dddf468933f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[工作簿1]Sheet1!$K$7</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[工作簿1]Sheet1!$L$6:$M$6</c:f>
              <c:numCache>
                <c:formatCode>General</c:formatCode>
                <c:ptCount val="2"/>
                <c:pt idx="0">
                  <c:v>2024</c:v>
                </c:pt>
                <c:pt idx="1">
                  <c:v>2025</c:v>
                </c:pt>
              </c:numCache>
            </c:numRef>
          </c:cat>
          <c:val>
            <c:numRef>
              <c:f>[工作簿1]Sheet1!$L$7:$M$7</c:f>
              <c:numCache>
                <c:formatCode>General</c:formatCode>
                <c:ptCount val="2"/>
                <c:pt idx="0">
                  <c:v>762.46</c:v>
                </c:pt>
                <c:pt idx="1">
                  <c:v>657.12</c:v>
                </c:pt>
              </c:numCache>
            </c:numRef>
          </c:val>
        </c:ser>
        <c:ser>
          <c:idx val="1"/>
          <c:order val="1"/>
          <c:tx>
            <c:strRef>
              <c:f>[工作簿1]Sheet1!$K$8</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[工作簿1]Sheet1!$L$6:$M$6</c:f>
              <c:numCache>
                <c:formatCode>General</c:formatCode>
                <c:ptCount val="2"/>
                <c:pt idx="0">
                  <c:v>2024</c:v>
                </c:pt>
                <c:pt idx="1">
                  <c:v>2025</c:v>
                </c:pt>
              </c:numCache>
            </c:numRef>
          </c:cat>
          <c:val>
            <c:numRef>
              <c:f>[工作簿1]Sheet1!$L$8:$M$8</c:f>
              <c:numCache>
                <c:formatCode>General</c:formatCode>
                <c:ptCount val="2"/>
                <c:pt idx="0">
                  <c:v>762.46</c:v>
                </c:pt>
                <c:pt idx="1">
                  <c:v>657.12</c:v>
                </c:pt>
              </c:numCache>
            </c:numRef>
          </c:val>
        </c:ser>
        <c:dLbls>
          <c:showLegendKey val="0"/>
          <c:showVal val="1"/>
          <c:showCatName val="0"/>
          <c:showSerName val="0"/>
          <c:showPercent val="0"/>
          <c:showBubbleSize val="0"/>
        </c:dLbls>
        <c:gapWidth val="216"/>
        <c:overlap val="-32"/>
        <c:axId val="928953290"/>
        <c:axId val="531930463"/>
      </c:barChart>
      <c:catAx>
        <c:axId val="92895329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1930463"/>
        <c:crosses val="autoZero"/>
        <c:auto val="1"/>
        <c:lblAlgn val="ctr"/>
        <c:lblOffset val="100"/>
        <c:noMultiLvlLbl val="0"/>
      </c:catAx>
      <c:valAx>
        <c:axId val="531930463"/>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95329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e060105e-9337-42fd-ad46-6b316e1636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a:p>
            <a:pPr defTabSz="914400">
              <a:defRPr lang="zh-CN" sz="1400" b="1" i="0" u="none" strike="noStrike" kern="1200" baseline="0">
                <a:solidFill>
                  <a:schemeClr val="tx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delete val="1"/>
          </c:dLbls>
          <c:cat>
            <c:strRef>
              <c:f>[工作簿1]Sheet1!$N$11:$N$12</c:f>
              <c:strCache>
                <c:ptCount val="2"/>
                <c:pt idx="0">
                  <c:v>2024年</c:v>
                </c:pt>
                <c:pt idx="1">
                  <c:v>2025年</c:v>
                </c:pt>
              </c:strCache>
            </c:strRef>
          </c:cat>
          <c:val>
            <c:numRef>
              <c:f>[工作簿1]Sheet1!$O$11:$O$12</c:f>
              <c:numCache>
                <c:formatCode>General</c:formatCode>
                <c:ptCount val="2"/>
                <c:pt idx="0">
                  <c:v>762.46</c:v>
                </c:pt>
                <c:pt idx="1">
                  <c:v>657.12</c:v>
                </c:pt>
              </c:numCache>
            </c:numRef>
          </c:val>
        </c:ser>
        <c:dLbls>
          <c:showLegendKey val="0"/>
          <c:showVal val="0"/>
          <c:showCatName val="0"/>
          <c:showSerName val="0"/>
          <c:showPercent val="0"/>
          <c:showBubbleSize val="0"/>
        </c:dLbls>
        <c:gapWidth val="246"/>
        <c:overlap val="-28"/>
        <c:axId val="796600938"/>
        <c:axId val="104391335"/>
      </c:barChart>
      <c:catAx>
        <c:axId val="7966009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391335"/>
        <c:crosses val="autoZero"/>
        <c:auto val="1"/>
        <c:lblAlgn val="ctr"/>
        <c:lblOffset val="100"/>
        <c:noMultiLvlLbl val="0"/>
      </c:catAx>
      <c:valAx>
        <c:axId val="104391335"/>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60093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88c0187-2ff7-49af-b180-0a178a1bab0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[工作簿1]Sheet1!$J$27:$J$30</c:f>
              <c:strCache>
                <c:ptCount val="4"/>
                <c:pt idx="0">
                  <c:v>文化旅游体育与传媒支出549.33万元</c:v>
                </c:pt>
                <c:pt idx="1">
                  <c:v>社会保障和就业支出55.46万元</c:v>
                </c:pt>
                <c:pt idx="2">
                  <c:v>卫生健康支出22.44万元</c:v>
                </c:pt>
                <c:pt idx="3">
                  <c:v>住房保障支出29.89万元</c:v>
                </c:pt>
              </c:strCache>
            </c:strRef>
          </c:cat>
          <c:val>
            <c:numRef>
              <c:f>[工作簿1]Sheet1!$K$27:$K$30</c:f>
              <c:numCache>
                <c:formatCode>0.00%</c:formatCode>
                <c:ptCount val="4"/>
                <c:pt idx="0">
                  <c:v>0.835</c:v>
                </c:pt>
                <c:pt idx="1" c:formatCode="0%">
                  <c:v>0.08</c:v>
                </c:pt>
                <c:pt idx="2">
                  <c:v>0.033</c:v>
                </c:pt>
                <c:pt idx="3">
                  <c:v>0.052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fa7d7c-75ef-4407-96ca-13f504cb3d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[工作簿1]Sheet1!$C$31:$C$33</c:f>
              <c:strCache>
                <c:ptCount val="3"/>
                <c:pt idx="0">
                  <c:v>因公出国（境）费</c:v>
                </c:pt>
                <c:pt idx="1">
                  <c:v>公务用车购置及运行维护费</c:v>
                </c:pt>
                <c:pt idx="2">
                  <c:v>公务接待费</c:v>
                </c:pt>
              </c:strCache>
            </c:strRef>
          </c:cat>
          <c:val>
            <c:numRef>
              <c:f>[工作簿1]Sheet1!$D$31:$D$33</c:f>
              <c:numCache>
                <c:formatCode>General</c:formatCode>
                <c:ptCount val="3"/>
                <c:pt idx="0">
                  <c:v>0</c:v>
                </c:pt>
                <c:pt idx="1">
                  <c:v>3.08</c:v>
                </c:pt>
                <c:pt idx="2">
                  <c:v>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054caa-9938-43f2-8128-304560682a7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50</Pages>
  <Words>8166</Words>
  <Characters>8843</Characters>
  <Lines>61</Lines>
  <Paragraphs>17</Paragraphs>
  <TotalTime>4</TotalTime>
  <ScaleCrop>false</ScaleCrop>
  <LinksUpToDate>false</LinksUpToDate>
  <CharactersWithSpaces>8921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pccccccc</cp:lastModifiedBy>
  <cp:lastPrinted>2026-08-03T09:27:00Z</cp:lastPrinted>
  <dcterms:modified xsi:type="dcterms:W3CDTF">2026-09-11T08:01:21Z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eyJoZGlkIjoiYjZjNTQ5MGY5NDc3MjdjNTMyOTdjNWNjMTg3ZTNhZjYiLCJ1c2VySWQiOiI0MDgxOTM5NjYifQ==</vt:lpwstr>
  </property>
</Properties>
</file>