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黑体" w:hAnsi="黑体" w:eastAsia="黑体" w:cs="黑体"/>
          <w:color w:val="auto"/>
          <w:kern w:val="2"/>
          <w:sz w:val="32"/>
          <w:szCs w:val="32"/>
          <w:highlight w:val="none"/>
          <w:lang w:val="en-US" w:eastAsia="zh-CN" w:bidi="ar-SA"/>
        </w:rPr>
      </w:pPr>
      <w:bookmarkStart w:id="0" w:name="_Toc15377425"/>
      <w:bookmarkStart w:id="1" w:name="_Toc15396597"/>
      <w:bookmarkStart w:id="2" w:name="_Toc15377193"/>
      <w:bookmarkStart w:id="3" w:name="_Toc15306267"/>
      <w:bookmarkStart w:id="4" w:name="_Toc15378441"/>
      <w:bookmarkStart w:id="5" w:name="_Toc15396475"/>
      <w:r>
        <w:rPr>
          <w:rFonts w:hint="eastAsia" w:ascii="黑体" w:hAnsi="黑体" w:eastAsia="黑体" w:cs="黑体"/>
          <w:color w:val="auto"/>
          <w:kern w:val="2"/>
          <w:sz w:val="32"/>
          <w:szCs w:val="32"/>
          <w:highlight w:val="none"/>
          <w:lang w:val="en-US" w:eastAsia="zh-CN" w:bidi="ar-SA"/>
        </w:rPr>
        <w:t>附件4</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spacing w:before="93"/>
        <w:ind w:firstLine="440" w:firstLineChars="100"/>
        <w:jc w:val="both"/>
        <w:rPr>
          <w:rFonts w:hint="eastAsia" w:ascii="Times New Roman" w:eastAsia="方正小标宋简体"/>
          <w:kern w:val="2"/>
          <w:sz w:val="44"/>
          <w:szCs w:val="44"/>
          <w:lang w:eastAsia="zh-CN"/>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年度阿坝州</w:t>
      </w:r>
      <w:r>
        <w:rPr>
          <w:rFonts w:hint="eastAsia" w:ascii="Times New Roman" w:eastAsia="方正小标宋简体"/>
          <w:kern w:val="2"/>
          <w:sz w:val="44"/>
          <w:szCs w:val="44"/>
          <w:lang w:eastAsia="zh-CN"/>
        </w:rPr>
        <w:t>国家文化公园服务中心</w:t>
      </w:r>
    </w:p>
    <w:p>
      <w:pPr>
        <w:pStyle w:val="6"/>
        <w:spacing w:before="93"/>
        <w:jc w:val="center"/>
        <w:rPr>
          <w:rFonts w:hint="default" w:ascii="Times New Roman" w:eastAsia="方正小标宋简体"/>
          <w:kern w:val="2"/>
          <w:sz w:val="44"/>
          <w:szCs w:val="44"/>
          <w:lang w:val="en-US" w:eastAsia="zh-CN"/>
        </w:rPr>
      </w:pPr>
      <w:r>
        <w:rPr>
          <w:rFonts w:hint="eastAsia" w:ascii="Times New Roman" w:eastAsia="方正小标宋简体"/>
          <w:kern w:val="2"/>
          <w:sz w:val="44"/>
          <w:szCs w:val="44"/>
        </w:rPr>
        <w:t>决算</w:t>
      </w:r>
      <w:r>
        <w:rPr>
          <w:rFonts w:hint="eastAsia" w:ascii="Times New Roman" w:eastAsia="方正小标宋简体"/>
          <w:kern w:val="2"/>
          <w:sz w:val="44"/>
          <w:szCs w:val="44"/>
          <w:lang w:val="en-US" w:eastAsia="zh-CN"/>
        </w:rPr>
        <w:t>公开说明</w:t>
      </w:r>
    </w:p>
    <w:p>
      <w:pPr>
        <w:spacing w:line="600" w:lineRule="exact"/>
        <w:jc w:val="center"/>
        <w:outlineLvl w:val="0"/>
        <w:rPr>
          <w:rFonts w:ascii="Times New Roman" w:hAnsi="Times New Roman" w:eastAsia="方正小标宋简体"/>
          <w:color w:val="auto"/>
          <w:sz w:val="72"/>
          <w:szCs w:val="72"/>
          <w:highlight w:val="none"/>
        </w:rPr>
      </w:pPr>
    </w:p>
    <w:p>
      <w:pPr>
        <w:pStyle w:val="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ind w:firstLine="3840" w:firstLineChars="800"/>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一、</w:t>
      </w:r>
      <w:r>
        <w:rPr>
          <w:rFonts w:hint="eastAsia" w:ascii="仿宋_GB2312" w:hAnsi="仿宋_GB2312" w:eastAsia="仿宋_GB2312" w:cs="仿宋_GB2312"/>
          <w:color w:val="auto"/>
          <w:sz w:val="28"/>
          <w:szCs w:val="28"/>
          <w:highlight w:val="none"/>
          <w:lang w:eastAsia="zh-CN"/>
        </w:rPr>
        <w:t>部门职责</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二、机构设置</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5</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28"/>
          <w:szCs w:val="28"/>
          <w:highlight w:val="none"/>
          <w:lang w:val="en-US"/>
        </w:rPr>
      </w:pPr>
      <w:r>
        <w:rPr>
          <w:rFonts w:hint="eastAsia" w:ascii="Times New Roman" w:hAnsi="Times New Roman" w:eastAsia="仿宋_GB2312" w:cs="仿宋_GB2312"/>
          <w:color w:val="auto"/>
          <w:sz w:val="28"/>
          <w:szCs w:val="28"/>
          <w:highlight w:val="none"/>
        </w:rPr>
        <w:t>一、收入支出决算总体情况说明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宋体" w:hAnsi="宋体" w:eastAsia="宋体" w:cs="宋体"/>
          <w:color w:val="auto"/>
          <w:sz w:val="32"/>
          <w:szCs w:val="32"/>
          <w:highlight w:val="none"/>
          <w:lang w:val="en-US" w:eastAsia="zh-CN"/>
        </w:rPr>
      </w:pPr>
      <w:r>
        <w:rPr>
          <w:rFonts w:hint="eastAsia" w:ascii="Times New Roman" w:hAnsi="Times New Roman" w:eastAsia="仿宋_GB2312" w:cs="仿宋_GB2312"/>
          <w:color w:val="auto"/>
          <w:sz w:val="28"/>
          <w:szCs w:val="28"/>
          <w:highlight w:val="none"/>
        </w:rPr>
        <w:t>二、收入决算情况说明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6</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28"/>
          <w:szCs w:val="28"/>
          <w:highlight w:val="none"/>
        </w:rPr>
        <w:t>三、支出决算情况说明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四、财政拨款收入支出决算总体情况说明</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五、一般公共预算财政拨款支出决算情况说明</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六、一般公共预算财政拨款基本支出决算情况说明</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default"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七、财政拨款</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三公”经费支出决算情况说明</w:t>
      </w:r>
      <w:r>
        <w:rPr>
          <w:rFonts w:hint="eastAsia" w:ascii="宋体" w:hAnsi="宋体" w:eastAsia="宋体" w:cs="宋体"/>
          <w:color w:val="auto"/>
          <w:sz w:val="32"/>
          <w:szCs w:val="32"/>
          <w:highlight w:val="none"/>
          <w:lang w:eastAsia="zh-CN"/>
        </w:rPr>
        <w:t>……………………</w:t>
      </w:r>
      <w:r>
        <w:rPr>
          <w:rFonts w:hint="eastAsia" w:ascii="宋体" w:hAnsi="宋体" w:cs="宋体"/>
          <w:color w:val="auto"/>
          <w:sz w:val="28"/>
          <w:szCs w:val="28"/>
          <w:highlight w:val="none"/>
          <w:lang w:val="en-US" w:eastAsia="zh-CN"/>
        </w:rPr>
        <w:t>11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八、政府性基金预算支出决算情况说明</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13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rPr>
        <w:t>九、</w:t>
      </w:r>
      <w:r>
        <w:rPr>
          <w:rFonts w:hint="eastAsia" w:ascii="仿宋_GB2312" w:hAnsi="仿宋_GB2312" w:eastAsia="仿宋_GB2312" w:cs="仿宋_GB2312"/>
          <w:color w:val="auto"/>
          <w:sz w:val="28"/>
          <w:szCs w:val="28"/>
          <w:highlight w:val="none"/>
          <w:lang w:eastAsia="zh-CN"/>
        </w:rPr>
        <w:t>国</w:t>
      </w:r>
      <w:r>
        <w:rPr>
          <w:rFonts w:hint="eastAsia" w:ascii="仿宋_GB2312" w:hAnsi="仿宋_GB2312" w:eastAsia="仿宋_GB2312" w:cs="仿宋_GB2312"/>
          <w:color w:val="auto"/>
          <w:sz w:val="28"/>
          <w:szCs w:val="28"/>
          <w:highlight w:val="none"/>
        </w:rPr>
        <w:t>有资本经营预算支出决算情况说明</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13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仿宋_GB2312" w:hAnsi="仿宋_GB2312" w:eastAsia="仿宋_GB2312" w:cs="仿宋_GB2312"/>
          <w:color w:val="auto"/>
          <w:sz w:val="28"/>
          <w:szCs w:val="28"/>
          <w:highlight w:val="none"/>
          <w:lang w:val="en-US"/>
        </w:rPr>
      </w:pPr>
      <w:r>
        <w:rPr>
          <w:rFonts w:hint="eastAsia" w:ascii="仿宋_GB2312" w:hAnsi="仿宋_GB2312" w:eastAsia="仿宋_GB2312" w:cs="仿宋_GB2312"/>
          <w:color w:val="auto"/>
          <w:sz w:val="28"/>
          <w:szCs w:val="28"/>
          <w:highlight w:val="none"/>
          <w:lang w:eastAsia="zh-CN"/>
        </w:rPr>
        <w:t>十</w:t>
      </w:r>
      <w:r>
        <w:rPr>
          <w:rFonts w:hint="eastAsia" w:ascii="仿宋_GB2312" w:hAnsi="仿宋_GB2312" w:eastAsia="仿宋_GB2312" w:cs="仿宋_GB2312"/>
          <w:color w:val="auto"/>
          <w:sz w:val="28"/>
          <w:szCs w:val="28"/>
          <w:highlight w:val="none"/>
        </w:rPr>
        <w:t>、其他重要事项的情况说明</w:t>
      </w:r>
      <w:r>
        <w:rPr>
          <w:rFonts w:hint="eastAsia" w:ascii="宋体" w:hAnsi="宋体" w:eastAsia="宋体" w:cs="宋体"/>
          <w:color w:val="auto"/>
          <w:sz w:val="32"/>
          <w:szCs w:val="32"/>
          <w:highlight w:val="none"/>
          <w:lang w:eastAsia="zh-CN"/>
        </w:rPr>
        <w:t>…………………………………</w:t>
      </w:r>
      <w:r>
        <w:rPr>
          <w:rFonts w:hint="eastAsia" w:ascii="仿宋_GB2312" w:hAnsi="仿宋_GB2312" w:eastAsia="仿宋_GB2312" w:cs="仿宋_GB2312"/>
          <w:color w:val="auto"/>
          <w:sz w:val="28"/>
          <w:szCs w:val="28"/>
          <w:highlight w:val="none"/>
          <w:lang w:val="en-US" w:eastAsia="zh-CN"/>
        </w:rPr>
        <w:t>13</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pPr>
        <w:pStyle w:val="4"/>
        <w:ind w:firstLine="320" w:firstLineChars="100"/>
        <w:rPr>
          <w:rStyle w:val="30"/>
          <w:rFonts w:hint="eastAsia" w:ascii="Times New Roman" w:hAnsi="Times New Roman" w:eastAsia="黑体"/>
          <w:b w:val="0"/>
          <w:bCs w:val="0"/>
          <w:color w:val="auto"/>
          <w:highlight w:val="none"/>
          <w:lang w:eastAsia="zh-CN"/>
        </w:rPr>
      </w:pPr>
      <w:bookmarkStart w:id="8" w:name="_Toc15396600"/>
      <w:bookmarkStart w:id="9" w:name="_Toc15377197"/>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pPr>
        <w:keepNext w:val="0"/>
        <w:keepLines w:val="0"/>
        <w:pageBreakBefore w:val="0"/>
        <w:widowControl w:val="0"/>
        <w:kinsoku/>
        <w:wordWrap/>
        <w:overflowPunct/>
        <w:topLinePunct w:val="0"/>
        <w:autoSpaceDE/>
        <w:autoSpaceDN/>
        <w:bidi w:val="0"/>
        <w:adjustRightInd/>
        <w:snapToGrid/>
        <w:spacing w:line="560" w:lineRule="exact"/>
        <w:ind w:left="12" w:right="47" w:firstLine="648"/>
        <w:textAlignment w:val="auto"/>
        <w:rPr>
          <w:rFonts w:hint="eastAsia" w:ascii="CESI仿宋-GB2312" w:hAnsi="CESI仿宋-GB2312" w:eastAsia="CESI仿宋-GB2312" w:cs="CESI仿宋-GB2312"/>
          <w:sz w:val="32"/>
          <w:szCs w:val="32"/>
        </w:rPr>
      </w:pPr>
      <w:bookmarkStart w:id="10" w:name="_Toc15377200"/>
      <w:bookmarkStart w:id="11" w:name="_Toc15396601"/>
      <w:r>
        <w:rPr>
          <w:rFonts w:hint="eastAsia" w:ascii="CESI仿宋-GB2312" w:hAnsi="CESI仿宋-GB2312" w:eastAsia="CESI仿宋-GB2312" w:cs="CESI仿宋-GB2312"/>
          <w:spacing w:val="10"/>
          <w:sz w:val="32"/>
          <w:szCs w:val="32"/>
        </w:rPr>
        <w:t>1.拟订文化、广电和旅游政策措施，拟订全州网 络</w:t>
      </w:r>
      <w:r>
        <w:rPr>
          <w:rFonts w:hint="eastAsia" w:ascii="CESI仿宋-GB2312" w:hAnsi="CESI仿宋-GB2312" w:eastAsia="CESI仿宋-GB2312" w:cs="CESI仿宋-GB2312"/>
          <w:spacing w:val="-3"/>
          <w:sz w:val="32"/>
          <w:szCs w:val="32"/>
        </w:rPr>
        <w:t>视听节目服务管理的政策措施。起草文化、广电和旅游自</w:t>
      </w:r>
      <w:r>
        <w:rPr>
          <w:rFonts w:hint="eastAsia" w:ascii="CESI仿宋-GB2312" w:hAnsi="CESI仿宋-GB2312" w:eastAsia="CESI仿宋-GB2312" w:cs="CESI仿宋-GB2312"/>
          <w:spacing w:val="5"/>
          <w:sz w:val="32"/>
          <w:szCs w:val="32"/>
        </w:rPr>
        <w:t>治法规、规范性文件草案，负责本部门依法行政工作。</w:t>
      </w:r>
    </w:p>
    <w:p>
      <w:pPr>
        <w:keepNext w:val="0"/>
        <w:keepLines w:val="0"/>
        <w:pageBreakBefore w:val="0"/>
        <w:widowControl w:val="0"/>
        <w:kinsoku/>
        <w:wordWrap/>
        <w:overflowPunct/>
        <w:topLinePunct w:val="0"/>
        <w:autoSpaceDE/>
        <w:autoSpaceDN/>
        <w:bidi w:val="0"/>
        <w:adjustRightInd/>
        <w:snapToGrid/>
        <w:spacing w:line="560" w:lineRule="exact"/>
        <w:ind w:left="4" w:right="47" w:firstLine="648"/>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pacing w:val="10"/>
          <w:sz w:val="32"/>
          <w:szCs w:val="32"/>
        </w:rPr>
        <w:t>2.加强广播电视阵地建设，把握正确的舆论导向和创作 导</w:t>
      </w:r>
      <w:r>
        <w:rPr>
          <w:rFonts w:hint="eastAsia" w:ascii="CESI仿宋-GB2312" w:hAnsi="CESI仿宋-GB2312" w:eastAsia="CESI仿宋-GB2312" w:cs="CESI仿宋-GB2312"/>
          <w:sz w:val="32"/>
          <w:szCs w:val="32"/>
        </w:rPr>
        <w:t>向。负责利用广播电视加强党和政府的声音传播力，抢占舆论 高</w:t>
      </w:r>
      <w:r>
        <w:rPr>
          <w:rFonts w:hint="eastAsia" w:ascii="CESI仿宋-GB2312" w:hAnsi="CESI仿宋-GB2312" w:eastAsia="CESI仿宋-GB2312" w:cs="CESI仿宋-GB2312"/>
          <w:spacing w:val="5"/>
          <w:sz w:val="32"/>
          <w:szCs w:val="32"/>
        </w:rPr>
        <w:t>地，强化舆论反制，巩固意识形态阵地。</w:t>
      </w:r>
    </w:p>
    <w:p>
      <w:pPr>
        <w:keepNext w:val="0"/>
        <w:keepLines w:val="0"/>
        <w:pageBreakBefore w:val="0"/>
        <w:widowControl w:val="0"/>
        <w:kinsoku/>
        <w:wordWrap/>
        <w:overflowPunct/>
        <w:topLinePunct w:val="0"/>
        <w:autoSpaceDE/>
        <w:autoSpaceDN/>
        <w:bidi w:val="0"/>
        <w:adjustRightInd/>
        <w:snapToGrid/>
        <w:spacing w:line="560" w:lineRule="exact"/>
        <w:ind w:left="6" w:right="47" w:firstLine="66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pacing w:val="10"/>
          <w:sz w:val="32"/>
          <w:szCs w:val="32"/>
        </w:rPr>
        <w:t>3.推进文化、广电、旅游体制机制改革。组织推动</w:t>
      </w:r>
      <w:r>
        <w:rPr>
          <w:rFonts w:hint="eastAsia" w:ascii="CESI仿宋-GB2312" w:hAnsi="CESI仿宋-GB2312" w:eastAsia="CESI仿宋-GB2312" w:cs="CESI仿宋-GB2312"/>
          <w:spacing w:val="-5"/>
          <w:sz w:val="32"/>
          <w:szCs w:val="32"/>
        </w:rPr>
        <w:t>全州文化、广电事业和旅游业发展，拟订发展规划并组</w:t>
      </w:r>
      <w:r>
        <w:rPr>
          <w:rFonts w:hint="eastAsia" w:ascii="CESI仿宋-GB2312" w:hAnsi="CESI仿宋-GB2312" w:eastAsia="CESI仿宋-GB2312" w:cs="CESI仿宋-GB2312"/>
          <w:spacing w:val="-6"/>
          <w:sz w:val="32"/>
          <w:szCs w:val="32"/>
        </w:rPr>
        <w:t xml:space="preserve"> 织</w:t>
      </w:r>
      <w:r>
        <w:rPr>
          <w:rFonts w:hint="eastAsia" w:ascii="CESI仿宋-GB2312" w:hAnsi="CESI仿宋-GB2312" w:eastAsia="CESI仿宋-GB2312" w:cs="CESI仿宋-GB2312"/>
          <w:spacing w:val="5"/>
          <w:sz w:val="32"/>
          <w:szCs w:val="32"/>
        </w:rPr>
        <w:t>实施。推进文化、广电和旅游产业融合发展，促进文化、广电和旅游与相关产业融合发展。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4.组织实施全州文化、广电和旅游资源的普查</w:t>
      </w:r>
      <w:r>
        <w:rPr>
          <w:rFonts w:hint="eastAsia" w:ascii="CESI仿宋-GB2312" w:hAnsi="CESI仿宋-GB2312" w:eastAsia="CESI仿宋-GB2312" w:cs="CESI仿宋-GB2312"/>
          <w:spacing w:val="10"/>
          <w:sz w:val="32"/>
          <w:szCs w:val="32"/>
          <w:lang w:eastAsia="zh-CN"/>
        </w:rPr>
        <w:t>、</w:t>
      </w:r>
      <w:r>
        <w:rPr>
          <w:rFonts w:hint="eastAsia" w:ascii="CESI仿宋-GB2312" w:hAnsi="CESI仿宋-GB2312" w:eastAsia="CESI仿宋-GB2312" w:cs="CESI仿宋-GB2312"/>
          <w:spacing w:val="10"/>
          <w:sz w:val="32"/>
          <w:szCs w:val="32"/>
        </w:rPr>
        <w:t>保护与利用。管理全州性重大文化、广电和旅游活动，组织全州重点文化、广电和旅游设施建设。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5.组织实施全州文化、广电和旅游整体形象推广，促进文化、广电和旅游产业市场推广和对外合作交流。制定文化、广电和旅游市场开发战略并组织实施。负责管理文化、广电和旅游国内外交流合作与宣传推广工作，组织大型文化、广电和旅游对外及对港澳台交流活动。</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6.负责对全州各类广播电视机构进行业务指导和行业监管，会同有关部门对网络视听节目服务机构进行管理。组织实施广播电视节目评价工作，监督管理、审查广播电视和网络视听节目的内容和质量，指导、监管广播电视广告播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7.负责指导推进电视剧行业发展和创作生产。推进广播 电视与新媒体技术新业态融合发展、推进广电网与电信网、互联 网三网融合。负责广播电视节目传输覆盖、检测和安全播出的监 督管理，指导、推进应急广播体系建设。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8.弘扬优秀传统文化，推动阿坝本地特色文化传承发展。 指导管理文艺事业，把握正确的创作导向，推动文化艺术创作生产，扶持体现社会主义核心价值观、具有导向性代表性示范性的文化艺术作品，推动各门类艺术、各艺术品种发展。</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9.负责公共文化、广电事业发展，推进全州公共文化、广电服务体系建设和旅游公共服务建设，深入实施 惠民工程，统筹推进文化、广电和旅游基本公共服务标准化、均等化。</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10.负责文化、广电和旅游行业信息化、标准化建设，推进文化、广电和旅游科技创新。</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11.负责非物质文化遗产保护工作，推动非物质文化遗 产的传承、普及、弘扬和振兴。</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12.管理和指导全州文物保护、利用和考古工作，组织  开展文物资源调查工作。协调、指导和监督全州文物安全工作，履行文物行政督察职能。负责全州世界文化遗产保护和管理工作，协同相关部门开展世界文化与自然遗产、历史文化名城(镇、村)申报和管理工作。负责全州文物和博物馆公共服务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3</w:t>
      </w:r>
      <w:r>
        <w:rPr>
          <w:rFonts w:hint="eastAsia" w:ascii="CESI仿宋-GB2312" w:hAnsi="CESI仿宋-GB2312" w:eastAsia="CESI仿宋-GB2312" w:cs="CESI仿宋-GB2312"/>
          <w:spacing w:val="10"/>
          <w:sz w:val="32"/>
          <w:szCs w:val="32"/>
        </w:rPr>
        <w:t>.推动全州文化、广电和旅游市场发展，对全州文化、广电和旅游市场依法进行行业监管，依法规范文化、广电和旅游市场。推进文化、广电和旅游行业信用体系建设。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4</w:t>
      </w:r>
      <w:r>
        <w:rPr>
          <w:rFonts w:hint="eastAsia" w:ascii="CESI仿宋-GB2312" w:hAnsi="CESI仿宋-GB2312" w:eastAsia="CESI仿宋-GB2312" w:cs="CESI仿宋-GB2312"/>
          <w:spacing w:val="10"/>
          <w:sz w:val="32"/>
          <w:szCs w:val="32"/>
        </w:rPr>
        <w:t>.负责全州旅游景区管理机构、文旅企业的行业管理 和标准化建设。</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5</w:t>
      </w:r>
      <w:r>
        <w:rPr>
          <w:rFonts w:hint="eastAsia" w:ascii="CESI仿宋-GB2312" w:hAnsi="CESI仿宋-GB2312" w:eastAsia="CESI仿宋-GB2312" w:cs="CESI仿宋-GB2312"/>
          <w:spacing w:val="10"/>
          <w:sz w:val="32"/>
          <w:szCs w:val="32"/>
        </w:rPr>
        <w:t>.统筹指导全州文化、广电、旅游市场综合行政执法，规范文化、广电、旅游行政执法，组织查处全州性、跨区域文化、文物、广电、旅游等违法行为，督查督办大案要案。</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rPr>
        <w:t>1</w:t>
      </w:r>
      <w:r>
        <w:rPr>
          <w:rFonts w:hint="eastAsia" w:ascii="CESI仿宋-GB2312" w:hAnsi="CESI仿宋-GB2312" w:eastAsia="CESI仿宋-GB2312" w:cs="CESI仿宋-GB2312"/>
          <w:spacing w:val="10"/>
          <w:sz w:val="32"/>
          <w:szCs w:val="32"/>
          <w:lang w:val="en-US" w:eastAsia="zh-CN"/>
        </w:rPr>
        <w:t>6</w:t>
      </w:r>
      <w:r>
        <w:rPr>
          <w:rFonts w:hint="eastAsia" w:ascii="CESI仿宋-GB2312" w:hAnsi="CESI仿宋-GB2312" w:eastAsia="CESI仿宋-GB2312" w:cs="CESI仿宋-GB2312"/>
          <w:spacing w:val="10"/>
          <w:sz w:val="32"/>
          <w:szCs w:val="32"/>
        </w:rPr>
        <w:t>.负责文化、广电和旅游行业安全生产工作的综合协调与监督管理，制定职责范围内的安全生产年度监督检查 计划并组织实施。依法履行行业职业健康监管职责，承担职责范 围内生态环境保护、公共机构节能减排、审批服务便民化等工作。</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Fonts w:hint="eastAsia" w:ascii="CESI仿宋-GB2312" w:hAnsi="CESI仿宋-GB2312" w:eastAsia="CESI仿宋-GB2312" w:cs="CESI仿宋-GB2312"/>
          <w:spacing w:val="10"/>
          <w:sz w:val="32"/>
          <w:szCs w:val="32"/>
        </w:rPr>
      </w:pPr>
      <w:r>
        <w:rPr>
          <w:rFonts w:hint="eastAsia" w:ascii="CESI仿宋-GB2312" w:hAnsi="CESI仿宋-GB2312" w:eastAsia="CESI仿宋-GB2312" w:cs="CESI仿宋-GB2312"/>
          <w:spacing w:val="10"/>
          <w:sz w:val="32"/>
          <w:szCs w:val="32"/>
          <w:lang w:val="en-US" w:eastAsia="zh-CN"/>
        </w:rPr>
        <w:t>17</w:t>
      </w:r>
      <w:r>
        <w:rPr>
          <w:rFonts w:hint="eastAsia" w:ascii="CESI仿宋-GB2312" w:hAnsi="CESI仿宋-GB2312" w:eastAsia="CESI仿宋-GB2312" w:cs="CESI仿宋-GB2312"/>
          <w:spacing w:val="10"/>
          <w:sz w:val="32"/>
          <w:szCs w:val="32"/>
        </w:rPr>
        <w:t>.完成州委、州政府交办的其他任务。</w:t>
      </w:r>
    </w:p>
    <w:p>
      <w:pPr>
        <w:keepNext w:val="0"/>
        <w:keepLines w:val="0"/>
        <w:pageBreakBefore w:val="0"/>
        <w:widowControl w:val="0"/>
        <w:kinsoku/>
        <w:wordWrap/>
        <w:overflowPunct/>
        <w:topLinePunct w:val="0"/>
        <w:autoSpaceDE/>
        <w:autoSpaceDN/>
        <w:bidi w:val="0"/>
        <w:adjustRightInd/>
        <w:snapToGrid/>
        <w:spacing w:line="560" w:lineRule="exact"/>
        <w:ind w:left="21" w:right="47" w:firstLine="631"/>
        <w:textAlignment w:val="auto"/>
        <w:rPr>
          <w:rStyle w:val="30"/>
          <w:rFonts w:ascii="Times New Roman" w:hAnsi="Times New Roman"/>
          <w:b w:val="0"/>
          <w:bCs w:val="0"/>
          <w:color w:val="auto"/>
          <w:sz w:val="32"/>
          <w:szCs w:val="32"/>
          <w:highlight w:val="none"/>
        </w:rPr>
      </w:pPr>
      <w:r>
        <w:rPr>
          <w:rFonts w:hint="eastAsia" w:ascii="Times New Roman" w:hAnsi="Times New Roman" w:eastAsia="黑体"/>
          <w:b w:val="0"/>
          <w:color w:val="auto"/>
          <w:sz w:val="32"/>
          <w:szCs w:val="32"/>
          <w:highlight w:val="none"/>
        </w:rPr>
        <w:t>二、机</w:t>
      </w:r>
      <w:r>
        <w:rPr>
          <w:rStyle w:val="30"/>
          <w:rFonts w:hint="eastAsia" w:ascii="Times New Roman" w:hAnsi="Times New Roman" w:eastAsia="黑体"/>
          <w:b w:val="0"/>
          <w:bCs w:val="0"/>
          <w:color w:val="auto"/>
          <w:sz w:val="32"/>
          <w:szCs w:val="32"/>
          <w:highlight w:val="none"/>
        </w:rPr>
        <w:t>构设置</w:t>
      </w:r>
      <w:bookmarkEnd w:id="10"/>
      <w:bookmarkEnd w:id="1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阿坝州国家文化公园服务中心下属二级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个，参照公务员法管理的事业单位</w:t>
      </w:r>
      <w:r>
        <w:rPr>
          <w:rFonts w:hint="eastAsia" w:ascii="仿宋_GB2312" w:hAnsi="仿宋_GB2312" w:eastAsia="仿宋_GB2312" w:cs="仿宋_GB2312"/>
          <w:bCs/>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个，其他事业单位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2" w:name="_Toc15377204"/>
      <w:bookmarkStart w:id="13"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2"/>
      <w:bookmarkEnd w:id="1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4" w:name="_Toc15396603"/>
      <w:bookmarkStart w:id="1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总计各增加</w:t>
      </w:r>
      <w:r>
        <w:rPr>
          <w:rFonts w:hint="eastAsia" w:ascii="仿宋_GB2312" w:hAnsi="仿宋_GB2312" w:eastAsia="仿宋_GB2312" w:cs="仿宋_GB2312"/>
          <w:color w:val="auto"/>
          <w:sz w:val="32"/>
          <w:szCs w:val="32"/>
          <w:highlight w:val="none"/>
          <w:lang w:val="en-US" w:eastAsia="zh-CN"/>
        </w:rPr>
        <w:t>10.64</w:t>
      </w:r>
      <w:r>
        <w:rPr>
          <w:rFonts w:hint="eastAsia" w:ascii="仿宋_GB2312" w:hAnsi="仿宋_GB2312" w:eastAsia="仿宋_GB2312" w:cs="仿宋_GB2312"/>
          <w:color w:val="auto"/>
          <w:sz w:val="32"/>
          <w:szCs w:val="32"/>
          <w:highlight w:val="none"/>
        </w:rPr>
        <w:t>万元，增长</w:t>
      </w:r>
      <w:r>
        <w:rPr>
          <w:rFonts w:hint="eastAsia" w:ascii="仿宋_GB2312" w:hAnsi="仿宋_GB2312" w:eastAsia="仿宋_GB2312" w:cs="仿宋_GB2312"/>
          <w:color w:val="auto"/>
          <w:sz w:val="32"/>
          <w:szCs w:val="32"/>
          <w:highlight w:val="none"/>
          <w:lang w:val="en-US" w:eastAsia="zh-CN"/>
        </w:rPr>
        <w:t>1.67</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2025年调入和新参加工作人员的增加。</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8"/>
        <w:ind w:left="0" w:leftChars="0" w:firstLine="0" w:firstLineChars="0"/>
        <w:rPr>
          <w:rFonts w:hint="eastAsia" w:ascii="Times New Roman" w:eastAsia="仿宋_GB2312" w:cs="仿宋_GB2312"/>
          <w:color w:val="auto"/>
          <w:sz w:val="32"/>
          <w:szCs w:val="32"/>
          <w:highlight w:val="none"/>
          <w:lang w:val="en-US" w:eastAsia="zh-CN"/>
        </w:rPr>
      </w:pPr>
    </w:p>
    <w:p>
      <w:pPr>
        <w:pStyle w:val="8"/>
        <w:ind w:left="0" w:leftChars="0" w:firstLine="0" w:firstLineChars="0"/>
        <w:rPr>
          <w:rFonts w:hint="eastAsia" w:ascii="Times New Roman" w:hAnsi="Times New Roman" w:eastAsia="仿宋_GB2312" w:cs="仿宋_GB2312"/>
          <w:color w:val="auto"/>
          <w:sz w:val="32"/>
          <w:szCs w:val="32"/>
          <w:highlight w:val="none"/>
          <w:lang w:eastAsia="zh-CN"/>
        </w:rPr>
      </w:pPr>
      <w:r>
        <w:rPr>
          <w:rFonts w:hint="eastAsia" w:asci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drawing>
          <wp:inline distT="0" distB="0" distL="114300" distR="114300">
            <wp:extent cx="2809875" cy="1962150"/>
            <wp:effectExtent l="0" t="0" r="9525" b="0"/>
            <wp:docPr id="1" name="图片 1" descr="178909770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789097709986"/>
                    <pic:cNvPicPr>
                      <a:picLocks noChangeAspect="1"/>
                    </pic:cNvPicPr>
                  </pic:nvPicPr>
                  <pic:blipFill>
                    <a:blip r:embed="rId9"/>
                    <a:stretch>
                      <a:fillRect/>
                    </a:stretch>
                  </pic:blipFill>
                  <pic:spPr>
                    <a:xfrm>
                      <a:off x="0" y="0"/>
                      <a:ext cx="2809875" cy="1962150"/>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96604"/>
      <w:bookmarkStart w:id="17" w:name="_Toc15377206"/>
      <w:r>
        <w:rPr>
          <w:rFonts w:hint="eastAsia" w:ascii="Times New Roman" w:hAnsi="Times New Roman" w:eastAsia="黑体"/>
          <w:color w:val="auto"/>
          <w:sz w:val="32"/>
          <w:szCs w:val="32"/>
          <w:highlight w:val="none"/>
          <w:lang w:eastAsia="zh-CN"/>
        </w:rPr>
        <w:t>二、收入决算情况说明</w:t>
      </w:r>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eastAsia="zh-CN"/>
        </w:rPr>
        <w:t>（注：仅罗列本部门涉及的收入）</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1560" w:firstLineChars="650"/>
        <w:rPr>
          <w:rFonts w:hint="eastAsia" w:ascii="Times New Roman" w:hAnsi="Times New Roman" w:eastAsia="仿宋_GB2312" w:cs="仿宋_GB2312"/>
          <w:color w:val="auto"/>
          <w:sz w:val="24"/>
          <w:szCs w:val="24"/>
          <w:highlight w:val="none"/>
          <w:lang w:eastAsia="zh-CN"/>
        </w:rPr>
      </w:pPr>
    </w:p>
    <w:p>
      <w:pPr>
        <w:ind w:firstLine="2289" w:firstLineChars="950"/>
        <w:rPr>
          <w:rFonts w:hint="eastAsia" w:ascii="Times New Roman" w:hAnsi="Times New Roman" w:eastAsia="仿宋_GB2312" w:cs="仿宋_GB2312"/>
          <w:b/>
          <w:bCs/>
          <w:color w:val="auto"/>
          <w:sz w:val="24"/>
          <w:szCs w:val="24"/>
          <w:highlight w:val="none"/>
          <w:lang w:eastAsia="zh-CN"/>
        </w:rPr>
      </w:pPr>
    </w:p>
    <w:p>
      <w:pPr>
        <w:ind w:firstLine="2289" w:firstLineChars="950"/>
        <w:rPr>
          <w:rFonts w:hint="eastAsia" w:ascii="Times New Roman" w:hAnsi="Times New Roman" w:eastAsia="仿宋_GB2312" w:cs="仿宋_GB2312"/>
          <w:b/>
          <w:bCs/>
          <w:color w:val="auto"/>
          <w:sz w:val="24"/>
          <w:szCs w:val="24"/>
          <w:highlight w:val="none"/>
          <w:lang w:eastAsia="zh-CN"/>
        </w:rPr>
      </w:pPr>
    </w:p>
    <w:p>
      <w:pPr>
        <w:ind w:firstLine="2289" w:firstLineChars="950"/>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24"/>
          <w:szCs w:val="24"/>
          <w:highlight w:val="none"/>
          <w:lang w:eastAsia="zh-CN"/>
        </w:rPr>
        <w:t>收入决算结构图</w:t>
      </w:r>
    </w:p>
    <w:p>
      <w:pPr>
        <w:pStyle w:val="14"/>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eastAsia="zh-CN"/>
        </w:rPr>
        <w:drawing>
          <wp:inline distT="0" distB="0" distL="114300" distR="114300">
            <wp:extent cx="2990850" cy="1838325"/>
            <wp:effectExtent l="0" t="0" r="0" b="9525"/>
            <wp:docPr id="2" name="图片 2" descr="178909804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89098041577"/>
                    <pic:cNvPicPr>
                      <a:picLocks noChangeAspect="1"/>
                    </pic:cNvPicPr>
                  </pic:nvPicPr>
                  <pic:blipFill>
                    <a:blip r:embed="rId10"/>
                    <a:stretch>
                      <a:fillRect/>
                    </a:stretch>
                  </pic:blipFill>
                  <pic:spPr>
                    <a:xfrm>
                      <a:off x="0" y="0"/>
                      <a:ext cx="2990850" cy="1838325"/>
                    </a:xfrm>
                    <a:prstGeom prst="rect">
                      <a:avLst/>
                    </a:prstGeom>
                  </pic:spPr>
                </pic:pic>
              </a:graphicData>
            </a:graphic>
          </wp:inline>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5"/>
      <w:bookmarkStart w:id="19"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bookmarkStart w:id="20" w:name="_Toc15396606"/>
      <w:bookmarkStart w:id="21" w:name="_Toc1537720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14"/>
        <w:rPr>
          <w:rFonts w:hint="eastAsia" w:ascii="Times New Roman" w:hAnsi="Times New Roman" w:eastAsia="黑体"/>
          <w:color w:val="auto"/>
          <w:sz w:val="32"/>
          <w:szCs w:val="32"/>
          <w:highlight w:val="none"/>
          <w:lang w:eastAsia="zh-CN"/>
        </w:rPr>
      </w:pPr>
      <w:r>
        <w:rPr>
          <w:rFonts w:hint="eastAsia" w:eastAsia="黑体"/>
          <w:color w:val="auto"/>
          <w:sz w:val="32"/>
          <w:szCs w:val="32"/>
          <w:highlight w:val="none"/>
          <w:lang w:val="en-US" w:eastAsia="zh-CN"/>
        </w:rPr>
        <w:t xml:space="preserve">           </w:t>
      </w:r>
      <w:r>
        <w:rPr>
          <w:rFonts w:hint="eastAsia" w:ascii="Times New Roman" w:hAnsi="Times New Roman" w:eastAsia="黑体"/>
          <w:color w:val="auto"/>
          <w:sz w:val="32"/>
          <w:szCs w:val="32"/>
          <w:highlight w:val="none"/>
          <w:lang w:eastAsia="zh-CN"/>
        </w:rPr>
        <w:drawing>
          <wp:inline distT="0" distB="0" distL="114300" distR="114300">
            <wp:extent cx="2695575" cy="1685925"/>
            <wp:effectExtent l="0" t="0" r="9525" b="9525"/>
            <wp:docPr id="16" name="图片 16" descr="1789110918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789110918990"/>
                    <pic:cNvPicPr>
                      <a:picLocks noChangeAspect="1"/>
                    </pic:cNvPicPr>
                  </pic:nvPicPr>
                  <pic:blipFill>
                    <a:blip r:embed="rId11"/>
                    <a:stretch>
                      <a:fillRect/>
                    </a:stretch>
                  </pic:blipFill>
                  <pic:spPr>
                    <a:xfrm>
                      <a:off x="0" y="0"/>
                      <a:ext cx="2695575" cy="1685925"/>
                    </a:xfrm>
                    <a:prstGeom prst="rect">
                      <a:avLst/>
                    </a:prstGeom>
                  </pic:spPr>
                </pic:pic>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0"/>
      <w:bookmarkEnd w:id="21"/>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kern w:val="2"/>
          <w:sz w:val="32"/>
          <w:szCs w:val="32"/>
          <w:highlight w:val="none"/>
          <w:lang w:val="en-US" w:eastAsia="zh-CN" w:bidi="ar-SA"/>
        </w:rPr>
        <w:t>万元。与上年度相比，财政拨款收入、支出总计各增加10.64万元，增长1.67%。主要变动原因是</w:t>
      </w:r>
      <w:r>
        <w:rPr>
          <w:rFonts w:hint="eastAsia" w:ascii="仿宋_GB2312" w:hAnsi="仿宋_GB2312" w:eastAsia="仿宋_GB2312" w:cs="仿宋_GB2312"/>
          <w:color w:val="auto"/>
          <w:sz w:val="32"/>
          <w:szCs w:val="32"/>
          <w:highlight w:val="none"/>
          <w:lang w:val="en-US" w:eastAsia="zh-CN"/>
        </w:rPr>
        <w:t>2025年调入和新参加工作人员的增加。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pStyle w:val="8"/>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2819400" cy="2047875"/>
            <wp:effectExtent l="0" t="0" r="0" b="9525"/>
            <wp:docPr id="17" name="图片 17" descr="178911205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789112057689"/>
                    <pic:cNvPicPr>
                      <a:picLocks noChangeAspect="1"/>
                    </pic:cNvPicPr>
                  </pic:nvPicPr>
                  <pic:blipFill>
                    <a:blip r:embed="rId12"/>
                    <a:stretch>
                      <a:fillRect/>
                    </a:stretch>
                  </pic:blipFill>
                  <pic:spPr>
                    <a:xfrm>
                      <a:off x="0" y="0"/>
                      <a:ext cx="2819400" cy="2047875"/>
                    </a:xfrm>
                    <a:prstGeom prst="rect">
                      <a:avLst/>
                    </a:prstGeom>
                  </pic:spPr>
                </pic:pic>
              </a:graphicData>
            </a:graphic>
          </wp:inline>
        </w:drawing>
      </w:r>
    </w:p>
    <w:p>
      <w:pPr>
        <w:spacing w:line="600" w:lineRule="exact"/>
        <w:ind w:firstLine="640" w:firstLineChars="200"/>
        <w:outlineLvl w:val="1"/>
        <w:rPr>
          <w:rStyle w:val="30"/>
          <w:rFonts w:ascii="Times New Roman" w:hAnsi="Times New Roman" w:eastAsia="黑体"/>
          <w:b w:val="0"/>
          <w:color w:val="auto"/>
          <w:highlight w:val="none"/>
        </w:rPr>
      </w:pPr>
      <w:bookmarkStart w:id="22" w:name="_Toc15377209"/>
      <w:bookmarkStart w:id="23"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2"/>
      <w:bookmarkEnd w:id="2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%。与上年度相比，一般公共预算财政拨款支出增加10.64万元，增长1.67%。主要变动原因是</w:t>
      </w:r>
      <w:r>
        <w:rPr>
          <w:rFonts w:hint="eastAsia" w:ascii="仿宋_GB2312" w:hAnsi="仿宋_GB2312" w:eastAsia="仿宋_GB2312" w:cs="仿宋_GB2312"/>
          <w:color w:val="auto"/>
          <w:sz w:val="32"/>
          <w:szCs w:val="32"/>
          <w:highlight w:val="none"/>
          <w:lang w:val="en-US" w:eastAsia="zh-CN"/>
        </w:rPr>
        <w:t>2025年调入和新参加工作人员的增加。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pStyle w:val="14"/>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2876550" cy="2076450"/>
            <wp:effectExtent l="0" t="0" r="0" b="0"/>
            <wp:docPr id="18" name="图片 18" descr="1789112556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89112556245"/>
                    <pic:cNvPicPr>
                      <a:picLocks noChangeAspect="1"/>
                    </pic:cNvPicPr>
                  </pic:nvPicPr>
                  <pic:blipFill>
                    <a:blip r:embed="rId13"/>
                    <a:stretch>
                      <a:fillRect/>
                    </a:stretch>
                  </pic:blipFill>
                  <pic:spPr>
                    <a:xfrm>
                      <a:off x="0" y="0"/>
                      <a:ext cx="2876550" cy="2076450"/>
                    </a:xfrm>
                    <a:prstGeom prst="rect">
                      <a:avLst/>
                    </a:prstGeom>
                  </pic:spPr>
                </pic:pic>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kern w:val="2"/>
          <w:sz w:val="32"/>
          <w:szCs w:val="32"/>
          <w:highlight w:val="none"/>
          <w:lang w:val="en-US" w:eastAsia="zh-CN" w:bidi="ar-SA"/>
        </w:rPr>
        <w:t>万元，主要用于以下方面：一般公共服务支出0万元，占0%；教育支出0万元，占0%；科学技术支出0万元，占0%；文化旅游体育与传媒支出492.86万元，占76.03%；社会保障和就业支出80.26万元，占12.38%；卫生健康支出33.51万元，占5.17%；住房保障支出41.6万元，占6.42%。</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pStyle w:val="8"/>
        <w:ind w:left="0" w:leftChars="0" w:firstLine="0" w:firstLineChars="0"/>
        <w:rPr>
          <w:rFonts w:hint="eastAsia" w:ascii="Times New Roman" w:eastAsia="仿宋_GB2312" w:cs="仿宋_GB2312"/>
          <w:color w:val="auto"/>
          <w:kern w:val="2"/>
          <w:sz w:val="32"/>
          <w:szCs w:val="32"/>
          <w:highlight w:val="none"/>
          <w:lang w:val="en-US" w:eastAsia="zh-CN" w:bidi="ar-SA"/>
        </w:rPr>
      </w:pPr>
    </w:p>
    <w:p>
      <w:pPr>
        <w:pStyle w:val="8"/>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3543300" cy="1905000"/>
            <wp:effectExtent l="0" t="0" r="0" b="0"/>
            <wp:docPr id="19" name="图片 19" descr="178911327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789113271204"/>
                    <pic:cNvPicPr>
                      <a:picLocks noChangeAspect="1"/>
                    </pic:cNvPicPr>
                  </pic:nvPicPr>
                  <pic:blipFill>
                    <a:blip r:embed="rId14"/>
                    <a:stretch>
                      <a:fillRect/>
                    </a:stretch>
                  </pic:blipFill>
                  <pic:spPr>
                    <a:xfrm>
                      <a:off x="0" y="0"/>
                      <a:ext cx="3543300" cy="1905000"/>
                    </a:xfrm>
                    <a:prstGeom prst="rect">
                      <a:avLst/>
                    </a:prstGeom>
                  </pic:spPr>
                </pic:pic>
              </a:graphicData>
            </a:graphic>
          </wp:inline>
        </w:drawing>
      </w:r>
      <w:bookmarkStart w:id="26" w:name="_Toc15377212"/>
    </w:p>
    <w:p>
      <w:pPr>
        <w:pStyle w:val="8"/>
        <w:ind w:left="0" w:leftChars="0" w:firstLine="643" w:firstLineChars="20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6"/>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bookmarkStart w:id="27" w:name="_Toc15378460"/>
      <w:bookmarkStart w:id="28" w:name="_Toc15377444"/>
      <w:bookmarkStart w:id="29" w:name="_Toc15377213"/>
      <w:r>
        <w:rPr>
          <w:rFonts w:hint="eastAsia" w:ascii="仿宋_GB2312" w:hAnsi="仿宋_GB2312" w:eastAsia="仿宋_GB2312" w:cs="仿宋_GB2312"/>
          <w:color w:val="auto"/>
          <w:kern w:val="2"/>
          <w:sz w:val="32"/>
          <w:szCs w:val="32"/>
          <w:highlight w:val="none"/>
          <w:lang w:val="en-US" w:eastAsia="zh-CN" w:bidi="ar-SA"/>
        </w:rPr>
        <w:t>2025年度一般公共预算支出决算数为</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kern w:val="2"/>
          <w:sz w:val="32"/>
          <w:szCs w:val="32"/>
          <w:highlight w:val="none"/>
          <w:lang w:val="en-US" w:eastAsia="zh-CN" w:bidi="ar-SA"/>
        </w:rPr>
        <w:t>，完成预算100%。其中：</w:t>
      </w:r>
      <w:bookmarkEnd w:id="27"/>
      <w:bookmarkEnd w:id="28"/>
      <w:bookmarkEnd w:id="29"/>
    </w:p>
    <w:p>
      <w:pPr>
        <w:keepNext w:val="0"/>
        <w:keepLines w:val="0"/>
        <w:pageBreakBefore w:val="0"/>
        <w:kinsoku/>
        <w:wordWrap/>
        <w:overflowPunct/>
        <w:topLinePunct w:val="0"/>
        <w:autoSpaceDE/>
        <w:autoSpaceDN/>
        <w:bidi w:val="0"/>
        <w:adjustRightInd/>
        <w:snapToGrid/>
        <w:spacing w:line="560" w:lineRule="exact"/>
        <w:ind w:firstLine="640"/>
        <w:textAlignment w:val="auto"/>
        <w:rPr>
          <w:rStyle w:val="19"/>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1.文化旅游体育与传媒（类）文化和旅游（款）文化和旅游管理事务（项）：支出决算为492.86万元，完成预算100%，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2.社会保障和就业（类）</w:t>
      </w:r>
      <w:r>
        <w:rPr>
          <w:rStyle w:val="19"/>
          <w:rFonts w:hint="eastAsia" w:ascii="仿宋_GB2312" w:hAnsi="仿宋_GB2312" w:eastAsia="仿宋_GB2312" w:cs="仿宋_GB2312"/>
          <w:b w:val="0"/>
          <w:bCs/>
          <w:color w:val="auto"/>
          <w:sz w:val="32"/>
          <w:szCs w:val="32"/>
          <w:highlight w:val="none"/>
        </w:rPr>
        <w:t>行政事业单位养老支出</w:t>
      </w:r>
      <w:r>
        <w:rPr>
          <w:rFonts w:hint="eastAsia" w:ascii="仿宋_GB2312" w:hAnsi="仿宋_GB2312" w:eastAsia="仿宋_GB2312" w:cs="仿宋_GB2312"/>
          <w:color w:val="auto"/>
          <w:kern w:val="2"/>
          <w:sz w:val="32"/>
          <w:szCs w:val="32"/>
          <w:highlight w:val="none"/>
          <w:lang w:val="en-US" w:eastAsia="zh-CN" w:bidi="ar-SA"/>
        </w:rPr>
        <w:t>（款）</w:t>
      </w:r>
      <w:r>
        <w:rPr>
          <w:rStyle w:val="19"/>
          <w:rFonts w:hint="eastAsia" w:ascii="仿宋_GB2312" w:hAnsi="仿宋_GB2312" w:eastAsia="仿宋_GB2312" w:cs="仿宋_GB2312"/>
          <w:b w:val="0"/>
          <w:bCs/>
          <w:color w:val="auto"/>
          <w:sz w:val="32"/>
          <w:szCs w:val="32"/>
          <w:highlight w:val="none"/>
        </w:rPr>
        <w:t>机关事业单位基本养老保险缴费支出</w:t>
      </w:r>
      <w:r>
        <w:rPr>
          <w:rFonts w:hint="eastAsia" w:ascii="仿宋_GB2312" w:hAnsi="仿宋_GB2312" w:eastAsia="仿宋_GB2312" w:cs="仿宋_GB2312"/>
          <w:color w:val="auto"/>
          <w:kern w:val="2"/>
          <w:sz w:val="32"/>
          <w:szCs w:val="32"/>
          <w:highlight w:val="none"/>
          <w:lang w:val="en-US" w:eastAsia="zh-CN" w:bidi="ar-SA"/>
        </w:rPr>
        <w:t>（项）：支出决算为54.88万元，完成预算100%，决算数等于预算数。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3.社会保障和就业（类）</w:t>
      </w:r>
      <w:r>
        <w:rPr>
          <w:rStyle w:val="19"/>
          <w:rFonts w:hint="eastAsia" w:ascii="仿宋_GB2312" w:hAnsi="仿宋_GB2312" w:eastAsia="仿宋_GB2312" w:cs="仿宋_GB2312"/>
          <w:b w:val="0"/>
          <w:bCs/>
          <w:color w:val="auto"/>
          <w:sz w:val="32"/>
          <w:szCs w:val="32"/>
          <w:highlight w:val="none"/>
        </w:rPr>
        <w:t>行政事业单位养老支出</w:t>
      </w:r>
      <w:r>
        <w:rPr>
          <w:rFonts w:hint="eastAsia" w:ascii="仿宋_GB2312" w:hAnsi="仿宋_GB2312" w:eastAsia="仿宋_GB2312" w:cs="仿宋_GB2312"/>
          <w:color w:val="auto"/>
          <w:kern w:val="2"/>
          <w:sz w:val="32"/>
          <w:szCs w:val="32"/>
          <w:highlight w:val="none"/>
          <w:lang w:val="en-US" w:eastAsia="zh-CN" w:bidi="ar-SA"/>
        </w:rPr>
        <w:t>（款）</w:t>
      </w:r>
      <w:r>
        <w:rPr>
          <w:rStyle w:val="19"/>
          <w:rFonts w:hint="eastAsia" w:ascii="仿宋_GB2312" w:hAnsi="仿宋_GB2312" w:eastAsia="仿宋_GB2312" w:cs="仿宋_GB2312"/>
          <w:b w:val="0"/>
          <w:bCs/>
          <w:color w:val="auto"/>
          <w:sz w:val="32"/>
          <w:szCs w:val="32"/>
          <w:highlight w:val="none"/>
        </w:rPr>
        <w:t>机关事业单位</w:t>
      </w:r>
      <w:r>
        <w:rPr>
          <w:rStyle w:val="19"/>
          <w:rFonts w:hint="eastAsia" w:ascii="仿宋_GB2312" w:hAnsi="仿宋_GB2312" w:eastAsia="仿宋_GB2312" w:cs="仿宋_GB2312"/>
          <w:b w:val="0"/>
          <w:bCs/>
          <w:color w:val="auto"/>
          <w:sz w:val="32"/>
          <w:szCs w:val="32"/>
          <w:highlight w:val="none"/>
          <w:lang w:val="en-US" w:eastAsia="zh-CN"/>
        </w:rPr>
        <w:t>职业年金</w:t>
      </w:r>
      <w:r>
        <w:rPr>
          <w:rStyle w:val="19"/>
          <w:rFonts w:hint="eastAsia" w:ascii="仿宋_GB2312" w:hAnsi="仿宋_GB2312" w:eastAsia="仿宋_GB2312" w:cs="仿宋_GB2312"/>
          <w:b w:val="0"/>
          <w:bCs/>
          <w:color w:val="auto"/>
          <w:sz w:val="32"/>
          <w:szCs w:val="32"/>
          <w:highlight w:val="none"/>
        </w:rPr>
        <w:t>缴费支出</w:t>
      </w:r>
      <w:r>
        <w:rPr>
          <w:rFonts w:hint="eastAsia" w:ascii="仿宋_GB2312" w:hAnsi="仿宋_GB2312" w:eastAsia="仿宋_GB2312" w:cs="仿宋_GB2312"/>
          <w:color w:val="auto"/>
          <w:kern w:val="2"/>
          <w:sz w:val="32"/>
          <w:szCs w:val="32"/>
          <w:highlight w:val="none"/>
          <w:lang w:val="en-US" w:eastAsia="zh-CN" w:bidi="ar-SA"/>
        </w:rPr>
        <w:t>（项）：支出决算为25.38万元，完成预算100%，决算数等于预算数。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w:t>
      </w:r>
      <w:r>
        <w:rPr>
          <w:rStyle w:val="19"/>
          <w:rFonts w:hint="eastAsia" w:ascii="仿宋_GB2312" w:hAnsi="仿宋_GB2312" w:eastAsia="仿宋_GB2312" w:cs="仿宋_GB2312"/>
          <w:b w:val="0"/>
          <w:bCs/>
          <w:color w:val="auto"/>
          <w:sz w:val="32"/>
          <w:szCs w:val="32"/>
          <w:highlight w:val="none"/>
        </w:rPr>
        <w:t>卫生健康（类）行政事业单位医疗（款）</w:t>
      </w:r>
      <w:r>
        <w:rPr>
          <w:rStyle w:val="19"/>
          <w:rFonts w:hint="eastAsia" w:ascii="仿宋_GB2312" w:hAnsi="仿宋_GB2312" w:eastAsia="仿宋_GB2312" w:cs="仿宋_GB2312"/>
          <w:b w:val="0"/>
          <w:bCs/>
          <w:color w:val="auto"/>
          <w:sz w:val="32"/>
          <w:szCs w:val="32"/>
          <w:highlight w:val="none"/>
          <w:lang w:val="en-US" w:eastAsia="zh-CN"/>
        </w:rPr>
        <w:t>事业</w:t>
      </w:r>
      <w:r>
        <w:rPr>
          <w:rStyle w:val="19"/>
          <w:rFonts w:hint="eastAsia" w:ascii="仿宋_GB2312" w:hAnsi="仿宋_GB2312" w:eastAsia="仿宋_GB2312" w:cs="仿宋_GB2312"/>
          <w:b w:val="0"/>
          <w:bCs/>
          <w:color w:val="auto"/>
          <w:sz w:val="32"/>
          <w:szCs w:val="32"/>
          <w:highlight w:val="none"/>
        </w:rPr>
        <w:t>单位医疗（项）:支出决算为</w:t>
      </w:r>
      <w:r>
        <w:rPr>
          <w:rStyle w:val="19"/>
          <w:rFonts w:hint="eastAsia" w:ascii="仿宋_GB2312" w:hAnsi="仿宋_GB2312" w:eastAsia="仿宋_GB2312" w:cs="仿宋_GB2312"/>
          <w:b w:val="0"/>
          <w:bCs/>
          <w:color w:val="auto"/>
          <w:sz w:val="32"/>
          <w:szCs w:val="32"/>
          <w:highlight w:val="none"/>
          <w:lang w:val="en-US" w:eastAsia="zh-CN"/>
        </w:rPr>
        <w:t>29.25</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w:t>
      </w:r>
      <w:r>
        <w:rPr>
          <w:rStyle w:val="19"/>
          <w:rFonts w:hint="eastAsia" w:ascii="仿宋_GB2312" w:hAnsi="仿宋_GB2312" w:eastAsia="仿宋_GB2312" w:cs="仿宋_GB2312"/>
          <w:b w:val="0"/>
          <w:bCs/>
          <w:color w:val="auto"/>
          <w:sz w:val="32"/>
          <w:szCs w:val="32"/>
          <w:highlight w:val="none"/>
        </w:rPr>
        <w:t>卫生健康（类）行政事业单位医疗（款）</w:t>
      </w:r>
      <w:r>
        <w:rPr>
          <w:rStyle w:val="19"/>
          <w:rFonts w:hint="eastAsia" w:ascii="仿宋_GB2312" w:hAnsi="仿宋_GB2312" w:eastAsia="仿宋_GB2312" w:cs="仿宋_GB2312"/>
          <w:b w:val="0"/>
          <w:bCs/>
          <w:color w:val="auto"/>
          <w:sz w:val="32"/>
          <w:szCs w:val="32"/>
          <w:highlight w:val="none"/>
          <w:lang w:val="en-US" w:eastAsia="zh-CN"/>
        </w:rPr>
        <w:t>其他行政事业</w:t>
      </w:r>
      <w:r>
        <w:rPr>
          <w:rStyle w:val="19"/>
          <w:rFonts w:hint="eastAsia" w:ascii="仿宋_GB2312" w:hAnsi="仿宋_GB2312" w:eastAsia="仿宋_GB2312" w:cs="仿宋_GB2312"/>
          <w:b w:val="0"/>
          <w:bCs/>
          <w:color w:val="auto"/>
          <w:sz w:val="32"/>
          <w:szCs w:val="32"/>
          <w:highlight w:val="none"/>
        </w:rPr>
        <w:t>单位医疗</w:t>
      </w:r>
      <w:r>
        <w:rPr>
          <w:rStyle w:val="19"/>
          <w:rFonts w:hint="eastAsia" w:ascii="仿宋_GB2312" w:hAnsi="仿宋_GB2312" w:eastAsia="仿宋_GB2312" w:cs="仿宋_GB2312"/>
          <w:b w:val="0"/>
          <w:bCs/>
          <w:color w:val="auto"/>
          <w:sz w:val="32"/>
          <w:szCs w:val="32"/>
          <w:highlight w:val="none"/>
          <w:lang w:val="en-US" w:eastAsia="zh-CN"/>
        </w:rPr>
        <w:t>支出</w:t>
      </w:r>
      <w:r>
        <w:rPr>
          <w:rStyle w:val="19"/>
          <w:rFonts w:hint="eastAsia" w:ascii="仿宋_GB2312" w:hAnsi="仿宋_GB2312" w:eastAsia="仿宋_GB2312" w:cs="仿宋_GB2312"/>
          <w:b w:val="0"/>
          <w:bCs/>
          <w:color w:val="auto"/>
          <w:sz w:val="32"/>
          <w:szCs w:val="32"/>
          <w:highlight w:val="none"/>
        </w:rPr>
        <w:t>（项）:支出决算为</w:t>
      </w:r>
      <w:r>
        <w:rPr>
          <w:rStyle w:val="19"/>
          <w:rFonts w:hint="eastAsia" w:ascii="仿宋_GB2312" w:hAnsi="仿宋_GB2312" w:eastAsia="仿宋_GB2312" w:cs="仿宋_GB2312"/>
          <w:b w:val="0"/>
          <w:bCs/>
          <w:color w:val="auto"/>
          <w:sz w:val="32"/>
          <w:szCs w:val="32"/>
          <w:highlight w:val="none"/>
          <w:lang w:val="en-US" w:eastAsia="zh-CN"/>
        </w:rPr>
        <w:t>4.26</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color w:val="auto"/>
          <w:sz w:val="32"/>
          <w:szCs w:val="32"/>
          <w:highlight w:val="none"/>
        </w:rPr>
      </w:pPr>
      <w:r>
        <w:rPr>
          <w:rStyle w:val="19"/>
          <w:rFonts w:hint="eastAsia" w:ascii="仿宋_GB2312" w:hAnsi="仿宋_GB2312" w:eastAsia="仿宋_GB2312" w:cs="仿宋_GB2312"/>
          <w:b w:val="0"/>
          <w:bCs/>
          <w:color w:val="auto"/>
          <w:sz w:val="32"/>
          <w:szCs w:val="32"/>
          <w:highlight w:val="none"/>
          <w:lang w:val="en-US" w:eastAsia="zh-CN"/>
        </w:rPr>
        <w:t>6.</w:t>
      </w:r>
      <w:r>
        <w:rPr>
          <w:rStyle w:val="19"/>
          <w:rFonts w:hint="eastAsia" w:ascii="仿宋_GB2312" w:hAnsi="仿宋_GB2312" w:eastAsia="仿宋_GB2312" w:cs="仿宋_GB2312"/>
          <w:b w:val="0"/>
          <w:bCs/>
          <w:color w:val="auto"/>
          <w:sz w:val="32"/>
          <w:szCs w:val="32"/>
          <w:highlight w:val="none"/>
        </w:rPr>
        <w:t>住房保障支出（类）住房改革支出（款）</w:t>
      </w:r>
      <w:r>
        <w:rPr>
          <w:rStyle w:val="19"/>
          <w:rFonts w:hint="eastAsia" w:ascii="仿宋_GB2312" w:hAnsi="仿宋_GB2312" w:eastAsia="仿宋_GB2312" w:cs="仿宋_GB2312"/>
          <w:b w:val="0"/>
          <w:bCs/>
          <w:color w:val="auto"/>
          <w:sz w:val="32"/>
          <w:szCs w:val="32"/>
          <w:highlight w:val="none"/>
          <w:lang w:val="en-US" w:eastAsia="zh-CN"/>
        </w:rPr>
        <w:t>住房公积金</w:t>
      </w:r>
      <w:r>
        <w:rPr>
          <w:rStyle w:val="19"/>
          <w:rFonts w:hint="eastAsia" w:ascii="仿宋_GB2312" w:hAnsi="仿宋_GB2312" w:eastAsia="仿宋_GB2312" w:cs="仿宋_GB2312"/>
          <w:b w:val="0"/>
          <w:bCs/>
          <w:color w:val="auto"/>
          <w:sz w:val="32"/>
          <w:szCs w:val="32"/>
          <w:highlight w:val="none"/>
        </w:rPr>
        <w:t>（项）:支出决算为</w:t>
      </w:r>
      <w:r>
        <w:rPr>
          <w:rStyle w:val="19"/>
          <w:rFonts w:hint="eastAsia" w:ascii="仿宋_GB2312" w:hAnsi="仿宋_GB2312" w:eastAsia="仿宋_GB2312" w:cs="仿宋_GB2312"/>
          <w:b w:val="0"/>
          <w:bCs/>
          <w:color w:val="auto"/>
          <w:sz w:val="32"/>
          <w:szCs w:val="32"/>
          <w:highlight w:val="none"/>
          <w:lang w:val="en-US" w:eastAsia="zh-CN"/>
        </w:rPr>
        <w:t>41.6</w:t>
      </w:r>
      <w:r>
        <w:rPr>
          <w:rStyle w:val="19"/>
          <w:rFonts w:hint="eastAsia" w:ascii="仿宋_GB2312" w:hAnsi="仿宋_GB2312" w:eastAsia="仿宋_GB2312" w:cs="仿宋_GB2312"/>
          <w:b w:val="0"/>
          <w:bCs/>
          <w:color w:val="auto"/>
          <w:sz w:val="32"/>
          <w:szCs w:val="32"/>
          <w:highlight w:val="none"/>
        </w:rPr>
        <w:t>万元，完成预算</w:t>
      </w:r>
      <w:r>
        <w:rPr>
          <w:rStyle w:val="19"/>
          <w:rFonts w:hint="eastAsia" w:ascii="仿宋_GB2312" w:hAnsi="仿宋_GB2312" w:eastAsia="仿宋_GB2312" w:cs="仿宋_GB2312"/>
          <w:b w:val="0"/>
          <w:bCs/>
          <w:color w:val="auto"/>
          <w:sz w:val="32"/>
          <w:szCs w:val="32"/>
          <w:highlight w:val="none"/>
          <w:lang w:val="en-US" w:eastAsia="zh-CN"/>
        </w:rPr>
        <w:t>100</w:t>
      </w:r>
      <w:r>
        <w:rPr>
          <w:rStyle w:val="19"/>
          <w:rFonts w:hint="eastAsia" w:ascii="仿宋_GB2312" w:hAnsi="仿宋_GB2312" w:eastAsia="仿宋_GB2312" w:cs="仿宋_GB2312"/>
          <w:b w:val="0"/>
          <w:bCs/>
          <w:color w:val="auto"/>
          <w:sz w:val="32"/>
          <w:szCs w:val="32"/>
          <w:highlight w:val="none"/>
        </w:rPr>
        <w:t>%，决算数等于预算数。</w:t>
      </w:r>
    </w:p>
    <w:p>
      <w:pPr>
        <w:spacing w:line="600" w:lineRule="exact"/>
        <w:ind w:firstLine="643"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pPr>
        <w:tabs>
          <w:tab w:val="right" w:pos="8306"/>
        </w:tabs>
        <w:spacing w:line="600" w:lineRule="exact"/>
        <w:ind w:firstLine="640" w:firstLineChars="200"/>
        <w:outlineLvl w:val="1"/>
        <w:rPr>
          <w:rStyle w:val="30"/>
          <w:rFonts w:ascii="Times New Roman" w:hAnsi="Times New Roman"/>
          <w:color w:val="auto"/>
          <w:highlight w:val="none"/>
        </w:rPr>
      </w:pPr>
      <w:bookmarkStart w:id="30" w:name="_Toc15377214"/>
      <w:bookmarkStart w:id="31"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0"/>
      <w:bookmarkEnd w:id="31"/>
      <w:r>
        <w:rPr>
          <w:rStyle w:val="30"/>
          <w:rFonts w:ascii="Times New Roman" w:hAnsi="Times New Roman" w:eastAsia="黑体"/>
          <w:b w:val="0"/>
          <w:color w:val="auto"/>
          <w:highlight w:val="none"/>
        </w:rPr>
        <w:tab/>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rPr>
        <w:t>648.23</w:t>
      </w:r>
      <w:r>
        <w:rPr>
          <w:rFonts w:hint="eastAsia" w:ascii="仿宋_GB2312" w:hAnsi="仿宋_GB2312" w:eastAsia="仿宋_GB2312" w:cs="仿宋_GB2312"/>
          <w:color w:val="auto"/>
          <w:kern w:val="2"/>
          <w:sz w:val="32"/>
          <w:szCs w:val="32"/>
          <w:highlight w:val="none"/>
          <w:lang w:val="en-US" w:eastAsia="zh-CN" w:bidi="ar-SA"/>
        </w:rPr>
        <w:t>万元，其中：</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598.17</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50.06</w:t>
      </w:r>
      <w:r>
        <w:rPr>
          <w:rFonts w:hint="eastAsia" w:ascii="仿宋_GB2312" w:hAnsi="仿宋_GB2312"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firstLineChars="200"/>
        <w:outlineLvl w:val="1"/>
        <w:rPr>
          <w:rStyle w:val="30"/>
          <w:rFonts w:ascii="Times New Roman" w:hAnsi="Times New Roman" w:eastAsia="黑体"/>
          <w:b w:val="0"/>
          <w:color w:val="auto"/>
          <w:highlight w:val="none"/>
        </w:rPr>
      </w:pPr>
      <w:bookmarkStart w:id="32" w:name="_Toc15396609"/>
      <w:bookmarkStart w:id="33"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2"/>
      <w:bookmarkEnd w:id="3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4"/>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w:t>
      </w:r>
      <w:r>
        <w:rPr>
          <w:rFonts w:hint="eastAsia" w:ascii="仿宋_GB2312" w:hAnsi="仿宋_GB2312" w:eastAsia="仿宋_GB2312" w:cs="仿宋_GB2312"/>
          <w:sz w:val="32"/>
          <w:szCs w:val="32"/>
        </w:rPr>
        <w:t>0.27</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%，较上年度增加0.27万元，增长100%。决算数等于预算数。</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5"/>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0.27</w:t>
      </w:r>
      <w:r>
        <w:rPr>
          <w:rFonts w:hint="eastAsia" w:ascii="仿宋_GB2312" w:hAnsi="仿宋_GB2312" w:eastAsia="仿宋_GB2312" w:cs="仿宋_GB2312"/>
          <w:color w:val="auto"/>
          <w:kern w:val="2"/>
          <w:sz w:val="32"/>
          <w:szCs w:val="32"/>
          <w:highlight w:val="none"/>
          <w:lang w:val="en-US" w:eastAsia="zh-CN" w:bidi="ar-SA"/>
        </w:rPr>
        <w:t>万元，占100%。具体情况如下：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pStyle w:val="8"/>
        <w:ind w:left="0" w:leftChars="0" w:firstLine="0" w:firstLineChars="0"/>
        <w:rPr>
          <w:rFonts w:hint="eastAsia"/>
          <w:lang w:val="en-US" w:eastAsia="zh-CN"/>
        </w:rPr>
      </w:pPr>
      <w:r>
        <w:rPr>
          <w:rFonts w:hint="eastAsia"/>
          <w:lang w:val="en-US" w:eastAsia="zh-CN"/>
        </w:rPr>
        <w:t xml:space="preserve">              </w:t>
      </w:r>
      <w:r>
        <w:rPr>
          <w:rFonts w:hint="eastAsia"/>
          <w:lang w:val="en-US" w:eastAsia="zh-CN"/>
        </w:rPr>
        <w:drawing>
          <wp:inline distT="0" distB="0" distL="114300" distR="114300">
            <wp:extent cx="3267075" cy="1962150"/>
            <wp:effectExtent l="0" t="0" r="9525" b="0"/>
            <wp:docPr id="3" name="图片 3" descr="1789438140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89438140291"/>
                    <pic:cNvPicPr>
                      <a:picLocks noChangeAspect="1"/>
                    </pic:cNvPicPr>
                  </pic:nvPicPr>
                  <pic:blipFill>
                    <a:blip r:embed="rId15"/>
                    <a:stretch>
                      <a:fillRect/>
                    </a:stretch>
                  </pic:blipFill>
                  <pic:spPr>
                    <a:xfrm>
                      <a:off x="0" y="0"/>
                      <a:ext cx="3267075" cy="1962150"/>
                    </a:xfrm>
                    <a:prstGeom prst="rect">
                      <a:avLst/>
                    </a:prstGeom>
                  </pic:spPr>
                </pic:pic>
              </a:graphicData>
            </a:graphic>
          </wp:inline>
        </w:drawing>
      </w:r>
    </w:p>
    <w:p>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仿宋_GB2312" w:hAnsi="仿宋_GB2312" w:eastAsia="仿宋_GB2312" w:cs="仿宋_GB2312"/>
          <w:b/>
          <w:bCs/>
          <w:color w:val="auto"/>
          <w:kern w:val="2"/>
          <w:sz w:val="32"/>
          <w:szCs w:val="32"/>
          <w:highlight w:val="none"/>
          <w:lang w:val="en-US" w:eastAsia="zh-CN" w:bidi="ar-SA"/>
        </w:rPr>
        <w:t>万元，完成预算0%。</w:t>
      </w:r>
      <w:r>
        <w:rPr>
          <w:rFonts w:hint="eastAsia" w:ascii="仿宋_GB2312" w:hAnsi="仿宋_GB2312"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人。因公出国（境）支出决算比上年度增加/减少0万元，增长/下降0%。</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2.公务用车购置及运行维护费支出0万元，完成预算0%。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公务用车购置及运行维护费支出决算比上年度增加/减少0万元，增长/下降0%。</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全年按规定更新购置公务用车0辆，其中：轿车0辆、金额0万元，越野车0辆、金额0万元，载客汽车0辆、金额0万元，主要无公务用车。截至2025年12月31日，单位共有公务用车0辆，其中：轿车0辆、越野车0辆、载客汽车0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万元。主要用于所需的公务用车燃料费、维修费、过路过桥费、保险费等支出。</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3.公务接待费支出0.27万元，完成预算100%。</w:t>
      </w:r>
      <w:r>
        <w:rPr>
          <w:rFonts w:hint="eastAsia" w:ascii="仿宋_GB2312" w:hAnsi="仿宋_GB2312" w:eastAsia="仿宋_GB2312" w:cs="仿宋_GB2312"/>
          <w:color w:val="auto"/>
          <w:kern w:val="2"/>
          <w:sz w:val="32"/>
          <w:szCs w:val="32"/>
          <w:highlight w:val="none"/>
          <w:lang w:val="en-US" w:eastAsia="zh-CN" w:bidi="ar-SA"/>
        </w:rPr>
        <w:t>公务接待费支出决算比上年度增加0.27万元，增长100%。主要原因是2025年有一批次公务接待。其中：</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0.27</w:t>
      </w:r>
      <w:r>
        <w:rPr>
          <w:rFonts w:hint="eastAsia" w:ascii="仿宋_GB2312" w:hAnsi="仿宋_GB2312" w:eastAsia="仿宋_GB2312" w:cs="仿宋_GB2312"/>
          <w:color w:val="auto"/>
          <w:kern w:val="2"/>
          <w:sz w:val="32"/>
          <w:szCs w:val="32"/>
          <w:highlight w:val="none"/>
          <w:lang w:val="en-US" w:eastAsia="zh-CN" w:bidi="ar-SA"/>
        </w:rPr>
        <w:t>万元，主要用于邀请泰国、马来西亚、越南、新加坡旅行商开展业务活动开支的用餐费。国内公务接待</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27</w:t>
      </w:r>
      <w:r>
        <w:rPr>
          <w:rFonts w:hint="eastAsia" w:ascii="仿宋_GB2312" w:hAnsi="仿宋_GB2312" w:eastAsia="仿宋_GB2312" w:cs="仿宋_GB2312"/>
          <w:color w:val="auto"/>
          <w:kern w:val="2"/>
          <w:sz w:val="32"/>
          <w:szCs w:val="32"/>
          <w:highlight w:val="none"/>
          <w:lang w:val="en-US" w:eastAsia="zh-CN" w:bidi="ar-SA"/>
        </w:rPr>
        <w:t>人次（包括陪同人员），共计支出0.27万元，具体内容邀请泰国、马来西亚、越南、新加坡旅行商开展业务活动开支的用餐费，金额0.27万元。</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0.27</w:t>
      </w:r>
      <w:r>
        <w:rPr>
          <w:rFonts w:hint="eastAsia" w:ascii="仿宋_GB2312" w:hAnsi="仿宋_GB2312" w:eastAsia="仿宋_GB2312" w:cs="仿宋_GB2312"/>
          <w:color w:val="auto"/>
          <w:kern w:val="2"/>
          <w:sz w:val="32"/>
          <w:szCs w:val="32"/>
          <w:highlight w:val="none"/>
          <w:lang w:val="en-US" w:eastAsia="zh-CN" w:bidi="ar-SA"/>
        </w:rPr>
        <w:t>万元，主要用于邀请泰国、马来西亚、越南、新加坡旅行商开展业务活动开支的用餐费</w:t>
      </w:r>
      <w:bookmarkStart w:id="36" w:name="_Toc15396610"/>
      <w:bookmarkStart w:id="37" w:name="_Toc15377218"/>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6"/>
      <w:bookmarkEnd w:id="37"/>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%。与上年度相比，政府性基金预算财政拨款支出增加/减少0万元，增长/下降0%。无政府性资金支出。</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firstLine="640" w:firstLineChars="200"/>
        <w:outlineLvl w:val="1"/>
        <w:rPr>
          <w:rStyle w:val="30"/>
          <w:rFonts w:ascii="Times New Roman" w:hAnsi="Times New Roman" w:eastAsia="黑体"/>
          <w:b w:val="0"/>
          <w:color w:val="auto"/>
          <w:highlight w:val="none"/>
        </w:rPr>
      </w:pPr>
      <w:bookmarkStart w:id="38" w:name="_Toc15377219"/>
      <w:bookmarkStart w:id="39"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8"/>
      <w:bookmarkEnd w:id="39"/>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%。与上年度相比，国有资本经营预算财政拨款支出增加/减少0万元，增长/下降0%。</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numPr>
          <w:ilvl w:val="0"/>
          <w:numId w:val="0"/>
        </w:numPr>
        <w:spacing w:line="600" w:lineRule="exact"/>
        <w:ind w:firstLine="640" w:firstLineChars="200"/>
        <w:outlineLvl w:val="1"/>
        <w:rPr>
          <w:rStyle w:val="30"/>
          <w:rFonts w:hint="eastAsia" w:ascii="Times New Roman" w:hAnsi="Times New Roman" w:eastAsia="黑体"/>
          <w:b w:val="0"/>
          <w:color w:val="auto"/>
          <w:highlight w:val="none"/>
        </w:rPr>
      </w:pPr>
      <w:bookmarkStart w:id="40" w:name="_Toc15396612"/>
      <w:bookmarkStart w:id="41"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0"/>
      <w:bookmarkEnd w:id="4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2"/>
      <w:r>
        <w:rPr>
          <w:rFonts w:hint="eastAsia" w:ascii="Times New Roman" w:hAnsi="Times New Roman" w:eastAsia="楷体_GB2312" w:cs="楷体_GB2312"/>
          <w:b/>
          <w:color w:val="auto"/>
          <w:sz w:val="32"/>
          <w:szCs w:val="32"/>
          <w:highlight w:val="none"/>
        </w:rPr>
        <w:t>（一）机关运行经费支出情况</w:t>
      </w:r>
      <w:bookmarkEnd w:id="42"/>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阿坝州国家文化公园服务中心</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万元，比上年度增加/减少0万元，增长/下降0%（或与上年度决算数持平）。</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3"/>
      <w:r>
        <w:rPr>
          <w:rFonts w:hint="eastAsia" w:ascii="Times New Roman" w:hAnsi="Times New Roman" w:eastAsia="楷体_GB2312" w:cs="楷体_GB2312"/>
          <w:b/>
          <w:color w:val="auto"/>
          <w:sz w:val="32"/>
          <w:szCs w:val="32"/>
          <w:highlight w:val="none"/>
        </w:rPr>
        <w:t>（二）政府采购支出情况</w:t>
      </w:r>
      <w:bookmarkEnd w:id="43"/>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阿坝州国家文化公园服务中心</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万元，无政府采购支出。其中：政府采购货物支出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24"/>
      <w:r>
        <w:rPr>
          <w:rFonts w:hint="eastAsia" w:ascii="Times New Roman" w:hAnsi="Times New Roman" w:eastAsia="楷体_GB2312" w:cs="楷体_GB2312"/>
          <w:b/>
          <w:color w:val="auto"/>
          <w:sz w:val="32"/>
          <w:szCs w:val="32"/>
          <w:highlight w:val="none"/>
        </w:rPr>
        <w:t>（三）国有资产占有使用情况</w:t>
      </w:r>
      <w:bookmarkEnd w:id="44"/>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阿坝州国家文化公园服务中心</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lang w:eastAsia="zh-CN"/>
        </w:rPr>
        <w:t>阿坝州国家文化公园服务中心</w:t>
      </w:r>
      <w:r>
        <w:rPr>
          <w:rFonts w:hint="eastAsia" w:ascii="仿宋_GB2312" w:hAnsi="仿宋_GB2312" w:eastAsia="仿宋_GB2312" w:cs="仿宋_GB2312"/>
          <w:color w:val="auto"/>
          <w:kern w:val="2"/>
          <w:sz w:val="32"/>
          <w:szCs w:val="32"/>
          <w:highlight w:val="none"/>
          <w:lang w:val="en-US" w:eastAsia="zh-CN" w:bidi="ar-SA"/>
        </w:rPr>
        <w:t>在2025年度，组织对0（项目名称）等0个项目涉及金额0万元开展了事前绩效评估，对0个项目编制了绩效目标，预算执行过程中，选取0个项目开展绩效监控。</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5" w:name="_Toc15377225"/>
      <w:bookmarkStart w:id="46"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ind w:firstLine="2200" w:firstLineChars="500"/>
        <w:jc w:val="both"/>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5"/>
      <w:bookmarkEnd w:id="46"/>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w:t>
      </w:r>
      <w:bookmarkStart w:id="64" w:name="_GoBack"/>
      <w:bookmarkEnd w:id="64"/>
      <w:r>
        <w:rPr>
          <w:rFonts w:hint="eastAsia" w:ascii="Times New Roman" w:hAnsi="Times New Roman" w:eastAsia="仿宋_GB2312" w:cs="仿宋_GB2312"/>
          <w:color w:val="auto"/>
          <w:kern w:val="2"/>
          <w:sz w:val="32"/>
          <w:szCs w:val="32"/>
          <w:highlight w:val="none"/>
          <w:lang w:val="en-US" w:eastAsia="zh-CN" w:bidi="ar-SA"/>
        </w:rPr>
        <w:t>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pPr>
        <w:spacing w:line="600" w:lineRule="exact"/>
        <w:jc w:val="center"/>
        <w:rPr>
          <w:rStyle w:val="29"/>
          <w:rFonts w:hint="eastAsia" w:ascii="Times New Roman" w:hAnsi="Times New Roman" w:eastAsia="黑体"/>
          <w:b w:val="0"/>
          <w:color w:val="auto"/>
          <w:highlight w:val="none"/>
          <w:lang w:eastAsia="zh-CN"/>
        </w:rPr>
      </w:pPr>
      <w:bookmarkStart w:id="4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8"/>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仿宋_GB2312"/>
          <w:color w:val="auto"/>
          <w:kern w:val="2"/>
          <w:sz w:val="32"/>
          <w:szCs w:val="32"/>
          <w:highlight w:val="none"/>
          <w:lang w:val="en-US" w:eastAsia="zh-CN" w:bidi="ar-SA"/>
        </w:rPr>
        <w:t>***内设</w:t>
      </w:r>
      <w:r>
        <w:rPr>
          <w:rFonts w:hint="default" w:ascii="Times New Roman" w:hAnsi="Times New Roman" w:eastAsia="仿宋_GB2312" w:cs="仿宋_GB2312"/>
          <w:color w:val="auto"/>
          <w:kern w:val="2"/>
          <w:sz w:val="32"/>
          <w:szCs w:val="32"/>
          <w:highlight w:val="none"/>
          <w:lang w:val="en-US" w:eastAsia="zh-CN" w:bidi="ar-SA"/>
        </w:rPr>
        <w:t>处室</w:t>
      </w:r>
      <w:r>
        <w:rPr>
          <w:rFonts w:hint="eastAsia" w:ascii="Times New Roman" w:hAnsi="Times New Roman" w:eastAsia="仿宋_GB2312" w:cs="仿宋_GB2312"/>
          <w:color w:val="auto"/>
          <w:kern w:val="2"/>
          <w:sz w:val="32"/>
          <w:szCs w:val="32"/>
          <w:highlight w:val="none"/>
          <w:lang w:val="en-US" w:eastAsia="zh-CN" w:bidi="ar-SA"/>
        </w:rPr>
        <w:t>及下属单位情况</w:t>
      </w:r>
      <w:r>
        <w:rPr>
          <w:rFonts w:hint="default"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职责和功能。</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sz w:val="32"/>
          <w:szCs w:val="32"/>
          <w:lang w:val="en-US" w:eastAsia="zh-CN"/>
        </w:rPr>
        <w:t>及下属单位编制</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年末实有人数</w:t>
      </w:r>
      <w:r>
        <w:rPr>
          <w:rFonts w:hint="eastAsia" w:ascii="Times New Roman" w:hAnsi="Times New Roman" w:eastAsia="仿宋_GB2312" w:cs="Times New Roman"/>
          <w:sz w:val="32"/>
          <w:szCs w:val="32"/>
          <w:lang w:val="en-US" w:eastAsia="zh-CN"/>
        </w:rPr>
        <w:t>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年年初预算收入情况、决算报表收入情况。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年年初预算支出情况、决算报表支出情况。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履职效能。部门整体绩效目标中选定3-5个核心职能目标，对职能目标完成效果情况绩效分析。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。围绕人均资产变化率、资产利用率、资产盘活率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。围绕支持中小企业发展、采购执行率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项目决策。围绕决策程序、目标设置、项目入库</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。围绕资金执行同向、项目调整、执行结果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目标实现。围绕目标完成、目标偏离、实现效果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bidi="ar"/>
        </w:rPr>
        <w:t>简要阐述部门预算绩效自评发现的主要问题。</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仿宋_GB2312" w:cs="Times New Roman"/>
          <w:sz w:val="32"/>
          <w:szCs w:val="32"/>
          <w:u w:val="none"/>
          <w:lang w:val="en-US" w:eastAsia="zh-CN" w:bidi="ar"/>
        </w:rPr>
        <w:t>简要阐述</w:t>
      </w:r>
      <w:bookmarkStart w:id="49" w:name="_Hlk110546638"/>
      <w:r>
        <w:rPr>
          <w:rFonts w:hint="eastAsia" w:ascii="Times New Roman" w:hAnsi="Times New Roman" w:eastAsia="仿宋_GB2312" w:cs="Times New Roman"/>
          <w:sz w:val="32"/>
          <w:szCs w:val="32"/>
          <w:u w:val="none"/>
          <w:lang w:val="en" w:eastAsia="zh-CN" w:bidi="ar"/>
        </w:rPr>
        <w:t>预算安排、完善政策、改进管理等方面的</w:t>
      </w:r>
      <w:r>
        <w:rPr>
          <w:rFonts w:hint="eastAsia" w:ascii="Times New Roman" w:hAnsi="Times New Roman" w:eastAsia="仿宋_GB2312" w:cs="Times New Roman"/>
          <w:sz w:val="32"/>
          <w:szCs w:val="32"/>
          <w:u w:val="none"/>
          <w:lang w:val="en-US" w:eastAsia="zh-CN" w:bidi="ar"/>
        </w:rPr>
        <w:t>措施</w:t>
      </w:r>
      <w:r>
        <w:rPr>
          <w:rFonts w:hint="eastAsia" w:ascii="Times New Roman" w:hAnsi="Times New Roman" w:eastAsia="仿宋_GB2312" w:cs="Times New Roman"/>
          <w:sz w:val="32"/>
          <w:szCs w:val="32"/>
          <w:u w:val="none"/>
          <w:lang w:val="en" w:eastAsia="zh-CN" w:bidi="ar"/>
        </w:rPr>
        <w:t>建议，其中</w:t>
      </w:r>
      <w:r>
        <w:rPr>
          <w:rFonts w:hint="eastAsia" w:ascii="Times New Roman" w:hAnsi="Times New Roman" w:eastAsia="仿宋_GB2312" w:cs="Times New Roman"/>
          <w:sz w:val="32"/>
          <w:szCs w:val="32"/>
          <w:u w:val="none"/>
          <w:lang w:val="en-US" w:eastAsia="zh-CN" w:bidi="ar"/>
        </w:rPr>
        <w:t>必须对应评价发现的主要问题一一提出措施建议。</w:t>
      </w:r>
    </w:p>
    <w:bookmarkEnd w:id="49"/>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部门需公开部门预算绩效自评报告和部门预算项目支出绩效自评表（2025年度），各下属单位需公开部门预算项目支出绩效自评表（2025年度）。</w:t>
      </w:r>
    </w:p>
    <w:p>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pPr>
        <w:rPr>
          <w:rFonts w:hint="eastAsia" w:ascii="Times New Roman" w:hAnsi="Times New Roman" w:eastAsia="宋体" w:cs="Times New Roman"/>
          <w:kern w:val="2"/>
          <w:sz w:val="21"/>
          <w:szCs w:val="24"/>
          <w:lang w:val="zh-CN" w:eastAsia="zh-CN" w:bidi="ar-SA"/>
        </w:rPr>
      </w:pPr>
    </w:p>
    <w:p>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5"/>
        <w:keepNext w:val="0"/>
        <w:keepLines w:val="0"/>
        <w:pageBreakBefore w:val="0"/>
        <w:widowControl w:val="0"/>
        <w:kinsoku/>
        <w:wordWrap/>
        <w:overflowPunct/>
        <w:topLinePunct w:val="0"/>
        <w:autoSpaceDE/>
        <w:autoSpaceDN/>
        <w:bidi w:val="0"/>
        <w:spacing w:line="578" w:lineRule="exact"/>
        <w:ind w:left="0" w:leftChars="0" w:firstLine="2891" w:firstLineChars="900"/>
        <w:jc w:val="both"/>
        <w:textAlignment w:val="auto"/>
        <w:rPr>
          <w:rFonts w:hint="eastAsia" w:ascii="Times New Roman" w:hAnsi="Times New Roman" w:eastAsia="方正小标宋简体" w:cs="方正小标宋简体"/>
          <w:b/>
          <w:bCs/>
          <w:color w:val="auto"/>
          <w:kern w:val="2"/>
          <w:sz w:val="32"/>
          <w:szCs w:val="32"/>
          <w:highlight w:val="none"/>
          <w:lang w:val="en-US" w:eastAsia="zh-CN"/>
        </w:rPr>
      </w:pPr>
      <w:r>
        <w:rPr>
          <w:rFonts w:hint="eastAsia" w:ascii="Times New Roman" w:hAnsi="Times New Roman" w:eastAsia="方正小标宋简体" w:cs="方正小标宋简体"/>
          <w:b/>
          <w:bCs/>
          <w:color w:val="auto"/>
          <w:kern w:val="2"/>
          <w:sz w:val="32"/>
          <w:szCs w:val="32"/>
          <w:highlight w:val="none"/>
          <w:lang w:val="en-US" w:eastAsia="zh-CN"/>
        </w:rPr>
        <w:t>（无专项预算项目）</w:t>
      </w:r>
    </w:p>
    <w:p>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7"/>
      <w:bookmarkEnd w:id="50"/>
      <w:bookmarkStart w:id="51"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0"/>
      <w:r>
        <w:rPr>
          <w:rFonts w:hint="eastAsia" w:ascii="Times New Roman" w:hAnsi="Times New Roman" w:eastAsia="仿宋_GB2312" w:cs="仿宋_GB2312"/>
          <w:color w:val="auto"/>
          <w:sz w:val="32"/>
          <w:szCs w:val="32"/>
          <w:highlight w:val="none"/>
        </w:rPr>
        <w:t>二、收入决算表</w:t>
      </w:r>
      <w:bookmarkEnd w:id="5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1"/>
      <w:r>
        <w:rPr>
          <w:rFonts w:hint="eastAsia" w:ascii="Times New Roman" w:hAnsi="Times New Roman" w:eastAsia="仿宋_GB2312" w:cs="仿宋_GB2312"/>
          <w:color w:val="auto"/>
          <w:sz w:val="32"/>
          <w:szCs w:val="32"/>
          <w:highlight w:val="none"/>
        </w:rPr>
        <w:t>三、支出决算表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2"/>
      <w:r>
        <w:rPr>
          <w:rFonts w:hint="eastAsia" w:ascii="Times New Roman" w:hAnsi="Times New Roman" w:eastAsia="仿宋_GB2312" w:cs="仿宋_GB2312"/>
          <w:color w:val="auto"/>
          <w:sz w:val="32"/>
          <w:szCs w:val="32"/>
          <w:highlight w:val="none"/>
        </w:rPr>
        <w:t>四、财政拨款收入支出决算总表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3"/>
      <w:r>
        <w:rPr>
          <w:rFonts w:hint="eastAsia" w:ascii="Times New Roman" w:hAnsi="Times New Roman" w:eastAsia="仿宋_GB2312" w:cs="仿宋_GB2312"/>
          <w:color w:val="auto"/>
          <w:sz w:val="32"/>
          <w:szCs w:val="32"/>
          <w:highlight w:val="none"/>
        </w:rPr>
        <w:t>五、财政拨款支出决算明细表</w:t>
      </w:r>
      <w:bookmarkEnd w:id="55"/>
      <w:bookmarkStart w:id="56"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5"/>
      <w:r>
        <w:rPr>
          <w:rFonts w:hint="eastAsia" w:ascii="Times New Roman" w:hAnsi="Times New Roman" w:eastAsia="仿宋_GB2312" w:cs="仿宋_GB2312"/>
          <w:color w:val="auto"/>
          <w:sz w:val="32"/>
          <w:szCs w:val="32"/>
          <w:highlight w:val="none"/>
        </w:rPr>
        <w:t>七、一般公共预算财政拨款支出决算明细表</w:t>
      </w:r>
      <w:bookmarkEnd w:id="57"/>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6"/>
      <w:r>
        <w:rPr>
          <w:rFonts w:hint="eastAsia" w:ascii="Times New Roman" w:hAnsi="Times New Roman" w:eastAsia="仿宋_GB2312" w:cs="仿宋_GB2312"/>
          <w:color w:val="auto"/>
          <w:sz w:val="32"/>
          <w:szCs w:val="32"/>
          <w:highlight w:val="none"/>
        </w:rPr>
        <w:t>八、一般公共预算财政拨款基本支出决算表</w:t>
      </w:r>
      <w:bookmarkEnd w:id="5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7"/>
      <w:r>
        <w:rPr>
          <w:rFonts w:hint="eastAsia" w:ascii="Times New Roman" w:hAnsi="Times New Roman" w:eastAsia="仿宋_GB2312" w:cs="仿宋_GB2312"/>
          <w:color w:val="auto"/>
          <w:sz w:val="32"/>
          <w:szCs w:val="32"/>
          <w:highlight w:val="none"/>
        </w:rPr>
        <w:t>九、一般公共预算财政拨款项目支出决算表</w:t>
      </w:r>
      <w:bookmarkEnd w:id="5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8"/>
      <w:r>
        <w:rPr>
          <w:rFonts w:hint="eastAsia" w:ascii="Times New Roman" w:hAnsi="Times New Roman" w:eastAsia="仿宋_GB2312" w:cs="仿宋_GB2312"/>
          <w:color w:val="auto"/>
          <w:sz w:val="32"/>
          <w:szCs w:val="32"/>
          <w:highlight w:val="none"/>
        </w:rPr>
        <w:t>十、</w:t>
      </w:r>
      <w:bookmarkEnd w:id="60"/>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9"/>
      <w:r>
        <w:rPr>
          <w:rFonts w:hint="eastAsia" w:ascii="Times New Roman" w:hAnsi="Times New Roman" w:eastAsia="仿宋_GB2312" w:cs="仿宋_GB2312"/>
          <w:color w:val="auto"/>
          <w:sz w:val="32"/>
          <w:szCs w:val="32"/>
          <w:highlight w:val="none"/>
        </w:rPr>
        <w:t>十一、</w:t>
      </w:r>
      <w:bookmarkEnd w:id="6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30"/>
      <w:r>
        <w:rPr>
          <w:rFonts w:hint="eastAsia" w:ascii="Times New Roman" w:hAnsi="Times New Roman" w:eastAsia="仿宋_GB2312" w:cs="仿宋_GB2312"/>
          <w:color w:val="auto"/>
          <w:sz w:val="32"/>
          <w:szCs w:val="32"/>
          <w:highlight w:val="none"/>
        </w:rPr>
        <w:t>十二、</w:t>
      </w:r>
      <w:bookmarkEnd w:id="62"/>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3" w:name="_Toc15396631"/>
      <w:r>
        <w:rPr>
          <w:rFonts w:hint="eastAsia" w:ascii="Times New Roman" w:hAnsi="Times New Roman" w:eastAsia="仿宋_GB2312" w:cs="仿宋_GB2312"/>
          <w:color w:val="auto"/>
          <w:sz w:val="32"/>
          <w:szCs w:val="32"/>
          <w:highlight w:val="none"/>
        </w:rPr>
        <w:t>十三、</w:t>
      </w:r>
      <w:bookmarkEnd w:id="63"/>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LNJWO7QAAAABQEAAA8AAAAAAAAAAQAg&#10;AAAAIgAAAGRycy9kb3ducmV2LnhtbFBLAQIUABQAAAAIAIdO4kCcNyfWwQIAANYFAAAOAAAAAAAA&#10;AAEAIAAAAB8BAABkcnMvZTJvRG9jLnhtbFBLBQYAAAAABgAGAFkBAABSBg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kR0XoMICAADWBQAADgAAAAAA&#10;AAABACAAAAAfAQAAZHJzL2Uyb0RvYy54bWxQSwUGAAAAAAYABgBZAQAAUwY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i0l3TMICAADWBQAADgAAAAAA&#10;AAABACAAAAAfAQAAZHJzL2Uyb0RvYy54bWxQSwUGAAAAAAYABgBZAQAAUwY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8F304F"/>
    <w:rsid w:val="01A23516"/>
    <w:rsid w:val="02317B1B"/>
    <w:rsid w:val="02FEBE30"/>
    <w:rsid w:val="03404865"/>
    <w:rsid w:val="034A4DBF"/>
    <w:rsid w:val="046A428E"/>
    <w:rsid w:val="04846876"/>
    <w:rsid w:val="050D528D"/>
    <w:rsid w:val="05C179AE"/>
    <w:rsid w:val="061E35DE"/>
    <w:rsid w:val="066E0107"/>
    <w:rsid w:val="07996F6E"/>
    <w:rsid w:val="07DFD8BA"/>
    <w:rsid w:val="086D310B"/>
    <w:rsid w:val="08DB07E4"/>
    <w:rsid w:val="09867E8F"/>
    <w:rsid w:val="0A2032A3"/>
    <w:rsid w:val="0C6C4794"/>
    <w:rsid w:val="0C7D0395"/>
    <w:rsid w:val="0CA8290A"/>
    <w:rsid w:val="0CD057AE"/>
    <w:rsid w:val="0D35B1ED"/>
    <w:rsid w:val="0DE07E2B"/>
    <w:rsid w:val="0F450F00"/>
    <w:rsid w:val="0F98263C"/>
    <w:rsid w:val="0FE52FF6"/>
    <w:rsid w:val="101860EC"/>
    <w:rsid w:val="10C055FF"/>
    <w:rsid w:val="10C43D35"/>
    <w:rsid w:val="111F3FE7"/>
    <w:rsid w:val="1151040F"/>
    <w:rsid w:val="11772AA4"/>
    <w:rsid w:val="118107EC"/>
    <w:rsid w:val="11DC400C"/>
    <w:rsid w:val="126C1C59"/>
    <w:rsid w:val="132B7BFA"/>
    <w:rsid w:val="13957196"/>
    <w:rsid w:val="13D06614"/>
    <w:rsid w:val="13D50BC4"/>
    <w:rsid w:val="14022904"/>
    <w:rsid w:val="142914D4"/>
    <w:rsid w:val="151E7391"/>
    <w:rsid w:val="152F2A07"/>
    <w:rsid w:val="15767658"/>
    <w:rsid w:val="165E0673"/>
    <w:rsid w:val="16BB723D"/>
    <w:rsid w:val="16F13FCB"/>
    <w:rsid w:val="186504BB"/>
    <w:rsid w:val="1938089F"/>
    <w:rsid w:val="19A445FC"/>
    <w:rsid w:val="19EE12E6"/>
    <w:rsid w:val="1A2D424F"/>
    <w:rsid w:val="1A53063B"/>
    <w:rsid w:val="1B7D550C"/>
    <w:rsid w:val="1BE8440E"/>
    <w:rsid w:val="1BF83BFF"/>
    <w:rsid w:val="1D155CEE"/>
    <w:rsid w:val="1D9B0787"/>
    <w:rsid w:val="1DE178F3"/>
    <w:rsid w:val="1E740ACF"/>
    <w:rsid w:val="1F015E19"/>
    <w:rsid w:val="1FF35744"/>
    <w:rsid w:val="1FF6BC77"/>
    <w:rsid w:val="21962A9E"/>
    <w:rsid w:val="21AE7C77"/>
    <w:rsid w:val="22BC3C41"/>
    <w:rsid w:val="22D81D43"/>
    <w:rsid w:val="23860B96"/>
    <w:rsid w:val="239664A9"/>
    <w:rsid w:val="240371BF"/>
    <w:rsid w:val="24346F3B"/>
    <w:rsid w:val="24BF01C2"/>
    <w:rsid w:val="257925AF"/>
    <w:rsid w:val="260F557C"/>
    <w:rsid w:val="281408E2"/>
    <w:rsid w:val="29CA11BB"/>
    <w:rsid w:val="29FD04D3"/>
    <w:rsid w:val="2A600911"/>
    <w:rsid w:val="2B651285"/>
    <w:rsid w:val="2BFF7BC6"/>
    <w:rsid w:val="2C8A61B5"/>
    <w:rsid w:val="2D2E01CF"/>
    <w:rsid w:val="2DF04E50"/>
    <w:rsid w:val="2E9545B0"/>
    <w:rsid w:val="2F040D46"/>
    <w:rsid w:val="2F425A39"/>
    <w:rsid w:val="2FAE5751"/>
    <w:rsid w:val="2FB1A395"/>
    <w:rsid w:val="2FD9A7D8"/>
    <w:rsid w:val="313A06AB"/>
    <w:rsid w:val="319F7F4E"/>
    <w:rsid w:val="31E03699"/>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400B59"/>
    <w:rsid w:val="3AB79AF3"/>
    <w:rsid w:val="3B5935AE"/>
    <w:rsid w:val="3B7EF35A"/>
    <w:rsid w:val="3B9FDB6C"/>
    <w:rsid w:val="3BF5BC2F"/>
    <w:rsid w:val="3C6F4929"/>
    <w:rsid w:val="3C855E9C"/>
    <w:rsid w:val="3CEBA265"/>
    <w:rsid w:val="3D201932"/>
    <w:rsid w:val="3D4B3713"/>
    <w:rsid w:val="3D98207C"/>
    <w:rsid w:val="3D9B0D99"/>
    <w:rsid w:val="3DEE7CF3"/>
    <w:rsid w:val="3DF02244"/>
    <w:rsid w:val="3E78745D"/>
    <w:rsid w:val="3F226372"/>
    <w:rsid w:val="3FF4CAE0"/>
    <w:rsid w:val="3FF7B227"/>
    <w:rsid w:val="40E54C45"/>
    <w:rsid w:val="41096EB4"/>
    <w:rsid w:val="41313393"/>
    <w:rsid w:val="417B04EA"/>
    <w:rsid w:val="418278E7"/>
    <w:rsid w:val="43111556"/>
    <w:rsid w:val="43681851"/>
    <w:rsid w:val="43A407DF"/>
    <w:rsid w:val="44205480"/>
    <w:rsid w:val="44515BEA"/>
    <w:rsid w:val="44B84925"/>
    <w:rsid w:val="44DD303B"/>
    <w:rsid w:val="44E268DA"/>
    <w:rsid w:val="453F7E5B"/>
    <w:rsid w:val="477E63C2"/>
    <w:rsid w:val="486A6C7A"/>
    <w:rsid w:val="49176D9B"/>
    <w:rsid w:val="494006BD"/>
    <w:rsid w:val="4A4D19D5"/>
    <w:rsid w:val="4A570A36"/>
    <w:rsid w:val="4A627F82"/>
    <w:rsid w:val="4B002E28"/>
    <w:rsid w:val="4B0E749A"/>
    <w:rsid w:val="4B4D32B1"/>
    <w:rsid w:val="4B4F25DA"/>
    <w:rsid w:val="4BDA0CFB"/>
    <w:rsid w:val="4BE068DB"/>
    <w:rsid w:val="4BF61295"/>
    <w:rsid w:val="4CA277A4"/>
    <w:rsid w:val="4D3C0CCC"/>
    <w:rsid w:val="4D577224"/>
    <w:rsid w:val="4DBF1CEB"/>
    <w:rsid w:val="4E5F4C40"/>
    <w:rsid w:val="4E9B7935"/>
    <w:rsid w:val="4EAB630A"/>
    <w:rsid w:val="4ECE2238"/>
    <w:rsid w:val="4EF833EC"/>
    <w:rsid w:val="4F833267"/>
    <w:rsid w:val="4FE9BD67"/>
    <w:rsid w:val="4FFB052F"/>
    <w:rsid w:val="51286EED"/>
    <w:rsid w:val="527A751E"/>
    <w:rsid w:val="527F366E"/>
    <w:rsid w:val="53083A92"/>
    <w:rsid w:val="537E6D0A"/>
    <w:rsid w:val="53AF27A2"/>
    <w:rsid w:val="53E21AAD"/>
    <w:rsid w:val="53F74C96"/>
    <w:rsid w:val="556468F9"/>
    <w:rsid w:val="56E47B74"/>
    <w:rsid w:val="57BD3DD4"/>
    <w:rsid w:val="59104FA8"/>
    <w:rsid w:val="59287456"/>
    <w:rsid w:val="596D1074"/>
    <w:rsid w:val="596F618A"/>
    <w:rsid w:val="5AF92295"/>
    <w:rsid w:val="5B9E76EA"/>
    <w:rsid w:val="5BDD79E6"/>
    <w:rsid w:val="5BF561CA"/>
    <w:rsid w:val="5BFF5DFC"/>
    <w:rsid w:val="5CD71FC4"/>
    <w:rsid w:val="5D1F11B5"/>
    <w:rsid w:val="5DAE1B18"/>
    <w:rsid w:val="5DE7D9E5"/>
    <w:rsid w:val="5ECEC941"/>
    <w:rsid w:val="5F493CB7"/>
    <w:rsid w:val="5FBC50DB"/>
    <w:rsid w:val="5FBF9FF3"/>
    <w:rsid w:val="5FCD4E2C"/>
    <w:rsid w:val="5FD15F49"/>
    <w:rsid w:val="5FEF394A"/>
    <w:rsid w:val="5FF67715"/>
    <w:rsid w:val="60061A97"/>
    <w:rsid w:val="60FF1F20"/>
    <w:rsid w:val="610E6032"/>
    <w:rsid w:val="614F3B4D"/>
    <w:rsid w:val="624F7800"/>
    <w:rsid w:val="62BF3928"/>
    <w:rsid w:val="63AE153E"/>
    <w:rsid w:val="647F5392"/>
    <w:rsid w:val="65254A66"/>
    <w:rsid w:val="6605167E"/>
    <w:rsid w:val="66235CBA"/>
    <w:rsid w:val="664B1D71"/>
    <w:rsid w:val="66F70606"/>
    <w:rsid w:val="67AA3209"/>
    <w:rsid w:val="681C4F0D"/>
    <w:rsid w:val="689B0AA1"/>
    <w:rsid w:val="69046D0F"/>
    <w:rsid w:val="69791F85"/>
    <w:rsid w:val="698D0931"/>
    <w:rsid w:val="6A1A52F1"/>
    <w:rsid w:val="6A993CED"/>
    <w:rsid w:val="6B053271"/>
    <w:rsid w:val="6B2D5F3C"/>
    <w:rsid w:val="6B5C776B"/>
    <w:rsid w:val="6BCE6674"/>
    <w:rsid w:val="6C03222F"/>
    <w:rsid w:val="6C4A05C8"/>
    <w:rsid w:val="6C8742B8"/>
    <w:rsid w:val="6C8A170F"/>
    <w:rsid w:val="6CB54609"/>
    <w:rsid w:val="6CBD1E30"/>
    <w:rsid w:val="6DBF5E93"/>
    <w:rsid w:val="6DE445B6"/>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0E11C0F"/>
    <w:rsid w:val="712A28F1"/>
    <w:rsid w:val="715C0E4B"/>
    <w:rsid w:val="72233669"/>
    <w:rsid w:val="72734D90"/>
    <w:rsid w:val="729807A3"/>
    <w:rsid w:val="72C52ADB"/>
    <w:rsid w:val="7332FE48"/>
    <w:rsid w:val="73AB61DA"/>
    <w:rsid w:val="73AD73D5"/>
    <w:rsid w:val="73B6EB34"/>
    <w:rsid w:val="73FA497D"/>
    <w:rsid w:val="744731E5"/>
    <w:rsid w:val="74527205"/>
    <w:rsid w:val="74880CD5"/>
    <w:rsid w:val="74BBD01D"/>
    <w:rsid w:val="74ED5379"/>
    <w:rsid w:val="74FC2395"/>
    <w:rsid w:val="75357E6C"/>
    <w:rsid w:val="75DEEEC2"/>
    <w:rsid w:val="760D1936"/>
    <w:rsid w:val="76113596"/>
    <w:rsid w:val="7612235B"/>
    <w:rsid w:val="76E3355F"/>
    <w:rsid w:val="76FF5125"/>
    <w:rsid w:val="774250CD"/>
    <w:rsid w:val="776F6FFA"/>
    <w:rsid w:val="778769C8"/>
    <w:rsid w:val="77DC22F5"/>
    <w:rsid w:val="78031335"/>
    <w:rsid w:val="780B7C8F"/>
    <w:rsid w:val="78785147"/>
    <w:rsid w:val="78B54DBC"/>
    <w:rsid w:val="79086DAD"/>
    <w:rsid w:val="79974F09"/>
    <w:rsid w:val="79D7FD79"/>
    <w:rsid w:val="79EE5BA4"/>
    <w:rsid w:val="7A8709FA"/>
    <w:rsid w:val="7A894339"/>
    <w:rsid w:val="7AFF7572"/>
    <w:rsid w:val="7B6C7DFB"/>
    <w:rsid w:val="7B767393"/>
    <w:rsid w:val="7BBFBED0"/>
    <w:rsid w:val="7BC3E394"/>
    <w:rsid w:val="7C1F3737"/>
    <w:rsid w:val="7C67048C"/>
    <w:rsid w:val="7CBFC87B"/>
    <w:rsid w:val="7CFB06A9"/>
    <w:rsid w:val="7CFE0F48"/>
    <w:rsid w:val="7D7EC23E"/>
    <w:rsid w:val="7D916348"/>
    <w:rsid w:val="7D922275"/>
    <w:rsid w:val="7D943C41"/>
    <w:rsid w:val="7E8ADEBF"/>
    <w:rsid w:val="7EB6453C"/>
    <w:rsid w:val="7EEF11D3"/>
    <w:rsid w:val="7F0971A6"/>
    <w:rsid w:val="7F3F679B"/>
    <w:rsid w:val="7F4FC4EF"/>
    <w:rsid w:val="7F5E4D54"/>
    <w:rsid w:val="7F66782E"/>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2</TotalTime>
  <ScaleCrop>false</ScaleCrop>
  <LinksUpToDate>false</LinksUpToDate>
  <CharactersWithSpaces>8692</CharactersWithSpaces>
  <Application>WPS Office_..._F1E327BC-269C-435d-A152-05C5408002CA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China</cp:lastModifiedBy>
  <cp:lastPrinted>2026-08-03T09:27:00Z</cp:lastPrinted>
  <dcterms:modified xsi:type="dcterms:W3CDTF">2026-09-16T11:16:11Z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y fmtid="{D5CDD505-2E9C-101B-9397-08002B2CF9AE}" pid="3" name="ICV">
    <vt:lpwstr>400D301575C74348A5277D00A7902E06</vt:lpwstr>
  </property>
</Properties>
</file>