
<file path=[Content_Types].xml><?xml version="1.0" encoding="utf-8"?>
<Types xmlns="http://schemas.openxmlformats.org/package/2006/content-types">
  <Default Extension="xlsx" ContentType="application/vnd.openxmlformats-officedocument.spreadsheetml.sheet"/>
  <Default Extension="bin" ContentType="application/vnd.openxmlformats-officedocument.oleObjec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026B72">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06267"/>
      <w:bookmarkStart w:id="2" w:name="_Toc15378441"/>
      <w:bookmarkStart w:id="3" w:name="_Toc15396475"/>
      <w:bookmarkStart w:id="4" w:name="_Toc15396597"/>
      <w:bookmarkStart w:id="5" w:name="_Toc15377425"/>
    </w:p>
    <w:p w14:paraId="165E6C22">
      <w:pPr>
        <w:pStyle w:val="6"/>
        <w:rPr>
          <w:rFonts w:hint="eastAsia" w:ascii="Times New Roman" w:hAnsi="Times New Roman" w:eastAsia="方正小标宋简体" w:cs="Times New Roman"/>
          <w:color w:val="auto"/>
          <w:kern w:val="2"/>
          <w:sz w:val="72"/>
          <w:szCs w:val="72"/>
          <w:highlight w:val="none"/>
          <w:lang w:val="en-US" w:eastAsia="zh-CN" w:bidi="ar-SA"/>
        </w:rPr>
      </w:pPr>
    </w:p>
    <w:p w14:paraId="451CA1D7">
      <w:pPr>
        <w:pStyle w:val="6"/>
        <w:rPr>
          <w:rFonts w:hint="eastAsia" w:ascii="Times New Roman" w:hAnsi="Times New Roman" w:eastAsia="方正小标宋简体" w:cs="Times New Roman"/>
          <w:color w:val="auto"/>
          <w:kern w:val="2"/>
          <w:sz w:val="72"/>
          <w:szCs w:val="72"/>
          <w:highlight w:val="none"/>
          <w:lang w:val="en-US" w:eastAsia="zh-CN" w:bidi="ar-SA"/>
        </w:rPr>
      </w:pPr>
    </w:p>
    <w:p w14:paraId="69276193">
      <w:pPr>
        <w:pStyle w:val="6"/>
        <w:spacing w:before="93"/>
        <w:jc w:val="center"/>
        <w:rPr>
          <w:rFonts w:ascii="Times New Roman" w:hAnsi="Times New Roman"/>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r>
        <w:rPr>
          <w:rFonts w:hint="eastAsia" w:ascii="Times New Roman" w:eastAsia="方正小标宋简体"/>
          <w:kern w:val="2"/>
          <w:sz w:val="44"/>
          <w:szCs w:val="44"/>
        </w:rPr>
        <w:t>202</w:t>
      </w:r>
      <w:r>
        <w:rPr>
          <w:rFonts w:hint="eastAsia" w:ascii="Times New Roman" w:eastAsia="方正小标宋简体"/>
          <w:kern w:val="2"/>
          <w:sz w:val="44"/>
          <w:szCs w:val="44"/>
          <w:lang w:val="en-US" w:eastAsia="zh-CN"/>
        </w:rPr>
        <w:t>5</w:t>
      </w:r>
      <w:r>
        <w:rPr>
          <w:rFonts w:hint="eastAsia" w:ascii="Times New Roman" w:eastAsia="方正小标宋简体"/>
          <w:kern w:val="2"/>
          <w:sz w:val="44"/>
          <w:szCs w:val="44"/>
        </w:rPr>
        <w:t>年度</w:t>
      </w:r>
      <w:r>
        <w:rPr>
          <w:rFonts w:hint="eastAsia" w:ascii="方正小标宋简体" w:hAnsi="宋体" w:eastAsia="方正小标宋简体" w:cs="Times New Roman"/>
          <w:color w:val="auto"/>
          <w:kern w:val="2"/>
          <w:sz w:val="44"/>
          <w:szCs w:val="44"/>
          <w:highlight w:val="none"/>
          <w:lang w:val="en-US" w:eastAsia="zh-CN" w:bidi="ar-SA"/>
        </w:rPr>
        <w:t>阿坝藏族羌族自治州           文物考古研究所</w:t>
      </w:r>
      <w:r>
        <w:rPr>
          <w:rFonts w:hint="eastAsia" w:ascii="Times New Roman" w:eastAsia="方正小标宋简体"/>
          <w:kern w:val="2"/>
          <w:sz w:val="44"/>
          <w:szCs w:val="44"/>
        </w:rPr>
        <w:t>决算公开</w:t>
      </w:r>
    </w:p>
    <w:bookmarkEnd w:id="0"/>
    <w:bookmarkEnd w:id="1"/>
    <w:bookmarkEnd w:id="2"/>
    <w:bookmarkEnd w:id="3"/>
    <w:bookmarkEnd w:id="4"/>
    <w:bookmarkEnd w:id="5"/>
    <w:p w14:paraId="3567DFD1">
      <w:pPr>
        <w:widowControl/>
        <w:jc w:val="both"/>
        <w:rPr>
          <w:rFonts w:hint="eastAsia" w:ascii="Times New Roman" w:hAnsi="Times New Roman" w:eastAsia="黑体"/>
          <w:color w:val="auto"/>
          <w:sz w:val="48"/>
          <w:szCs w:val="48"/>
          <w:highlight w:val="none"/>
        </w:rPr>
      </w:pPr>
    </w:p>
    <w:p w14:paraId="2D47695B">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DF344F2">
      <w:pPr>
        <w:widowControl/>
        <w:jc w:val="center"/>
        <w:rPr>
          <w:rFonts w:ascii="Times New Roman" w:hAnsi="Times New Roman" w:eastAsia="黑体" w:cstheme="minorBidi"/>
          <w:color w:val="auto"/>
          <w:sz w:val="28"/>
          <w:szCs w:val="28"/>
          <w:highlight w:val="none"/>
        </w:rPr>
      </w:pPr>
    </w:p>
    <w:p w14:paraId="1B953D4A">
      <w:pPr>
        <w:pStyle w:val="15"/>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18 </w:t>
      </w:r>
      <w:r>
        <w:rPr>
          <w:rFonts w:hint="eastAsia" w:ascii="Times New Roman" w:hAnsi="Times New Roman" w:eastAsia="仿宋_GB2312" w:cs="仿宋_GB2312"/>
          <w:color w:val="auto"/>
          <w:sz w:val="32"/>
          <w:szCs w:val="32"/>
          <w:highlight w:val="none"/>
        </w:rPr>
        <w:t>日</w:t>
      </w:r>
    </w:p>
    <w:p w14:paraId="3D5D9D02">
      <w:pPr>
        <w:rPr>
          <w:rFonts w:ascii="Times New Roman" w:hAnsi="Times New Roman"/>
          <w:color w:val="auto"/>
          <w:highlight w:val="none"/>
        </w:rPr>
      </w:pPr>
    </w:p>
    <w:p w14:paraId="505A2A48">
      <w:pPr>
        <w:pStyle w:val="15"/>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rPr>
          <w:rFonts w:hint="eastAsia" w:ascii="Times New Roman" w:hAnsi="Times New Roman" w:eastAsia="黑体" w:cs="黑体"/>
          <w:color w:val="auto"/>
          <w:sz w:val="32"/>
          <w:szCs w:val="32"/>
          <w:highlight w:val="none"/>
          <w:lang w:val="en-US" w:eastAsia="zh-CN"/>
        </w:rPr>
        <w:t>....................................................3</w:t>
      </w:r>
    </w:p>
    <w:p w14:paraId="640C0482">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4</w:t>
      </w:r>
    </w:p>
    <w:p w14:paraId="74BF4C30">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二、机构设置</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4</w:t>
      </w:r>
    </w:p>
    <w:p w14:paraId="569B3D71">
      <w:pPr>
        <w:pStyle w:val="15"/>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.........................5</w:t>
      </w:r>
    </w:p>
    <w:p w14:paraId="316BA332">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一、收入支出决算总体情况说明</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.....5</w:t>
      </w:r>
    </w:p>
    <w:p w14:paraId="0681D922">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二、收入决算情况说明</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.........................6</w:t>
      </w:r>
    </w:p>
    <w:p w14:paraId="0E4D6256">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三、支出决算情况说明</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.........................6</w:t>
      </w:r>
    </w:p>
    <w:p w14:paraId="10588BCF">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..................7</w:t>
      </w:r>
    </w:p>
    <w:p w14:paraId="35EBC022">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............8</w:t>
      </w:r>
    </w:p>
    <w:p w14:paraId="1EBD54CD">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...11</w:t>
      </w:r>
    </w:p>
    <w:p w14:paraId="694FA786">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............12</w:t>
      </w:r>
    </w:p>
    <w:p w14:paraId="0CCB5686">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...................14</w:t>
      </w:r>
    </w:p>
    <w:p w14:paraId="0DB69D81">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................15</w:t>
      </w:r>
    </w:p>
    <w:p w14:paraId="48ACBCA6">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................................15</w:t>
      </w:r>
    </w:p>
    <w:p w14:paraId="19AA118A">
      <w:pPr>
        <w:pStyle w:val="15"/>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..................................................17</w:t>
      </w:r>
    </w:p>
    <w:p w14:paraId="13B92CDC">
      <w:pPr>
        <w:pStyle w:val="15"/>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.........................................................21</w:t>
      </w:r>
    </w:p>
    <w:p w14:paraId="306475B1">
      <w:pPr>
        <w:pStyle w:val="15"/>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.........................................................44</w:t>
      </w:r>
    </w:p>
    <w:p w14:paraId="3247A62B">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一、收入支出决算总表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................4</w:t>
      </w:r>
      <w:r>
        <w:rPr>
          <w:rFonts w:hint="eastAsia" w:eastAsia="黑体" w:cs="黑体"/>
          <w:color w:val="auto"/>
          <w:sz w:val="32"/>
          <w:szCs w:val="32"/>
          <w:highlight w:val="none"/>
          <w:lang w:val="en-US" w:eastAsia="zh-CN"/>
        </w:rPr>
        <w:t>4</w:t>
      </w:r>
    </w:p>
    <w:p w14:paraId="0B88C1A5">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二、收入决算表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............4</w:t>
      </w:r>
      <w:r>
        <w:rPr>
          <w:rFonts w:hint="eastAsia" w:eastAsia="黑体" w:cs="黑体"/>
          <w:color w:val="auto"/>
          <w:sz w:val="32"/>
          <w:szCs w:val="32"/>
          <w:highlight w:val="none"/>
          <w:lang w:val="en-US" w:eastAsia="zh-CN"/>
        </w:rPr>
        <w:t>4</w:t>
      </w:r>
    </w:p>
    <w:p w14:paraId="2350CC1D">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p>
    <w:p w14:paraId="5C25B7A1">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三、支出决算表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..............4</w:t>
      </w:r>
      <w:r>
        <w:rPr>
          <w:rFonts w:hint="eastAsia" w:eastAsia="黑体" w:cs="黑体"/>
          <w:color w:val="auto"/>
          <w:sz w:val="32"/>
          <w:szCs w:val="32"/>
          <w:highlight w:val="none"/>
          <w:lang w:val="en-US" w:eastAsia="zh-CN"/>
        </w:rPr>
        <w:t>4</w:t>
      </w:r>
    </w:p>
    <w:p w14:paraId="7E0ECA71">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四、财政拨款收入支出决算总表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..............4</w:t>
      </w:r>
      <w:r>
        <w:rPr>
          <w:rFonts w:hint="eastAsia" w:eastAsia="黑体" w:cs="黑体"/>
          <w:color w:val="auto"/>
          <w:sz w:val="32"/>
          <w:szCs w:val="32"/>
          <w:highlight w:val="none"/>
          <w:lang w:val="en-US" w:eastAsia="zh-CN"/>
        </w:rPr>
        <w:t>4</w:t>
      </w:r>
    </w:p>
    <w:p w14:paraId="097B5CEA">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五、财政拨款支出决算明细表</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.....4</w:t>
      </w:r>
      <w:r>
        <w:rPr>
          <w:rFonts w:hint="eastAsia" w:eastAsia="黑体" w:cs="黑体"/>
          <w:color w:val="auto"/>
          <w:sz w:val="32"/>
          <w:szCs w:val="32"/>
          <w:highlight w:val="none"/>
          <w:lang w:val="en-US" w:eastAsia="zh-CN"/>
        </w:rPr>
        <w:t>4</w:t>
      </w:r>
    </w:p>
    <w:p w14:paraId="716CAB6F">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六、一般公共预算财政拨款支出决算表</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.........4</w:t>
      </w:r>
      <w:r>
        <w:rPr>
          <w:rFonts w:hint="eastAsia" w:eastAsia="黑体" w:cs="黑体"/>
          <w:color w:val="auto"/>
          <w:sz w:val="32"/>
          <w:szCs w:val="32"/>
          <w:highlight w:val="none"/>
          <w:lang w:val="en-US" w:eastAsia="zh-CN"/>
        </w:rPr>
        <w:t>4</w:t>
      </w:r>
    </w:p>
    <w:p w14:paraId="054F4043">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..........4</w:t>
      </w:r>
      <w:r>
        <w:rPr>
          <w:rFonts w:hint="eastAsia" w:eastAsia="黑体" w:cs="黑体"/>
          <w:color w:val="auto"/>
          <w:sz w:val="32"/>
          <w:szCs w:val="32"/>
          <w:highlight w:val="none"/>
          <w:lang w:val="en-US" w:eastAsia="zh-CN"/>
        </w:rPr>
        <w:t>4</w:t>
      </w:r>
    </w:p>
    <w:p w14:paraId="3BFC2594">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ascii="Times New Roman" w:hAnsi="Times New Roman" w:eastAsia="黑体" w:cs="黑体"/>
          <w:color w:val="auto"/>
          <w:sz w:val="32"/>
          <w:szCs w:val="32"/>
          <w:highlight w:val="none"/>
          <w:lang w:val="en-US" w:eastAsia="zh-CN"/>
        </w:rPr>
        <w:t>.....4</w:t>
      </w:r>
      <w:r>
        <w:rPr>
          <w:rFonts w:hint="eastAsia" w:eastAsia="黑体" w:cs="黑体"/>
          <w:color w:val="auto"/>
          <w:sz w:val="32"/>
          <w:szCs w:val="32"/>
          <w:highlight w:val="none"/>
          <w:lang w:val="en-US" w:eastAsia="zh-CN"/>
        </w:rPr>
        <w:t>4</w:t>
      </w:r>
    </w:p>
    <w:p w14:paraId="61FDE3F5">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...4</w:t>
      </w:r>
      <w:r>
        <w:rPr>
          <w:rFonts w:hint="eastAsia" w:eastAsia="黑体" w:cs="黑体"/>
          <w:color w:val="auto"/>
          <w:sz w:val="32"/>
          <w:szCs w:val="32"/>
          <w:highlight w:val="none"/>
          <w:lang w:val="en-US" w:eastAsia="zh-CN"/>
        </w:rPr>
        <w:t>4</w:t>
      </w:r>
    </w:p>
    <w:p w14:paraId="1E17B083">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4</w:t>
      </w:r>
      <w:r>
        <w:rPr>
          <w:rFonts w:hint="eastAsia" w:eastAsia="黑体" w:cs="黑体"/>
          <w:color w:val="auto"/>
          <w:sz w:val="32"/>
          <w:szCs w:val="32"/>
          <w:highlight w:val="none"/>
          <w:lang w:val="en-US" w:eastAsia="zh-CN"/>
        </w:rPr>
        <w:t>4</w:t>
      </w:r>
    </w:p>
    <w:p w14:paraId="319F5540">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eastAsia="仿宋_GB2312" w:cs="仿宋_GB2312"/>
          <w:color w:val="auto"/>
          <w:sz w:val="32"/>
          <w:szCs w:val="32"/>
          <w:highlight w:val="none"/>
          <w:lang w:val="en-US" w:eastAsia="zh-CN"/>
        </w:rPr>
        <w:t>..44</w:t>
      </w:r>
    </w:p>
    <w:p w14:paraId="7550ABB8">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eastAsia="仿宋_GB2312" w:cs="仿宋_GB2312"/>
          <w:color w:val="auto"/>
          <w:sz w:val="32"/>
          <w:szCs w:val="32"/>
          <w:highlight w:val="none"/>
          <w:lang w:val="en-US" w:eastAsia="zh-CN"/>
        </w:rPr>
        <w:t>..........44</w:t>
      </w:r>
    </w:p>
    <w:p w14:paraId="30F17438">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hint="eastAsia" w:eastAsia="仿宋_GB2312" w:cs="仿宋_GB2312"/>
          <w:color w:val="auto"/>
          <w:sz w:val="32"/>
          <w:szCs w:val="32"/>
          <w:highlight w:val="none"/>
          <w:lang w:val="en-US" w:eastAsia="zh-CN"/>
        </w:rPr>
        <w:t>..................44</w:t>
      </w:r>
    </w:p>
    <w:p w14:paraId="3E71D13A">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4E2C9A71">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14:paraId="4CB37E1A">
      <w:pPr>
        <w:pStyle w:val="3"/>
        <w:jc w:val="center"/>
        <w:rPr>
          <w:rStyle w:val="32"/>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2"/>
          <w:rFonts w:hint="eastAsia" w:ascii="Times New Roman" w:hAnsi="Times New Roman" w:eastAsia="方正小标宋简体" w:cs="方正小标宋简体"/>
          <w:b w:val="0"/>
          <w:bCs w:val="0"/>
          <w:color w:val="auto"/>
          <w:highlight w:val="none"/>
        </w:rPr>
        <w:t>部门概况</w:t>
      </w:r>
      <w:bookmarkEnd w:id="6"/>
      <w:bookmarkEnd w:id="7"/>
    </w:p>
    <w:p w14:paraId="465E7E7E">
      <w:pPr>
        <w:widowControl/>
        <w:jc w:val="left"/>
        <w:rPr>
          <w:rFonts w:ascii="Times New Roman" w:hAnsi="Times New Roman" w:eastAsia="黑体"/>
          <w:color w:val="auto"/>
          <w:sz w:val="32"/>
          <w:szCs w:val="32"/>
          <w:highlight w:val="none"/>
        </w:rPr>
      </w:pPr>
    </w:p>
    <w:p w14:paraId="4E937389">
      <w:pPr>
        <w:pStyle w:val="4"/>
        <w:numPr>
          <w:ilvl w:val="0"/>
          <w:numId w:val="2"/>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3EBCECAE">
      <w:pPr>
        <w:ind w:right="-105" w:rightChars="-50" w:firstLine="640" w:firstLineChars="200"/>
        <w:jc w:val="left"/>
        <w:rPr>
          <w:rFonts w:hint="eastAsia"/>
          <w:lang w:eastAsia="zh-CN"/>
        </w:rPr>
      </w:pPr>
      <w:r>
        <w:rPr>
          <w:rFonts w:hint="eastAsia" w:ascii="仿宋" w:hAnsi="仿宋" w:eastAsia="仿宋" w:cs="Times New Roman"/>
          <w:sz w:val="32"/>
          <w:szCs w:val="32"/>
          <w:lang w:val="en-US" w:eastAsia="zh-CN"/>
        </w:rPr>
        <w:t>阿坝藏族羌族自治州文物考古研究所（阿坝州博物馆）位于四川省阿坝藏族羌族自治州马尔康市马尔康镇马江街183号，宗旨和业务范围是“负责全州地下文物的调查、勘探、研究，地面文物的调查、维修保护、研究，承担国家和省、州的文物科研项目；负责对具有历史、艺术、科学价值的可移动文物的征集、收藏、保管、陈列、展示、研究，做好博物馆公共文化服务；开展文物认定、文物保护科研咨询”。该事业单位</w:t>
      </w:r>
      <w:r>
        <w:rPr>
          <w:rFonts w:hint="eastAsia" w:ascii="仿宋" w:hAnsi="仿宋" w:eastAsia="仿宋" w:cs="Times New Roman"/>
          <w:sz w:val="32"/>
          <w:szCs w:val="32"/>
          <w:lang w:val="en-US" w:eastAsia="zh-CN"/>
        </w:rPr>
        <w:fldChar w:fldCharType="begin"/>
      </w:r>
      <w:r>
        <w:rPr>
          <w:rFonts w:hint="eastAsia" w:ascii="仿宋" w:hAnsi="仿宋" w:eastAsia="仿宋" w:cs="Times New Roman"/>
          <w:sz w:val="32"/>
          <w:szCs w:val="32"/>
          <w:lang w:val="en-US" w:eastAsia="zh-CN"/>
        </w:rPr>
        <w:instrText xml:space="preserve"> HYPERLINK "https://www.tianyancha.com/company/3402490931" \l "baseInfo" </w:instrText>
      </w:r>
      <w:r>
        <w:rPr>
          <w:rFonts w:hint="eastAsia" w:ascii="仿宋" w:hAnsi="仿宋" w:eastAsia="仿宋" w:cs="Times New Roman"/>
          <w:sz w:val="32"/>
          <w:szCs w:val="32"/>
          <w:lang w:val="en-US" w:eastAsia="zh-CN"/>
        </w:rPr>
        <w:fldChar w:fldCharType="separate"/>
      </w:r>
      <w:r>
        <w:rPr>
          <w:rFonts w:hint="eastAsia" w:ascii="仿宋" w:hAnsi="仿宋" w:eastAsia="仿宋" w:cs="Times New Roman"/>
          <w:sz w:val="32"/>
          <w:szCs w:val="32"/>
          <w:lang w:val="en-US" w:eastAsia="zh-CN"/>
        </w:rPr>
        <w:t>开办资金</w:t>
      </w:r>
      <w:r>
        <w:rPr>
          <w:rFonts w:hint="eastAsia" w:ascii="仿宋" w:hAnsi="仿宋" w:eastAsia="仿宋" w:cs="Times New Roman"/>
          <w:sz w:val="32"/>
          <w:szCs w:val="32"/>
          <w:lang w:val="en-US" w:eastAsia="zh-CN"/>
        </w:rPr>
        <w:fldChar w:fldCharType="end"/>
      </w:r>
      <w:r>
        <w:rPr>
          <w:rFonts w:hint="eastAsia" w:ascii="仿宋" w:hAnsi="仿宋" w:eastAsia="仿宋" w:cs="Times New Roman"/>
          <w:sz w:val="32"/>
          <w:szCs w:val="32"/>
          <w:lang w:val="en-US" w:eastAsia="zh-CN"/>
        </w:rPr>
        <w:t>23万人民币。</w:t>
      </w:r>
    </w:p>
    <w:p w14:paraId="026C21A0">
      <w:pPr>
        <w:pStyle w:val="4"/>
        <w:rPr>
          <w:rStyle w:val="33"/>
          <w:rFonts w:ascii="Times New Roman" w:hAnsi="Times New Roman"/>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二、机</w:t>
      </w:r>
      <w:r>
        <w:rPr>
          <w:rStyle w:val="33"/>
          <w:rFonts w:hint="eastAsia" w:ascii="Times New Roman" w:hAnsi="Times New Roman" w:eastAsia="黑体"/>
          <w:b w:val="0"/>
          <w:bCs w:val="0"/>
          <w:color w:val="auto"/>
          <w:highlight w:val="none"/>
        </w:rPr>
        <w:t>构设置</w:t>
      </w:r>
      <w:bookmarkEnd w:id="8"/>
      <w:bookmarkEnd w:id="9"/>
    </w:p>
    <w:p w14:paraId="5D41F84E">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阿坝藏族羌族自治州文物考古研究所</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3B8A6687">
      <w:pPr>
        <w:pStyle w:val="6"/>
        <w:adjustRightInd w:val="0"/>
        <w:snapToGrid w:val="0"/>
        <w:spacing w:before="93" w:line="600" w:lineRule="exact"/>
        <w:ind w:firstLine="672" w:firstLineChars="210"/>
        <w:rPr>
          <w:rFonts w:ascii="Times New Roman" w:hAnsi="Times New Roman" w:eastAsia="仿宋"/>
          <w:color w:val="auto"/>
          <w:kern w:val="0"/>
          <w:sz w:val="32"/>
          <w:szCs w:val="32"/>
          <w:highlight w:val="none"/>
        </w:rPr>
      </w:pPr>
      <w:r>
        <w:rPr>
          <w:rFonts w:hint="eastAsia" w:ascii="Times New Roman" w:hAnsi="Times New Roman" w:eastAsia="仿宋_GB2312" w:cs="仿宋_GB2312"/>
          <w:color w:val="auto"/>
          <w:sz w:val="32"/>
          <w:szCs w:val="32"/>
          <w:highlight w:val="none"/>
        </w:rPr>
        <w:t>纳入</w:t>
      </w:r>
      <w:r>
        <w:rPr>
          <w:sz w:val="32"/>
          <w:szCs w:val="32"/>
        </w:rPr>
        <w:t>阿坝藏族羌族自治州文物考古研究所</w:t>
      </w:r>
      <w:r>
        <w:rPr>
          <w:rFonts w:hint="eastAsia" w:ascii="Times New Roman" w:hAnsi="Times New Roman" w:eastAsia="仿宋_GB2312" w:cs="仿宋_GB2312"/>
          <w:color w:val="auto"/>
          <w:sz w:val="32"/>
          <w:szCs w:val="32"/>
          <w:highlight w:val="none"/>
          <w:lang w:eastAsia="zh-CN"/>
        </w:rPr>
        <w:t>202</w:t>
      </w:r>
      <w:r>
        <w:rPr>
          <w:rFonts w:hint="eastAsia" w:ascii="Times New Roman"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rPr>
        <w:t>部门决算编制范围的二级预算单位</w:t>
      </w:r>
      <w:r>
        <w:rPr>
          <w:rFonts w:hint="eastAsia" w:ascii="Times New Roman" w:cs="仿宋_GB2312"/>
          <w:color w:val="auto"/>
          <w:sz w:val="32"/>
          <w:szCs w:val="32"/>
          <w:highlight w:val="none"/>
          <w:lang w:eastAsia="zh-CN"/>
        </w:rPr>
        <w:t>无。</w:t>
      </w:r>
      <w:r>
        <w:rPr>
          <w:rFonts w:ascii="Times New Roman" w:hAnsi="Times New Roman" w:eastAsia="仿宋"/>
          <w:color w:val="auto"/>
          <w:sz w:val="32"/>
          <w:szCs w:val="32"/>
          <w:highlight w:val="none"/>
        </w:rPr>
        <w:br w:type="page"/>
      </w:r>
    </w:p>
    <w:p w14:paraId="560EAD19">
      <w:pPr>
        <w:pStyle w:val="3"/>
        <w:jc w:val="center"/>
        <w:rPr>
          <w:rFonts w:hint="eastAsia" w:ascii="Times New Roman" w:hAnsi="Times New Roman" w:eastAsia="方正小标宋简体" w:cs="方正小标宋简体"/>
          <w:b w:val="0"/>
          <w:color w:val="auto"/>
          <w:highlight w:val="none"/>
        </w:rPr>
      </w:pPr>
      <w:bookmarkStart w:id="10" w:name="_Toc15377204"/>
      <w:bookmarkStart w:id="11"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0"/>
      <w:bookmarkEnd w:id="11"/>
    </w:p>
    <w:p w14:paraId="41D535B6">
      <w:pPr>
        <w:rPr>
          <w:rFonts w:ascii="Times New Roman" w:hAnsi="Times New Roman"/>
          <w:color w:val="auto"/>
          <w:highlight w:val="none"/>
        </w:rPr>
      </w:pPr>
    </w:p>
    <w:p w14:paraId="7C04044D">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3"/>
          <w:rFonts w:hint="eastAsia" w:ascii="Times New Roman" w:hAnsi="Times New Roman" w:eastAsia="黑体"/>
          <w:b w:val="0"/>
          <w:color w:val="auto"/>
          <w:highlight w:val="none"/>
        </w:rPr>
      </w:pPr>
      <w:bookmarkStart w:id="12" w:name="_Toc15396603"/>
      <w:bookmarkStart w:id="1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3"/>
          <w:rFonts w:hint="eastAsia" w:ascii="Times New Roman" w:hAnsi="Times New Roman" w:eastAsia="黑体"/>
          <w:b w:val="0"/>
          <w:color w:val="auto"/>
          <w:highlight w:val="none"/>
        </w:rPr>
        <w:t>入支出决算总体情况说明</w:t>
      </w:r>
      <w:bookmarkEnd w:id="12"/>
      <w:bookmarkEnd w:id="13"/>
    </w:p>
    <w:p w14:paraId="15855A63">
      <w:pPr>
        <w:spacing w:line="600" w:lineRule="exact"/>
        <w:ind w:firstLine="640" w:firstLineChars="200"/>
        <w:rPr>
          <w:rFonts w:hint="eastAsia" w:ascii="仿宋" w:hAnsi="仿宋" w:eastAsia="仿宋"/>
          <w:color w:val="auto"/>
          <w:sz w:val="32"/>
          <w:szCs w:val="32"/>
          <w:highlight w:val="none"/>
          <w:lang w:eastAsia="zh-CN"/>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lang w:val="en-US" w:eastAsia="zh-CN"/>
        </w:rPr>
        <w:t>1288.68</w:t>
      </w:r>
      <w:r>
        <w:rPr>
          <w:rFonts w:hint="eastAsia" w:ascii="Times New Roman" w:hAnsi="Times New Roman" w:eastAsia="仿宋_GB2312" w:cs="仿宋_GB2312"/>
          <w:color w:val="auto"/>
          <w:sz w:val="32"/>
          <w:szCs w:val="32"/>
          <w:highlight w:val="none"/>
        </w:rPr>
        <w:t>万元。与</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w:t>
      </w:r>
      <w:r>
        <w:rPr>
          <w:rFonts w:hint="eastAsia" w:eastAsia="仿宋_GB2312" w:cs="仿宋_GB2312"/>
          <w:color w:val="auto"/>
          <w:sz w:val="32"/>
          <w:szCs w:val="32"/>
          <w:highlight w:val="none"/>
          <w:lang w:eastAsia="zh-CN"/>
        </w:rPr>
        <w:t>增加</w:t>
      </w:r>
      <w:r>
        <w:rPr>
          <w:rFonts w:hint="eastAsia" w:ascii="仿宋_GB2312" w:hAnsi="仿宋_GB2312" w:eastAsia="仿宋_GB2312" w:cs="仿宋_GB2312"/>
          <w:sz w:val="32"/>
          <w:szCs w:val="32"/>
          <w:lang w:val="en-US" w:eastAsia="zh-CN"/>
        </w:rPr>
        <w:t>293.22</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eastAsia="zh-CN"/>
        </w:rPr>
        <w:t>增长</w:t>
      </w:r>
      <w:r>
        <w:rPr>
          <w:rFonts w:hint="eastAsia" w:ascii="仿宋_GB2312" w:hAnsi="仿宋_GB2312" w:eastAsia="仿宋_GB2312" w:cs="仿宋_GB2312"/>
          <w:sz w:val="32"/>
          <w:szCs w:val="32"/>
          <w:lang w:val="en-US" w:eastAsia="zh-CN"/>
        </w:rPr>
        <w:t>29.46</w:t>
      </w:r>
      <w:r>
        <w:rPr>
          <w:rFonts w:hint="eastAsia" w:ascii="仿宋_GB2312" w:hAnsi="仿宋_GB2312" w:eastAsia="仿宋_GB2312" w:cs="仿宋_GB2312"/>
          <w:sz w:val="32"/>
          <w:szCs w:val="32"/>
        </w:rPr>
        <w:t>%</w:t>
      </w:r>
      <w:r>
        <w:rPr>
          <w:rFonts w:hint="eastAsia" w:ascii="Times New Roman" w:hAnsi="Times New Roman" w:eastAsia="仿宋_GB2312" w:cs="仿宋_GB2312"/>
          <w:color w:val="auto"/>
          <w:sz w:val="32"/>
          <w:szCs w:val="32"/>
          <w:highlight w:val="none"/>
        </w:rPr>
        <w:t>。主要变动原因</w:t>
      </w:r>
      <w:r>
        <w:rPr>
          <w:rFonts w:hint="eastAsia" w:ascii="仿宋" w:hAnsi="仿宋" w:eastAsia="仿宋"/>
          <w:color w:val="auto"/>
          <w:sz w:val="32"/>
          <w:szCs w:val="32"/>
          <w:highlight w:val="none"/>
        </w:rPr>
        <w:t>是</w:t>
      </w:r>
      <w:r>
        <w:rPr>
          <w:rFonts w:hint="eastAsia" w:ascii="仿宋" w:hAnsi="仿宋" w:eastAsia="仿宋"/>
          <w:color w:val="auto"/>
          <w:sz w:val="32"/>
          <w:szCs w:val="32"/>
          <w:highlight w:val="none"/>
          <w:lang w:eastAsia="zh-CN"/>
        </w:rPr>
        <w:t>单位项目数量增加，导致资金增加。</w:t>
      </w:r>
    </w:p>
    <w:p w14:paraId="3776630A">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B7EE23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71C41E6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仿宋_GB2312" w:eastAsia="仿宋_GB2312"/>
          <w:sz w:val="32"/>
          <w:szCs w:val="32"/>
          <w:lang w:eastAsia="zh-CN"/>
        </w:rPr>
        <w:object>
          <v:shape id="_x0000_i1025" o:spt="75" alt="oleetimg_1757296264347829_187651618840576" type="#_x0000_t75" style="height:323.25pt;width:406.5pt;" o:ole="t" filled="f" o:preferrelative="t" stroked="f" coordsize="21600,21600">
            <v:path/>
            <v:fill on="f" focussize="0,0"/>
            <v:stroke on="f"/>
            <v:imagedata r:id="rId9" o:title="oleetimg_1786008972842321_187651180402432"/>
            <o:lock v:ext="edit" aspectratio="f"/>
            <w10:wrap type="none"/>
            <w10:anchorlock/>
          </v:shape>
          <o:OLEObject Type="Embed" ProgID="excel.sheet.8" ShapeID="_x0000_i1025" DrawAspect="Content" ObjectID="_1468075725" r:id="rId8">
            <o:LockedField>false</o:LockedField>
          </o:OLEObject>
        </w:object>
      </w:r>
    </w:p>
    <w:p w14:paraId="3FA92FCA">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77206"/>
      <w:bookmarkStart w:id="15" w:name="_Toc15396604"/>
      <w:r>
        <w:rPr>
          <w:rFonts w:hint="eastAsia" w:ascii="Times New Roman" w:hAnsi="Times New Roman" w:eastAsia="黑体"/>
          <w:color w:val="auto"/>
          <w:sz w:val="32"/>
          <w:szCs w:val="32"/>
          <w:highlight w:val="none"/>
          <w:lang w:eastAsia="zh-CN"/>
        </w:rPr>
        <w:t>二、收入决算情况说明</w:t>
      </w:r>
      <w:bookmarkEnd w:id="14"/>
      <w:bookmarkEnd w:id="15"/>
    </w:p>
    <w:p w14:paraId="00E3926E">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年度本年收入合计</w:t>
      </w:r>
      <w:r>
        <w:rPr>
          <w:rFonts w:hint="eastAsia" w:ascii="仿宋_GB2312" w:hAnsi="仿宋_GB2312" w:eastAsia="仿宋_GB2312" w:cs="仿宋_GB2312"/>
          <w:sz w:val="32"/>
          <w:szCs w:val="32"/>
          <w:lang w:val="en-US" w:eastAsia="zh-CN"/>
        </w:rPr>
        <w:t>1190.39</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1140.39</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95.8</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color w:val="auto"/>
          <w:sz w:val="32"/>
          <w:szCs w:val="32"/>
          <w:highlight w:val="none"/>
          <w:lang w:val="en-US" w:eastAsia="zh-CN"/>
        </w:rPr>
        <w:t>50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4.2</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1D2F1E11">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r>
        <w:rPr>
          <w:rFonts w:hint="eastAsia" w:ascii="Times New Roman" w:hAnsi="Times New Roman" w:eastAsia="仿宋_GB2312" w:cs="仿宋_GB2312"/>
          <w:color w:val="auto"/>
          <w:sz w:val="32"/>
          <w:szCs w:val="32"/>
          <w:highlight w:val="none"/>
          <w:lang w:eastAsia="zh-CN"/>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E60D2DB">
      <w:pPr>
        <w:ind w:firstLine="800" w:firstLineChars="250"/>
        <w:rPr>
          <w:rFonts w:hint="eastAsia" w:ascii="Times New Roman" w:hAnsi="Times New Roman" w:eastAsia="仿宋_GB2312" w:cs="仿宋_GB2312"/>
          <w:color w:val="auto"/>
          <w:sz w:val="32"/>
          <w:szCs w:val="32"/>
          <w:highlight w:val="none"/>
          <w:lang w:eastAsia="zh-CN"/>
        </w:rPr>
      </w:pPr>
    </w:p>
    <w:p w14:paraId="1230B67E">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3"/>
          <w:rFonts w:hint="eastAsia" w:ascii="Times New Roman" w:hAnsi="Times New Roman" w:eastAsia="黑体"/>
          <w:b w:val="0"/>
          <w:color w:val="auto"/>
          <w:highlight w:val="none"/>
        </w:rPr>
      </w:pPr>
      <w:bookmarkStart w:id="16" w:name="_Toc15396605"/>
      <w:bookmarkStart w:id="1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3"/>
          <w:rFonts w:hint="eastAsia" w:ascii="Times New Roman" w:hAnsi="Times New Roman" w:eastAsia="黑体"/>
          <w:b w:val="0"/>
          <w:color w:val="auto"/>
          <w:highlight w:val="none"/>
        </w:rPr>
        <w:t>出决算情况说明</w:t>
      </w:r>
      <w:bookmarkEnd w:id="16"/>
      <w:bookmarkEnd w:id="17"/>
    </w:p>
    <w:p w14:paraId="286B0773">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default"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年度本年支出合计</w:t>
      </w:r>
      <w:r>
        <w:rPr>
          <w:rFonts w:hint="default" w:ascii="仿宋_GB2312" w:hAnsi="仿宋_GB2312" w:eastAsia="仿宋_GB2312" w:cs="仿宋_GB2312"/>
          <w:sz w:val="32"/>
          <w:szCs w:val="32"/>
          <w:lang w:val="en-US"/>
        </w:rPr>
        <w:t>1151.68</w:t>
      </w:r>
      <w:r>
        <w:rPr>
          <w:rFonts w:hint="eastAsia" w:ascii="仿宋_GB2312" w:hAnsi="仿宋_GB2312" w:eastAsia="仿宋_GB2312" w:cs="仿宋_GB2312"/>
          <w:color w:val="auto"/>
          <w:sz w:val="32"/>
          <w:szCs w:val="32"/>
          <w:highlight w:val="none"/>
          <w:lang w:eastAsia="zh-CN"/>
        </w:rPr>
        <w:t>万元，其中：基本支出</w:t>
      </w:r>
      <w:r>
        <w:rPr>
          <w:rFonts w:hint="default" w:ascii="仿宋_GB2312" w:hAnsi="仿宋_GB2312" w:eastAsia="仿宋_GB2312" w:cs="仿宋_GB2312"/>
          <w:sz w:val="32"/>
          <w:szCs w:val="32"/>
          <w:lang w:val="en-US"/>
        </w:rPr>
        <w:t>549.91</w:t>
      </w:r>
      <w:r>
        <w:rPr>
          <w:rFonts w:hint="eastAsia" w:ascii="仿宋_GB2312" w:hAnsi="仿宋_GB2312" w:eastAsia="仿宋_GB2312" w:cs="仿宋_GB2312"/>
          <w:color w:val="auto"/>
          <w:sz w:val="32"/>
          <w:szCs w:val="32"/>
          <w:highlight w:val="none"/>
          <w:lang w:eastAsia="zh-CN"/>
        </w:rPr>
        <w:t>万元，占</w:t>
      </w:r>
      <w:r>
        <w:rPr>
          <w:rFonts w:hint="default" w:ascii="仿宋_GB2312" w:hAnsi="仿宋_GB2312" w:eastAsia="仿宋_GB2312" w:cs="仿宋_GB2312"/>
          <w:color w:val="auto"/>
          <w:sz w:val="32"/>
          <w:szCs w:val="32"/>
          <w:highlight w:val="none"/>
          <w:lang w:val="en-US" w:eastAsia="zh-CN"/>
        </w:rPr>
        <w:t>47.75</w:t>
      </w:r>
      <w:r>
        <w:rPr>
          <w:rFonts w:hint="eastAsia" w:ascii="仿宋_GB2312" w:hAnsi="仿宋_GB2312" w:eastAsia="仿宋_GB2312" w:cs="仿宋_GB2312"/>
          <w:color w:val="auto"/>
          <w:sz w:val="32"/>
          <w:szCs w:val="32"/>
          <w:highlight w:val="none"/>
          <w:lang w:eastAsia="zh-CN"/>
        </w:rPr>
        <w:t>%；项目支出</w:t>
      </w:r>
      <w:r>
        <w:rPr>
          <w:rFonts w:hint="default" w:ascii="仿宋_GB2312" w:hAnsi="仿宋_GB2312" w:eastAsia="仿宋_GB2312" w:cs="仿宋_GB2312"/>
          <w:sz w:val="32"/>
          <w:szCs w:val="32"/>
          <w:lang w:val="en-US"/>
        </w:rPr>
        <w:t>601.77</w:t>
      </w:r>
      <w:r>
        <w:rPr>
          <w:rFonts w:hint="eastAsia" w:ascii="仿宋_GB2312" w:hAnsi="仿宋_GB2312" w:eastAsia="仿宋_GB2312" w:cs="仿宋_GB2312"/>
          <w:color w:val="auto"/>
          <w:sz w:val="32"/>
          <w:szCs w:val="32"/>
          <w:highlight w:val="none"/>
          <w:lang w:eastAsia="zh-CN"/>
        </w:rPr>
        <w:t>万元，占</w:t>
      </w:r>
      <w:r>
        <w:rPr>
          <w:rFonts w:hint="default" w:ascii="仿宋_GB2312" w:hAnsi="仿宋_GB2312" w:eastAsia="仿宋_GB2312" w:cs="仿宋_GB2312"/>
          <w:sz w:val="32"/>
          <w:szCs w:val="32"/>
          <w:lang w:val="en-US"/>
        </w:rPr>
        <w:t>52.25</w:t>
      </w:r>
      <w:r>
        <w:rPr>
          <w:rFonts w:hint="eastAsia" w:ascii="仿宋_GB2312" w:hAnsi="仿宋_GB2312"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6D8A9B4C">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3FE2ECAD">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665980" cy="2940685"/>
            <wp:effectExtent l="4445" t="4445" r="15875" b="762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88E254C">
      <w:pPr>
        <w:spacing w:line="600" w:lineRule="exact"/>
        <w:ind w:firstLine="640" w:firstLineChars="200"/>
        <w:outlineLvl w:val="1"/>
        <w:rPr>
          <w:rStyle w:val="33"/>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33"/>
          <w:rFonts w:hint="eastAsia" w:ascii="Times New Roman" w:hAnsi="Times New Roman" w:eastAsia="黑体"/>
          <w:b w:val="0"/>
          <w:color w:val="auto"/>
          <w:highlight w:val="none"/>
        </w:rPr>
        <w:t>政拨款收入支出决算总体情况说明</w:t>
      </w:r>
      <w:bookmarkEnd w:id="18"/>
      <w:bookmarkEnd w:id="19"/>
    </w:p>
    <w:p w14:paraId="685BC0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w:t>
      </w:r>
      <w:r>
        <w:rPr>
          <w:rFonts w:hint="default" w:ascii="仿宋_GB2312" w:hAnsi="仿宋_GB2312"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default" w:ascii="仿宋_GB2312" w:hAnsi="仿宋_GB2312" w:eastAsia="仿宋_GB2312" w:cs="仿宋_GB2312"/>
          <w:sz w:val="32"/>
          <w:szCs w:val="32"/>
          <w:lang w:val="en-US"/>
        </w:rPr>
        <w:t>1140.39</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ascii="仿宋_GB2312" w:hAnsi="仿宋_GB2312" w:eastAsia="仿宋_GB2312" w:cs="仿宋_GB2312"/>
          <w:color w:val="auto"/>
          <w:kern w:val="2"/>
          <w:sz w:val="32"/>
          <w:szCs w:val="32"/>
          <w:highlight w:val="none"/>
          <w:lang w:val="en-US" w:eastAsia="zh-CN" w:bidi="ar-SA"/>
        </w:rPr>
        <w:t>202</w:t>
      </w:r>
      <w:r>
        <w:rPr>
          <w:rFonts w:hint="default" w:ascii="仿宋_GB2312" w:hAnsi="仿宋_GB2312"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w:t>
      </w:r>
      <w:r>
        <w:rPr>
          <w:rFonts w:hint="eastAsia" w:eastAsia="仿宋_GB2312" w:cs="仿宋_GB2312"/>
          <w:color w:val="auto"/>
          <w:kern w:val="2"/>
          <w:sz w:val="32"/>
          <w:szCs w:val="32"/>
          <w:highlight w:val="none"/>
          <w:lang w:val="en-US" w:eastAsia="zh-CN" w:bidi="ar-SA"/>
        </w:rPr>
        <w:t>增加</w:t>
      </w:r>
      <w:r>
        <w:rPr>
          <w:rFonts w:hint="eastAsia" w:ascii="仿宋_GB2312" w:hAnsi="仿宋_GB2312" w:eastAsia="仿宋_GB2312" w:cs="仿宋_GB2312"/>
          <w:color w:val="auto"/>
          <w:kern w:val="2"/>
          <w:sz w:val="32"/>
          <w:szCs w:val="32"/>
          <w:highlight w:val="none"/>
          <w:lang w:val="en-US" w:eastAsia="zh-CN" w:bidi="ar-SA"/>
        </w:rPr>
        <w:t>264.35</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增长</w:t>
      </w:r>
      <w:r>
        <w:rPr>
          <w:rFonts w:hint="eastAsia" w:ascii="仿宋_GB2312" w:hAnsi="仿宋_GB2312" w:eastAsia="仿宋_GB2312" w:cs="仿宋_GB2312"/>
          <w:color w:val="auto"/>
          <w:kern w:val="2"/>
          <w:sz w:val="32"/>
          <w:szCs w:val="32"/>
          <w:highlight w:val="none"/>
          <w:lang w:val="en-US" w:eastAsia="zh-CN" w:bidi="ar-SA"/>
        </w:rPr>
        <w:t>30.18%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 w:hAnsi="仿宋" w:eastAsia="仿宋"/>
          <w:color w:val="auto"/>
          <w:sz w:val="32"/>
          <w:szCs w:val="32"/>
          <w:highlight w:val="none"/>
          <w:lang w:eastAsia="zh-CN"/>
        </w:rPr>
        <w:t>单位项目数量增加，导致资金增加。</w:t>
      </w:r>
    </w:p>
    <w:p w14:paraId="5907A601">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235CCAD7">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3AF20B41">
      <w:pPr>
        <w:pStyle w:val="6"/>
        <w:rPr>
          <w:rFonts w:hint="eastAsia"/>
          <w:lang w:val="en-US" w:eastAsia="zh-CN"/>
        </w:rPr>
      </w:pPr>
      <w:r>
        <w:rPr>
          <w:rFonts w:hint="eastAsia" w:ascii="仿宋_GB2312" w:eastAsia="仿宋_GB2312"/>
          <w:sz w:val="32"/>
          <w:szCs w:val="32"/>
          <w:lang w:eastAsia="zh-CN"/>
        </w:rPr>
        <w:object>
          <v:shape id="_x0000_i1026" o:spt="75" alt="oleetimg_1757296264347829_187651618840576" type="#_x0000_t75" style="height:323.25pt;width:406.5pt;" o:ole="t" filled="f" o:preferrelative="t" stroked="f" coordsize="21600,21600">
            <v:path/>
            <v:fill on="f" focussize="0,0"/>
            <v:stroke on="f"/>
            <v:imagedata r:id="rId13" o:title="oleetimg_1786009939749897_187651178646016"/>
            <o:lock v:ext="edit" aspectratio="f"/>
            <w10:wrap type="none"/>
            <w10:anchorlock/>
          </v:shape>
          <o:OLEObject Type="Embed" ProgID="excel.sheet.8" ShapeID="_x0000_i1026" DrawAspect="Content" ObjectID="_1468075726" r:id="rId12">
            <o:LockedField>false</o:LockedField>
          </o:OLEObject>
        </w:object>
      </w:r>
    </w:p>
    <w:p w14:paraId="4AC8E906">
      <w:pPr>
        <w:spacing w:line="600" w:lineRule="exact"/>
        <w:ind w:firstLine="640" w:firstLineChars="200"/>
        <w:outlineLvl w:val="1"/>
        <w:rPr>
          <w:rStyle w:val="33"/>
          <w:rFonts w:ascii="Times New Roman" w:hAnsi="Times New Roman" w:eastAsia="黑体"/>
          <w:b w:val="0"/>
          <w:color w:val="auto"/>
          <w:highlight w:val="none"/>
        </w:rPr>
      </w:pPr>
      <w:bookmarkStart w:id="20" w:name="_Toc15377209"/>
      <w:bookmarkStart w:id="21"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3"/>
          <w:rFonts w:hint="eastAsia" w:ascii="Times New Roman" w:hAnsi="Times New Roman" w:eastAsia="黑体"/>
          <w:b w:val="0"/>
          <w:color w:val="auto"/>
          <w:highlight w:val="none"/>
        </w:rPr>
        <w:t>般公共预算财政拨款支出决算情况说明</w:t>
      </w:r>
      <w:bookmarkEnd w:id="20"/>
      <w:bookmarkEnd w:id="21"/>
    </w:p>
    <w:p w14:paraId="404A33F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3041FEA8">
      <w:pPr>
        <w:spacing w:line="600" w:lineRule="exact"/>
        <w:ind w:firstLine="640"/>
        <w:rPr>
          <w:rFonts w:hint="eastAsia" w:ascii="仿宋" w:hAnsi="仿宋" w:eastAsia="仿宋"/>
          <w:color w:val="auto"/>
          <w:sz w:val="32"/>
          <w:szCs w:val="32"/>
          <w:highlight w:val="none"/>
          <w:lang w:eastAsia="zh-CN"/>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lang w:val="en-US" w:eastAsia="zh-CN"/>
        </w:rPr>
        <w:t>1140.39</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lang w:val="en-US" w:eastAsia="zh-CN"/>
        </w:rPr>
        <w:t>99.02</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%。与2024年度相比，一般公共预算财政拨款支出增加264.35万元，增长30.18%。主要变动原因是</w:t>
      </w:r>
      <w:r>
        <w:rPr>
          <w:rFonts w:hint="eastAsia" w:ascii="仿宋" w:hAnsi="仿宋" w:eastAsia="仿宋"/>
          <w:color w:val="auto"/>
          <w:sz w:val="32"/>
          <w:szCs w:val="32"/>
          <w:highlight w:val="none"/>
          <w:lang w:eastAsia="zh-CN"/>
        </w:rPr>
        <w:t>单位项目数量增加，导致资金增加。</w:t>
      </w:r>
    </w:p>
    <w:p w14:paraId="450C06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6E14A25E">
      <w:pPr>
        <w:pStyle w:val="6"/>
        <w:rPr>
          <w:rFonts w:hint="eastAsia"/>
          <w:lang w:val="en-US" w:eastAsia="zh-CN"/>
        </w:rPr>
      </w:pPr>
      <w:r>
        <w:rPr>
          <w:rFonts w:hint="eastAsia" w:eastAsia="仿宋"/>
          <w:lang w:eastAsia="zh-CN"/>
        </w:rPr>
        <w:object>
          <v:shape id="_x0000_i1027" o:spt="75" alt="oleetimg_1757300443101550_187651735357440" type="#_x0000_t75" style="height:323.25pt;width:406.5pt;" o:ole="t" filled="f" o:preferrelative="t" stroked="f" coordsize="21600,21600">
            <v:path/>
            <v:fill on="f" focussize="0,0"/>
            <v:stroke on="f"/>
            <v:imagedata r:id="rId15" o:title="oleetimg_1786010264871238_187651046466304"/>
            <o:lock v:ext="edit" aspectratio="t"/>
            <w10:wrap type="none"/>
            <w10:anchorlock/>
          </v:shape>
          <o:OLEObject Type="Embed" ProgID="excel.sheet.8" ShapeID="_x0000_i1027" DrawAspect="Content" ObjectID="_1468075727" r:id="rId14">
            <o:LockedField>false</o:LockedField>
          </o:OLEObject>
        </w:object>
      </w:r>
    </w:p>
    <w:p w14:paraId="515931B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9D4F58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5E114CA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default" w:ascii="仿宋_GB2312" w:hAnsi="仿宋_GB2312" w:eastAsia="仿宋_GB2312" w:cs="仿宋_GB2312"/>
          <w:color w:val="auto"/>
          <w:kern w:val="2"/>
          <w:sz w:val="32"/>
          <w:szCs w:val="32"/>
          <w:highlight w:val="none"/>
          <w:lang w:val="en-US" w:eastAsia="zh-CN" w:bidi="ar-SA"/>
        </w:rPr>
        <w:t>1140.39</w:t>
      </w:r>
      <w:r>
        <w:rPr>
          <w:rFonts w:hint="eastAsia" w:ascii="仿宋_GB2312" w:hAnsi="仿宋_GB2312" w:eastAsia="仿宋_GB2312" w:cs="仿宋_GB2312"/>
          <w:color w:val="auto"/>
          <w:kern w:val="2"/>
          <w:sz w:val="32"/>
          <w:szCs w:val="32"/>
          <w:highlight w:val="none"/>
          <w:lang w:val="en-US" w:eastAsia="zh-CN" w:bidi="ar-SA"/>
        </w:rPr>
        <w:t>万元，主要用于以下方面：一般公共服务支出0万元，占0%；教育支出0万元，占0%；科学技术支出0万元，占0%；文化旅游体育与传媒支出</w:t>
      </w:r>
      <w:r>
        <w:rPr>
          <w:rFonts w:hint="default" w:ascii="仿宋_GB2312" w:hAnsi="仿宋_GB2312" w:eastAsia="仿宋_GB2312" w:cs="仿宋_GB2312"/>
          <w:color w:val="auto"/>
          <w:kern w:val="2"/>
          <w:sz w:val="32"/>
          <w:szCs w:val="32"/>
          <w:highlight w:val="none"/>
          <w:lang w:val="en-US" w:eastAsia="zh-CN" w:bidi="ar-SA"/>
        </w:rPr>
        <w:t>1006.79</w:t>
      </w:r>
      <w:r>
        <w:rPr>
          <w:rFonts w:hint="eastAsia" w:ascii="仿宋_GB2312" w:hAnsi="仿宋_GB2312" w:eastAsia="仿宋_GB2312" w:cs="仿宋_GB2312"/>
          <w:color w:val="auto"/>
          <w:kern w:val="2"/>
          <w:sz w:val="32"/>
          <w:szCs w:val="32"/>
          <w:highlight w:val="none"/>
          <w:lang w:val="en-US" w:eastAsia="zh-CN" w:bidi="ar-SA"/>
        </w:rPr>
        <w:t>万元，占</w:t>
      </w:r>
      <w:r>
        <w:rPr>
          <w:rFonts w:hint="default" w:ascii="仿宋_GB2312" w:hAnsi="仿宋_GB2312" w:eastAsia="仿宋_GB2312" w:cs="仿宋_GB2312"/>
          <w:color w:val="auto"/>
          <w:kern w:val="2"/>
          <w:sz w:val="32"/>
          <w:szCs w:val="32"/>
          <w:highlight w:val="none"/>
          <w:lang w:val="en-US" w:eastAsia="zh-CN" w:bidi="ar-SA"/>
        </w:rPr>
        <w:t>88.28</w:t>
      </w:r>
      <w:r>
        <w:rPr>
          <w:rFonts w:hint="eastAsia" w:ascii="仿宋_GB2312" w:hAnsi="仿宋_GB2312" w:eastAsia="仿宋_GB2312" w:cs="仿宋_GB2312"/>
          <w:color w:val="auto"/>
          <w:kern w:val="2"/>
          <w:sz w:val="32"/>
          <w:szCs w:val="32"/>
          <w:highlight w:val="none"/>
          <w:lang w:val="en-US" w:eastAsia="zh-CN" w:bidi="ar-SA"/>
        </w:rPr>
        <w:t>%；社会保障和就业支出</w:t>
      </w:r>
      <w:r>
        <w:rPr>
          <w:rFonts w:hint="default" w:ascii="仿宋_GB2312" w:hAnsi="仿宋_GB2312" w:eastAsia="仿宋_GB2312" w:cs="仿宋_GB2312"/>
          <w:color w:val="auto"/>
          <w:kern w:val="2"/>
          <w:sz w:val="32"/>
          <w:szCs w:val="32"/>
          <w:highlight w:val="none"/>
          <w:lang w:val="en-US" w:eastAsia="zh-CN" w:bidi="ar-SA"/>
        </w:rPr>
        <w:t>69.14</w:t>
      </w:r>
      <w:r>
        <w:rPr>
          <w:rFonts w:hint="eastAsia" w:ascii="仿宋_GB2312" w:hAnsi="仿宋_GB2312" w:eastAsia="仿宋_GB2312" w:cs="仿宋_GB2312"/>
          <w:color w:val="auto"/>
          <w:kern w:val="2"/>
          <w:sz w:val="32"/>
          <w:szCs w:val="32"/>
          <w:highlight w:val="none"/>
          <w:lang w:val="en-US" w:eastAsia="zh-CN" w:bidi="ar-SA"/>
        </w:rPr>
        <w:t>万元，占</w:t>
      </w:r>
      <w:r>
        <w:rPr>
          <w:rFonts w:hint="default" w:ascii="仿宋_GB2312" w:hAnsi="仿宋_GB2312" w:eastAsia="仿宋_GB2312" w:cs="仿宋_GB2312"/>
          <w:color w:val="auto"/>
          <w:kern w:val="2"/>
          <w:sz w:val="32"/>
          <w:szCs w:val="32"/>
          <w:highlight w:val="none"/>
          <w:lang w:val="en-US" w:eastAsia="zh-CN" w:bidi="ar-SA"/>
        </w:rPr>
        <w:t>6.06</w:t>
      </w:r>
      <w:r>
        <w:rPr>
          <w:rFonts w:hint="eastAsia" w:ascii="仿宋_GB2312" w:hAnsi="仿宋_GB2312" w:eastAsia="仿宋_GB2312" w:cs="仿宋_GB2312"/>
          <w:color w:val="auto"/>
          <w:kern w:val="2"/>
          <w:sz w:val="32"/>
          <w:szCs w:val="32"/>
          <w:highlight w:val="none"/>
          <w:lang w:val="en-US" w:eastAsia="zh-CN" w:bidi="ar-SA"/>
        </w:rPr>
        <w:t>%；卫生健康支出</w:t>
      </w:r>
      <w:r>
        <w:rPr>
          <w:rFonts w:hint="default" w:ascii="仿宋_GB2312" w:hAnsi="仿宋_GB2312" w:eastAsia="仿宋_GB2312" w:cs="仿宋_GB2312"/>
          <w:color w:val="auto"/>
          <w:kern w:val="2"/>
          <w:sz w:val="32"/>
          <w:szCs w:val="32"/>
          <w:highlight w:val="none"/>
          <w:lang w:val="en-US" w:eastAsia="zh-CN" w:bidi="ar-SA"/>
        </w:rPr>
        <w:t>26.69</w:t>
      </w:r>
      <w:r>
        <w:rPr>
          <w:rFonts w:hint="eastAsia" w:ascii="仿宋_GB2312" w:hAnsi="仿宋_GB2312" w:eastAsia="仿宋_GB2312" w:cs="仿宋_GB2312"/>
          <w:color w:val="auto"/>
          <w:kern w:val="2"/>
          <w:sz w:val="32"/>
          <w:szCs w:val="32"/>
          <w:highlight w:val="none"/>
          <w:lang w:val="en-US" w:eastAsia="zh-CN" w:bidi="ar-SA"/>
        </w:rPr>
        <w:t>万元，占</w:t>
      </w:r>
      <w:r>
        <w:rPr>
          <w:rFonts w:hint="default" w:ascii="仿宋_GB2312" w:hAnsi="仿宋_GB2312" w:eastAsia="仿宋_GB2312" w:cs="仿宋_GB2312"/>
          <w:color w:val="auto"/>
          <w:kern w:val="2"/>
          <w:sz w:val="32"/>
          <w:szCs w:val="32"/>
          <w:highlight w:val="none"/>
          <w:lang w:val="en-US" w:eastAsia="zh-CN" w:bidi="ar-SA"/>
        </w:rPr>
        <w:t>2.34</w:t>
      </w:r>
      <w:r>
        <w:rPr>
          <w:rFonts w:hint="eastAsia" w:ascii="仿宋_GB2312" w:hAnsi="仿宋_GB2312" w:eastAsia="仿宋_GB2312" w:cs="仿宋_GB2312"/>
          <w:color w:val="auto"/>
          <w:kern w:val="2"/>
          <w:sz w:val="32"/>
          <w:szCs w:val="32"/>
          <w:highlight w:val="none"/>
          <w:lang w:val="en-US" w:eastAsia="zh-CN" w:bidi="ar-SA"/>
        </w:rPr>
        <w:t>%；住房保障支出</w:t>
      </w:r>
      <w:r>
        <w:rPr>
          <w:rFonts w:hint="default" w:ascii="仿宋_GB2312" w:hAnsi="仿宋_GB2312" w:eastAsia="仿宋_GB2312" w:cs="仿宋_GB2312"/>
          <w:color w:val="auto"/>
          <w:kern w:val="2"/>
          <w:sz w:val="32"/>
          <w:szCs w:val="32"/>
          <w:highlight w:val="none"/>
          <w:lang w:val="en-US" w:eastAsia="zh-CN" w:bidi="ar-SA"/>
        </w:rPr>
        <w:t>37.77</w:t>
      </w:r>
      <w:r>
        <w:rPr>
          <w:rFonts w:hint="eastAsia" w:ascii="仿宋_GB2312" w:hAnsi="仿宋_GB2312" w:eastAsia="仿宋_GB2312" w:cs="仿宋_GB2312"/>
          <w:color w:val="auto"/>
          <w:kern w:val="2"/>
          <w:sz w:val="32"/>
          <w:szCs w:val="32"/>
          <w:highlight w:val="none"/>
          <w:lang w:val="en-US" w:eastAsia="zh-CN" w:bidi="ar-SA"/>
        </w:rPr>
        <w:t>万元，占</w:t>
      </w:r>
      <w:r>
        <w:rPr>
          <w:rFonts w:hint="default" w:ascii="仿宋_GB2312" w:hAnsi="仿宋_GB2312" w:eastAsia="仿宋_GB2312" w:cs="仿宋_GB2312"/>
          <w:color w:val="auto"/>
          <w:kern w:val="2"/>
          <w:sz w:val="32"/>
          <w:szCs w:val="32"/>
          <w:highlight w:val="none"/>
          <w:lang w:val="en-US" w:eastAsia="zh-CN" w:bidi="ar-SA"/>
        </w:rPr>
        <w:t>3.32</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2E726D0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4D20045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091286D">
      <w:pPr>
        <w:pStyle w:val="6"/>
        <w:rPr>
          <w:rFonts w:hint="default" w:ascii="Times New Roman" w:hAnsi="Times New Roman" w:eastAsia="仿宋_GB2312" w:cs="仿宋_GB2312"/>
          <w:color w:val="auto"/>
          <w:kern w:val="2"/>
          <w:sz w:val="32"/>
          <w:szCs w:val="32"/>
          <w:highlight w:val="none"/>
          <w:lang w:val="en-US" w:eastAsia="zh-CN" w:bidi="ar-SA"/>
        </w:rPr>
      </w:pPr>
      <w:r>
        <w:rPr>
          <w:rFonts w:hint="eastAsia" w:ascii="仿宋" w:eastAsia="仿宋"/>
          <w:sz w:val="32"/>
          <w:szCs w:val="32"/>
          <w:lang w:eastAsia="zh-CN"/>
        </w:rPr>
        <w:object>
          <v:shape id="_x0000_i1028" o:spt="75" alt="oleetimg_1757302375349813_187651718441472" type="#_x0000_t75" style="height:323.25pt;width:406.5pt;" o:ole="t" filled="f" o:preferrelative="t" stroked="f" coordsize="21600,21600">
            <v:path/>
            <v:fill on="f" focussize="0,0"/>
            <v:stroke on="f"/>
            <v:imagedata r:id="rId17" o:title="oleetimg_1786067315329876_187650971711744"/>
            <o:lock v:ext="edit" aspectratio="t"/>
            <w10:wrap type="none"/>
            <w10:anchorlock/>
          </v:shape>
          <o:OLEObject Type="Embed" ProgID="excel.sheet.8" ShapeID="_x0000_i1028" DrawAspect="Content" ObjectID="_1468075728" r:id="rId16">
            <o:LockedField>false</o:LockedField>
          </o:OLEObject>
        </w:object>
      </w:r>
    </w:p>
    <w:p w14:paraId="110B3A46">
      <w:pPr>
        <w:rPr>
          <w:rFonts w:hint="eastAsia"/>
          <w:lang w:val="en-US" w:eastAsia="zh-CN"/>
        </w:rPr>
      </w:pPr>
    </w:p>
    <w:p w14:paraId="081D667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14:paraId="4921423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7444"/>
      <w:bookmarkStart w:id="26" w:name="_Toc15377213"/>
      <w:bookmarkStart w:id="27" w:name="_Toc15378460"/>
      <w:r>
        <w:rPr>
          <w:rFonts w:hint="eastAsia" w:ascii="仿宋_GB2312" w:hAnsi="仿宋_GB2312" w:eastAsia="仿宋_GB2312" w:cs="仿宋_GB2312"/>
          <w:sz w:val="32"/>
          <w:szCs w:val="32"/>
          <w:lang w:val="en-US" w:eastAsia="zh-CN"/>
        </w:rPr>
        <w:t>202</w:t>
      </w:r>
      <w:r>
        <w:rPr>
          <w:rFonts w:hint="default" w:ascii="仿宋_GB2312" w:hAnsi="仿宋_GB2312" w:eastAsia="仿宋_GB2312" w:cs="仿宋_GB2312"/>
          <w:sz w:val="32"/>
          <w:szCs w:val="32"/>
          <w:lang w:val="en-US" w:eastAsia="zh-CN"/>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default" w:ascii="仿宋_GB2312" w:hAnsi="仿宋_GB2312" w:eastAsia="仿宋_GB2312" w:cs="仿宋_GB2312"/>
          <w:sz w:val="32"/>
          <w:szCs w:val="32"/>
          <w:lang w:val="en-US"/>
        </w:rPr>
        <w:t>1140.39</w:t>
      </w:r>
      <w:r>
        <w:rPr>
          <w:rFonts w:hint="eastAsia" w:ascii="仿宋_GB2312" w:hAnsi="仿宋_GB2312" w:eastAsia="仿宋_GB2312" w:cs="仿宋_GB2312"/>
          <w:sz w:val="32"/>
          <w:szCs w:val="32"/>
          <w:lang w:eastAsia="zh-CN"/>
        </w:rPr>
        <w:t>元</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ascii="仿宋_GB2312" w:hAnsi="仿宋_GB2312" w:eastAsia="仿宋_GB2312" w:cs="仿宋_GB2312"/>
          <w:sz w:val="32"/>
          <w:szCs w:val="32"/>
          <w:lang w:val="en-US" w:eastAsia="zh-CN"/>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14:paraId="0D304773">
      <w:pPr>
        <w:numPr>
          <w:ilvl w:val="0"/>
          <w:numId w:val="3"/>
        </w:num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ascii="仿宋_GB2312" w:hAnsi="仿宋_GB2312" w:eastAsia="仿宋_GB2312" w:cs="仿宋_GB2312"/>
          <w:sz w:val="32"/>
          <w:szCs w:val="32"/>
          <w:lang w:val="en-US" w:eastAsia="zh-CN"/>
        </w:rPr>
        <w:t>000（款）000（项）：支出决算为0万元，完成预算0%，</w:t>
      </w:r>
      <w:r>
        <w:rPr>
          <w:rFonts w:hint="eastAsia" w:ascii="Times New Roman" w:hAnsi="Times New Roman" w:eastAsia="仿宋_GB2312" w:cs="仿宋_GB2312"/>
          <w:color w:val="auto"/>
          <w:kern w:val="2"/>
          <w:sz w:val="32"/>
          <w:szCs w:val="32"/>
          <w:highlight w:val="none"/>
          <w:lang w:val="en-US" w:eastAsia="zh-CN" w:bidi="ar-SA"/>
        </w:rPr>
        <w:t>决算数小于/等于预算数的主要原因是</w:t>
      </w:r>
      <w:r>
        <w:rPr>
          <w:rFonts w:hint="eastAsia" w:eastAsia="仿宋_GB2312" w:cs="仿宋_GB2312"/>
          <w:color w:val="auto"/>
          <w:kern w:val="2"/>
          <w:sz w:val="32"/>
          <w:szCs w:val="32"/>
          <w:highlight w:val="none"/>
          <w:lang w:val="en-US" w:eastAsia="zh-CN" w:bidi="ar-SA"/>
        </w:rPr>
        <w:t>无。</w:t>
      </w:r>
    </w:p>
    <w:p w14:paraId="5B006442">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2.教育（类）</w:t>
      </w:r>
      <w:r>
        <w:rPr>
          <w:rFonts w:hint="eastAsia" w:ascii="仿宋_GB2312" w:hAnsi="仿宋_GB2312" w:eastAsia="仿宋_GB2312" w:cs="仿宋_GB2312"/>
          <w:sz w:val="32"/>
          <w:szCs w:val="32"/>
          <w:lang w:val="en-US" w:eastAsia="zh-CN"/>
        </w:rPr>
        <w:t>000（款）000（项）: 支出决算为0万</w:t>
      </w:r>
      <w:r>
        <w:rPr>
          <w:rFonts w:hint="eastAsia" w:ascii="Times New Roman" w:hAnsi="Times New Roman" w:eastAsia="仿宋_GB2312" w:cs="仿宋_GB2312"/>
          <w:color w:val="auto"/>
          <w:kern w:val="2"/>
          <w:sz w:val="32"/>
          <w:szCs w:val="32"/>
          <w:highlight w:val="none"/>
          <w:lang w:val="en-US" w:eastAsia="zh-CN" w:bidi="ar-SA"/>
        </w:rPr>
        <w:t>元，完成预算</w:t>
      </w:r>
      <w:r>
        <w:rPr>
          <w:rFonts w:hint="eastAsia" w:ascii="仿宋_GB2312" w:hAnsi="仿宋_GB2312" w:eastAsia="仿宋_GB2312" w:cs="仿宋_GB2312"/>
          <w:sz w:val="32"/>
          <w:szCs w:val="32"/>
          <w:lang w:val="en-US" w:eastAsia="zh-CN"/>
        </w:rPr>
        <w:t>0%，决算</w:t>
      </w:r>
      <w:r>
        <w:rPr>
          <w:rFonts w:hint="eastAsia" w:ascii="Times New Roman" w:hAnsi="Times New Roman" w:eastAsia="仿宋_GB2312" w:cs="仿宋_GB2312"/>
          <w:color w:val="auto"/>
          <w:kern w:val="2"/>
          <w:sz w:val="32"/>
          <w:szCs w:val="32"/>
          <w:highlight w:val="none"/>
          <w:lang w:val="en-US" w:eastAsia="zh-CN" w:bidi="ar-SA"/>
        </w:rPr>
        <w:t>数小于/等于预算数的主要原因是</w:t>
      </w:r>
      <w:r>
        <w:rPr>
          <w:rFonts w:hint="eastAsia" w:eastAsia="仿宋_GB2312" w:cs="仿宋_GB2312"/>
          <w:color w:val="auto"/>
          <w:kern w:val="2"/>
          <w:sz w:val="32"/>
          <w:szCs w:val="32"/>
          <w:highlight w:val="none"/>
          <w:lang w:val="en-US" w:eastAsia="zh-CN" w:bidi="ar-SA"/>
        </w:rPr>
        <w:t>无。</w:t>
      </w:r>
    </w:p>
    <w:p w14:paraId="6B7AE3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3.科学技术（类）</w:t>
      </w:r>
      <w:r>
        <w:rPr>
          <w:rFonts w:hint="eastAsia" w:ascii="仿宋_GB2312" w:hAnsi="仿宋_GB2312" w:eastAsia="仿宋_GB2312" w:cs="仿宋_GB2312"/>
          <w:sz w:val="32"/>
          <w:szCs w:val="32"/>
          <w:lang w:val="en-US" w:eastAsia="zh-CN"/>
        </w:rPr>
        <w:t>000（款）000（项）：支出决算为0万元，完成预算0%，决算数小于/等</w:t>
      </w:r>
      <w:r>
        <w:rPr>
          <w:rFonts w:hint="eastAsia" w:ascii="Times New Roman" w:hAnsi="Times New Roman" w:eastAsia="仿宋_GB2312" w:cs="仿宋_GB2312"/>
          <w:color w:val="auto"/>
          <w:kern w:val="2"/>
          <w:sz w:val="32"/>
          <w:szCs w:val="32"/>
          <w:highlight w:val="none"/>
          <w:lang w:val="en-US" w:eastAsia="zh-CN" w:bidi="ar-SA"/>
        </w:rPr>
        <w:t>于预算数的主要原因是</w:t>
      </w:r>
      <w:r>
        <w:rPr>
          <w:rFonts w:hint="eastAsia" w:eastAsia="仿宋_GB2312" w:cs="仿宋_GB2312"/>
          <w:color w:val="auto"/>
          <w:kern w:val="2"/>
          <w:sz w:val="32"/>
          <w:szCs w:val="32"/>
          <w:highlight w:val="none"/>
          <w:lang w:val="en-US" w:eastAsia="zh-CN" w:bidi="ar-SA"/>
        </w:rPr>
        <w:t>无。</w:t>
      </w:r>
    </w:p>
    <w:p w14:paraId="53E625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4.文化旅游体育与传媒（类）</w:t>
      </w:r>
      <w:r>
        <w:rPr>
          <w:rFonts w:hint="eastAsia" w:ascii="仿宋_GB2312" w:hAnsi="仿宋_GB2312" w:eastAsia="仿宋_GB2312" w:cs="仿宋_GB2312"/>
          <w:sz w:val="32"/>
          <w:szCs w:val="32"/>
          <w:lang w:val="en-US" w:eastAsia="zh-CN"/>
        </w:rPr>
        <w:t>07（款）02项）：支出决算为</w:t>
      </w:r>
      <w:r>
        <w:rPr>
          <w:rFonts w:hint="default" w:ascii="仿宋_GB2312" w:hAnsi="仿宋_GB2312" w:eastAsia="仿宋_GB2312" w:cs="仿宋_GB2312"/>
          <w:sz w:val="32"/>
          <w:szCs w:val="32"/>
          <w:lang w:val="en-US" w:eastAsia="zh-CN"/>
        </w:rPr>
        <w:t>1006.79</w:t>
      </w:r>
      <w:r>
        <w:rPr>
          <w:rFonts w:hint="eastAsia" w:ascii="仿宋_GB2312" w:hAnsi="仿宋_GB2312" w:eastAsia="仿宋_GB2312" w:cs="仿宋_GB2312"/>
          <w:sz w:val="32"/>
          <w:szCs w:val="32"/>
          <w:lang w:val="en-US" w:eastAsia="zh-CN"/>
        </w:rPr>
        <w:t>万元，完成预算100%，决</w:t>
      </w:r>
      <w:r>
        <w:rPr>
          <w:rFonts w:hint="eastAsia" w:ascii="Times New Roman" w:hAnsi="Times New Roman" w:eastAsia="仿宋_GB2312" w:cs="仿宋_GB2312"/>
          <w:color w:val="auto"/>
          <w:kern w:val="2"/>
          <w:sz w:val="32"/>
          <w:szCs w:val="32"/>
          <w:highlight w:val="none"/>
          <w:lang w:val="en-US" w:eastAsia="zh-CN" w:bidi="ar-SA"/>
        </w:rPr>
        <w:t>算数小于/等于预算数的主要原因是</w:t>
      </w:r>
      <w:r>
        <w:rPr>
          <w:rFonts w:hint="eastAsia" w:eastAsia="仿宋_GB2312" w:cs="仿宋_GB2312"/>
          <w:color w:val="auto"/>
          <w:kern w:val="2"/>
          <w:sz w:val="32"/>
          <w:szCs w:val="32"/>
          <w:highlight w:val="none"/>
          <w:lang w:val="en-US" w:eastAsia="zh-CN" w:bidi="ar-SA"/>
        </w:rPr>
        <w:t>无。</w:t>
      </w:r>
    </w:p>
    <w:p w14:paraId="730235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5.社会保障和就业（类）</w:t>
      </w:r>
      <w:r>
        <w:rPr>
          <w:rFonts w:hint="eastAsia" w:ascii="仿宋_GB2312" w:hAnsi="仿宋_GB2312" w:eastAsia="仿宋_GB2312" w:cs="仿宋_GB2312"/>
          <w:sz w:val="32"/>
          <w:szCs w:val="32"/>
          <w:lang w:val="en-US" w:eastAsia="zh-CN"/>
        </w:rPr>
        <w:t>208（款）05（项）：支出决算为</w:t>
      </w:r>
      <w:r>
        <w:rPr>
          <w:rFonts w:hint="default" w:ascii="仿宋_GB2312" w:hAnsi="仿宋_GB2312" w:eastAsia="仿宋_GB2312" w:cs="仿宋_GB2312"/>
          <w:sz w:val="32"/>
          <w:szCs w:val="32"/>
          <w:lang w:val="en-US" w:eastAsia="zh-CN"/>
        </w:rPr>
        <w:t>69.14</w:t>
      </w:r>
      <w:r>
        <w:rPr>
          <w:rFonts w:hint="eastAsia" w:ascii="仿宋_GB2312" w:hAnsi="仿宋_GB2312" w:eastAsia="仿宋_GB2312" w:cs="仿宋_GB2312"/>
          <w:sz w:val="32"/>
          <w:szCs w:val="32"/>
          <w:lang w:val="en-US" w:eastAsia="zh-CN"/>
        </w:rPr>
        <w:t>万元，完成预算100%，</w:t>
      </w:r>
      <w:r>
        <w:rPr>
          <w:rFonts w:hint="eastAsia" w:ascii="Times New Roman" w:hAnsi="Times New Roman" w:eastAsia="仿宋_GB2312" w:cs="仿宋_GB2312"/>
          <w:color w:val="auto"/>
          <w:kern w:val="2"/>
          <w:sz w:val="32"/>
          <w:szCs w:val="32"/>
          <w:highlight w:val="none"/>
          <w:lang w:val="en-US" w:eastAsia="zh-CN" w:bidi="ar-SA"/>
        </w:rPr>
        <w:t>决算数小于/等于预算数的主要原因是</w:t>
      </w:r>
      <w:r>
        <w:rPr>
          <w:rFonts w:hint="eastAsia" w:eastAsia="仿宋_GB2312" w:cs="仿宋_GB2312"/>
          <w:color w:val="auto"/>
          <w:kern w:val="2"/>
          <w:sz w:val="32"/>
          <w:szCs w:val="32"/>
          <w:highlight w:val="none"/>
          <w:lang w:val="en-US" w:eastAsia="zh-CN" w:bidi="ar-SA"/>
        </w:rPr>
        <w:t>无。</w:t>
      </w:r>
    </w:p>
    <w:p w14:paraId="57BE128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6.卫生健康（类）</w:t>
      </w:r>
      <w:r>
        <w:rPr>
          <w:rFonts w:hint="eastAsia" w:ascii="仿宋_GB2312" w:hAnsi="仿宋_GB2312" w:eastAsia="仿宋_GB2312" w:cs="仿宋_GB2312"/>
          <w:sz w:val="32"/>
          <w:szCs w:val="32"/>
          <w:lang w:val="en-US" w:eastAsia="zh-CN"/>
        </w:rPr>
        <w:t>210（款）01（项）：支出决算为</w:t>
      </w:r>
      <w:r>
        <w:rPr>
          <w:rFonts w:hint="default" w:ascii="仿宋_GB2312" w:hAnsi="仿宋_GB2312" w:eastAsia="仿宋_GB2312" w:cs="仿宋_GB2312"/>
          <w:sz w:val="32"/>
          <w:szCs w:val="32"/>
          <w:lang w:val="en-US" w:eastAsia="zh-CN"/>
        </w:rPr>
        <w:t>26.69</w:t>
      </w:r>
      <w:r>
        <w:rPr>
          <w:rFonts w:hint="eastAsia" w:ascii="仿宋_GB2312" w:hAnsi="仿宋_GB2312" w:eastAsia="仿宋_GB2312" w:cs="仿宋_GB2312"/>
          <w:sz w:val="32"/>
          <w:szCs w:val="32"/>
          <w:lang w:val="en-US" w:eastAsia="zh-CN"/>
        </w:rPr>
        <w:t>万元，完成预算100%</w:t>
      </w:r>
      <w:r>
        <w:rPr>
          <w:rFonts w:hint="eastAsia" w:ascii="Times New Roman" w:hAnsi="Times New Roman" w:eastAsia="仿宋_GB2312" w:cs="仿宋_GB2312"/>
          <w:color w:val="auto"/>
          <w:kern w:val="2"/>
          <w:sz w:val="32"/>
          <w:szCs w:val="32"/>
          <w:highlight w:val="none"/>
          <w:lang w:val="en-US" w:eastAsia="zh-CN" w:bidi="ar-SA"/>
        </w:rPr>
        <w:t>，决算数小于/等于预算数的主要原因是</w:t>
      </w:r>
      <w:r>
        <w:rPr>
          <w:rFonts w:hint="eastAsia" w:eastAsia="仿宋_GB2312" w:cs="仿宋_GB2312"/>
          <w:color w:val="auto"/>
          <w:kern w:val="2"/>
          <w:sz w:val="32"/>
          <w:szCs w:val="32"/>
          <w:highlight w:val="none"/>
          <w:lang w:val="en-US" w:eastAsia="zh-CN" w:bidi="ar-SA"/>
        </w:rPr>
        <w:t>无。</w:t>
      </w:r>
    </w:p>
    <w:p w14:paraId="0913AB3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7.住房保障（类）</w:t>
      </w:r>
      <w:r>
        <w:rPr>
          <w:rFonts w:hint="eastAsia" w:ascii="仿宋_GB2312" w:hAnsi="仿宋_GB2312" w:eastAsia="仿宋_GB2312" w:cs="仿宋_GB2312"/>
          <w:sz w:val="32"/>
          <w:szCs w:val="32"/>
          <w:lang w:val="en-US" w:eastAsia="zh-CN"/>
        </w:rPr>
        <w:t>221（款）02（项）: 支出决算为37.</w:t>
      </w:r>
      <w:r>
        <w:rPr>
          <w:rFonts w:hint="default" w:ascii="仿宋_GB2312" w:hAnsi="仿宋_GB2312" w:eastAsia="仿宋_GB2312" w:cs="仿宋_GB2312"/>
          <w:sz w:val="32"/>
          <w:szCs w:val="32"/>
          <w:lang w:val="en-US" w:eastAsia="zh-CN"/>
        </w:rPr>
        <w:t>77</w:t>
      </w:r>
      <w:r>
        <w:rPr>
          <w:rFonts w:hint="eastAsia" w:ascii="仿宋_GB2312" w:hAnsi="仿宋_GB2312" w:eastAsia="仿宋_GB2312" w:cs="仿宋_GB2312"/>
          <w:sz w:val="32"/>
          <w:szCs w:val="32"/>
          <w:lang w:val="en-US" w:eastAsia="zh-CN"/>
        </w:rPr>
        <w:t>万元，完成预算100%</w:t>
      </w:r>
      <w:r>
        <w:rPr>
          <w:rFonts w:hint="eastAsia" w:ascii="Times New Roman" w:hAnsi="Times New Roman" w:eastAsia="仿宋_GB2312" w:cs="仿宋_GB2312"/>
          <w:color w:val="auto"/>
          <w:kern w:val="2"/>
          <w:sz w:val="32"/>
          <w:szCs w:val="32"/>
          <w:highlight w:val="none"/>
          <w:lang w:val="en-US" w:eastAsia="zh-CN" w:bidi="ar-SA"/>
        </w:rPr>
        <w:t>，决算数小于/等于预算数的主要原因是无。</w:t>
      </w:r>
    </w:p>
    <w:p w14:paraId="61B4EE30">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14:paraId="3AD755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EBC78C3">
      <w:pPr>
        <w:tabs>
          <w:tab w:val="right" w:pos="8306"/>
        </w:tabs>
        <w:spacing w:line="600" w:lineRule="exact"/>
        <w:ind w:firstLine="640"/>
        <w:outlineLvl w:val="1"/>
        <w:rPr>
          <w:rStyle w:val="33"/>
          <w:rFonts w:ascii="Times New Roman" w:hAnsi="Times New Roman"/>
          <w:color w:val="auto"/>
          <w:highlight w:val="none"/>
        </w:rPr>
      </w:pPr>
      <w:bookmarkStart w:id="28" w:name="_Toc15396608"/>
      <w:bookmarkStart w:id="29"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3"/>
          <w:rFonts w:hint="eastAsia" w:ascii="Times New Roman" w:hAnsi="Times New Roman" w:eastAsia="黑体"/>
          <w:b w:val="0"/>
          <w:color w:val="auto"/>
          <w:highlight w:val="none"/>
        </w:rPr>
        <w:t>般公共预算财政拨款基本支出决算情况说明</w:t>
      </w:r>
      <w:bookmarkEnd w:id="28"/>
      <w:bookmarkEnd w:id="29"/>
      <w:r>
        <w:rPr>
          <w:rStyle w:val="33"/>
          <w:rFonts w:ascii="Times New Roman" w:hAnsi="Times New Roman" w:eastAsia="黑体"/>
          <w:b w:val="0"/>
          <w:color w:val="auto"/>
          <w:highlight w:val="none"/>
        </w:rPr>
        <w:tab/>
      </w:r>
    </w:p>
    <w:p w14:paraId="56CC04D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lang w:val="en-US" w:eastAsia="zh-CN"/>
        </w:rPr>
        <w:t>202</w:t>
      </w:r>
      <w:r>
        <w:rPr>
          <w:rFonts w:hint="default" w:ascii="仿宋_GB2312" w:hAnsi="仿宋_GB2312" w:eastAsia="仿宋_GB2312" w:cs="仿宋_GB2312"/>
          <w:sz w:val="32"/>
          <w:szCs w:val="32"/>
          <w:lang w:val="en-US" w:eastAsia="zh-CN"/>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default" w:ascii="仿宋_GB2312" w:hAnsi="仿宋_GB2312" w:eastAsia="仿宋_GB2312" w:cs="仿宋_GB2312"/>
          <w:sz w:val="32"/>
          <w:szCs w:val="32"/>
          <w:lang w:val="en-US"/>
        </w:rPr>
        <w:t>549.91</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46ACB9F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default" w:ascii="仿宋_GB2312" w:hAnsi="仿宋_GB2312" w:eastAsia="仿宋_GB2312" w:cs="仿宋_GB2312"/>
          <w:sz w:val="32"/>
          <w:szCs w:val="32"/>
          <w:lang w:val="en-US"/>
        </w:rPr>
        <w:t>516.72</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default" w:ascii="仿宋_GB2312" w:hAnsi="仿宋_GB2312" w:eastAsia="仿宋_GB2312" w:cs="仿宋_GB2312"/>
          <w:sz w:val="32"/>
          <w:szCs w:val="32"/>
          <w:lang w:val="en-US"/>
        </w:rPr>
        <w:t>33.1</w:t>
      </w:r>
      <w:r>
        <w:rPr>
          <w:rFonts w:hint="eastAsia" w:ascii="仿宋_GB2312" w:hAnsi="仿宋_GB2312" w:eastAsia="仿宋_GB2312" w:cs="仿宋_GB2312"/>
          <w:sz w:val="32"/>
          <w:szCs w:val="32"/>
        </w:rPr>
        <w:t>9</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3152DF66">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4765A13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D6B4C48">
      <w:pPr>
        <w:spacing w:line="600" w:lineRule="exact"/>
        <w:ind w:firstLine="640"/>
        <w:outlineLvl w:val="1"/>
        <w:rPr>
          <w:rStyle w:val="33"/>
          <w:rFonts w:ascii="Times New Roman" w:hAnsi="Times New Roman" w:eastAsia="黑体"/>
          <w:b w:val="0"/>
          <w:color w:val="auto"/>
          <w:highlight w:val="none"/>
        </w:rPr>
      </w:pPr>
      <w:bookmarkStart w:id="30" w:name="_Toc15377215"/>
      <w:bookmarkStart w:id="31" w:name="_Toc15396609"/>
      <w:r>
        <w:rPr>
          <w:rFonts w:hint="eastAsia" w:ascii="Times New Roman" w:hAnsi="Times New Roman" w:eastAsia="黑体"/>
          <w:color w:val="auto"/>
          <w:sz w:val="32"/>
          <w:szCs w:val="32"/>
          <w:highlight w:val="none"/>
        </w:rPr>
        <w:t>七、</w:t>
      </w:r>
      <w:r>
        <w:rPr>
          <w:rStyle w:val="33"/>
          <w:rFonts w:hint="eastAsia" w:ascii="Times New Roman" w:hAnsi="Times New Roman" w:eastAsia="黑体"/>
          <w:b w:val="0"/>
          <w:color w:val="auto"/>
          <w:highlight w:val="none"/>
        </w:rPr>
        <w:t>财政拨款</w:t>
      </w:r>
      <w:r>
        <w:rPr>
          <w:rStyle w:val="33"/>
          <w:rFonts w:hint="eastAsia" w:ascii="Times New Roman" w:hAnsi="Times New Roman" w:eastAsia="黑体"/>
          <w:color w:val="auto"/>
          <w:highlight w:val="none"/>
        </w:rPr>
        <w:t>“</w:t>
      </w:r>
      <w:r>
        <w:rPr>
          <w:rStyle w:val="33"/>
          <w:rFonts w:hint="eastAsia" w:ascii="Times New Roman" w:hAnsi="Times New Roman" w:eastAsia="黑体"/>
          <w:b w:val="0"/>
          <w:color w:val="auto"/>
          <w:highlight w:val="none"/>
        </w:rPr>
        <w:t>三公”经费支出决算情况说明</w:t>
      </w:r>
      <w:bookmarkEnd w:id="30"/>
      <w:bookmarkEnd w:id="31"/>
    </w:p>
    <w:p w14:paraId="0069443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32"/>
    </w:p>
    <w:p w14:paraId="6B7A342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lang w:val="en-US" w:eastAsia="zh-CN"/>
        </w:rPr>
        <w:t>202</w:t>
      </w:r>
      <w:r>
        <w:rPr>
          <w:rFonts w:hint="default"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en-US" w:eastAsia="zh-CN"/>
        </w:rPr>
        <w:t>年度</w:t>
      </w:r>
      <w:r>
        <w:rPr>
          <w:rFonts w:hint="eastAsia" w:ascii="Times New Roman" w:hAnsi="Times New Roman" w:eastAsia="仿宋_GB2312" w:cs="仿宋_GB2312"/>
          <w:color w:val="auto"/>
          <w:kern w:val="2"/>
          <w:sz w:val="32"/>
          <w:szCs w:val="32"/>
          <w:highlight w:val="none"/>
          <w:lang w:val="en-US" w:eastAsia="zh-CN" w:bidi="ar-SA"/>
        </w:rPr>
        <w:t>“三公”经费财政拨款支出决算为</w:t>
      </w:r>
      <w:r>
        <w:rPr>
          <w:rFonts w:hint="default" w:ascii="仿宋_GB2312" w:hAnsi="仿宋_GB2312" w:eastAsia="仿宋_GB2312" w:cs="仿宋_GB2312"/>
          <w:sz w:val="32"/>
          <w:szCs w:val="32"/>
          <w:lang w:val="en-US"/>
        </w:rPr>
        <w:t>44.25</w:t>
      </w:r>
      <w:r>
        <w:rPr>
          <w:rFonts w:hint="eastAsia" w:ascii="仿宋_GB2312" w:hAnsi="仿宋_GB2312" w:eastAsia="仿宋_GB2312" w:cs="仿宋_GB2312"/>
          <w:color w:val="auto"/>
          <w:kern w:val="2"/>
          <w:sz w:val="32"/>
          <w:szCs w:val="32"/>
          <w:highlight w:val="none"/>
          <w:lang w:val="en-US" w:eastAsia="zh-CN" w:bidi="ar-SA"/>
        </w:rPr>
        <w:t>万元，完成预算</w:t>
      </w:r>
      <w:r>
        <w:rPr>
          <w:rFonts w:hint="default" w:ascii="仿宋_GB2312" w:hAnsi="仿宋_GB2312" w:eastAsia="仿宋_GB2312" w:cs="仿宋_GB2312"/>
          <w:sz w:val="32"/>
          <w:szCs w:val="32"/>
          <w:lang w:val="en-US"/>
        </w:rPr>
        <w:t>95.97</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增加</w:t>
      </w:r>
      <w:r>
        <w:rPr>
          <w:rFonts w:hint="eastAsia" w:ascii="仿宋_GB2312" w:hAnsi="仿宋_GB2312" w:eastAsia="仿宋_GB2312" w:cs="仿宋_GB2312"/>
          <w:sz w:val="32"/>
          <w:szCs w:val="32"/>
          <w:lang w:val="en-US" w:eastAsia="zh-CN"/>
        </w:rPr>
        <w:t>37.54万元，增长559.46%。决算数小于预算数（或与预算数持平）的主</w:t>
      </w:r>
      <w:r>
        <w:rPr>
          <w:rFonts w:hint="eastAsia" w:ascii="Times New Roman" w:hAnsi="Times New Roman" w:eastAsia="仿宋_GB2312" w:cs="仿宋_GB2312"/>
          <w:color w:val="auto"/>
          <w:kern w:val="2"/>
          <w:sz w:val="32"/>
          <w:szCs w:val="32"/>
          <w:highlight w:val="none"/>
          <w:lang w:val="en-US" w:eastAsia="zh-CN" w:bidi="ar-SA"/>
        </w:rPr>
        <w:t>要原因是</w:t>
      </w:r>
      <w:r>
        <w:rPr>
          <w:rFonts w:hint="eastAsia" w:ascii="仿宋" w:eastAsia="仿宋"/>
          <w:sz w:val="32"/>
          <w:szCs w:val="32"/>
          <w:lang w:val="en-US" w:eastAsia="zh-CN"/>
        </w:rPr>
        <w:t>“三公”经费压减，</w:t>
      </w:r>
      <w:r>
        <w:rPr>
          <w:rStyle w:val="22"/>
          <w:rFonts w:hint="eastAsia" w:ascii="仿宋" w:eastAsia="仿宋"/>
          <w:b w:val="0"/>
          <w:bCs/>
          <w:sz w:val="32"/>
          <w:szCs w:val="32"/>
          <w:lang w:eastAsia="zh-CN"/>
        </w:rPr>
        <w:t>因此本单位在本年度预算执行数小于“三公”经费支出预算。</w:t>
      </w:r>
    </w:p>
    <w:p w14:paraId="735BD686">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w:t>
      </w:r>
    </w:p>
    <w:p w14:paraId="59AA328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33"/>
    </w:p>
    <w:p w14:paraId="36881B7E">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lang w:val="en-US" w:eastAsia="zh-CN"/>
        </w:rPr>
        <w:t>44.11</w:t>
      </w:r>
      <w:r>
        <w:rPr>
          <w:rFonts w:hint="eastAsia" w:ascii="仿宋_GB2312" w:hAnsi="仿宋_GB2312" w:eastAsia="仿宋_GB2312" w:cs="仿宋_GB2312"/>
          <w:color w:val="auto"/>
          <w:kern w:val="2"/>
          <w:sz w:val="32"/>
          <w:szCs w:val="32"/>
          <w:highlight w:val="none"/>
          <w:lang w:val="en-US" w:eastAsia="zh-CN" w:bidi="ar-SA"/>
        </w:rPr>
        <w:t>万元，占99.68%；公务接待费支出决算</w:t>
      </w:r>
      <w:r>
        <w:rPr>
          <w:rFonts w:hint="eastAsia" w:ascii="仿宋_GB2312" w:hAnsi="仿宋_GB2312" w:eastAsia="仿宋_GB2312" w:cs="仿宋_GB2312"/>
          <w:sz w:val="32"/>
          <w:szCs w:val="32"/>
          <w:lang w:val="en-US" w:eastAsia="zh-CN"/>
        </w:rPr>
        <w:t>0.14</w:t>
      </w:r>
      <w:r>
        <w:rPr>
          <w:rFonts w:hint="eastAsia" w:ascii="仿宋_GB2312" w:hAnsi="仿宋_GB2312" w:eastAsia="仿宋_GB2312" w:cs="仿宋_GB2312"/>
          <w:color w:val="auto"/>
          <w:kern w:val="2"/>
          <w:sz w:val="32"/>
          <w:szCs w:val="32"/>
          <w:highlight w:val="none"/>
          <w:lang w:val="en-US" w:eastAsia="zh-CN" w:bidi="ar-SA"/>
        </w:rPr>
        <w:t>万元，占0.32%。具体情况如下：</w:t>
      </w:r>
    </w:p>
    <w:p w14:paraId="0B9FD7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56EA4A65">
      <w:pPr>
        <w:pStyle w:val="6"/>
        <w:rPr>
          <w:rFonts w:hint="eastAsia"/>
          <w:lang w:val="en-US" w:eastAsia="zh-CN"/>
        </w:rPr>
      </w:pPr>
      <w:r>
        <w:rPr>
          <w:rFonts w:hint="eastAsia" w:ascii="仿宋" w:eastAsia="仿宋"/>
          <w:sz w:val="32"/>
          <w:szCs w:val="32"/>
          <w:lang w:eastAsia="zh-CN"/>
        </w:rPr>
        <w:object>
          <v:shape id="_x0000_i1029" o:spt="75" alt="oleetimg_1757308448445622_187651735351040" type="#_x0000_t75" style="height:323.25pt;width:406.5pt;" o:ole="t" filled="f" o:preferrelative="t" stroked="f" coordsize="21600,21600">
            <v:path/>
            <v:fill on="f" focussize="0,0"/>
            <v:stroke on="f"/>
            <v:imagedata r:id="rId19" o:title="oleetimg_1786069085310940_187650981865984"/>
            <o:lock v:ext="edit" aspectratio="t"/>
            <w10:wrap type="none"/>
            <w10:anchorlock/>
          </v:shape>
          <o:OLEObject Type="Embed" ProgID="excel.sheet.8" ShapeID="_x0000_i1029" DrawAspect="Content" ObjectID="_1468075729" r:id="rId18">
            <o:LockedField>false</o:LockedField>
          </o:OLEObject>
        </w:object>
      </w:r>
    </w:p>
    <w:p w14:paraId="260EE47B">
      <w:pPr>
        <w:spacing w:line="600" w:lineRule="exact"/>
        <w:ind w:firstLine="640"/>
        <w:rPr>
          <w:rFonts w:hint="eastAsia" w:ascii="CESI仿宋-GB2312" w:hAnsi="CESI仿宋-GB2312" w:eastAsia="CESI仿宋-GB2312" w:cs="CESI仿宋-GB2312"/>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ascii="Times New Roman" w:hAnsi="Times New Roman"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w:t>
      </w:r>
      <w:r>
        <w:rPr>
          <w:rFonts w:hint="eastAsia" w:ascii="CESI仿宋-GB2312" w:hAnsi="CESI仿宋-GB2312" w:eastAsia="CESI仿宋-GB2312" w:cs="CESI仿宋-GB2312"/>
          <w:color w:val="auto"/>
          <w:kern w:val="2"/>
          <w:sz w:val="32"/>
          <w:szCs w:val="32"/>
          <w:highlight w:val="none"/>
          <w:lang w:val="en-US" w:eastAsia="zh-CN" w:bidi="ar-SA"/>
        </w:rPr>
        <w:t>2023年增加/减少0万元，增长/下降0%。主要原因是无。</w:t>
      </w:r>
    </w:p>
    <w:p w14:paraId="42DF5A8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（团组名称、出访地点、取得成效等）</w:t>
      </w:r>
    </w:p>
    <w:p w14:paraId="2DF33D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2.</w:t>
      </w:r>
      <w:r>
        <w:rPr>
          <w:rFonts w:hint="eastAsia" w:ascii="Times New Roman" w:hAnsi="Times New Roman" w:eastAsia="仿宋_GB2312" w:cs="仿宋_GB2312"/>
          <w:b/>
          <w:bCs/>
          <w:color w:val="auto"/>
          <w:kern w:val="2"/>
          <w:sz w:val="32"/>
          <w:szCs w:val="32"/>
          <w:highlight w:val="none"/>
          <w:lang w:val="en-US" w:eastAsia="zh-CN" w:bidi="ar-SA"/>
        </w:rPr>
        <w:t>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44.11万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ascii="CESI仿宋-GB2312" w:hAnsi="CESI仿宋-GB2312" w:eastAsia="CESI仿宋-GB2312" w:cs="CESI仿宋-GB2312"/>
          <w:color w:val="auto"/>
          <w:kern w:val="2"/>
          <w:sz w:val="32"/>
          <w:szCs w:val="32"/>
          <w:highlight w:val="none"/>
          <w:lang w:val="en-US" w:eastAsia="zh-CN" w:bidi="ar-SA"/>
        </w:rPr>
        <w:t>97.94%</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w:t>
      </w:r>
      <w:r>
        <w:rPr>
          <w:rFonts w:hint="eastAsia" w:ascii="CESI仿宋-GB2312" w:hAnsi="CESI仿宋-GB2312" w:eastAsia="CESI仿宋-GB2312" w:cs="CESI仿宋-GB2312"/>
          <w:color w:val="auto"/>
          <w:kern w:val="2"/>
          <w:sz w:val="32"/>
          <w:szCs w:val="32"/>
          <w:highlight w:val="none"/>
          <w:lang w:val="en-US" w:eastAsia="zh-CN" w:bidi="ar-SA"/>
        </w:rPr>
        <w:t>决算比2024年度增加37.7万元，增长588%。主要原因是</w:t>
      </w:r>
      <w:r>
        <w:rPr>
          <w:rFonts w:hint="eastAsia" w:ascii="仿宋_GB2312" w:eastAsia="仿宋_GB2312"/>
          <w:color w:val="auto"/>
          <w:sz w:val="32"/>
          <w:szCs w:val="32"/>
          <w:highlight w:val="none"/>
          <w:lang w:val="en-US" w:eastAsia="zh-CN"/>
        </w:rPr>
        <w:t>2025年</w:t>
      </w:r>
      <w:r>
        <w:rPr>
          <w:rFonts w:hint="eastAsia" w:ascii="仿宋" w:eastAsia="仿宋"/>
          <w:sz w:val="32"/>
          <w:szCs w:val="32"/>
          <w:lang w:val="en-US" w:eastAsia="zh-CN"/>
        </w:rPr>
        <w:t>“三公”经费中购置公务车一辆，</w:t>
      </w:r>
      <w:r>
        <w:rPr>
          <w:rStyle w:val="22"/>
          <w:rFonts w:hint="eastAsia" w:ascii="仿宋" w:eastAsia="仿宋"/>
          <w:b w:val="0"/>
          <w:bCs/>
          <w:sz w:val="32"/>
          <w:szCs w:val="32"/>
          <w:lang w:eastAsia="zh-CN"/>
        </w:rPr>
        <w:t>因此本单位在本年度预算执行数较上年增长了“三公”经费支出预算。</w:t>
      </w:r>
    </w:p>
    <w:p w14:paraId="77BD40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lang w:val="en-US" w:eastAsia="zh-CN"/>
        </w:rPr>
        <w:t>39.65</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ascii="CESI仿宋-GB2312" w:hAnsi="CESI仿宋-GB2312" w:eastAsia="CESI仿宋-GB2312" w:cs="CESI仿宋-GB2312"/>
          <w:color w:val="auto"/>
          <w:kern w:val="2"/>
          <w:sz w:val="32"/>
          <w:szCs w:val="32"/>
          <w:highlight w:val="none"/>
          <w:lang w:val="en-US" w:eastAsia="zh-CN" w:bidi="ar-SA"/>
        </w:rPr>
        <w:t>1辆，其中：轿车0辆、金额0万元，越野车1辆、金额0万元，载客汽车0辆、金额0万元，主要用于本单位考古调查和日常使用。截至2025年12月31日，单位共有公务用车1辆，其中：轿车0辆、越野车1辆、载客汽车0辆。</w:t>
      </w:r>
    </w:p>
    <w:p w14:paraId="5D6B817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lang w:val="en-US" w:eastAsia="zh-CN"/>
        </w:rPr>
        <w:t>4.46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eastAsia="仿宋_GB2312"/>
          <w:sz w:val="32"/>
          <w:szCs w:val="32"/>
          <w:lang w:val="en-US" w:eastAsia="zh-CN"/>
        </w:rPr>
        <w:t>到各考古地</w:t>
      </w:r>
      <w:r>
        <w:rPr>
          <w:rFonts w:hint="eastAsia" w:ascii="仿宋_GB2312" w:eastAsia="仿宋_GB2312"/>
          <w:sz w:val="32"/>
          <w:szCs w:val="32"/>
        </w:rPr>
        <w:t>所需的公务用车燃料费、维修费、过路过桥费、保险费等支出。公务用车运行维护费支出决算比</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val="en-US" w:eastAsia="zh-CN"/>
        </w:rPr>
        <w:t>6.41万元，减少1.95</w:t>
      </w:r>
      <w:r>
        <w:rPr>
          <w:rFonts w:hint="eastAsia" w:ascii="仿宋_GB2312" w:eastAsia="仿宋_GB2312"/>
          <w:sz w:val="32"/>
          <w:szCs w:val="32"/>
        </w:rPr>
        <w:t>万元，</w:t>
      </w:r>
      <w:r>
        <w:rPr>
          <w:rFonts w:hint="eastAsia" w:ascii="仿宋_GB2312" w:eastAsia="仿宋_GB2312"/>
          <w:sz w:val="32"/>
          <w:szCs w:val="32"/>
          <w:lang w:eastAsia="zh-CN"/>
        </w:rPr>
        <w:t>下降</w:t>
      </w:r>
      <w:r>
        <w:rPr>
          <w:rFonts w:hint="eastAsia" w:ascii="仿宋_GB2312" w:eastAsia="仿宋_GB2312"/>
          <w:sz w:val="32"/>
          <w:szCs w:val="32"/>
          <w:lang w:val="en-US" w:eastAsia="zh-CN"/>
        </w:rPr>
        <w:t>30.42</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color w:val="auto"/>
          <w:sz w:val="32"/>
          <w:szCs w:val="32"/>
          <w:highlight w:val="none"/>
          <w:lang w:val="en-US" w:eastAsia="zh-CN"/>
        </w:rPr>
        <w:t>2025年</w:t>
      </w:r>
      <w:r>
        <w:rPr>
          <w:rFonts w:hint="eastAsia" w:ascii="仿宋" w:eastAsia="仿宋"/>
          <w:sz w:val="32"/>
          <w:szCs w:val="32"/>
          <w:lang w:val="en-US" w:eastAsia="zh-CN"/>
        </w:rPr>
        <w:t>“三公”经费压减</w:t>
      </w:r>
      <w:r>
        <w:rPr>
          <w:rFonts w:hint="eastAsia" w:ascii="仿宋_GB2312" w:eastAsia="仿宋_GB2312"/>
          <w:sz w:val="32"/>
          <w:szCs w:val="32"/>
        </w:rPr>
        <w:t>。</w:t>
      </w:r>
    </w:p>
    <w:p w14:paraId="3AE7151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3.</w:t>
      </w: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0.14万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ascii="仿宋_GB2312" w:hAnsi="仿宋_GB2312" w:eastAsia="仿宋_GB2312" w:cs="仿宋_GB2312"/>
          <w:b/>
          <w:bCs/>
          <w:color w:val="auto"/>
          <w:kern w:val="2"/>
          <w:sz w:val="32"/>
          <w:szCs w:val="32"/>
          <w:highlight w:val="none"/>
          <w:lang w:val="en-US" w:eastAsia="zh-CN" w:bidi="ar-SA"/>
        </w:rPr>
        <w:t>13.08%</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ascii="仿宋_GB2312" w:eastAsia="仿宋_GB2312"/>
          <w:sz w:val="32"/>
          <w:szCs w:val="32"/>
          <w:lang w:val="en-US" w:eastAsia="zh-CN"/>
        </w:rPr>
        <w:t>2024年度减少0.16万元，下降53.33%</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eastAsia="仿宋_GB2312"/>
          <w:color w:val="auto"/>
          <w:sz w:val="32"/>
          <w:szCs w:val="32"/>
          <w:highlight w:val="none"/>
          <w:lang w:val="en-US" w:eastAsia="zh-CN"/>
        </w:rPr>
        <w:t>2025年</w:t>
      </w:r>
      <w:r>
        <w:rPr>
          <w:rFonts w:hint="eastAsia" w:ascii="仿宋" w:eastAsia="仿宋"/>
          <w:sz w:val="32"/>
          <w:szCs w:val="32"/>
          <w:lang w:val="en-US" w:eastAsia="zh-CN"/>
        </w:rPr>
        <w:t>三公”经费压减</w:t>
      </w:r>
      <w:r>
        <w:rPr>
          <w:rFonts w:hint="eastAsia" w:ascii="Times New Roman" w:hAnsi="Times New Roman" w:eastAsia="仿宋_GB2312" w:cs="仿宋_GB2312"/>
          <w:color w:val="auto"/>
          <w:kern w:val="2"/>
          <w:sz w:val="32"/>
          <w:szCs w:val="32"/>
          <w:highlight w:val="none"/>
          <w:lang w:val="en-US" w:eastAsia="zh-CN" w:bidi="ar-SA"/>
        </w:rPr>
        <w:t>。其中：</w:t>
      </w:r>
    </w:p>
    <w:p w14:paraId="2062CCB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元，主要用于执行公务、开展业务活动开支的交通费、住宿费、用餐费等。国内公务接</w:t>
      </w:r>
      <w:r>
        <w:rPr>
          <w:rFonts w:hint="eastAsia" w:ascii="仿宋_GB2312" w:hAnsi="仿宋_GB2312" w:eastAsia="仿宋_GB2312" w:cs="仿宋_GB2312"/>
          <w:color w:val="auto"/>
          <w:kern w:val="2"/>
          <w:sz w:val="32"/>
          <w:szCs w:val="32"/>
          <w:highlight w:val="none"/>
          <w:lang w:val="en-US" w:eastAsia="zh-CN" w:bidi="ar-SA"/>
        </w:rPr>
        <w:t>待1批次，</w:t>
      </w:r>
      <w:r>
        <w:rPr>
          <w:rFonts w:hint="eastAsia" w:ascii="仿宋_GB2312" w:hAnsi="仿宋_GB2312" w:eastAsia="仿宋_GB2312" w:cs="仿宋_GB2312"/>
          <w:sz w:val="32"/>
          <w:szCs w:val="32"/>
          <w:lang w:val="en-US" w:eastAsia="zh-CN"/>
        </w:rPr>
        <w:t>12</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ascii="仿宋_GB2312" w:hAnsi="仿宋_GB2312" w:eastAsia="仿宋_GB2312" w:cs="仿宋_GB2312"/>
          <w:sz w:val="32"/>
          <w:szCs w:val="32"/>
          <w:lang w:val="en-US" w:eastAsia="zh-CN"/>
        </w:rPr>
        <w:t>0.14万元，</w:t>
      </w:r>
      <w:r>
        <w:rPr>
          <w:rFonts w:hint="eastAsia" w:ascii="Times New Roman" w:hAnsi="Times New Roman" w:eastAsia="仿宋_GB2312" w:cs="仿宋_GB2312"/>
          <w:color w:val="auto"/>
          <w:kern w:val="2"/>
          <w:sz w:val="32"/>
          <w:szCs w:val="32"/>
          <w:highlight w:val="none"/>
          <w:lang w:val="en-US" w:eastAsia="zh-CN" w:bidi="ar-SA"/>
        </w:rPr>
        <w:t>具体内容包括：</w:t>
      </w:r>
      <w:r>
        <w:rPr>
          <w:rFonts w:hint="eastAsia" w:eastAsia="仿宋_GB2312" w:cs="仿宋_GB2312"/>
          <w:color w:val="auto"/>
          <w:kern w:val="2"/>
          <w:sz w:val="32"/>
          <w:szCs w:val="32"/>
          <w:highlight w:val="none"/>
          <w:lang w:val="en-US" w:eastAsia="zh-CN" w:bidi="ar-SA"/>
        </w:rPr>
        <w:t>接待吉林省磐石市红石砬子抗日根据地展览开幕接待</w:t>
      </w:r>
      <w:r>
        <w:rPr>
          <w:rFonts w:hint="eastAsia" w:ascii="仿宋_GB2312" w:hAnsi="仿宋_GB2312" w:eastAsia="仿宋_GB2312" w:cs="仿宋_GB2312"/>
          <w:sz w:val="32"/>
          <w:szCs w:val="32"/>
          <w:lang w:val="en-US" w:eastAsia="zh-CN"/>
        </w:rPr>
        <w:t>0.14</w:t>
      </w:r>
      <w:r>
        <w:rPr>
          <w:rFonts w:hint="eastAsia" w:ascii="Times New Roman" w:hAnsi="Times New Roman" w:eastAsia="仿宋_GB2312" w:cs="仿宋_GB2312"/>
          <w:color w:val="auto"/>
          <w:kern w:val="2"/>
          <w:sz w:val="32"/>
          <w:szCs w:val="32"/>
          <w:highlight w:val="none"/>
          <w:lang w:val="en-US" w:eastAsia="zh-CN" w:bidi="ar-SA"/>
        </w:rPr>
        <w:t>万元。</w:t>
      </w:r>
    </w:p>
    <w:p w14:paraId="18021F0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万元，主要用于无（具体项目）。外事接待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p>
    <w:p w14:paraId="71B2405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4" w:name="_Toc15396610"/>
      <w:bookmarkStart w:id="35" w:name="_Toc15377218"/>
    </w:p>
    <w:p w14:paraId="1B932162">
      <w:pPr>
        <w:spacing w:line="600" w:lineRule="exact"/>
        <w:ind w:firstLine="640"/>
        <w:outlineLvl w:val="1"/>
        <w:rPr>
          <w:rStyle w:val="33"/>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3"/>
          <w:rFonts w:hint="eastAsia" w:ascii="Times New Roman" w:hAnsi="Times New Roman" w:eastAsia="黑体"/>
          <w:b w:val="0"/>
          <w:color w:val="auto"/>
          <w:highlight w:val="none"/>
        </w:rPr>
        <w:t>政府性基金预算支出决算情况说明</w:t>
      </w:r>
      <w:bookmarkEnd w:id="34"/>
      <w:bookmarkEnd w:id="35"/>
    </w:p>
    <w:p w14:paraId="21AE12E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ascii="仿宋_GB2312" w:hAnsi="仿宋_GB2312" w:eastAsia="仿宋_GB2312" w:cs="仿宋_GB2312"/>
          <w:color w:val="auto"/>
          <w:kern w:val="2"/>
          <w:sz w:val="32"/>
          <w:szCs w:val="32"/>
          <w:highlight w:val="none"/>
          <w:lang w:val="en-US" w:eastAsia="zh-CN" w:bidi="ar-SA"/>
        </w:rPr>
        <w:t>2024年度</w:t>
      </w:r>
      <w:r>
        <w:rPr>
          <w:rFonts w:hint="eastAsia" w:ascii="Times New Roman" w:hAnsi="Times New Roman" w:eastAsia="仿宋_GB2312" w:cs="仿宋_GB2312"/>
          <w:color w:val="auto"/>
          <w:kern w:val="2"/>
          <w:sz w:val="32"/>
          <w:szCs w:val="32"/>
          <w:highlight w:val="none"/>
          <w:lang w:val="en-US" w:eastAsia="zh-CN" w:bidi="ar-SA"/>
        </w:rPr>
        <w:t>相比，政府性基金预算财政拨款支出</w:t>
      </w:r>
      <w:r>
        <w:rPr>
          <w:rFonts w:hint="eastAsia" w:ascii="仿宋_GB2312" w:hAnsi="仿宋_GB2312" w:eastAsia="仿宋_GB2312" w:cs="仿宋_GB2312"/>
          <w:color w:val="auto"/>
          <w:kern w:val="2"/>
          <w:sz w:val="32"/>
          <w:szCs w:val="32"/>
          <w:highlight w:val="none"/>
          <w:lang w:val="en-US" w:eastAsia="zh-CN" w:bidi="ar-SA"/>
        </w:rPr>
        <w:t>增加/减少0万元，增长/下降0%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51022D1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C1663C5">
      <w:pPr>
        <w:numPr>
          <w:ilvl w:val="0"/>
          <w:numId w:val="0"/>
        </w:numPr>
        <w:spacing w:line="600" w:lineRule="exact"/>
        <w:ind w:left="630" w:leftChars="0"/>
        <w:outlineLvl w:val="1"/>
        <w:rPr>
          <w:rStyle w:val="33"/>
          <w:rFonts w:ascii="Times New Roman" w:hAnsi="Times New Roman" w:eastAsia="黑体"/>
          <w:b w:val="0"/>
          <w:color w:val="auto"/>
          <w:highlight w:val="none"/>
        </w:rPr>
      </w:pPr>
      <w:bookmarkStart w:id="36" w:name="_Toc15377219"/>
      <w:bookmarkStart w:id="37" w:name="_Toc15396611"/>
      <w:r>
        <w:rPr>
          <w:rStyle w:val="33"/>
          <w:rFonts w:hint="eastAsia" w:ascii="Times New Roman" w:hAnsi="Times New Roman" w:eastAsia="黑体"/>
          <w:b w:val="0"/>
          <w:color w:val="auto"/>
          <w:highlight w:val="none"/>
          <w:lang w:eastAsia="zh-CN"/>
        </w:rPr>
        <w:t>九、</w:t>
      </w:r>
      <w:r>
        <w:rPr>
          <w:rStyle w:val="33"/>
          <w:rFonts w:hint="eastAsia" w:ascii="Times New Roman" w:hAnsi="Times New Roman" w:eastAsia="黑体"/>
          <w:b w:val="0"/>
          <w:color w:val="auto"/>
          <w:highlight w:val="none"/>
        </w:rPr>
        <w:t>国有资本经营预算支出决算情况说明</w:t>
      </w:r>
      <w:bookmarkEnd w:id="36"/>
      <w:bookmarkEnd w:id="37"/>
    </w:p>
    <w:p w14:paraId="4952736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w:t>
      </w:r>
      <w:r>
        <w:rPr>
          <w:rFonts w:hint="eastAsia" w:ascii="Times New Roman" w:hAnsi="Times New Roman" w:eastAsia="仿宋_GB2312" w:cs="仿宋_GB2312"/>
          <w:color w:val="auto"/>
          <w:kern w:val="2"/>
          <w:sz w:val="32"/>
          <w:szCs w:val="32"/>
          <w:highlight w:val="none"/>
          <w:lang w:val="en-US" w:eastAsia="zh-CN" w:bidi="ar-SA"/>
        </w:rPr>
        <w:t>度国有资本经营预算财政拨款支出</w:t>
      </w:r>
      <w:r>
        <w:rPr>
          <w:rFonts w:hint="eastAsia" w:ascii="仿宋_GB2312" w:hAnsi="仿宋_GB2312" w:eastAsia="仿宋_GB2312" w:cs="仿宋_GB2312"/>
          <w:color w:val="auto"/>
          <w:kern w:val="2"/>
          <w:sz w:val="32"/>
          <w:szCs w:val="32"/>
          <w:highlight w:val="none"/>
          <w:lang w:val="en-US" w:eastAsia="zh-CN" w:bidi="ar-SA"/>
        </w:rPr>
        <w:t>0万元，占本年支出合计的0%。与2024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相比，国有资本经营预算财政拨款支出增加/减少0万元，增长/下降0%。主</w:t>
      </w:r>
      <w:r>
        <w:rPr>
          <w:rFonts w:hint="eastAsia" w:ascii="Times New Roman" w:hAnsi="Times New Roman" w:eastAsia="仿宋_GB2312" w:cs="仿宋_GB2312"/>
          <w:color w:val="auto"/>
          <w:kern w:val="2"/>
          <w:sz w:val="32"/>
          <w:szCs w:val="32"/>
          <w:highlight w:val="none"/>
          <w:lang w:val="en-US" w:eastAsia="zh-CN" w:bidi="ar-SA"/>
        </w:rPr>
        <w:t>要变动原因是</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7DE590D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6558BF3">
      <w:pPr>
        <w:numPr>
          <w:ilvl w:val="0"/>
          <w:numId w:val="0"/>
        </w:numPr>
        <w:spacing w:line="600" w:lineRule="exact"/>
        <w:ind w:left="630" w:leftChars="0"/>
        <w:outlineLvl w:val="1"/>
        <w:rPr>
          <w:rStyle w:val="33"/>
          <w:rFonts w:hint="eastAsia" w:ascii="Times New Roman" w:hAnsi="Times New Roman" w:eastAsia="黑体"/>
          <w:b w:val="0"/>
          <w:color w:val="auto"/>
          <w:highlight w:val="none"/>
        </w:rPr>
      </w:pPr>
      <w:bookmarkStart w:id="38" w:name="_Toc15377221"/>
      <w:bookmarkStart w:id="39" w:name="_Toc15396612"/>
      <w:r>
        <w:rPr>
          <w:rStyle w:val="33"/>
          <w:rFonts w:hint="eastAsia" w:ascii="Times New Roman" w:hAnsi="Times New Roman" w:eastAsia="黑体"/>
          <w:b w:val="0"/>
          <w:color w:val="auto"/>
          <w:highlight w:val="none"/>
          <w:lang w:eastAsia="zh-CN"/>
        </w:rPr>
        <w:t>十、</w:t>
      </w:r>
      <w:r>
        <w:rPr>
          <w:rStyle w:val="33"/>
          <w:rFonts w:hint="eastAsia" w:ascii="Times New Roman" w:hAnsi="Times New Roman" w:eastAsia="黑体"/>
          <w:b w:val="0"/>
          <w:color w:val="auto"/>
          <w:highlight w:val="none"/>
        </w:rPr>
        <w:t>其他重要事项的情况说明</w:t>
      </w:r>
      <w:bookmarkEnd w:id="38"/>
      <w:bookmarkEnd w:id="39"/>
    </w:p>
    <w:p w14:paraId="5875504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515DCD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阿坝藏族羌族自治州文物考古研究所</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w:t>
      </w:r>
      <w:r>
        <w:rPr>
          <w:rFonts w:hint="eastAsia" w:ascii="仿宋_GB2312" w:hAnsi="仿宋_GB2312"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ascii="仿宋_GB2312" w:hAnsi="仿宋_GB2312" w:eastAsia="仿宋_GB2312" w:cs="仿宋_GB2312"/>
          <w:sz w:val="32"/>
          <w:szCs w:val="32"/>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ascii="仿宋_GB2312" w:hAnsi="仿宋_GB2312" w:eastAsia="仿宋_GB2312" w:cs="仿宋_GB2312"/>
          <w:color w:val="auto"/>
          <w:kern w:val="2"/>
          <w:sz w:val="32"/>
          <w:szCs w:val="32"/>
          <w:highlight w:val="none"/>
          <w:lang w:val="en-US" w:eastAsia="zh-CN" w:bidi="ar-SA"/>
        </w:rPr>
        <w:t>0%（或与2024</w:t>
      </w:r>
      <w:r>
        <w:rPr>
          <w:rFonts w:hint="eastAsia" w:ascii="Times New Roman" w:hAnsi="Times New Roman" w:eastAsia="仿宋_GB2312" w:cs="仿宋_GB2312"/>
          <w:color w:val="auto"/>
          <w:kern w:val="2"/>
          <w:sz w:val="32"/>
          <w:szCs w:val="32"/>
          <w:highlight w:val="none"/>
          <w:lang w:val="en-US" w:eastAsia="zh-CN" w:bidi="ar-SA"/>
        </w:rPr>
        <w:t>年度决算数持平）。主要原因是</w:t>
      </w:r>
      <w:r>
        <w:rPr>
          <w:rFonts w:hint="eastAsia" w:eastAsia="仿宋_GB2312" w:cs="仿宋_GB2312"/>
          <w:color w:val="auto"/>
          <w:kern w:val="2"/>
          <w:sz w:val="32"/>
          <w:szCs w:val="32"/>
          <w:highlight w:val="none"/>
          <w:lang w:val="en-US" w:eastAsia="zh-CN" w:bidi="ar-SA"/>
        </w:rPr>
        <w:t>无。</w:t>
      </w:r>
    </w:p>
    <w:p w14:paraId="656E09D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4FA60F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14:paraId="04388C07">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阿坝藏族羌族自治州文物考古研究所</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lang w:val="en-US" w:eastAsia="zh-CN"/>
        </w:rPr>
        <w:t>309.27</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lang w:val="en-US" w:eastAsia="zh-CN"/>
        </w:rPr>
        <w:t>309.27</w:t>
      </w:r>
      <w:r>
        <w:rPr>
          <w:rFonts w:hint="eastAsia" w:ascii="仿宋_GB2312" w:hAnsi="仿宋_GB2312" w:eastAsia="仿宋_GB2312" w:cs="仿宋_GB2312"/>
          <w:color w:val="auto"/>
          <w:kern w:val="2"/>
          <w:sz w:val="32"/>
          <w:szCs w:val="32"/>
          <w:highlight w:val="none"/>
          <w:lang w:val="en-US" w:eastAsia="zh-CN" w:bidi="ar-SA"/>
        </w:rPr>
        <w:t>万元。主要用于</w:t>
      </w:r>
      <w:r>
        <w:rPr>
          <w:rFonts w:hint="eastAsia" w:ascii="仿宋_GB2312" w:eastAsia="仿宋_GB2312"/>
          <w:color w:val="auto"/>
          <w:sz w:val="32"/>
          <w:szCs w:val="32"/>
          <w:highlight w:val="none"/>
          <w:lang w:eastAsia="zh-CN"/>
        </w:rPr>
        <w:t>文物预防性保护</w:t>
      </w:r>
      <w:r>
        <w:rPr>
          <w:rFonts w:hint="eastAsia" w:ascii="CESI仿宋-GB2312" w:hAnsi="CESI仿宋-GB2312" w:eastAsia="CESI仿宋-GB2312" w:cs="CESI仿宋-GB2312"/>
          <w:sz w:val="32"/>
          <w:szCs w:val="32"/>
          <w:lang w:val="en-US" w:eastAsia="zh-CN"/>
        </w:rPr>
        <w:t>等</w:t>
      </w:r>
      <w:r>
        <w:rPr>
          <w:rFonts w:hint="eastAsia" w:ascii="仿宋_GB2312" w:eastAsia="仿宋_GB2312"/>
          <w:color w:val="auto"/>
          <w:sz w:val="32"/>
          <w:szCs w:val="32"/>
          <w:highlight w:val="none"/>
          <w:lang w:eastAsia="zh-CN"/>
        </w:rPr>
        <w:t>和</w:t>
      </w:r>
      <w:r>
        <w:rPr>
          <w:rFonts w:hint="eastAsia" w:ascii="仿宋_GB2312" w:eastAsia="仿宋_GB2312"/>
          <w:sz w:val="32"/>
          <w:szCs w:val="32"/>
          <w:lang w:val="en-US" w:eastAsia="zh-CN"/>
        </w:rPr>
        <w:t>物业服务劳务派遣业务</w:t>
      </w:r>
      <w:r>
        <w:rPr>
          <w:rFonts w:hint="eastAsia" w:ascii="仿宋_GB2312" w:hAnsi="仿宋_GB2312"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lang w:val="en-US" w:eastAsia="zh-CN"/>
        </w:rPr>
        <w:t>309.27</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14:paraId="2358C3E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CFF17A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505589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阿坝藏族羌族自治州文物考古研究所</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辆，其他用车主要是用于文物考古调查工作。单价100万元（含）以上设备（不含车辆）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3D6F044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258981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2428919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阿坝州文物考古研究所</w:t>
      </w:r>
      <w:r>
        <w:rPr>
          <w:rFonts w:hint="eastAsia" w:ascii="Times New Roman" w:hAnsi="Times New Roman" w:eastAsia="仿宋_GB2312" w:cs="仿宋_GB2312"/>
          <w:color w:val="auto"/>
          <w:kern w:val="2"/>
          <w:sz w:val="32"/>
          <w:szCs w:val="32"/>
          <w:highlight w:val="none"/>
          <w:lang w:val="en-US" w:eastAsia="zh-CN" w:bidi="ar-SA"/>
        </w:rPr>
        <w:t>在</w:t>
      </w:r>
      <w:r>
        <w:rPr>
          <w:rFonts w:hint="eastAsia" w:ascii="仿宋_GB2312" w:hAnsi="仿宋_GB2312"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ascii="仿宋" w:hAnsi="仿宋" w:eastAsia="仿宋" w:cs="仿宋"/>
          <w:kern w:val="2"/>
          <w:sz w:val="32"/>
          <w:szCs w:val="32"/>
          <w:lang w:val="en-US" w:eastAsia="zh-CN" w:bidi="ar-SA"/>
        </w:rPr>
        <w:t>文物考古研究所(博物馆)运行经费项目、国家文物保护资金、</w:t>
      </w:r>
      <w:r>
        <w:rPr>
          <w:rFonts w:hint="eastAsia" w:ascii="仿宋" w:hAnsi="仿宋" w:eastAsia="仿宋" w:cs="仿宋"/>
          <w:kern w:val="2"/>
          <w:sz w:val="32"/>
          <w:szCs w:val="32"/>
          <w:lang w:val="zh-CN" w:eastAsia="zh-CN" w:bidi="ar-SA"/>
        </w:rPr>
        <w:t>2022年省级文物保护专项资金</w:t>
      </w:r>
      <w:r>
        <w:rPr>
          <w:rFonts w:hint="eastAsia" w:ascii="仿宋" w:hAnsi="仿宋" w:eastAsia="仿宋" w:cs="仿宋"/>
          <w:kern w:val="2"/>
          <w:sz w:val="32"/>
          <w:szCs w:val="32"/>
          <w:lang w:val="en-US" w:eastAsia="zh-CN" w:bidi="ar-SA"/>
        </w:rPr>
        <w:t>项目、</w:t>
      </w:r>
      <w:r>
        <w:rPr>
          <w:rFonts w:hint="eastAsia" w:ascii="仿宋" w:hAnsi="仿宋" w:eastAsia="仿宋" w:cs="仿宋"/>
          <w:kern w:val="2"/>
          <w:sz w:val="32"/>
          <w:szCs w:val="32"/>
          <w:lang w:val="zh-CN" w:eastAsia="zh-CN" w:bidi="ar-SA"/>
        </w:rPr>
        <w:t>阿坝州石刻文化及茶马文化补充调查</w:t>
      </w:r>
      <w:r>
        <w:rPr>
          <w:rFonts w:hint="eastAsia" w:ascii="仿宋" w:hAnsi="仿宋" w:eastAsia="仿宋" w:cs="仿宋"/>
          <w:kern w:val="2"/>
          <w:sz w:val="32"/>
          <w:szCs w:val="32"/>
          <w:lang w:val="en-US" w:eastAsia="zh-CN" w:bidi="ar-SA"/>
        </w:rPr>
        <w:t>项目、博物馆纪念馆免费开放中央补助资金项目、</w:t>
      </w:r>
      <w:r>
        <w:rPr>
          <w:rFonts w:hint="eastAsia" w:ascii="仿宋" w:hAnsi="仿宋" w:eastAsia="仿宋" w:cs="仿宋"/>
          <w:kern w:val="2"/>
          <w:sz w:val="32"/>
          <w:szCs w:val="32"/>
          <w:lang w:val="zh-CN" w:eastAsia="zh-CN" w:bidi="ar-SA"/>
        </w:rPr>
        <w:t>第四次全国文物普查</w:t>
      </w:r>
      <w:r>
        <w:rPr>
          <w:rFonts w:hint="eastAsia" w:ascii="仿宋" w:hAnsi="仿宋" w:eastAsia="仿宋" w:cs="仿宋"/>
          <w:kern w:val="2"/>
          <w:sz w:val="32"/>
          <w:szCs w:val="32"/>
          <w:lang w:val="en-US" w:eastAsia="zh-CN" w:bidi="ar-SA"/>
        </w:rPr>
        <w:t>项目、</w:t>
      </w:r>
      <w:r>
        <w:rPr>
          <w:rFonts w:hint="eastAsia" w:ascii="仿宋" w:hAnsi="仿宋" w:eastAsia="仿宋" w:cs="仿宋"/>
          <w:kern w:val="2"/>
          <w:sz w:val="32"/>
          <w:szCs w:val="32"/>
          <w:lang w:val="zh-CN" w:eastAsia="zh-CN" w:bidi="ar-SA"/>
        </w:rPr>
        <w:t>加州级部门公务用车更新、购置经费项目、</w:t>
      </w:r>
      <w:r>
        <w:rPr>
          <w:rFonts w:hint="eastAsia" w:ascii="仿宋" w:hAnsi="仿宋" w:eastAsia="仿宋" w:cs="仿宋"/>
          <w:kern w:val="2"/>
          <w:sz w:val="32"/>
          <w:szCs w:val="32"/>
          <w:lang w:val="en-US" w:eastAsia="zh-CN" w:bidi="ar-SA"/>
        </w:rPr>
        <w:t>博物馆纪念馆免费开放省级补助资金</w:t>
      </w:r>
      <w:r>
        <w:rPr>
          <w:rFonts w:hint="eastAsia" w:ascii="仿宋" w:hAnsi="仿宋" w:eastAsia="仿宋" w:cs="仿宋"/>
          <w:kern w:val="2"/>
          <w:sz w:val="32"/>
          <w:szCs w:val="32"/>
          <w:lang w:val="zh-CN" w:eastAsia="zh-CN" w:bidi="ar-SA"/>
        </w:rPr>
        <w:t>项目、州级文物保护经费项目、辅助性服务项目、</w:t>
      </w:r>
      <w:r>
        <w:rPr>
          <w:rFonts w:hint="eastAsia" w:ascii="仿宋" w:hAnsi="仿宋" w:eastAsia="仿宋" w:cs="仿宋"/>
          <w:kern w:val="2"/>
          <w:sz w:val="32"/>
          <w:szCs w:val="32"/>
          <w:lang w:val="en-US" w:eastAsia="zh-CN" w:bidi="ar-SA"/>
        </w:rPr>
        <w:t>2025年度阿坝州博物馆全民走进博物馆活动费用预算</w:t>
      </w:r>
      <w:r>
        <w:rPr>
          <w:rFonts w:hint="eastAsia" w:ascii="仿宋" w:hAnsi="仿宋" w:eastAsia="仿宋" w:cs="仿宋"/>
          <w:kern w:val="2"/>
          <w:sz w:val="32"/>
          <w:szCs w:val="32"/>
          <w:lang w:val="zh-CN" w:eastAsia="zh-CN" w:bidi="ar-SA"/>
        </w:rPr>
        <w:t>项目、</w:t>
      </w:r>
      <w:r>
        <w:rPr>
          <w:rFonts w:hint="eastAsia" w:ascii="仿宋" w:hAnsi="仿宋" w:eastAsia="仿宋" w:cs="仿宋"/>
          <w:kern w:val="2"/>
          <w:sz w:val="32"/>
          <w:szCs w:val="32"/>
          <w:lang w:val="en-US" w:eastAsia="zh-CN" w:bidi="ar-SA"/>
        </w:rPr>
        <w:t>四川省文物博物馆领域科研项目尾款</w:t>
      </w:r>
      <w:r>
        <w:rPr>
          <w:rFonts w:hint="eastAsia" w:ascii="仿宋" w:hAnsi="仿宋" w:eastAsia="仿宋" w:cs="仿宋"/>
          <w:kern w:val="2"/>
          <w:sz w:val="32"/>
          <w:szCs w:val="32"/>
          <w:lang w:val="zh-CN" w:eastAsia="zh-CN" w:bidi="ar-SA"/>
        </w:rPr>
        <w:t>项目、</w:t>
      </w:r>
      <w:r>
        <w:rPr>
          <w:rFonts w:hint="eastAsia" w:ascii="仿宋" w:hAnsi="仿宋" w:eastAsia="仿宋" w:cs="仿宋"/>
          <w:kern w:val="2"/>
          <w:sz w:val="32"/>
          <w:szCs w:val="32"/>
          <w:lang w:val="en-US" w:eastAsia="zh-CN" w:bidi="ar-SA"/>
        </w:rPr>
        <w:t>编印《国民党在雪山草地追堵红军档案资料选编》</w:t>
      </w:r>
      <w:r>
        <w:rPr>
          <w:rFonts w:hint="eastAsia" w:ascii="仿宋" w:hAnsi="仿宋" w:eastAsia="仿宋" w:cs="仿宋"/>
          <w:kern w:val="2"/>
          <w:sz w:val="32"/>
          <w:szCs w:val="32"/>
          <w:lang w:val="zh-CN" w:eastAsia="zh-CN" w:bidi="ar-SA"/>
        </w:rPr>
        <w:t>项目、</w:t>
      </w:r>
      <w:r>
        <w:rPr>
          <w:rFonts w:hint="default" w:ascii="仿宋" w:hAnsi="仿宋" w:eastAsia="仿宋" w:cs="仿宋"/>
          <w:kern w:val="2"/>
          <w:sz w:val="32"/>
          <w:szCs w:val="32"/>
          <w:lang w:val="en-US" w:eastAsia="zh-CN" w:bidi="ar-SA"/>
        </w:rPr>
        <w:t>《古道寻珍》--茶马古道在阿坝之西山“南路”（汶川至马尔康）出版印刷项目</w:t>
      </w:r>
      <w:r>
        <w:rPr>
          <w:rFonts w:hint="eastAsia" w:ascii="仿宋" w:hAnsi="仿宋" w:eastAsia="仿宋" w:cs="仿宋"/>
          <w:kern w:val="2"/>
          <w:sz w:val="32"/>
          <w:szCs w:val="32"/>
          <w:lang w:val="en-US" w:eastAsia="zh-CN" w:bidi="ar-SA"/>
        </w:rPr>
        <w:t>、</w:t>
      </w:r>
      <w:r>
        <w:rPr>
          <w:rFonts w:hint="default" w:ascii="仿宋" w:hAnsi="仿宋" w:eastAsia="仿宋" w:cs="仿宋"/>
          <w:b w:val="0"/>
          <w:kern w:val="2"/>
          <w:sz w:val="32"/>
          <w:szCs w:val="32"/>
          <w:lang w:val="en-US" w:eastAsia="zh-CN" w:bidi="ar-SA"/>
        </w:rPr>
        <w:t>2023年临展厅展柜购置退还履约保证金</w:t>
      </w:r>
      <w:r>
        <w:rPr>
          <w:rFonts w:hint="default" w:ascii="仿宋" w:hAnsi="仿宋" w:eastAsia="仿宋" w:cs="仿宋"/>
          <w:kern w:val="2"/>
          <w:sz w:val="32"/>
          <w:szCs w:val="32"/>
          <w:lang w:val="en-US" w:eastAsia="zh-CN" w:bidi="ar-SA"/>
        </w:rPr>
        <w:t>项目</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US" w:eastAsia="zh-CN" w:bidi="ar-SA"/>
        </w:rPr>
        <w:t>马尔康孔龙村遗址考古发掘成果特展项目</w:t>
      </w:r>
      <w:r>
        <w:rPr>
          <w:rFonts w:hint="eastAsia" w:ascii="Times New Roman" w:hAnsi="Times New Roman" w:eastAsia="仿宋_GB2312" w:cs="仿宋_GB2312"/>
          <w:color w:val="auto"/>
          <w:kern w:val="2"/>
          <w:sz w:val="32"/>
          <w:szCs w:val="32"/>
          <w:highlight w:val="none"/>
          <w:lang w:val="en-US" w:eastAsia="zh-CN" w:bidi="ar-SA"/>
        </w:rPr>
        <w:t>）等</w:t>
      </w:r>
      <w:r>
        <w:rPr>
          <w:rFonts w:hint="eastAsia" w:ascii="仿宋_GB2312" w:hAnsi="仿宋_GB2312"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ascii="仿宋_GB2312" w:hAnsi="仿宋_GB2312" w:eastAsia="仿宋_GB2312" w:cs="仿宋_GB2312"/>
          <w:color w:val="auto"/>
          <w:kern w:val="2"/>
          <w:sz w:val="32"/>
          <w:szCs w:val="32"/>
          <w:highlight w:val="none"/>
          <w:lang w:val="en-US" w:eastAsia="zh-CN" w:bidi="ar-SA"/>
        </w:rPr>
        <w:t>16个</w:t>
      </w:r>
      <w:r>
        <w:rPr>
          <w:rFonts w:hint="eastAsia" w:ascii="Times New Roman" w:hAnsi="Times New Roman" w:eastAsia="仿宋_GB2312" w:cs="仿宋_GB2312"/>
          <w:color w:val="auto"/>
          <w:kern w:val="2"/>
          <w:sz w:val="32"/>
          <w:szCs w:val="32"/>
          <w:highlight w:val="none"/>
          <w:lang w:val="en-US" w:eastAsia="zh-CN" w:bidi="ar-SA"/>
        </w:rPr>
        <w:t>项目编制了绩效目标，预算执行过程中，选</w:t>
      </w:r>
      <w:r>
        <w:rPr>
          <w:rFonts w:hint="eastAsia" w:ascii="仿宋_GB2312" w:hAnsi="仿宋_GB2312" w:eastAsia="仿宋_GB2312" w:cs="仿宋_GB2312"/>
          <w:color w:val="auto"/>
          <w:kern w:val="2"/>
          <w:sz w:val="32"/>
          <w:szCs w:val="32"/>
          <w:highlight w:val="none"/>
          <w:lang w:val="en-US" w:eastAsia="zh-CN" w:bidi="ar-SA"/>
        </w:rPr>
        <w:t>取16</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1AC0F11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w:t>
      </w:r>
      <w:r>
        <w:rPr>
          <w:rFonts w:hint="eastAsia" w:ascii="仿宋_GB2312" w:hAnsi="仿宋_GB2312" w:eastAsia="仿宋_GB2312" w:cs="仿宋_GB2312"/>
          <w:color w:val="auto"/>
          <w:kern w:val="2"/>
          <w:sz w:val="32"/>
          <w:szCs w:val="32"/>
          <w:highlight w:val="none"/>
          <w:lang w:val="en-US" w:eastAsia="zh-CN" w:bidi="ar-SA"/>
        </w:rPr>
        <w:t>对2025</w:t>
      </w:r>
      <w:r>
        <w:rPr>
          <w:rFonts w:hint="eastAsia" w:ascii="Times New Roman" w:hAnsi="Times New Roman" w:eastAsia="仿宋_GB2312" w:cs="仿宋_GB2312"/>
          <w:color w:val="auto"/>
          <w:kern w:val="2"/>
          <w:sz w:val="32"/>
          <w:szCs w:val="32"/>
          <w:highlight w:val="none"/>
          <w:lang w:val="en-US" w:eastAsia="zh-CN" w:bidi="ar-SA"/>
        </w:rPr>
        <w:t>年度一般公共预算等全面开展绩效自评，形成</w:t>
      </w:r>
      <w:r>
        <w:rPr>
          <w:rFonts w:hint="eastAsia" w:eastAsia="仿宋_GB2312" w:cs="仿宋_GB2312"/>
          <w:color w:val="auto"/>
          <w:kern w:val="2"/>
          <w:sz w:val="32"/>
          <w:szCs w:val="32"/>
          <w:highlight w:val="none"/>
          <w:lang w:val="en-US" w:eastAsia="zh-CN" w:bidi="ar-SA"/>
        </w:rPr>
        <w:t>我单位</w:t>
      </w:r>
      <w:r>
        <w:rPr>
          <w:rFonts w:hint="eastAsia" w:ascii="Times New Roman" w:hAnsi="Times New Roman" w:eastAsia="仿宋_GB2312" w:cs="仿宋_GB2312"/>
          <w:color w:val="auto"/>
          <w:kern w:val="2"/>
          <w:sz w:val="32"/>
          <w:szCs w:val="32"/>
          <w:highlight w:val="none"/>
          <w:lang w:val="en-US" w:eastAsia="zh-CN" w:bidi="ar-SA"/>
        </w:rPr>
        <w:t>整体（含部门预算项目）绩效自评报告、专项预算项目绩效自评报告，其中，</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整体（含部门预算项目）绩效自评得分为</w:t>
      </w:r>
      <w:r>
        <w:rPr>
          <w:rFonts w:hint="eastAsia" w:ascii="仿宋_GB2312" w:hAnsi="仿宋_GB2312" w:eastAsia="仿宋_GB2312" w:cs="仿宋_GB2312"/>
          <w:color w:val="auto"/>
          <w:kern w:val="2"/>
          <w:sz w:val="32"/>
          <w:szCs w:val="32"/>
          <w:highlight w:val="none"/>
          <w:lang w:val="en-US" w:eastAsia="zh-CN" w:bidi="ar-SA"/>
        </w:rPr>
        <w:t>85.54分</w:t>
      </w:r>
      <w:r>
        <w:rPr>
          <w:rFonts w:hint="eastAsia" w:ascii="Times New Roman" w:hAnsi="Times New Roman" w:eastAsia="仿宋_GB2312" w:cs="仿宋_GB2312"/>
          <w:color w:val="auto"/>
          <w:kern w:val="2"/>
          <w:sz w:val="32"/>
          <w:szCs w:val="32"/>
          <w:highlight w:val="none"/>
          <w:lang w:val="en-US" w:eastAsia="zh-CN" w:bidi="ar-SA"/>
        </w:rPr>
        <w:t>，绩效自评综述</w:t>
      </w:r>
      <w:r>
        <w:rPr>
          <w:rFonts w:hint="eastAsia" w:eastAsia="仿宋_GB2312" w:cs="仿宋_GB2312"/>
          <w:color w:val="auto"/>
          <w:kern w:val="2"/>
          <w:sz w:val="32"/>
          <w:szCs w:val="32"/>
          <w:highlight w:val="none"/>
          <w:lang w:val="en-US" w:eastAsia="zh-CN" w:bidi="ar-SA"/>
        </w:rPr>
        <w:t>我单位在</w:t>
      </w:r>
      <w:r>
        <w:rPr>
          <w:rFonts w:hint="eastAsia" w:ascii="仿宋_GB2312" w:hAnsi="仿宋_GB2312"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年提升了预算绩效管理工作水平，强化了财政资金支出责任，规范了财政资金管理行为，提高财政资金使用效益；</w:t>
      </w:r>
      <w:r>
        <w:rPr>
          <w:rFonts w:hint="eastAsia" w:ascii="仿宋" w:hAnsi="仿宋" w:eastAsia="仿宋" w:cs="仿宋"/>
          <w:color w:val="000000"/>
          <w:sz w:val="32"/>
          <w:szCs w:val="32"/>
          <w:highlight w:val="none"/>
        </w:rPr>
        <w:t>顺利完成了各项任务。三公经费严格控制在预算范围内，严格落实了厉行节约的原则</w:t>
      </w:r>
      <w:r>
        <w:rPr>
          <w:rFonts w:hint="eastAsia" w:ascii="Times New Roman" w:hAnsi="Times New Roman" w:eastAsia="仿宋_GB2312" w:cs="仿宋_GB2312"/>
          <w:color w:val="auto"/>
          <w:kern w:val="2"/>
          <w:sz w:val="32"/>
          <w:szCs w:val="32"/>
          <w:highlight w:val="none"/>
          <w:lang w:val="en-US" w:eastAsia="zh-CN" w:bidi="ar-SA"/>
        </w:rPr>
        <w:t>。绩效自评报告详见附件。</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如不涉及，可根据实际修改表述。）</w:t>
      </w:r>
    </w:p>
    <w:p w14:paraId="1538973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3DF67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F8DE27A">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96613"/>
      <w:bookmarkStart w:id="44"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0562AD95">
      <w:pPr>
        <w:spacing w:line="600" w:lineRule="exact"/>
        <w:jc w:val="left"/>
        <w:rPr>
          <w:rFonts w:ascii="Times New Roman" w:hAnsi="Times New Roman"/>
          <w:b/>
          <w:color w:val="auto"/>
          <w:sz w:val="44"/>
          <w:szCs w:val="44"/>
          <w:highlight w:val="none"/>
        </w:rPr>
      </w:pPr>
    </w:p>
    <w:p w14:paraId="3EB395C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7D03C7D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（二级预算单位事业收入情况）等。</w:t>
      </w:r>
    </w:p>
    <w:p w14:paraId="2AC8F2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（二级预算单位经营收入情况）等。</w:t>
      </w:r>
    </w:p>
    <w:p w14:paraId="7804BAB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4.其他收入：指单位取得的除上述收入以外的各项收入。主要是</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 xml:space="preserve">（收入类型）等。 </w:t>
      </w:r>
    </w:p>
    <w:p w14:paraId="6F4021E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639D1F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4D9A6F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520D3DA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49C35CF3">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00</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无。</w:t>
      </w:r>
    </w:p>
    <w:p w14:paraId="6AF1E43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00</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无。</w:t>
      </w:r>
    </w:p>
    <w:p w14:paraId="331D3A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00</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无。</w:t>
      </w:r>
    </w:p>
    <w:p w14:paraId="00A795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00</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无。</w:t>
      </w:r>
    </w:p>
    <w:p w14:paraId="5DFDC6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00</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无。</w:t>
      </w:r>
    </w:p>
    <w:p w14:paraId="5AEBCB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w:t>
      </w:r>
      <w:r>
        <w:rPr>
          <w:rFonts w:hint="eastAsia" w:eastAsia="仿宋_GB2312" w:cs="仿宋_GB2312"/>
          <w:color w:val="auto"/>
          <w:kern w:val="2"/>
          <w:sz w:val="32"/>
          <w:szCs w:val="32"/>
          <w:highlight w:val="none"/>
          <w:lang w:val="en-US" w:eastAsia="zh-CN" w:bidi="ar-SA"/>
        </w:rPr>
        <w:t>207</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04（05）</w:t>
      </w:r>
      <w:r>
        <w:rPr>
          <w:rFonts w:hint="eastAsia" w:ascii="Times New Roman" w:hAnsi="Times New Roman" w:eastAsia="仿宋_GB2312" w:cs="仿宋_GB2312"/>
          <w:color w:val="auto"/>
          <w:kern w:val="2"/>
          <w:sz w:val="32"/>
          <w:szCs w:val="32"/>
          <w:highlight w:val="none"/>
          <w:lang w:val="en-US" w:eastAsia="zh-CN" w:bidi="ar-SA"/>
        </w:rPr>
        <w:t>：指</w:t>
      </w:r>
      <w:r>
        <w:rPr>
          <w:rFonts w:hint="eastAsia" w:eastAsia="仿宋_GB2312" w:cs="仿宋_GB2312"/>
          <w:color w:val="auto"/>
          <w:kern w:val="2"/>
          <w:sz w:val="32"/>
          <w:szCs w:val="32"/>
          <w:highlight w:val="none"/>
          <w:lang w:val="en-US" w:eastAsia="zh-CN" w:bidi="ar-SA"/>
        </w:rPr>
        <w:t>文物保护（2070204），博物馆（2070205）。</w:t>
      </w:r>
    </w:p>
    <w:p w14:paraId="10C8B104">
      <w:p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15.社会保障和就业（类）208（款）05（项）05（06）：指机关事业单位基本养老保险缴费支出（2080505），机关事业单位职业年金缴费支出（2080506）。</w:t>
      </w:r>
    </w:p>
    <w:p w14:paraId="34E309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16.卫生健康（类）210（款）11（项）02（99）：指 事业单位医疗（2101102），其他行政</w:t>
      </w:r>
      <w:r>
        <w:rPr>
          <w:rFonts w:hint="eastAsia" w:ascii="仿宋_GB2312" w:eastAsia="仿宋_GB2312"/>
          <w:sz w:val="32"/>
          <w:szCs w:val="32"/>
          <w:lang w:val="en-US" w:eastAsia="zh-CN"/>
        </w:rPr>
        <w:t>事业单位医疗支（</w:t>
      </w:r>
      <w:r>
        <w:rPr>
          <w:rFonts w:hint="eastAsia" w:ascii="Times New Roman" w:hAnsi="Times New Roman" w:eastAsia="仿宋_GB2312" w:cs="仿宋_GB2312"/>
          <w:color w:val="auto"/>
          <w:kern w:val="2"/>
          <w:sz w:val="32"/>
          <w:szCs w:val="32"/>
          <w:highlight w:val="none"/>
          <w:lang w:val="en-US" w:eastAsia="zh-CN" w:bidi="ar-SA"/>
        </w:rPr>
        <w:t>2101199）</w:t>
      </w:r>
      <w:r>
        <w:rPr>
          <w:rFonts w:hint="eastAsia" w:ascii="仿宋_GB2312" w:eastAsia="仿宋_GB2312"/>
          <w:sz w:val="32"/>
          <w:szCs w:val="32"/>
        </w:rPr>
        <w:t>。</w:t>
      </w:r>
    </w:p>
    <w:p w14:paraId="1C8F8E8E">
      <w:pPr>
        <w:spacing w:line="600" w:lineRule="exact"/>
        <w:ind w:firstLine="640"/>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17.节能环保（类）000（款）00（项）00：</w:t>
      </w:r>
      <w:r>
        <w:rPr>
          <w:rFonts w:hint="eastAsia" w:ascii="仿宋_GB2312" w:eastAsia="仿宋_GB2312"/>
          <w:sz w:val="32"/>
          <w:szCs w:val="32"/>
        </w:rPr>
        <w:t>指</w:t>
      </w:r>
      <w:r>
        <w:rPr>
          <w:rFonts w:hint="eastAsia" w:ascii="仿宋_GB2312" w:eastAsia="仿宋_GB2312"/>
          <w:sz w:val="32"/>
          <w:szCs w:val="32"/>
          <w:lang w:val="en-US" w:eastAsia="zh-CN"/>
        </w:rPr>
        <w:t>无</w:t>
      </w:r>
      <w:r>
        <w:rPr>
          <w:rFonts w:hint="eastAsia" w:ascii="仿宋_GB2312" w:eastAsia="仿宋_GB2312"/>
          <w:sz w:val="32"/>
          <w:szCs w:val="32"/>
        </w:rPr>
        <w:t>。</w:t>
      </w:r>
    </w:p>
    <w:p w14:paraId="5554C03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18.城乡社区（类）000（款）00（项）00</w:t>
      </w:r>
      <w:r>
        <w:rPr>
          <w:rFonts w:hint="eastAsia" w:ascii="仿宋_GB2312" w:eastAsia="仿宋_GB2312"/>
          <w:sz w:val="32"/>
          <w:szCs w:val="32"/>
        </w:rPr>
        <w:t>：指</w:t>
      </w:r>
      <w:r>
        <w:rPr>
          <w:rFonts w:hint="eastAsia" w:ascii="仿宋_GB2312" w:eastAsia="仿宋_GB2312"/>
          <w:sz w:val="32"/>
          <w:szCs w:val="32"/>
          <w:lang w:val="en-US" w:eastAsia="zh-CN"/>
        </w:rPr>
        <w:t>无</w:t>
      </w:r>
      <w:r>
        <w:rPr>
          <w:rFonts w:hint="eastAsia" w:ascii="仿宋_GB2312" w:eastAsia="仿宋_GB2312"/>
          <w:sz w:val="32"/>
          <w:szCs w:val="32"/>
        </w:rPr>
        <w:t>。</w:t>
      </w:r>
    </w:p>
    <w:p w14:paraId="10573E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19.农林水（类）000（款）00（项）00：</w:t>
      </w:r>
      <w:r>
        <w:rPr>
          <w:rFonts w:hint="eastAsia" w:ascii="仿宋_GB2312" w:eastAsia="仿宋_GB2312"/>
          <w:sz w:val="32"/>
          <w:szCs w:val="32"/>
        </w:rPr>
        <w:t>指</w:t>
      </w:r>
      <w:r>
        <w:rPr>
          <w:rFonts w:hint="eastAsia" w:ascii="仿宋_GB2312" w:eastAsia="仿宋_GB2312"/>
          <w:sz w:val="32"/>
          <w:szCs w:val="32"/>
          <w:lang w:val="en-US" w:eastAsia="zh-CN"/>
        </w:rPr>
        <w:t>无</w:t>
      </w:r>
      <w:r>
        <w:rPr>
          <w:rFonts w:hint="eastAsia" w:ascii="仿宋_GB2312" w:eastAsia="仿宋_GB2312"/>
          <w:sz w:val="32"/>
          <w:szCs w:val="32"/>
        </w:rPr>
        <w:t>。</w:t>
      </w:r>
    </w:p>
    <w:p w14:paraId="75CB563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20.交通运输（类）000（款）00（项）00</w:t>
      </w:r>
      <w:r>
        <w:rPr>
          <w:rFonts w:hint="eastAsia" w:ascii="仿宋_GB2312" w:eastAsia="仿宋_GB2312"/>
          <w:sz w:val="32"/>
          <w:szCs w:val="32"/>
        </w:rPr>
        <w:t>：指</w:t>
      </w:r>
      <w:r>
        <w:rPr>
          <w:rFonts w:hint="eastAsia" w:ascii="仿宋_GB2312" w:eastAsia="仿宋_GB2312"/>
          <w:sz w:val="32"/>
          <w:szCs w:val="32"/>
          <w:lang w:val="en-US" w:eastAsia="zh-CN"/>
        </w:rPr>
        <w:t>无</w:t>
      </w:r>
      <w:r>
        <w:rPr>
          <w:rFonts w:hint="eastAsia" w:ascii="仿宋_GB2312" w:eastAsia="仿宋_GB2312"/>
          <w:sz w:val="32"/>
          <w:szCs w:val="32"/>
        </w:rPr>
        <w:t>。</w:t>
      </w:r>
    </w:p>
    <w:p w14:paraId="2436B37C">
      <w:pPr>
        <w:spacing w:line="600" w:lineRule="exact"/>
        <w:ind w:firstLine="640"/>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21.资源勘探工业信息等（类）000（款）00（项）00</w:t>
      </w:r>
      <w:r>
        <w:rPr>
          <w:rFonts w:hint="eastAsia" w:ascii="仿宋_GB2312" w:eastAsia="仿宋_GB2312"/>
          <w:sz w:val="32"/>
          <w:szCs w:val="32"/>
        </w:rPr>
        <w:t>：指</w:t>
      </w:r>
      <w:r>
        <w:rPr>
          <w:rFonts w:hint="eastAsia" w:ascii="仿宋_GB2312" w:eastAsia="仿宋_GB2312"/>
          <w:sz w:val="32"/>
          <w:szCs w:val="32"/>
          <w:lang w:val="en-US" w:eastAsia="zh-CN"/>
        </w:rPr>
        <w:t>无</w:t>
      </w:r>
      <w:r>
        <w:rPr>
          <w:rFonts w:hint="eastAsia" w:ascii="仿宋_GB2312" w:eastAsia="仿宋_GB2312"/>
          <w:sz w:val="32"/>
          <w:szCs w:val="32"/>
        </w:rPr>
        <w:t>。</w:t>
      </w:r>
    </w:p>
    <w:p w14:paraId="6235443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w:t>
      </w:r>
      <w:r>
        <w:rPr>
          <w:rFonts w:hint="eastAsia" w:ascii="仿宋_GB2312" w:eastAsia="仿宋_GB2312"/>
          <w:sz w:val="32"/>
          <w:szCs w:val="32"/>
          <w:lang w:val="en-US" w:eastAsia="zh-CN"/>
        </w:rPr>
        <w:t>0</w:t>
      </w:r>
      <w:r>
        <w:rPr>
          <w:rFonts w:hint="eastAsia" w:ascii="Times New Roman" w:hAnsi="Times New Roman" w:eastAsia="仿宋_GB2312" w:cs="仿宋_GB2312"/>
          <w:color w:val="auto"/>
          <w:kern w:val="2"/>
          <w:sz w:val="32"/>
          <w:szCs w:val="32"/>
          <w:highlight w:val="none"/>
          <w:lang w:val="en-US" w:eastAsia="zh-CN" w:bidi="ar-SA"/>
        </w:rPr>
        <w:t>00（款）00（项）00</w:t>
      </w:r>
      <w:r>
        <w:rPr>
          <w:rFonts w:hint="eastAsia" w:ascii="仿宋_GB2312" w:eastAsia="仿宋_GB2312"/>
          <w:sz w:val="32"/>
          <w:szCs w:val="32"/>
        </w:rPr>
        <w:t>：指</w:t>
      </w:r>
      <w:r>
        <w:rPr>
          <w:rFonts w:hint="eastAsia" w:ascii="仿宋_GB2312" w:eastAsia="仿宋_GB2312"/>
          <w:sz w:val="32"/>
          <w:szCs w:val="32"/>
          <w:lang w:val="en-US" w:eastAsia="zh-CN"/>
        </w:rPr>
        <w:t>无</w:t>
      </w:r>
      <w:r>
        <w:rPr>
          <w:rFonts w:hint="eastAsia" w:ascii="仿宋_GB2312" w:eastAsia="仿宋_GB2312"/>
          <w:sz w:val="32"/>
          <w:szCs w:val="32"/>
        </w:rPr>
        <w:t>。</w:t>
      </w:r>
    </w:p>
    <w:p w14:paraId="4823E8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23.金融（类）000（款）00（项）00</w:t>
      </w:r>
      <w:r>
        <w:rPr>
          <w:rFonts w:hint="eastAsia" w:ascii="仿宋_GB2312" w:eastAsia="仿宋_GB2312"/>
          <w:sz w:val="32"/>
          <w:szCs w:val="32"/>
        </w:rPr>
        <w:t>：指</w:t>
      </w:r>
      <w:r>
        <w:rPr>
          <w:rFonts w:hint="eastAsia" w:ascii="仿宋_GB2312" w:eastAsia="仿宋_GB2312"/>
          <w:sz w:val="32"/>
          <w:szCs w:val="32"/>
          <w:lang w:val="en-US" w:eastAsia="zh-CN"/>
        </w:rPr>
        <w:t>无</w:t>
      </w:r>
      <w:r>
        <w:rPr>
          <w:rFonts w:hint="eastAsia" w:ascii="仿宋_GB2312" w:eastAsia="仿宋_GB2312"/>
          <w:sz w:val="32"/>
          <w:szCs w:val="32"/>
        </w:rPr>
        <w:t>。</w:t>
      </w:r>
    </w:p>
    <w:p w14:paraId="6839DD18">
      <w:pPr>
        <w:spacing w:line="600" w:lineRule="exact"/>
        <w:ind w:firstLine="640"/>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24.自然资源海洋气象等（类）000（款）00（项）00</w:t>
      </w:r>
      <w:r>
        <w:rPr>
          <w:rFonts w:hint="eastAsia" w:ascii="仿宋_GB2312" w:eastAsia="仿宋_GB2312"/>
          <w:sz w:val="32"/>
          <w:szCs w:val="32"/>
        </w:rPr>
        <w:t>：指</w:t>
      </w:r>
      <w:r>
        <w:rPr>
          <w:rFonts w:hint="eastAsia" w:ascii="仿宋_GB2312" w:eastAsia="仿宋_GB2312"/>
          <w:sz w:val="32"/>
          <w:szCs w:val="32"/>
          <w:lang w:val="en-US" w:eastAsia="zh-CN"/>
        </w:rPr>
        <w:t>无</w:t>
      </w:r>
      <w:r>
        <w:rPr>
          <w:rFonts w:hint="eastAsia" w:ascii="仿宋_GB2312" w:eastAsia="仿宋_GB2312"/>
          <w:sz w:val="32"/>
          <w:szCs w:val="32"/>
        </w:rPr>
        <w:t>。</w:t>
      </w:r>
    </w:p>
    <w:p w14:paraId="3712A4CE">
      <w:pPr>
        <w:spacing w:line="600" w:lineRule="exact"/>
        <w:ind w:firstLine="640"/>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25.住房保障（类）221（款）02（项）01</w:t>
      </w:r>
      <w:r>
        <w:rPr>
          <w:rFonts w:hint="eastAsia" w:ascii="仿宋_GB2312" w:eastAsia="仿宋_GB2312"/>
          <w:sz w:val="32"/>
          <w:szCs w:val="32"/>
        </w:rPr>
        <w:t>：指住房公积金。</w:t>
      </w:r>
    </w:p>
    <w:p w14:paraId="17D5CC8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26.粮油物资储备（类）000（款）00（项）00</w:t>
      </w:r>
      <w:r>
        <w:rPr>
          <w:rFonts w:hint="eastAsia" w:ascii="仿宋_GB2312" w:eastAsia="仿宋_GB2312"/>
          <w:sz w:val="32"/>
          <w:szCs w:val="32"/>
        </w:rPr>
        <w:t>：指</w:t>
      </w:r>
      <w:r>
        <w:rPr>
          <w:rFonts w:hint="eastAsia" w:ascii="仿宋_GB2312" w:eastAsia="仿宋_GB2312"/>
          <w:sz w:val="32"/>
          <w:szCs w:val="32"/>
          <w:lang w:val="en-US" w:eastAsia="zh-CN"/>
        </w:rPr>
        <w:t>无</w:t>
      </w:r>
      <w:r>
        <w:rPr>
          <w:rFonts w:hint="eastAsia" w:ascii="仿宋_GB2312" w:eastAsia="仿宋_GB2312"/>
          <w:sz w:val="32"/>
          <w:szCs w:val="32"/>
        </w:rPr>
        <w:t>。</w:t>
      </w:r>
    </w:p>
    <w:p w14:paraId="3CD07D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405C925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50AD01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50869C7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449AC4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4E9DD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FFEFED9">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r>
        <w:rPr>
          <w:rFonts w:hint="eastAsia" w:eastAsia="仿宋_GB2312" w:cs="仿宋_GB2312"/>
          <w:color w:val="auto"/>
          <w:kern w:val="2"/>
          <w:sz w:val="32"/>
          <w:szCs w:val="32"/>
          <w:highlight w:val="none"/>
          <w:lang w:val="en-US" w:eastAsia="zh-CN" w:bidi="ar-SA"/>
        </w:rPr>
        <w:t>无。</w:t>
      </w:r>
    </w:p>
    <w:p w14:paraId="0DCC9371">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4AC772B1">
      <w:pPr>
        <w:spacing w:line="600" w:lineRule="exact"/>
        <w:jc w:val="center"/>
        <w:rPr>
          <w:rStyle w:val="32"/>
          <w:rFonts w:hint="eastAsia" w:ascii="Times New Roman" w:hAnsi="Times New Roman" w:eastAsia="黑体"/>
          <w:b w:val="0"/>
          <w:color w:val="auto"/>
          <w:highlight w:val="none"/>
          <w:lang w:eastAsia="zh-CN"/>
        </w:rPr>
      </w:pPr>
      <w:bookmarkStart w:id="4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6"/>
    </w:p>
    <w:p w14:paraId="0C02702B">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7943F5E7">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0BBC1E69">
      <w:pPr>
        <w:keepNext w:val="0"/>
        <w:keepLines w:val="0"/>
        <w:pageBreakBefore w:val="0"/>
        <w:widowControl/>
        <w:kinsoku/>
        <w:wordWrap/>
        <w:overflowPunct/>
        <w:topLinePunct w:val="0"/>
        <w:autoSpaceDE/>
        <w:autoSpaceDN/>
        <w:bidi w:val="0"/>
        <w:adjustRightInd/>
        <w:snapToGrid/>
        <w:spacing w:line="640" w:lineRule="exact"/>
        <w:jc w:val="center"/>
        <w:textAlignment w:val="baseline"/>
        <w:rPr>
          <w:rStyle w:val="39"/>
          <w:rFonts w:hint="eastAsia" w:ascii="方正小标宋简体" w:eastAsia="方正小标宋简体"/>
          <w:kern w:val="2"/>
          <w:sz w:val="44"/>
          <w:szCs w:val="44"/>
          <w:lang w:val="en-US" w:eastAsia="zh-CN" w:bidi="ar-SA"/>
        </w:rPr>
      </w:pPr>
      <w:r>
        <w:rPr>
          <w:rStyle w:val="39"/>
          <w:rFonts w:ascii="方正小标宋简体" w:eastAsia="方正小标宋简体"/>
          <w:kern w:val="2"/>
          <w:sz w:val="44"/>
          <w:szCs w:val="44"/>
          <w:lang w:val="en-US" w:eastAsia="zh-CN" w:bidi="ar-SA"/>
        </w:rPr>
        <w:t>阿坝</w:t>
      </w:r>
      <w:r>
        <w:rPr>
          <w:rStyle w:val="39"/>
          <w:rFonts w:hint="eastAsia" w:ascii="方正小标宋简体" w:eastAsia="方正小标宋简体"/>
          <w:kern w:val="2"/>
          <w:sz w:val="44"/>
          <w:szCs w:val="44"/>
          <w:lang w:val="en-US" w:eastAsia="zh-CN" w:bidi="ar-SA"/>
        </w:rPr>
        <w:t>州文物考古研究所（阿坝州博物馆）</w:t>
      </w:r>
    </w:p>
    <w:p w14:paraId="3A806690">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cs="Times New Roman"/>
          <w:szCs w:val="32"/>
          <w:highlight w:val="none"/>
          <w:shd w:val="clear" w:color="auto" w:fill="FFFFFF"/>
        </w:rPr>
      </w:pPr>
      <w:r>
        <w:rPr>
          <w:rStyle w:val="39"/>
          <w:rFonts w:ascii="方正小标宋简体" w:eastAsia="方正小标宋简体"/>
          <w:kern w:val="2"/>
          <w:sz w:val="44"/>
          <w:szCs w:val="44"/>
          <w:lang w:val="en-US" w:eastAsia="zh-CN" w:bidi="ar-SA"/>
        </w:rPr>
        <w:t>202</w:t>
      </w:r>
      <w:r>
        <w:rPr>
          <w:rStyle w:val="39"/>
          <w:rFonts w:hint="eastAsia" w:ascii="方正小标宋简体" w:eastAsia="方正小标宋简体"/>
          <w:kern w:val="2"/>
          <w:sz w:val="44"/>
          <w:szCs w:val="44"/>
          <w:lang w:val="en-US" w:eastAsia="zh-CN" w:bidi="ar-SA"/>
        </w:rPr>
        <w:t>5</w:t>
      </w:r>
      <w:r>
        <w:rPr>
          <w:rStyle w:val="39"/>
          <w:rFonts w:ascii="方正小标宋简体" w:eastAsia="方正小标宋简体"/>
          <w:kern w:val="2"/>
          <w:sz w:val="44"/>
          <w:szCs w:val="44"/>
          <w:lang w:val="en-US" w:eastAsia="zh-CN" w:bidi="ar-SA"/>
        </w:rPr>
        <w:t>年部门整体支出绩效自评报告</w:t>
      </w:r>
    </w:p>
    <w:p w14:paraId="0D857468">
      <w:pPr>
        <w:keepNext w:val="0"/>
        <w:keepLines w:val="0"/>
        <w:pageBreakBefore w:val="0"/>
        <w:widowControl/>
        <w:kinsoku/>
        <w:wordWrap/>
        <w:overflowPunct/>
        <w:topLinePunct w:val="0"/>
        <w:autoSpaceDE/>
        <w:autoSpaceDN/>
        <w:bidi w:val="0"/>
        <w:adjustRightInd/>
        <w:snapToGrid/>
        <w:spacing w:line="640" w:lineRule="exact"/>
        <w:jc w:val="center"/>
        <w:textAlignment w:val="baseline"/>
        <w:rPr>
          <w:rStyle w:val="39"/>
          <w:rFonts w:hint="default" w:ascii="方正小标宋简体" w:eastAsia="方正小标宋简体"/>
          <w:kern w:val="2"/>
          <w:sz w:val="44"/>
          <w:szCs w:val="44"/>
          <w:lang w:val="en-US" w:eastAsia="zh-CN" w:bidi="ar-SA"/>
        </w:rPr>
      </w:pPr>
    </w:p>
    <w:p w14:paraId="6C774440">
      <w:pPr>
        <w:keepNext w:val="0"/>
        <w:keepLines w:val="0"/>
        <w:pageBreakBefore w:val="0"/>
        <w:widowControl/>
        <w:kinsoku/>
        <w:wordWrap/>
        <w:overflowPunct/>
        <w:topLinePunct w:val="0"/>
        <w:autoSpaceDE/>
        <w:autoSpaceDN/>
        <w:bidi w:val="0"/>
        <w:adjustRightInd/>
        <w:snapToGrid/>
        <w:spacing w:line="576" w:lineRule="exact"/>
        <w:jc w:val="both"/>
        <w:textAlignment w:val="baseline"/>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阿坝州财政局：</w:t>
      </w:r>
    </w:p>
    <w:p w14:paraId="2350D7EE">
      <w:pPr>
        <w:keepNext w:val="0"/>
        <w:keepLines w:val="0"/>
        <w:pageBreakBefore w:val="0"/>
        <w:widowControl/>
        <w:kinsoku/>
        <w:wordWrap/>
        <w:overflowPunct/>
        <w:topLinePunct w:val="0"/>
        <w:autoSpaceDE/>
        <w:autoSpaceDN/>
        <w:bidi w:val="0"/>
        <w:adjustRightInd/>
        <w:snapToGrid/>
        <w:spacing w:line="576" w:lineRule="exact"/>
        <w:ind w:firstLine="620" w:firstLineChars="200"/>
        <w:jc w:val="both"/>
        <w:textAlignment w:val="baseline"/>
        <w:rPr>
          <w:rFonts w:hint="default" w:ascii="Times New Roman" w:hAnsi="Times New Roman" w:eastAsia="黑体" w:cs="Times New Roman"/>
          <w:color w:val="000000"/>
          <w:kern w:val="0"/>
          <w:sz w:val="24"/>
          <w:szCs w:val="32"/>
          <w:highlight w:val="none"/>
          <w:shd w:val="clear" w:color="auto" w:fill="FFFFFF"/>
        </w:rPr>
      </w:pPr>
      <w:r>
        <w:rPr>
          <w:rFonts w:hint="eastAsia" w:ascii="仿宋_GB2312" w:eastAsia="仿宋_GB2312" w:cs="仿宋_GB2312"/>
          <w:color w:val="000000"/>
          <w:sz w:val="31"/>
          <w:szCs w:val="31"/>
          <w:lang w:eastAsia="zh-CN"/>
        </w:rPr>
        <w:t>为深入贯彻落实党中央、国务院和省委、省政府关于全面实施预算绩效管理的决策部署，根据《中共四川省委办公厅 四川省人民政府办公厅关于深入实施预算绩效管理的通知》（川委厅〔2022〕5号）、《四川省财政厅关于印发&lt;推进财政绩效监督“三管三必须”落地见效实施办法&gt;的通知》（川财办〔2024〕31号）、《四川省财政厅关于印发&lt;深化财政绩效监督管理改革实施办法&gt;的通知》（川财办〔2025〕33号）相</w:t>
      </w:r>
      <w:r>
        <w:rPr>
          <w:rFonts w:hint="default" w:ascii="仿宋_GB2312" w:eastAsia="仿宋_GB2312" w:cs="仿宋_GB2312"/>
          <w:color w:val="000000"/>
          <w:sz w:val="31"/>
          <w:szCs w:val="31"/>
          <w:lang w:eastAsia="zh-CN"/>
        </w:rPr>
        <w:t>关要求</w:t>
      </w:r>
      <w:r>
        <w:rPr>
          <w:rFonts w:hint="eastAsia" w:ascii="仿宋" w:hAnsi="仿宋" w:eastAsia="仿宋" w:cs="仿宋"/>
          <w:kern w:val="2"/>
          <w:sz w:val="32"/>
          <w:szCs w:val="32"/>
          <w:lang w:val="en-US" w:eastAsia="zh-CN" w:bidi="ar-SA"/>
        </w:rPr>
        <w:t>，着力提升财政资源配置效率和使用效益，切实压实各级部门（单位）绩效管理主体责任，立足工作实际，聚焦重点难点，按照阿州财监绩〔2026〕3号《阿坝州财政局关于开展2026年州级部门预算绩效自评工作的通知》的文件精神，结合州文物考古研究所实际情况，对单位2025年财政资金使用情况进行了自评，现将有关情况报告如下：</w:t>
      </w:r>
    </w:p>
    <w:p w14:paraId="6025C2DA">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rPr>
        <w:t>一、部门（单位）基本情况</w:t>
      </w:r>
    </w:p>
    <w:p w14:paraId="440A236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rPr>
        <w:t>（一）机构组成。</w:t>
      </w:r>
    </w:p>
    <w:p w14:paraId="1F5FA1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阿坝藏族羌族自治州文物考古研究所（阿坝州博物馆）开办资金23万元人民币，为公益性事业单位，内设行政办公室、文物保护中心、考古队、典藏部、安全保卫部、展陈研究及社会教育部。阿坝藏族羌族自治州文物考古研究所（阿坝州博物馆）直属阿坝藏族羌族自治州文化广播电视和旅游局的二级单位。</w:t>
      </w:r>
    </w:p>
    <w:p w14:paraId="3F5ED97C">
      <w:pPr>
        <w:pStyle w:val="19"/>
        <w:keepNext w:val="0"/>
        <w:keepLines w:val="0"/>
        <w:widowControl/>
        <w:suppressLineNumbers w:val="0"/>
        <w:spacing w:before="105" w:beforeAutospacing="0" w:after="105" w:afterAutospacing="0" w:line="20" w:lineRule="atLeast"/>
        <w:ind w:firstLine="643" w:firstLineChars="200"/>
        <w:rPr>
          <w:rFonts w:hint="default" w:ascii="Times New Roman" w:hAnsi="Times New Roman" w:eastAsia="楷体_GB2312" w:cs="楷体_GB2312"/>
          <w:b/>
          <w:color w:val="auto"/>
          <w:sz w:val="32"/>
          <w:szCs w:val="32"/>
          <w:highlight w:val="none"/>
          <w:lang w:val="zh-CN" w:eastAsia="zh-CN"/>
        </w:rPr>
      </w:pPr>
      <w:r>
        <w:rPr>
          <w:rFonts w:hint="default" w:ascii="Times New Roman" w:hAnsi="Times New Roman" w:eastAsia="楷体_GB2312" w:cs="楷体_GB2312"/>
          <w:b/>
          <w:color w:val="auto"/>
          <w:sz w:val="32"/>
          <w:szCs w:val="32"/>
          <w:highlight w:val="none"/>
          <w:lang w:val="zh-CN" w:eastAsia="zh-CN"/>
        </w:rPr>
        <w:t>（二）机构职能。</w:t>
      </w:r>
    </w:p>
    <w:p w14:paraId="6D4EDD9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阿坝藏族羌族自治州文物考古研究所（阿坝州博物馆），位于四川省阿坝藏族羌族自治州，宗旨和业务范围是“负责全州地下文物的调查、勘探、研究，地面文物的调查、维修保护、研究，承担国家和省、州的文物科研项目；负责对具有历史、艺术、科学价值的可移动文物的征集、收藏、保管、陈列、展示、研究，做好博物馆公共文化服务；开展文物认定、文物保护科研咨询”。</w:t>
      </w:r>
    </w:p>
    <w:p w14:paraId="17FEE0AC">
      <w:pPr>
        <w:pStyle w:val="19"/>
        <w:keepNext w:val="0"/>
        <w:keepLines w:val="0"/>
        <w:widowControl/>
        <w:suppressLineNumbers w:val="0"/>
        <w:spacing w:before="105" w:beforeAutospacing="0" w:after="105" w:afterAutospacing="0" w:line="20" w:lineRule="atLeast"/>
        <w:ind w:firstLine="643" w:firstLineChars="200"/>
        <w:rPr>
          <w:rFonts w:hint="default" w:ascii="Times New Roman" w:hAnsi="Times New Roman" w:eastAsia="楷体_GB2312" w:cs="楷体_GB2312"/>
          <w:b/>
          <w:color w:val="auto"/>
          <w:sz w:val="32"/>
          <w:szCs w:val="32"/>
          <w:highlight w:val="none"/>
          <w:lang w:val="zh-CN" w:eastAsia="zh-CN"/>
        </w:rPr>
      </w:pPr>
      <w:r>
        <w:rPr>
          <w:rFonts w:hint="default" w:ascii="Times New Roman" w:hAnsi="Times New Roman" w:eastAsia="楷体_GB2312" w:cs="楷体_GB2312"/>
          <w:b/>
          <w:color w:val="auto"/>
          <w:sz w:val="32"/>
          <w:szCs w:val="32"/>
          <w:highlight w:val="none"/>
          <w:lang w:val="zh-CN" w:eastAsia="zh-CN"/>
        </w:rPr>
        <w:t>（三）人员概况。</w:t>
      </w:r>
    </w:p>
    <w:p w14:paraId="7C8667AD">
      <w:pPr>
        <w:pStyle w:val="19"/>
        <w:keepNext w:val="0"/>
        <w:keepLines w:val="0"/>
        <w:widowControl/>
        <w:suppressLineNumbers w:val="0"/>
        <w:spacing w:before="105" w:beforeAutospacing="0" w:after="105" w:afterAutospacing="0" w:line="20" w:lineRule="atLeast"/>
        <w:ind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w:t>
      </w:r>
      <w:r>
        <w:rPr>
          <w:rFonts w:hint="default" w:ascii="仿宋" w:hAnsi="仿宋" w:eastAsia="仿宋" w:cs="仿宋"/>
          <w:kern w:val="2"/>
          <w:sz w:val="32"/>
          <w:szCs w:val="32"/>
          <w:lang w:val="en-US" w:eastAsia="zh-CN" w:bidi="ar-SA"/>
        </w:rPr>
        <w:t>截至202</w:t>
      </w:r>
      <w:r>
        <w:rPr>
          <w:rFonts w:hint="eastAsia" w:ascii="仿宋" w:hAnsi="仿宋" w:eastAsia="仿宋" w:cs="仿宋"/>
          <w:kern w:val="2"/>
          <w:sz w:val="32"/>
          <w:szCs w:val="32"/>
          <w:lang w:val="en-US" w:eastAsia="zh-CN" w:bidi="ar-SA"/>
        </w:rPr>
        <w:t>5</w:t>
      </w:r>
      <w:r>
        <w:rPr>
          <w:rFonts w:hint="default" w:ascii="仿宋" w:hAnsi="仿宋" w:eastAsia="仿宋" w:cs="仿宋"/>
          <w:kern w:val="2"/>
          <w:sz w:val="32"/>
          <w:szCs w:val="32"/>
          <w:lang w:val="en-US" w:eastAsia="zh-CN" w:bidi="ar-SA"/>
        </w:rPr>
        <w:t>年末，</w:t>
      </w:r>
      <w:r>
        <w:rPr>
          <w:rFonts w:hint="eastAsia" w:ascii="仿宋" w:hAnsi="仿宋" w:eastAsia="仿宋" w:cs="仿宋"/>
          <w:kern w:val="2"/>
          <w:sz w:val="32"/>
          <w:szCs w:val="32"/>
          <w:lang w:val="en-US" w:eastAsia="zh-CN" w:bidi="ar-SA"/>
        </w:rPr>
        <w:t>机构人员情况：总编制30名,其中:事业编制30名，工勤编制0名。</w:t>
      </w:r>
    </w:p>
    <w:p w14:paraId="5E27BE33">
      <w:pPr>
        <w:pStyle w:val="19"/>
        <w:keepNext w:val="0"/>
        <w:keepLines w:val="0"/>
        <w:widowControl/>
        <w:suppressLineNumbers w:val="0"/>
        <w:spacing w:before="105" w:beforeAutospacing="0" w:after="105" w:afterAutospacing="0" w:line="20" w:lineRule="atLeast"/>
        <w:ind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2、人员情况:在职20人。</w:t>
      </w:r>
    </w:p>
    <w:p w14:paraId="69C87FD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3、退休7人。</w:t>
      </w:r>
    </w:p>
    <w:p w14:paraId="2BA7E47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en-US" w:eastAsia="zh-CN"/>
        </w:rPr>
      </w:pPr>
      <w:r>
        <w:rPr>
          <w:rFonts w:hint="default" w:ascii="Times New Roman" w:hAnsi="Times New Roman" w:eastAsia="黑体" w:cs="Times New Roman"/>
          <w:color w:val="000000"/>
          <w:kern w:val="0"/>
          <w:sz w:val="32"/>
          <w:szCs w:val="32"/>
          <w:highlight w:val="none"/>
          <w:shd w:val="clear" w:color="auto" w:fill="FFFFFF"/>
          <w:lang w:val="en-US" w:eastAsia="zh-CN"/>
        </w:rPr>
        <w:t>二、部门资金收支情况</w:t>
      </w:r>
    </w:p>
    <w:p w14:paraId="29FB27DB">
      <w:pPr>
        <w:pStyle w:val="19"/>
        <w:keepNext w:val="0"/>
        <w:keepLines w:val="0"/>
        <w:widowControl/>
        <w:suppressLineNumbers w:val="0"/>
        <w:spacing w:before="105" w:beforeAutospacing="0" w:after="105" w:afterAutospacing="0" w:line="20" w:lineRule="atLeast"/>
        <w:ind w:firstLine="643" w:firstLineChars="200"/>
        <w:rPr>
          <w:rFonts w:hint="default" w:ascii="Times New Roman" w:hAnsi="Times New Roman" w:eastAsia="楷体_GB2312" w:cs="楷体_GB2312"/>
          <w:b/>
          <w:color w:val="auto"/>
          <w:sz w:val="32"/>
          <w:szCs w:val="32"/>
          <w:highlight w:val="none"/>
          <w:lang w:val="zh-CN" w:eastAsia="zh-CN"/>
        </w:rPr>
      </w:pPr>
      <w:r>
        <w:rPr>
          <w:rFonts w:hint="default" w:ascii="Times New Roman" w:hAnsi="Times New Roman" w:eastAsia="楷体_GB2312" w:cs="楷体_GB2312"/>
          <w:b/>
          <w:color w:val="auto"/>
          <w:sz w:val="32"/>
          <w:szCs w:val="32"/>
          <w:highlight w:val="none"/>
          <w:lang w:val="zh-CN" w:eastAsia="zh-CN"/>
        </w:rPr>
        <w:t>（一）收入情况。</w:t>
      </w:r>
    </w:p>
    <w:p w14:paraId="08B05B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2025年，财政下达的预算收入总额为580.28 万元，其中：上年结转0万元，占0%；一般公共预算拨款收入580.28万元，占100%；事业收入0万元，占0%；其他收入0万元，占0%。</w:t>
      </w:r>
    </w:p>
    <w:p w14:paraId="30C2A8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bCs/>
          <w:color w:val="000000"/>
          <w:kern w:val="0"/>
          <w:szCs w:val="32"/>
          <w:highlight w:val="none"/>
          <w:shd w:val="clear" w:color="auto" w:fill="FFFFFF"/>
          <w:lang w:val="en-US"/>
        </w:rPr>
      </w:pPr>
      <w:r>
        <w:rPr>
          <w:rFonts w:hint="eastAsia" w:ascii="仿宋" w:hAnsi="仿宋" w:eastAsia="仿宋" w:cs="仿宋"/>
          <w:kern w:val="2"/>
          <w:sz w:val="32"/>
          <w:szCs w:val="32"/>
          <w:lang w:val="en-US" w:eastAsia="zh-CN" w:bidi="ar-SA"/>
        </w:rPr>
        <w:t>2025年，决算报表本单位本年度收入为</w:t>
      </w:r>
      <w:r>
        <w:rPr>
          <w:rFonts w:hint="eastAsia" w:ascii="仿宋" w:hAnsi="仿宋" w:eastAsia="仿宋"/>
          <w:sz w:val="32"/>
          <w:szCs w:val="32"/>
          <w:lang w:val="en-US" w:eastAsia="zh-CN"/>
        </w:rPr>
        <w:t>1190.38</w:t>
      </w:r>
      <w:r>
        <w:rPr>
          <w:rFonts w:hint="eastAsia" w:ascii="仿宋" w:hAnsi="仿宋" w:eastAsia="仿宋" w:cs="仿宋"/>
          <w:kern w:val="2"/>
          <w:sz w:val="32"/>
          <w:szCs w:val="32"/>
          <w:lang w:val="en-US" w:eastAsia="zh-CN" w:bidi="ar-SA"/>
        </w:rPr>
        <w:t>万元，其中：一般公共预算财政拨款收入为</w:t>
      </w:r>
      <w:r>
        <w:rPr>
          <w:rFonts w:hint="eastAsia" w:ascii="仿宋_GB2312" w:hAnsi="宋体" w:eastAsia="仿宋_GB2312" w:cs="宋体"/>
          <w:color w:val="000000" w:themeColor="text1"/>
          <w:kern w:val="0"/>
          <w:sz w:val="32"/>
          <w:szCs w:val="32"/>
          <w:shd w:val="clear" w:color="auto" w:fill="FFFFFF"/>
          <w:lang w:val="en-US" w:eastAsia="zh-CN"/>
          <w14:textFill>
            <w14:solidFill>
              <w14:schemeClr w14:val="tx1"/>
            </w14:solidFill>
          </w14:textFill>
        </w:rPr>
        <w:t>1140.38</w:t>
      </w:r>
      <w:r>
        <w:rPr>
          <w:rFonts w:hint="eastAsia" w:ascii="仿宋" w:hAnsi="仿宋" w:eastAsia="仿宋" w:cs="仿宋"/>
          <w:kern w:val="2"/>
          <w:sz w:val="32"/>
          <w:szCs w:val="32"/>
          <w:lang w:val="en-US" w:eastAsia="zh-CN" w:bidi="ar-SA"/>
        </w:rPr>
        <w:t>万元，占比95.8%，</w:t>
      </w:r>
      <w:r>
        <w:rPr>
          <w:rFonts w:hint="eastAsia" w:ascii="仿宋_GB2312" w:hAnsi="宋体" w:eastAsia="仿宋_GB2312" w:cs="宋体"/>
          <w:color w:val="000000" w:themeColor="text1"/>
          <w:kern w:val="0"/>
          <w:sz w:val="32"/>
          <w:szCs w:val="32"/>
          <w:shd w:val="clear" w:color="auto" w:fill="FFFFFF"/>
          <w:lang w:eastAsia="zh-CN"/>
          <w14:textFill>
            <w14:solidFill>
              <w14:schemeClr w14:val="tx1"/>
            </w14:solidFill>
          </w14:textFill>
        </w:rPr>
        <w:t>非财政拨款收入为</w:t>
      </w:r>
      <w:r>
        <w:rPr>
          <w:rFonts w:hint="eastAsia" w:ascii="仿宋_GB2312" w:hAnsi="宋体" w:eastAsia="仿宋_GB2312" w:cs="宋体"/>
          <w:color w:val="000000" w:themeColor="text1"/>
          <w:kern w:val="0"/>
          <w:sz w:val="32"/>
          <w:szCs w:val="32"/>
          <w:shd w:val="clear" w:color="auto" w:fill="FFFFFF"/>
          <w:lang w:val="en-US" w:eastAsia="zh-CN"/>
          <w14:textFill>
            <w14:solidFill>
              <w14:schemeClr w14:val="tx1"/>
            </w14:solidFill>
          </w14:textFill>
        </w:rPr>
        <w:t>50万元，占比4.2%</w:t>
      </w:r>
      <w:r>
        <w:rPr>
          <w:rFonts w:hint="eastAsia" w:ascii="仿宋" w:hAnsi="仿宋" w:eastAsia="仿宋" w:cs="仿宋"/>
          <w:kern w:val="2"/>
          <w:sz w:val="32"/>
          <w:szCs w:val="32"/>
          <w:lang w:val="en-US" w:eastAsia="zh-CN" w:bidi="ar-SA"/>
        </w:rPr>
        <w:t>。</w:t>
      </w:r>
    </w:p>
    <w:p w14:paraId="204E8678">
      <w:pPr>
        <w:pStyle w:val="19"/>
        <w:keepNext w:val="0"/>
        <w:keepLines w:val="0"/>
        <w:widowControl/>
        <w:suppressLineNumbers w:val="0"/>
        <w:spacing w:before="105" w:beforeAutospacing="0" w:after="105" w:afterAutospacing="0" w:line="20" w:lineRule="atLeast"/>
        <w:ind w:firstLine="643" w:firstLineChars="200"/>
        <w:rPr>
          <w:rFonts w:hint="default"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（二）</w:t>
      </w:r>
      <w:r>
        <w:rPr>
          <w:rFonts w:hint="default" w:ascii="Times New Roman" w:hAnsi="Times New Roman" w:eastAsia="楷体_GB2312" w:cs="楷体_GB2312"/>
          <w:b/>
          <w:color w:val="auto"/>
          <w:sz w:val="32"/>
          <w:szCs w:val="32"/>
          <w:highlight w:val="none"/>
          <w:lang w:val="zh-CN" w:eastAsia="zh-CN"/>
        </w:rPr>
        <w:t>支出情况。</w:t>
      </w:r>
    </w:p>
    <w:p w14:paraId="7724E66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2025年支出预算</w:t>
      </w:r>
      <w:r>
        <w:rPr>
          <w:rFonts w:hint="eastAsia" w:ascii="仿宋_GB2312" w:hAnsi="宋体" w:eastAsia="仿宋_GB2312" w:cs="宋体"/>
          <w:kern w:val="0"/>
          <w:sz w:val="32"/>
          <w:szCs w:val="32"/>
          <w:shd w:val="clear" w:color="auto" w:fill="FFFFFF"/>
          <w:lang w:val="en-US" w:eastAsia="zh-CN"/>
        </w:rPr>
        <w:t>1151.68</w:t>
      </w:r>
      <w:r>
        <w:rPr>
          <w:rFonts w:hint="eastAsia" w:ascii="仿宋_GB2312" w:hAnsi="宋体" w:eastAsia="仿宋_GB2312" w:cs="宋体"/>
          <w:kern w:val="0"/>
          <w:sz w:val="32"/>
          <w:szCs w:val="32"/>
          <w:shd w:val="clear" w:color="auto" w:fill="FFFFFF"/>
        </w:rPr>
        <w:t>万元，其中：</w:t>
      </w:r>
      <w:r>
        <w:rPr>
          <w:rFonts w:hint="eastAsia" w:ascii="仿宋_GB2312" w:hAnsi="宋体" w:eastAsia="仿宋_GB2312" w:cs="宋体"/>
          <w:kern w:val="0"/>
          <w:sz w:val="32"/>
          <w:szCs w:val="32"/>
        </w:rPr>
        <w:t>基本支出</w:t>
      </w:r>
      <w:r>
        <w:rPr>
          <w:rFonts w:hint="eastAsia" w:ascii="仿宋_GB2312" w:hAnsi="宋体" w:eastAsia="仿宋_GB2312" w:cs="宋体"/>
          <w:kern w:val="0"/>
          <w:sz w:val="32"/>
          <w:szCs w:val="32"/>
          <w:lang w:val="en-US" w:eastAsia="zh-CN"/>
        </w:rPr>
        <w:t>549.91</w:t>
      </w:r>
      <w:r>
        <w:rPr>
          <w:rFonts w:hint="eastAsia" w:ascii="仿宋_GB2312" w:hAnsi="宋体" w:eastAsia="仿宋_GB2312" w:cs="宋体"/>
          <w:kern w:val="0"/>
          <w:sz w:val="32"/>
          <w:szCs w:val="32"/>
        </w:rPr>
        <w:t>万元，占</w:t>
      </w:r>
      <w:r>
        <w:rPr>
          <w:rFonts w:hint="eastAsia" w:ascii="仿宋_GB2312" w:hAnsi="宋体" w:eastAsia="仿宋_GB2312" w:cs="宋体"/>
          <w:kern w:val="0"/>
          <w:sz w:val="32"/>
          <w:szCs w:val="32"/>
          <w:lang w:val="en-US" w:eastAsia="zh-CN"/>
        </w:rPr>
        <w:t>47.75</w:t>
      </w:r>
      <w:r>
        <w:rPr>
          <w:rFonts w:hint="eastAsia" w:ascii="仿宋_GB2312" w:hAnsi="宋体" w:eastAsia="仿宋_GB2312" w:cs="宋体"/>
          <w:kern w:val="0"/>
          <w:sz w:val="32"/>
          <w:szCs w:val="32"/>
        </w:rPr>
        <w:t>%，包含（人员经费</w:t>
      </w:r>
      <w:r>
        <w:rPr>
          <w:rFonts w:hint="eastAsia" w:ascii="仿宋_GB2312" w:hAnsi="宋体" w:eastAsia="仿宋_GB2312" w:cs="宋体"/>
          <w:kern w:val="0"/>
          <w:sz w:val="32"/>
          <w:szCs w:val="32"/>
          <w:lang w:val="en-US" w:eastAsia="zh-CN"/>
        </w:rPr>
        <w:t>516.72</w:t>
      </w:r>
      <w:r>
        <w:rPr>
          <w:rFonts w:hint="eastAsia" w:ascii="仿宋_GB2312" w:hAnsi="宋体" w:eastAsia="仿宋_GB2312" w:cs="宋体"/>
          <w:kern w:val="0"/>
          <w:sz w:val="32"/>
          <w:szCs w:val="32"/>
        </w:rPr>
        <w:t>万元，占</w:t>
      </w:r>
      <w:r>
        <w:rPr>
          <w:rFonts w:hint="eastAsia" w:ascii="仿宋_GB2312" w:hAnsi="宋体" w:eastAsia="仿宋_GB2312" w:cs="宋体"/>
          <w:kern w:val="0"/>
          <w:sz w:val="32"/>
          <w:szCs w:val="32"/>
          <w:lang w:val="en-US" w:eastAsia="zh-CN"/>
        </w:rPr>
        <w:t>93.96</w:t>
      </w:r>
      <w:r>
        <w:rPr>
          <w:rFonts w:hint="eastAsia" w:ascii="仿宋_GB2312" w:hAnsi="宋体" w:eastAsia="仿宋_GB2312" w:cs="宋体"/>
          <w:kern w:val="0"/>
          <w:sz w:val="32"/>
          <w:szCs w:val="32"/>
        </w:rPr>
        <w:t>%，公用经费</w:t>
      </w:r>
      <w:r>
        <w:rPr>
          <w:rFonts w:hint="eastAsia" w:ascii="仿宋_GB2312" w:hAnsi="宋体" w:eastAsia="仿宋_GB2312" w:cs="宋体"/>
          <w:kern w:val="0"/>
          <w:sz w:val="32"/>
          <w:szCs w:val="32"/>
          <w:lang w:val="en-US" w:eastAsia="zh-CN"/>
        </w:rPr>
        <w:t>33.19</w:t>
      </w:r>
      <w:r>
        <w:rPr>
          <w:rFonts w:hint="eastAsia" w:ascii="仿宋_GB2312" w:hAnsi="宋体" w:eastAsia="仿宋_GB2312" w:cs="宋体"/>
          <w:kern w:val="0"/>
          <w:sz w:val="32"/>
          <w:szCs w:val="32"/>
        </w:rPr>
        <w:t>万元，占</w:t>
      </w:r>
      <w:r>
        <w:rPr>
          <w:rFonts w:hint="eastAsia" w:ascii="仿宋_GB2312" w:hAnsi="宋体" w:eastAsia="仿宋_GB2312" w:cs="宋体"/>
          <w:kern w:val="0"/>
          <w:sz w:val="32"/>
          <w:szCs w:val="32"/>
          <w:lang w:val="en-US" w:eastAsia="zh-CN"/>
        </w:rPr>
        <w:t>6.04</w:t>
      </w:r>
      <w:r>
        <w:rPr>
          <w:rFonts w:hint="eastAsia" w:ascii="仿宋_GB2312" w:hAnsi="宋体" w:eastAsia="仿宋_GB2312" w:cs="宋体"/>
          <w:kern w:val="0"/>
          <w:sz w:val="32"/>
          <w:szCs w:val="32"/>
        </w:rPr>
        <w:t>%）；项目支出</w:t>
      </w:r>
      <w:r>
        <w:rPr>
          <w:rFonts w:hint="eastAsia" w:ascii="仿宋_GB2312" w:hAnsi="宋体" w:eastAsia="仿宋_GB2312" w:cs="宋体"/>
          <w:kern w:val="0"/>
          <w:sz w:val="32"/>
          <w:szCs w:val="32"/>
          <w:lang w:val="en-US" w:eastAsia="zh-CN"/>
        </w:rPr>
        <w:t>601.77</w:t>
      </w:r>
      <w:r>
        <w:rPr>
          <w:rFonts w:hint="eastAsia" w:ascii="仿宋_GB2312" w:hAnsi="宋体" w:eastAsia="仿宋_GB2312" w:cs="宋体"/>
          <w:kern w:val="0"/>
          <w:sz w:val="32"/>
          <w:szCs w:val="32"/>
        </w:rPr>
        <w:t>万元，占</w:t>
      </w:r>
      <w:r>
        <w:rPr>
          <w:rFonts w:hint="eastAsia" w:ascii="仿宋_GB2312" w:hAnsi="宋体" w:eastAsia="仿宋_GB2312" w:cs="宋体"/>
          <w:kern w:val="0"/>
          <w:sz w:val="32"/>
          <w:szCs w:val="32"/>
          <w:lang w:val="en-US" w:eastAsia="zh-CN"/>
        </w:rPr>
        <w:t>52.25</w:t>
      </w:r>
      <w:r>
        <w:rPr>
          <w:rFonts w:hint="eastAsia" w:ascii="仿宋_GB2312" w:hAnsi="宋体" w:eastAsia="仿宋_GB2312" w:cs="宋体"/>
          <w:kern w:val="0"/>
          <w:sz w:val="32"/>
          <w:szCs w:val="32"/>
        </w:rPr>
        <w:t>%</w:t>
      </w:r>
      <w:r>
        <w:rPr>
          <w:rFonts w:hint="eastAsia" w:ascii="仿宋" w:hAnsi="仿宋" w:eastAsia="仿宋" w:cs="仿宋"/>
          <w:kern w:val="2"/>
          <w:sz w:val="32"/>
          <w:szCs w:val="32"/>
          <w:lang w:val="en-US" w:eastAsia="zh-CN" w:bidi="ar-SA"/>
        </w:rPr>
        <w:t>。</w:t>
      </w:r>
    </w:p>
    <w:p w14:paraId="6BECB87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_GB2312" w:cs="仿宋"/>
          <w:kern w:val="2"/>
          <w:sz w:val="32"/>
          <w:szCs w:val="32"/>
          <w:lang w:val="en-US" w:eastAsia="zh-CN" w:bidi="ar-SA"/>
        </w:rPr>
      </w:pPr>
      <w:r>
        <w:rPr>
          <w:rFonts w:hint="eastAsia" w:ascii="仿宋" w:hAnsi="仿宋" w:eastAsia="仿宋" w:cs="仿宋"/>
          <w:kern w:val="2"/>
          <w:sz w:val="32"/>
          <w:szCs w:val="32"/>
          <w:lang w:val="en-US" w:eastAsia="zh-CN" w:bidi="ar-SA"/>
        </w:rPr>
        <w:t>2025年决算报表支出</w:t>
      </w:r>
      <w:r>
        <w:rPr>
          <w:rFonts w:hint="eastAsia" w:ascii="仿宋_GB2312" w:hAnsi="宋体" w:eastAsia="仿宋_GB2312" w:cs="宋体"/>
          <w:kern w:val="0"/>
          <w:sz w:val="32"/>
          <w:szCs w:val="32"/>
          <w:shd w:val="clear" w:color="auto" w:fill="FFFFFF"/>
          <w:lang w:val="en-US" w:eastAsia="zh-CN"/>
        </w:rPr>
        <w:t>1151.68</w:t>
      </w:r>
      <w:r>
        <w:rPr>
          <w:rFonts w:hint="eastAsia" w:ascii="仿宋" w:hAnsi="仿宋" w:eastAsia="仿宋" w:cs="仿宋"/>
          <w:kern w:val="2"/>
          <w:sz w:val="32"/>
          <w:szCs w:val="32"/>
          <w:lang w:val="en-US" w:eastAsia="zh-CN" w:bidi="ar-SA"/>
        </w:rPr>
        <w:t>万元，</w:t>
      </w:r>
      <w:r>
        <w:rPr>
          <w:rFonts w:hint="eastAsia" w:ascii="仿宋_GB2312" w:hAnsi="宋体" w:eastAsia="仿宋_GB2312" w:cs="宋体"/>
          <w:kern w:val="0"/>
          <w:sz w:val="32"/>
          <w:szCs w:val="32"/>
        </w:rPr>
        <w:t>其中：文化旅游体育与传媒支出</w:t>
      </w:r>
      <w:r>
        <w:rPr>
          <w:rFonts w:hint="eastAsia" w:ascii="仿宋_GB2312" w:hAnsi="宋体" w:eastAsia="仿宋_GB2312" w:cs="宋体"/>
          <w:kern w:val="0"/>
          <w:sz w:val="32"/>
          <w:szCs w:val="32"/>
          <w:shd w:val="clear" w:color="auto" w:fill="FFFFFF"/>
          <w:lang w:val="en-US" w:eastAsia="zh-CN"/>
        </w:rPr>
        <w:t>1018.08</w:t>
      </w:r>
      <w:r>
        <w:rPr>
          <w:rFonts w:hint="eastAsia" w:ascii="仿宋_GB2312" w:hAnsi="宋体" w:eastAsia="仿宋_GB2312" w:cs="宋体"/>
          <w:kern w:val="0"/>
          <w:sz w:val="32"/>
          <w:szCs w:val="32"/>
        </w:rPr>
        <w:t>万元;社会保障和就业支出</w:t>
      </w:r>
      <w:r>
        <w:rPr>
          <w:rFonts w:hint="eastAsia" w:ascii="仿宋_GB2312" w:hAnsi="宋体" w:eastAsia="仿宋_GB2312" w:cs="宋体"/>
          <w:kern w:val="0"/>
          <w:sz w:val="32"/>
          <w:szCs w:val="32"/>
          <w:lang w:val="en-US" w:eastAsia="zh-CN"/>
        </w:rPr>
        <w:t>69.14</w:t>
      </w:r>
      <w:r>
        <w:rPr>
          <w:rFonts w:hint="eastAsia" w:ascii="仿宋_GB2312" w:hAnsi="宋体" w:eastAsia="仿宋_GB2312" w:cs="宋体"/>
          <w:kern w:val="0"/>
          <w:sz w:val="32"/>
          <w:szCs w:val="32"/>
        </w:rPr>
        <w:t>万元；卫生健康支出</w:t>
      </w:r>
      <w:r>
        <w:rPr>
          <w:rFonts w:hint="eastAsia" w:ascii="仿宋_GB2312" w:hAnsi="宋体" w:eastAsia="仿宋_GB2312" w:cs="宋体"/>
          <w:kern w:val="0"/>
          <w:sz w:val="32"/>
          <w:szCs w:val="32"/>
          <w:lang w:val="en-US" w:eastAsia="zh-CN"/>
        </w:rPr>
        <w:t>26.69</w:t>
      </w:r>
      <w:r>
        <w:rPr>
          <w:rFonts w:hint="eastAsia" w:ascii="仿宋_GB2312" w:hAnsi="宋体" w:eastAsia="仿宋_GB2312" w:cs="宋体"/>
          <w:kern w:val="0"/>
          <w:sz w:val="32"/>
          <w:szCs w:val="32"/>
        </w:rPr>
        <w:t>万元；住房保障支出</w:t>
      </w:r>
      <w:r>
        <w:rPr>
          <w:rFonts w:hint="eastAsia" w:ascii="仿宋_GB2312" w:hAnsi="宋体" w:eastAsia="仿宋_GB2312" w:cs="宋体"/>
          <w:kern w:val="0"/>
          <w:sz w:val="32"/>
          <w:szCs w:val="32"/>
          <w:lang w:val="en-US" w:eastAsia="zh-CN"/>
        </w:rPr>
        <w:t>37.77</w:t>
      </w:r>
      <w:r>
        <w:rPr>
          <w:rFonts w:hint="eastAsia" w:ascii="仿宋_GB2312" w:hAnsi="宋体" w:eastAsia="仿宋_GB2312" w:cs="宋体"/>
          <w:kern w:val="0"/>
          <w:sz w:val="32"/>
          <w:szCs w:val="32"/>
        </w:rPr>
        <w:t>万元</w:t>
      </w:r>
      <w:r>
        <w:rPr>
          <w:rFonts w:hint="eastAsia" w:ascii="仿宋_GB2312" w:hAnsi="宋体" w:cs="宋体"/>
          <w:kern w:val="0"/>
          <w:sz w:val="32"/>
          <w:szCs w:val="32"/>
          <w:lang w:eastAsia="zh-CN"/>
        </w:rPr>
        <w:t>。</w:t>
      </w:r>
    </w:p>
    <w:p w14:paraId="52D26964">
      <w:pPr>
        <w:pStyle w:val="19"/>
        <w:keepNext w:val="0"/>
        <w:keepLines w:val="0"/>
        <w:widowControl/>
        <w:suppressLineNumbers w:val="0"/>
        <w:spacing w:before="105" w:beforeAutospacing="0" w:after="105" w:afterAutospacing="0" w:line="20" w:lineRule="atLeast"/>
        <w:ind w:firstLine="643" w:firstLineChars="200"/>
        <w:rPr>
          <w:rFonts w:hint="default"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（三）</w:t>
      </w:r>
      <w:r>
        <w:rPr>
          <w:rFonts w:hint="default" w:ascii="Times New Roman" w:hAnsi="Times New Roman" w:eastAsia="楷体_GB2312" w:cs="楷体_GB2312"/>
          <w:b/>
          <w:color w:val="auto"/>
          <w:sz w:val="32"/>
          <w:szCs w:val="32"/>
          <w:highlight w:val="none"/>
          <w:lang w:val="zh-CN" w:eastAsia="zh-CN"/>
        </w:rPr>
        <w:t>结余分配和结转结余情况。</w:t>
      </w:r>
    </w:p>
    <w:p w14:paraId="22FF604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Chars="200" w:firstLine="320" w:firstLineChars="1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eastAsia" w:ascii="仿宋" w:hAnsi="仿宋" w:eastAsia="仿宋" w:cs="仿宋"/>
          <w:kern w:val="2"/>
          <w:sz w:val="32"/>
          <w:szCs w:val="32"/>
          <w:lang w:val="en-US" w:eastAsia="zh-CN" w:bidi="ar-SA"/>
        </w:rPr>
        <w:t>2025年决算报表</w:t>
      </w:r>
      <w:r>
        <w:rPr>
          <w:rFonts w:hint="default" w:ascii="仿宋" w:hAnsi="仿宋" w:eastAsia="仿宋" w:cs="仿宋"/>
          <w:kern w:val="2"/>
          <w:sz w:val="32"/>
          <w:szCs w:val="32"/>
          <w:lang w:val="en-US" w:eastAsia="zh-CN" w:bidi="ar-SA"/>
        </w:rPr>
        <w:t>结转结余</w:t>
      </w:r>
      <w:r>
        <w:rPr>
          <w:rFonts w:hint="eastAsia" w:ascii="仿宋" w:hAnsi="仿宋" w:eastAsia="仿宋" w:cs="仿宋"/>
          <w:kern w:val="2"/>
          <w:sz w:val="32"/>
          <w:szCs w:val="32"/>
          <w:lang w:val="en-US" w:eastAsia="zh-CN" w:bidi="ar-SA"/>
        </w:rPr>
        <w:t>情况无。</w:t>
      </w:r>
    </w:p>
    <w:p w14:paraId="38ACA50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0514955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仿宋_GB2312" w:hAnsi="宋体" w:eastAsia="仿宋_GB2312" w:cs="宋体"/>
          <w:kern w:val="0"/>
          <w:sz w:val="32"/>
          <w:szCs w:val="32"/>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（一）部门预算总体绩效分析。</w:t>
      </w:r>
      <w:r>
        <w:rPr>
          <w:rFonts w:hint="default" w:ascii="仿宋_GB2312" w:hAnsi="宋体" w:eastAsia="仿宋_GB2312" w:cs="宋体"/>
          <w:kern w:val="0"/>
          <w:sz w:val="32"/>
          <w:szCs w:val="32"/>
          <w:lang w:val="zh-CN"/>
        </w:rPr>
        <w:t>根据部门预算绩效评价指标体系“总体绩效”涉及二、三级指标进行逐项绩效分析并评分，依次包括履职效能、预算管理、财务管理、资产管理、采购管理等情况。</w:t>
      </w:r>
    </w:p>
    <w:p w14:paraId="0891671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zh-CN" w:eastAsia="zh-CN" w:bidi="ar-SA"/>
        </w:rPr>
        <w:t>履职效能。</w:t>
      </w:r>
    </w:p>
    <w:p w14:paraId="173DEEC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kern w:val="2"/>
          <w:sz w:val="32"/>
          <w:szCs w:val="32"/>
          <w:lang w:val="en-US" w:eastAsia="zh-CN" w:bidi="ar-SA"/>
        </w:rPr>
      </w:pPr>
      <w:r>
        <w:rPr>
          <w:rFonts w:hint="default" w:ascii="仿宋" w:hAnsi="仿宋" w:eastAsia="仿宋" w:cs="仿宋"/>
          <w:kern w:val="2"/>
          <w:sz w:val="32"/>
          <w:szCs w:val="32"/>
          <w:lang w:val="zh-CN" w:eastAsia="zh-CN" w:bidi="ar-SA"/>
        </w:rPr>
        <w:t>博物馆纪念馆免费开放中央补助资金（第一批）</w:t>
      </w:r>
      <w:r>
        <w:rPr>
          <w:rFonts w:hint="eastAsia" w:ascii="仿宋" w:hAnsi="仿宋" w:eastAsia="仿宋" w:cs="仿宋"/>
          <w:kern w:val="2"/>
          <w:sz w:val="32"/>
          <w:szCs w:val="32"/>
          <w:lang w:val="zh-CN" w:eastAsia="zh-CN" w:bidi="ar-SA"/>
        </w:rPr>
        <w:t>项目，</w:t>
      </w:r>
      <w:r>
        <w:rPr>
          <w:rFonts w:hint="eastAsia" w:ascii="仿宋" w:hAnsi="仿宋" w:eastAsia="仿宋" w:cs="仿宋"/>
          <w:kern w:val="2"/>
          <w:sz w:val="32"/>
          <w:szCs w:val="32"/>
          <w:lang w:val="en-US" w:eastAsia="zh-CN" w:bidi="ar-SA"/>
        </w:rPr>
        <w:t>其中：中央160万元，省级40万元，其中124.83万元，2025年用于博物馆运行经费，剩余75.17万元用于临时展览和宣传活动经费，该项目完成99.65%，支出总额199.3万元；该项目质量指标为保障州文物考古研究所（博物馆）的公共服务功能正常运行指标值达</w:t>
      </w:r>
      <w:r>
        <w:rPr>
          <w:rFonts w:hint="eastAsia" w:ascii="仿宋" w:hAnsi="仿宋" w:eastAsia="仿宋" w:cs="仿宋"/>
          <w:color w:val="000000" w:themeColor="text1"/>
          <w:kern w:val="2"/>
          <w:sz w:val="32"/>
          <w:szCs w:val="32"/>
          <w:highlight w:val="none"/>
          <w:lang w:val="en-US" w:eastAsia="zh-CN" w:bidi="ar-SA"/>
          <w14:textFill>
            <w14:solidFill>
              <w14:schemeClr w14:val="tx1"/>
            </w14:solidFill>
          </w14:textFill>
        </w:rPr>
        <w:t>90</w:t>
      </w:r>
      <w:r>
        <w:rPr>
          <w:rFonts w:hint="eastAsia" w:ascii="仿宋" w:hAnsi="仿宋" w:eastAsia="仿宋" w:cs="仿宋"/>
          <w:kern w:val="2"/>
          <w:sz w:val="32"/>
          <w:szCs w:val="32"/>
          <w:lang w:val="en-US" w:eastAsia="zh-CN" w:bidi="ar-SA"/>
        </w:rPr>
        <w:t>%。</w:t>
      </w:r>
    </w:p>
    <w:p w14:paraId="777C26C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zh-CN" w:eastAsia="zh-CN" w:bidi="ar-SA"/>
        </w:rPr>
        <w:t>国家文物保护资金</w:t>
      </w:r>
      <w:r>
        <w:rPr>
          <w:rFonts w:hint="eastAsia" w:ascii="仿宋" w:hAnsi="仿宋" w:eastAsia="仿宋" w:cs="仿宋"/>
          <w:kern w:val="2"/>
          <w:sz w:val="32"/>
          <w:szCs w:val="32"/>
          <w:lang w:val="en-US" w:eastAsia="zh-CN" w:bidi="ar-SA"/>
        </w:rPr>
        <w:t>结转至2025年的项目</w:t>
      </w:r>
      <w:r>
        <w:rPr>
          <w:rFonts w:hint="eastAsia" w:ascii="仿宋" w:hAnsi="仿宋" w:eastAsia="仿宋" w:cs="仿宋"/>
          <w:kern w:val="2"/>
          <w:sz w:val="32"/>
          <w:szCs w:val="32"/>
          <w:lang w:val="zh-CN" w:eastAsia="zh-CN" w:bidi="ar-SA"/>
        </w:rPr>
        <w:t>，该项目预算资金</w:t>
      </w:r>
      <w:r>
        <w:rPr>
          <w:rFonts w:hint="eastAsia" w:ascii="仿宋" w:hAnsi="仿宋" w:eastAsia="仿宋" w:cs="仿宋"/>
          <w:kern w:val="2"/>
          <w:sz w:val="32"/>
          <w:szCs w:val="32"/>
          <w:lang w:val="en-US" w:eastAsia="zh-CN" w:bidi="ar-SA"/>
        </w:rPr>
        <w:t>356万元，主要用于珍贵文物三维数据采集、数字展厅建设及智慧博物馆平台开发等，</w:t>
      </w:r>
      <w:r>
        <w:rPr>
          <w:rFonts w:hint="eastAsia" w:ascii="仿宋" w:hAnsi="仿宋" w:eastAsia="仿宋" w:cs="仿宋"/>
          <w:kern w:val="2"/>
          <w:sz w:val="32"/>
          <w:szCs w:val="32"/>
          <w:lang w:val="zh-CN" w:eastAsia="zh-CN" w:bidi="ar-SA"/>
        </w:rPr>
        <w:t>项目实际支出</w:t>
      </w:r>
      <w:r>
        <w:rPr>
          <w:rFonts w:hint="eastAsia" w:ascii="仿宋" w:hAnsi="仿宋" w:eastAsia="仿宋" w:cs="仿宋"/>
          <w:kern w:val="2"/>
          <w:sz w:val="32"/>
          <w:szCs w:val="32"/>
          <w:lang w:val="en-US" w:eastAsia="zh-CN" w:bidi="ar-SA"/>
        </w:rPr>
        <w:t>192.2万</w:t>
      </w:r>
      <w:r>
        <w:rPr>
          <w:rFonts w:hint="eastAsia" w:ascii="仿宋" w:hAnsi="仿宋" w:eastAsia="仿宋" w:cs="仿宋"/>
          <w:kern w:val="2"/>
          <w:sz w:val="32"/>
          <w:szCs w:val="32"/>
          <w:lang w:val="zh-CN" w:eastAsia="zh-CN" w:bidi="ar-SA"/>
        </w:rPr>
        <w:t>元，支出率</w:t>
      </w:r>
      <w:r>
        <w:rPr>
          <w:rFonts w:hint="eastAsia" w:ascii="仿宋" w:hAnsi="仿宋" w:eastAsia="仿宋" w:cs="仿宋"/>
          <w:kern w:val="2"/>
          <w:sz w:val="32"/>
          <w:szCs w:val="32"/>
          <w:lang w:val="en-US" w:eastAsia="zh-CN" w:bidi="ar-SA"/>
        </w:rPr>
        <w:t>53.99%；该项目产出指标：本项目为跨年度实施项目，2025年已完成四分之三的工作量，在进行最后的优化调整。相关质量指标按国家和行业标准执行，完成部分达到要求。项目进度则按合同约定时间推进，2025年项目内容部分完成，完成资金支付192.2万元，占总金额的53.99%；效益指标：投入资金均为项目需要无浪费项目，提高博物馆公共服务功能成效显著。满意度指标：社会公众满意度达到90%。</w:t>
      </w:r>
    </w:p>
    <w:p w14:paraId="6684D99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2022年省级文物保护专项资金结转至2025年的项目，该项目预算资金100万元，其中：红色草原”红色资源调查和岷江50万元、涪江流域考古调查50万元，累计总支出99.32万元，支出率99.32%。</w:t>
      </w:r>
    </w:p>
    <w:p w14:paraId="6A9DA01B">
      <w:pPr>
        <w:keepNext w:val="0"/>
        <w:keepLines w:val="0"/>
        <w:pageBreakBefore w:val="0"/>
        <w:numPr>
          <w:ilvl w:val="0"/>
          <w:numId w:val="0"/>
        </w:numPr>
        <w:kinsoku/>
        <w:wordWrap/>
        <w:overflowPunct/>
        <w:topLinePunct w:val="0"/>
        <w:autoSpaceDE/>
        <w:autoSpaceDN/>
        <w:bidi w:val="0"/>
        <w:adjustRightInd w:val="0"/>
        <w:snapToGrid w:val="0"/>
        <w:spacing w:line="578" w:lineRule="exact"/>
        <w:ind w:left="640" w:leftChars="0"/>
        <w:textAlignment w:val="auto"/>
        <w:rPr>
          <w:rFonts w:hint="default"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2.</w:t>
      </w:r>
      <w:r>
        <w:rPr>
          <w:rFonts w:hint="default" w:eastAsia="仿宋_GB2312" w:cs="仿宋_GB2312"/>
          <w:color w:val="auto"/>
          <w:kern w:val="2"/>
          <w:sz w:val="32"/>
          <w:szCs w:val="32"/>
          <w:highlight w:val="none"/>
          <w:lang w:val="zh-CN" w:eastAsia="zh-CN" w:bidi="ar-SA"/>
        </w:rPr>
        <w:t>预算管理。</w:t>
      </w:r>
    </w:p>
    <w:p w14:paraId="77BCCA73">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zh-CN" w:eastAsia="zh-CN" w:bidi="ar-SA"/>
        </w:rPr>
      </w:pPr>
      <w:r>
        <w:rPr>
          <w:rFonts w:hint="eastAsia" w:ascii="仿宋" w:hAnsi="仿宋" w:eastAsia="仿宋" w:cs="仿宋"/>
          <w:kern w:val="2"/>
          <w:sz w:val="32"/>
          <w:szCs w:val="32"/>
          <w:lang w:val="en-US" w:eastAsia="zh-CN" w:bidi="ar-SA"/>
        </w:rPr>
        <w:t>（1）</w:t>
      </w:r>
      <w:r>
        <w:rPr>
          <w:rFonts w:hint="eastAsia" w:ascii="仿宋" w:hAnsi="仿宋" w:eastAsia="仿宋" w:cs="仿宋"/>
          <w:kern w:val="2"/>
          <w:sz w:val="32"/>
          <w:szCs w:val="32"/>
          <w:lang w:val="zh-CN" w:eastAsia="zh-CN" w:bidi="ar-SA"/>
        </w:rPr>
        <w:t>部门绩效目标制定、目标实现：</w:t>
      </w:r>
      <w:r>
        <w:rPr>
          <w:rFonts w:hint="eastAsia" w:ascii="仿宋" w:hAnsi="仿宋" w:eastAsia="仿宋" w:cs="仿宋"/>
          <w:kern w:val="2"/>
          <w:sz w:val="32"/>
          <w:szCs w:val="32"/>
          <w:lang w:val="en-US" w:eastAsia="zh-CN" w:bidi="ar-SA"/>
        </w:rPr>
        <w:t>我单位根据年度工作计划制定了2025年部门整体绩效目标，内容编制完整。</w:t>
      </w:r>
    </w:p>
    <w:p w14:paraId="233DB49D">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zh-CN" w:eastAsia="zh-CN" w:bidi="ar-SA"/>
        </w:rPr>
      </w:pPr>
      <w:r>
        <w:rPr>
          <w:rFonts w:hint="eastAsia" w:ascii="仿宋" w:hAnsi="仿宋" w:eastAsia="仿宋" w:cs="仿宋"/>
          <w:kern w:val="2"/>
          <w:sz w:val="32"/>
          <w:szCs w:val="32"/>
          <w:lang w:val="en-US" w:eastAsia="zh-CN" w:bidi="ar-SA"/>
        </w:rPr>
        <w:t>（2）</w:t>
      </w:r>
      <w:r>
        <w:rPr>
          <w:rFonts w:hint="eastAsia" w:ascii="仿宋" w:hAnsi="仿宋" w:eastAsia="仿宋" w:cs="仿宋"/>
          <w:kern w:val="2"/>
          <w:sz w:val="32"/>
          <w:szCs w:val="32"/>
          <w:lang w:val="zh-CN" w:eastAsia="zh-CN" w:bidi="ar-SA"/>
        </w:rPr>
        <w:t>预算编制准确、支出控制、预算动态调整：</w:t>
      </w:r>
      <w:r>
        <w:rPr>
          <w:rFonts w:hint="eastAsia" w:ascii="仿宋" w:hAnsi="仿宋" w:eastAsia="仿宋" w:cs="仿宋"/>
          <w:kern w:val="2"/>
          <w:sz w:val="32"/>
          <w:szCs w:val="32"/>
          <w:lang w:val="en-US" w:eastAsia="zh-CN" w:bidi="ar-SA"/>
        </w:rPr>
        <w:t>我单位实行预算管理制度，根据财政局每年下发文件进行相应的预算管理编制和提交。按规定在网上申报各项预算，并取得州财政局下达的预算批复。实行全面预算管理，建立健全预算管理制度；编制收支预算坚持“以收定支、收支平衡、统筹兼顾”的原则；严格执行批复的预算、按照规定调整预算。</w:t>
      </w:r>
    </w:p>
    <w:p w14:paraId="2CD461BC">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（3）项目支出情况、</w:t>
      </w:r>
      <w:r>
        <w:rPr>
          <w:rFonts w:hint="eastAsia" w:ascii="仿宋" w:hAnsi="仿宋" w:eastAsia="仿宋" w:cs="仿宋"/>
          <w:kern w:val="2"/>
          <w:sz w:val="32"/>
          <w:szCs w:val="32"/>
          <w:lang w:val="zh-CN" w:eastAsia="zh-CN" w:bidi="ar-SA"/>
        </w:rPr>
        <w:t>执行进度、完成情况</w:t>
      </w:r>
      <w:r>
        <w:rPr>
          <w:rFonts w:hint="eastAsia" w:ascii="仿宋" w:hAnsi="仿宋" w:eastAsia="仿宋" w:cs="仿宋"/>
          <w:kern w:val="2"/>
          <w:sz w:val="32"/>
          <w:szCs w:val="32"/>
          <w:lang w:val="en-US" w:eastAsia="zh-CN" w:bidi="ar-SA"/>
        </w:rPr>
        <w:t>：</w:t>
      </w:r>
    </w:p>
    <w:p w14:paraId="64631F98">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1.文物考古研究所(博物馆)运行经费项目完成预算的100%，预算资金11.4万元，总支出为11.4万元。</w:t>
      </w:r>
    </w:p>
    <w:p w14:paraId="3A36A59E">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2.国家文物保护资金完成预算的53.99%，预算资金356万元，总支出为192.2万元，剩余163.8万元资金结转。</w:t>
      </w:r>
    </w:p>
    <w:p w14:paraId="623B2479">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w:t>
      </w:r>
      <w:r>
        <w:rPr>
          <w:rFonts w:hint="eastAsia" w:ascii="仿宋" w:hAnsi="仿宋" w:eastAsia="仿宋" w:cs="仿宋"/>
          <w:kern w:val="2"/>
          <w:sz w:val="32"/>
          <w:szCs w:val="32"/>
          <w:lang w:val="zh-CN" w:eastAsia="zh-CN" w:bidi="ar-SA"/>
        </w:rPr>
        <w:t>2022年省级文物保护专项资金</w:t>
      </w:r>
      <w:r>
        <w:rPr>
          <w:rFonts w:hint="eastAsia" w:ascii="仿宋" w:hAnsi="仿宋" w:eastAsia="仿宋" w:cs="仿宋"/>
          <w:kern w:val="2"/>
          <w:sz w:val="32"/>
          <w:szCs w:val="32"/>
          <w:lang w:val="en-US" w:eastAsia="zh-CN" w:bidi="ar-SA"/>
        </w:rPr>
        <w:t>项目完成预算的99.32%，预算100万元，其中：红色草原”红色资源调查和岷江50万元、涪江流域考古调查50万元，2024年结转该项目预算44.44万元，累计总支出99.32万元，剩余资金财政收回。</w:t>
      </w:r>
    </w:p>
    <w:p w14:paraId="5502063C">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4.</w:t>
      </w:r>
      <w:r>
        <w:rPr>
          <w:rFonts w:hint="eastAsia" w:ascii="仿宋" w:hAnsi="仿宋" w:eastAsia="仿宋" w:cs="仿宋"/>
          <w:kern w:val="2"/>
          <w:sz w:val="32"/>
          <w:szCs w:val="32"/>
          <w:lang w:val="zh-CN" w:eastAsia="zh-CN" w:bidi="ar-SA"/>
        </w:rPr>
        <w:t>阿坝州石刻文化及茶马文化补充调查</w:t>
      </w:r>
      <w:r>
        <w:rPr>
          <w:rFonts w:hint="eastAsia" w:ascii="仿宋" w:hAnsi="仿宋" w:eastAsia="仿宋" w:cs="仿宋"/>
          <w:kern w:val="2"/>
          <w:sz w:val="32"/>
          <w:szCs w:val="32"/>
          <w:lang w:val="en-US" w:eastAsia="zh-CN" w:bidi="ar-SA"/>
        </w:rPr>
        <w:t>项目完成预算的99.92</w:t>
      </w:r>
      <w:r>
        <w:rPr>
          <w:rFonts w:hint="eastAsia" w:ascii="仿宋" w:hAnsi="仿宋" w:eastAsia="仿宋" w:cs="仿宋"/>
          <w:kern w:val="2"/>
          <w:sz w:val="32"/>
          <w:szCs w:val="32"/>
          <w:lang w:val="zh-CN" w:eastAsia="zh-CN" w:bidi="ar-SA"/>
        </w:rPr>
        <w:t>%</w:t>
      </w:r>
      <w:r>
        <w:rPr>
          <w:rFonts w:hint="eastAsia" w:ascii="仿宋" w:hAnsi="仿宋" w:eastAsia="仿宋" w:cs="仿宋"/>
          <w:kern w:val="2"/>
          <w:sz w:val="32"/>
          <w:szCs w:val="32"/>
          <w:lang w:val="en-US" w:eastAsia="zh-CN" w:bidi="ar-SA"/>
        </w:rPr>
        <w:t>，预算3.12万元，总支出3.117万元，剩余资金财政收回。</w:t>
      </w:r>
    </w:p>
    <w:p w14:paraId="57D51E6F">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5.博物馆纪念馆免费开放中央补助资金项目完成预算的99.56%，预算资金160万元，总支出159.3万元，剩余资金财政收回。</w:t>
      </w:r>
    </w:p>
    <w:p w14:paraId="731B68EB">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6.</w:t>
      </w:r>
      <w:r>
        <w:rPr>
          <w:rFonts w:hint="eastAsia" w:ascii="仿宋" w:hAnsi="仿宋" w:eastAsia="仿宋" w:cs="仿宋"/>
          <w:kern w:val="2"/>
          <w:sz w:val="32"/>
          <w:szCs w:val="32"/>
          <w:lang w:val="zh-CN" w:eastAsia="zh-CN" w:bidi="ar-SA"/>
        </w:rPr>
        <w:t>第四次全国文物普查</w:t>
      </w:r>
      <w:r>
        <w:rPr>
          <w:rFonts w:hint="eastAsia" w:ascii="仿宋" w:hAnsi="仿宋" w:eastAsia="仿宋" w:cs="仿宋"/>
          <w:kern w:val="2"/>
          <w:sz w:val="32"/>
          <w:szCs w:val="32"/>
          <w:lang w:val="en-US" w:eastAsia="zh-CN" w:bidi="ar-SA"/>
        </w:rPr>
        <w:t>项目完成预算的69.76%，预算20万元，总支出13.95万元，剩余6.05万元结转到2026年。</w:t>
      </w:r>
    </w:p>
    <w:p w14:paraId="5F20967D">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7.</w:t>
      </w:r>
      <w:r>
        <w:rPr>
          <w:rFonts w:hint="eastAsia" w:ascii="仿宋" w:hAnsi="仿宋" w:eastAsia="仿宋" w:cs="仿宋"/>
          <w:kern w:val="2"/>
          <w:sz w:val="32"/>
          <w:szCs w:val="32"/>
          <w:lang w:val="zh-CN" w:eastAsia="zh-CN" w:bidi="ar-SA"/>
        </w:rPr>
        <w:t>追加州级部门公务用车更新、购置经费项目</w:t>
      </w:r>
      <w:r>
        <w:rPr>
          <w:rFonts w:hint="eastAsia" w:ascii="仿宋" w:hAnsi="仿宋" w:eastAsia="仿宋" w:cs="仿宋"/>
          <w:kern w:val="2"/>
          <w:sz w:val="32"/>
          <w:szCs w:val="32"/>
          <w:lang w:val="en-US" w:eastAsia="zh-CN" w:bidi="ar-SA"/>
        </w:rPr>
        <w:t>完成预算的99.12%，预算40万元，总支出39.65万元，剩余资金财政收回。</w:t>
      </w:r>
    </w:p>
    <w:p w14:paraId="6113D179">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8.博物馆纪念馆免费开放省级补助资金</w:t>
      </w:r>
      <w:r>
        <w:rPr>
          <w:rFonts w:hint="eastAsia" w:ascii="仿宋" w:hAnsi="仿宋" w:eastAsia="仿宋" w:cs="仿宋"/>
          <w:kern w:val="2"/>
          <w:sz w:val="32"/>
          <w:szCs w:val="32"/>
          <w:lang w:val="zh-CN" w:eastAsia="zh-CN" w:bidi="ar-SA"/>
        </w:rPr>
        <w:t>项目</w:t>
      </w:r>
      <w:r>
        <w:rPr>
          <w:rFonts w:hint="eastAsia" w:ascii="仿宋" w:hAnsi="仿宋" w:eastAsia="仿宋" w:cs="仿宋"/>
          <w:kern w:val="2"/>
          <w:sz w:val="32"/>
          <w:szCs w:val="32"/>
          <w:lang w:val="en-US" w:eastAsia="zh-CN" w:bidi="ar-SA"/>
        </w:rPr>
        <w:t>完成预算的100%，预算40万元，总支出40万元。</w:t>
      </w:r>
    </w:p>
    <w:p w14:paraId="104C7AA0">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9.</w:t>
      </w:r>
      <w:r>
        <w:rPr>
          <w:rFonts w:hint="eastAsia" w:ascii="仿宋" w:hAnsi="仿宋" w:eastAsia="仿宋" w:cs="仿宋"/>
          <w:kern w:val="2"/>
          <w:sz w:val="32"/>
          <w:szCs w:val="32"/>
          <w:lang w:val="zh-CN" w:eastAsia="zh-CN" w:bidi="ar-SA"/>
        </w:rPr>
        <w:t>州级文物保护经费项目完成预算</w:t>
      </w:r>
      <w:r>
        <w:rPr>
          <w:rFonts w:hint="eastAsia" w:ascii="仿宋" w:hAnsi="仿宋" w:eastAsia="仿宋" w:cs="仿宋"/>
          <w:kern w:val="2"/>
          <w:sz w:val="32"/>
          <w:szCs w:val="32"/>
          <w:lang w:val="en-US" w:eastAsia="zh-CN" w:bidi="ar-SA"/>
        </w:rPr>
        <w:t>的100</w:t>
      </w:r>
      <w:r>
        <w:rPr>
          <w:rFonts w:hint="eastAsia" w:ascii="仿宋" w:hAnsi="仿宋" w:eastAsia="仿宋" w:cs="仿宋"/>
          <w:kern w:val="2"/>
          <w:sz w:val="32"/>
          <w:szCs w:val="32"/>
          <w:lang w:val="zh-CN" w:eastAsia="zh-CN" w:bidi="ar-SA"/>
        </w:rPr>
        <w:t>%</w:t>
      </w:r>
      <w:r>
        <w:rPr>
          <w:rFonts w:hint="eastAsia" w:ascii="仿宋" w:hAnsi="仿宋" w:eastAsia="仿宋" w:cs="仿宋"/>
          <w:kern w:val="2"/>
          <w:sz w:val="32"/>
          <w:szCs w:val="32"/>
          <w:lang w:val="en-US" w:eastAsia="zh-CN" w:bidi="ar-SA"/>
        </w:rPr>
        <w:t>，预算24万元，总支出23.6万元，剩余资金财政收回。</w:t>
      </w:r>
    </w:p>
    <w:p w14:paraId="1A0AEC64">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10.</w:t>
      </w:r>
      <w:r>
        <w:rPr>
          <w:rFonts w:hint="eastAsia" w:ascii="仿宋" w:hAnsi="仿宋" w:eastAsia="仿宋" w:cs="仿宋"/>
          <w:kern w:val="2"/>
          <w:sz w:val="32"/>
          <w:szCs w:val="32"/>
          <w:lang w:val="zh-CN" w:eastAsia="zh-CN" w:bidi="ar-SA"/>
        </w:rPr>
        <w:t>辅助性服务项目</w:t>
      </w:r>
      <w:r>
        <w:rPr>
          <w:rFonts w:hint="eastAsia" w:ascii="仿宋" w:hAnsi="仿宋" w:eastAsia="仿宋" w:cs="仿宋"/>
          <w:kern w:val="2"/>
          <w:sz w:val="32"/>
          <w:szCs w:val="32"/>
          <w:lang w:val="en-US" w:eastAsia="zh-CN" w:bidi="ar-SA"/>
        </w:rPr>
        <w:t>完成预算的98.3%，预算54万元，总支出53.08万元，剩余资金财政收回。</w:t>
      </w:r>
    </w:p>
    <w:p w14:paraId="4FD17E7D">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11.2025年度阿坝州博物馆全民走进博物馆活动费用预算</w:t>
      </w:r>
      <w:r>
        <w:rPr>
          <w:rFonts w:hint="eastAsia" w:ascii="仿宋" w:hAnsi="仿宋" w:eastAsia="仿宋" w:cs="仿宋"/>
          <w:kern w:val="2"/>
          <w:sz w:val="32"/>
          <w:szCs w:val="32"/>
          <w:lang w:val="zh-CN" w:eastAsia="zh-CN" w:bidi="ar-SA"/>
        </w:rPr>
        <w:t>项目</w:t>
      </w:r>
      <w:r>
        <w:rPr>
          <w:rFonts w:hint="eastAsia" w:ascii="仿宋" w:hAnsi="仿宋" w:eastAsia="仿宋" w:cs="仿宋"/>
          <w:kern w:val="2"/>
          <w:sz w:val="32"/>
          <w:szCs w:val="32"/>
          <w:lang w:val="en-US" w:eastAsia="zh-CN" w:bidi="ar-SA"/>
        </w:rPr>
        <w:t>完成预算的94.67%，预算11万元，总支出10.41万元，剩余资金财政收回。</w:t>
      </w:r>
    </w:p>
    <w:p w14:paraId="031B0BE1">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12.四川省文物博物馆领域科研项目尾款</w:t>
      </w:r>
      <w:r>
        <w:rPr>
          <w:rFonts w:hint="eastAsia" w:ascii="仿宋" w:hAnsi="仿宋" w:eastAsia="仿宋" w:cs="仿宋"/>
          <w:kern w:val="2"/>
          <w:sz w:val="32"/>
          <w:szCs w:val="32"/>
          <w:lang w:val="zh-CN" w:eastAsia="zh-CN" w:bidi="ar-SA"/>
        </w:rPr>
        <w:t>项目</w:t>
      </w:r>
      <w:r>
        <w:rPr>
          <w:rFonts w:hint="eastAsia" w:ascii="仿宋" w:hAnsi="仿宋" w:eastAsia="仿宋" w:cs="仿宋"/>
          <w:kern w:val="2"/>
          <w:sz w:val="32"/>
          <w:szCs w:val="32"/>
          <w:lang w:val="en-US" w:eastAsia="zh-CN" w:bidi="ar-SA"/>
        </w:rPr>
        <w:t>完成预算的100%，预算0.18万元，总支出0.18万元。</w:t>
      </w:r>
    </w:p>
    <w:p w14:paraId="3D702F1B">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13.编印《国民党在雪山草地追堵红军档案资料选编》</w:t>
      </w:r>
      <w:r>
        <w:rPr>
          <w:rFonts w:hint="eastAsia" w:ascii="仿宋" w:hAnsi="仿宋" w:eastAsia="仿宋" w:cs="仿宋"/>
          <w:kern w:val="2"/>
          <w:sz w:val="32"/>
          <w:szCs w:val="32"/>
          <w:lang w:val="zh-CN" w:eastAsia="zh-CN" w:bidi="ar-SA"/>
        </w:rPr>
        <w:t>项目</w:t>
      </w:r>
      <w:r>
        <w:rPr>
          <w:rFonts w:hint="eastAsia" w:ascii="仿宋" w:hAnsi="仿宋" w:eastAsia="仿宋" w:cs="仿宋"/>
          <w:kern w:val="2"/>
          <w:sz w:val="32"/>
          <w:szCs w:val="32"/>
          <w:lang w:val="en-US" w:eastAsia="zh-CN" w:bidi="ar-SA"/>
        </w:rPr>
        <w:t>完成预算的100%，预算3.84万元，总支出3.84万元。</w:t>
      </w:r>
    </w:p>
    <w:p w14:paraId="061B2AC6">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14.《古道寻珍》--茶马古道在阿坝之西山“南路”（汶川至马尔康）出版印刷项目</w:t>
      </w:r>
      <w:r>
        <w:rPr>
          <w:rFonts w:hint="eastAsia" w:ascii="仿宋" w:hAnsi="仿宋" w:eastAsia="仿宋" w:cs="仿宋"/>
          <w:kern w:val="2"/>
          <w:sz w:val="32"/>
          <w:szCs w:val="32"/>
          <w:lang w:val="en-US" w:eastAsia="zh-CN" w:bidi="ar-SA"/>
        </w:rPr>
        <w:t>完成预算的100%，预算</w:t>
      </w:r>
      <w:r>
        <w:rPr>
          <w:rFonts w:hint="default" w:ascii="仿宋" w:hAnsi="仿宋" w:eastAsia="仿宋" w:cs="仿宋"/>
          <w:kern w:val="2"/>
          <w:sz w:val="32"/>
          <w:szCs w:val="32"/>
          <w:lang w:val="en-US" w:eastAsia="zh-CN" w:bidi="ar-SA"/>
        </w:rPr>
        <w:t>7.272</w:t>
      </w:r>
      <w:r>
        <w:rPr>
          <w:rFonts w:hint="eastAsia" w:ascii="仿宋" w:hAnsi="仿宋" w:eastAsia="仿宋" w:cs="仿宋"/>
          <w:kern w:val="2"/>
          <w:sz w:val="32"/>
          <w:szCs w:val="32"/>
          <w:lang w:val="en-US" w:eastAsia="zh-CN" w:bidi="ar-SA"/>
        </w:rPr>
        <w:t>万元，总支出</w:t>
      </w:r>
      <w:r>
        <w:rPr>
          <w:rFonts w:hint="default" w:ascii="仿宋" w:hAnsi="仿宋" w:eastAsia="仿宋" w:cs="仿宋"/>
          <w:kern w:val="2"/>
          <w:sz w:val="32"/>
          <w:szCs w:val="32"/>
          <w:lang w:val="en-US" w:eastAsia="zh-CN" w:bidi="ar-SA"/>
        </w:rPr>
        <w:t>7.272</w:t>
      </w:r>
      <w:r>
        <w:rPr>
          <w:rFonts w:hint="eastAsia" w:ascii="仿宋" w:hAnsi="仿宋" w:eastAsia="仿宋" w:cs="仿宋"/>
          <w:kern w:val="2"/>
          <w:sz w:val="32"/>
          <w:szCs w:val="32"/>
          <w:lang w:val="en-US" w:eastAsia="zh-CN" w:bidi="ar-SA"/>
        </w:rPr>
        <w:t>万元。</w:t>
      </w:r>
    </w:p>
    <w:p w14:paraId="64A6E985">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 w:hAnsi="仿宋" w:eastAsia="仿宋" w:cs="仿宋"/>
          <w:kern w:val="2"/>
          <w:sz w:val="32"/>
          <w:szCs w:val="32"/>
          <w:lang w:val="en-US" w:eastAsia="zh-CN" w:bidi="ar-SA"/>
        </w:rPr>
      </w:pPr>
      <w:r>
        <w:rPr>
          <w:rFonts w:hint="default" w:ascii="仿宋" w:hAnsi="仿宋" w:eastAsia="仿宋" w:cs="仿宋"/>
          <w:b w:val="0"/>
          <w:kern w:val="2"/>
          <w:sz w:val="32"/>
          <w:szCs w:val="32"/>
          <w:lang w:val="en-US" w:eastAsia="zh-CN" w:bidi="ar-SA"/>
        </w:rPr>
        <w:t>15.2023年临展厅展柜购置退还履约保证金</w:t>
      </w:r>
      <w:r>
        <w:rPr>
          <w:rFonts w:hint="default" w:ascii="仿宋" w:hAnsi="仿宋" w:eastAsia="仿宋" w:cs="仿宋"/>
          <w:kern w:val="2"/>
          <w:sz w:val="32"/>
          <w:szCs w:val="32"/>
          <w:lang w:val="en-US" w:eastAsia="zh-CN" w:bidi="ar-SA"/>
        </w:rPr>
        <w:t>项目</w:t>
      </w:r>
      <w:r>
        <w:rPr>
          <w:rFonts w:hint="eastAsia" w:ascii="仿宋" w:hAnsi="仿宋" w:eastAsia="仿宋" w:cs="仿宋"/>
          <w:kern w:val="2"/>
          <w:sz w:val="32"/>
          <w:szCs w:val="32"/>
          <w:lang w:val="en-US" w:eastAsia="zh-CN" w:bidi="ar-SA"/>
        </w:rPr>
        <w:t>完成预算的100%，预算</w:t>
      </w:r>
      <w:r>
        <w:rPr>
          <w:rFonts w:hint="default" w:ascii="仿宋" w:hAnsi="仿宋" w:eastAsia="仿宋" w:cs="仿宋"/>
          <w:kern w:val="2"/>
          <w:sz w:val="32"/>
          <w:szCs w:val="32"/>
          <w:lang w:val="en-US" w:eastAsia="zh-CN" w:bidi="ar-SA"/>
        </w:rPr>
        <w:t>5.1</w:t>
      </w:r>
      <w:r>
        <w:rPr>
          <w:rFonts w:hint="eastAsia" w:ascii="仿宋" w:hAnsi="仿宋" w:eastAsia="仿宋" w:cs="仿宋"/>
          <w:kern w:val="2"/>
          <w:sz w:val="32"/>
          <w:szCs w:val="32"/>
          <w:lang w:val="en-US" w:eastAsia="zh-CN" w:bidi="ar-SA"/>
        </w:rPr>
        <w:t>万元，总支出</w:t>
      </w:r>
      <w:r>
        <w:rPr>
          <w:rFonts w:hint="default" w:ascii="仿宋" w:hAnsi="仿宋" w:eastAsia="仿宋" w:cs="仿宋"/>
          <w:kern w:val="2"/>
          <w:sz w:val="32"/>
          <w:szCs w:val="32"/>
          <w:lang w:val="en-US" w:eastAsia="zh-CN" w:bidi="ar-SA"/>
        </w:rPr>
        <w:t>5.1</w:t>
      </w:r>
      <w:r>
        <w:rPr>
          <w:rFonts w:hint="eastAsia" w:ascii="仿宋" w:hAnsi="仿宋" w:eastAsia="仿宋" w:cs="仿宋"/>
          <w:kern w:val="2"/>
          <w:sz w:val="32"/>
          <w:szCs w:val="32"/>
          <w:lang w:val="en-US" w:eastAsia="zh-CN" w:bidi="ar-SA"/>
        </w:rPr>
        <w:t>万元。</w:t>
      </w:r>
    </w:p>
    <w:p w14:paraId="1197809E">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default"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16.马尔康孔龙村遗址考古发掘成果特展项目</w:t>
      </w:r>
      <w:r>
        <w:rPr>
          <w:rFonts w:hint="eastAsia" w:ascii="仿宋" w:hAnsi="仿宋" w:eastAsia="仿宋" w:cs="仿宋"/>
          <w:kern w:val="2"/>
          <w:sz w:val="32"/>
          <w:szCs w:val="32"/>
          <w:lang w:val="en-US" w:eastAsia="zh-CN" w:bidi="ar-SA"/>
        </w:rPr>
        <w:t>完成预算的</w:t>
      </w:r>
      <w:r>
        <w:rPr>
          <w:rFonts w:hint="default" w:ascii="仿宋" w:hAnsi="仿宋" w:eastAsia="仿宋" w:cs="仿宋"/>
          <w:kern w:val="2"/>
          <w:sz w:val="32"/>
          <w:szCs w:val="32"/>
          <w:lang w:val="en-US" w:eastAsia="zh-CN" w:bidi="ar-SA"/>
        </w:rPr>
        <w:t>0</w:t>
      </w:r>
      <w:r>
        <w:rPr>
          <w:rFonts w:hint="eastAsia" w:ascii="仿宋" w:hAnsi="仿宋" w:eastAsia="仿宋" w:cs="仿宋"/>
          <w:kern w:val="2"/>
          <w:sz w:val="32"/>
          <w:szCs w:val="32"/>
          <w:lang w:val="en-US" w:eastAsia="zh-CN" w:bidi="ar-SA"/>
        </w:rPr>
        <w:t>%，预算</w:t>
      </w:r>
      <w:r>
        <w:rPr>
          <w:rFonts w:hint="default" w:ascii="仿宋" w:hAnsi="仿宋" w:eastAsia="仿宋" w:cs="仿宋"/>
          <w:kern w:val="2"/>
          <w:sz w:val="32"/>
          <w:szCs w:val="32"/>
          <w:lang w:val="en-US" w:eastAsia="zh-CN" w:bidi="ar-SA"/>
        </w:rPr>
        <w:t>70</w:t>
      </w:r>
      <w:r>
        <w:rPr>
          <w:rFonts w:hint="eastAsia" w:ascii="仿宋" w:hAnsi="仿宋" w:eastAsia="仿宋" w:cs="仿宋"/>
          <w:kern w:val="2"/>
          <w:sz w:val="32"/>
          <w:szCs w:val="32"/>
          <w:lang w:val="en-US" w:eastAsia="zh-CN" w:bidi="ar-SA"/>
        </w:rPr>
        <w:t>万元，总支出</w:t>
      </w:r>
      <w:r>
        <w:rPr>
          <w:rFonts w:hint="default" w:ascii="仿宋" w:hAnsi="仿宋" w:eastAsia="仿宋" w:cs="仿宋"/>
          <w:kern w:val="2"/>
          <w:sz w:val="32"/>
          <w:szCs w:val="32"/>
          <w:lang w:val="en-US" w:eastAsia="zh-CN" w:bidi="ar-SA"/>
        </w:rPr>
        <w:t>0</w:t>
      </w:r>
      <w:r>
        <w:rPr>
          <w:rFonts w:hint="eastAsia" w:ascii="仿宋" w:hAnsi="仿宋" w:eastAsia="仿宋" w:cs="仿宋"/>
          <w:kern w:val="2"/>
          <w:sz w:val="32"/>
          <w:szCs w:val="32"/>
          <w:lang w:val="en-US" w:eastAsia="zh-CN" w:bidi="ar-SA"/>
        </w:rPr>
        <w:t>万元，由于该项目为2025年底才实施，2025年末走政府采购流程，导致2025年项目资金未支付。</w:t>
      </w:r>
    </w:p>
    <w:p w14:paraId="4C9DDD98">
      <w:pPr>
        <w:keepNext w:val="0"/>
        <w:keepLines w:val="0"/>
        <w:pageBreakBefore w:val="0"/>
        <w:numPr>
          <w:ilvl w:val="0"/>
          <w:numId w:val="0"/>
        </w:numPr>
        <w:kinsoku/>
        <w:wordWrap/>
        <w:overflowPunct/>
        <w:topLinePunct w:val="0"/>
        <w:autoSpaceDE/>
        <w:autoSpaceDN/>
        <w:bidi w:val="0"/>
        <w:adjustRightInd w:val="0"/>
        <w:snapToGrid w:val="0"/>
        <w:spacing w:line="578" w:lineRule="exact"/>
        <w:ind w:left="640" w:leftChars="0"/>
        <w:textAlignment w:val="auto"/>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财务管理。</w:t>
      </w:r>
    </w:p>
    <w:p w14:paraId="40CC1CF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zh-CN"/>
        </w:rPr>
      </w:pPr>
      <w:r>
        <w:rPr>
          <w:rFonts w:hint="default" w:ascii="仿宋" w:hAnsi="仿宋" w:eastAsia="仿宋" w:cs="仿宋"/>
          <w:kern w:val="2"/>
          <w:sz w:val="32"/>
          <w:szCs w:val="32"/>
          <w:lang w:val="en-US" w:eastAsia="zh-CN" w:bidi="ar-SA"/>
        </w:rPr>
        <w:t>202</w:t>
      </w:r>
      <w:r>
        <w:rPr>
          <w:rFonts w:hint="eastAsia" w:ascii="仿宋" w:hAnsi="仿宋" w:eastAsia="仿宋" w:cs="仿宋"/>
          <w:kern w:val="2"/>
          <w:sz w:val="32"/>
          <w:szCs w:val="32"/>
          <w:lang w:val="en-US" w:eastAsia="zh-CN" w:bidi="ar-SA"/>
        </w:rPr>
        <w:t>5</w:t>
      </w:r>
      <w:r>
        <w:rPr>
          <w:rFonts w:hint="default" w:ascii="仿宋" w:hAnsi="仿宋" w:eastAsia="仿宋" w:cs="仿宋"/>
          <w:kern w:val="2"/>
          <w:sz w:val="32"/>
          <w:szCs w:val="32"/>
          <w:lang w:val="en-US" w:eastAsia="zh-CN" w:bidi="ar-SA"/>
        </w:rPr>
        <w:t>年预算执行情况</w:t>
      </w:r>
      <w:r>
        <w:rPr>
          <w:rFonts w:hint="eastAsia" w:ascii="仿宋" w:hAnsi="仿宋" w:eastAsia="仿宋" w:cs="仿宋"/>
          <w:kern w:val="2"/>
          <w:sz w:val="32"/>
          <w:szCs w:val="32"/>
          <w:lang w:val="en-US" w:eastAsia="zh-CN" w:bidi="ar-SA"/>
        </w:rPr>
        <w:t>进度正常</w:t>
      </w:r>
      <w:r>
        <w:rPr>
          <w:rFonts w:hint="default" w:ascii="仿宋" w:hAnsi="仿宋" w:eastAsia="仿宋" w:cs="仿宋"/>
          <w:kern w:val="2"/>
          <w:sz w:val="32"/>
          <w:szCs w:val="32"/>
          <w:lang w:val="en-US" w:eastAsia="zh-CN" w:bidi="ar-SA"/>
        </w:rPr>
        <w:t>，在年度预算执行过程中，无论是基本支出还是项目支出，都严格按照中央八项规定</w:t>
      </w:r>
      <w:bookmarkStart w:id="62" w:name="_GoBack"/>
      <w:bookmarkEnd w:id="62"/>
      <w:r>
        <w:rPr>
          <w:rFonts w:hint="default" w:ascii="仿宋" w:hAnsi="仿宋" w:eastAsia="仿宋" w:cs="仿宋"/>
          <w:kern w:val="2"/>
          <w:sz w:val="32"/>
          <w:szCs w:val="32"/>
          <w:lang w:val="en-US" w:eastAsia="zh-CN" w:bidi="ar-SA"/>
        </w:rPr>
        <w:t>精神和四川省委、省政府“十项规定”及州人大机关财务管理要求，加强经费审批和控制，规范支出标准与范围，并严格执行。做到了先预算后开支、先申报后执行。</w:t>
      </w:r>
    </w:p>
    <w:p w14:paraId="048FEC20">
      <w:pPr>
        <w:keepNext w:val="0"/>
        <w:keepLines w:val="0"/>
        <w:pageBreakBefore w:val="0"/>
        <w:numPr>
          <w:ilvl w:val="0"/>
          <w:numId w:val="0"/>
        </w:numPr>
        <w:kinsoku/>
        <w:wordWrap/>
        <w:overflowPunct/>
        <w:topLinePunct w:val="0"/>
        <w:autoSpaceDE/>
        <w:autoSpaceDN/>
        <w:bidi w:val="0"/>
        <w:adjustRightInd w:val="0"/>
        <w:snapToGrid w:val="0"/>
        <w:spacing w:line="578" w:lineRule="exact"/>
        <w:ind w:left="640" w:leftChars="0"/>
        <w:textAlignment w:val="auto"/>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资产管理。</w:t>
      </w:r>
    </w:p>
    <w:p w14:paraId="7E4AAA0E">
      <w:pPr>
        <w:numPr>
          <w:ilvl w:val="0"/>
          <w:numId w:val="0"/>
        </w:numPr>
        <w:spacing w:line="560" w:lineRule="exact"/>
        <w:ind w:firstLine="640" w:firstLineChars="200"/>
        <w:jc w:val="both"/>
        <w:rPr>
          <w:rFonts w:hint="eastAsia" w:ascii="仿宋_GB2312" w:eastAsia="仿宋_GB2312"/>
          <w:sz w:val="32"/>
          <w:szCs w:val="32"/>
          <w:lang w:val="en-US" w:eastAsia="zh-CN"/>
        </w:rPr>
      </w:pPr>
      <w:r>
        <w:rPr>
          <w:rFonts w:hint="eastAsia" w:ascii="仿宋_GB2312" w:eastAsia="仿宋_GB2312"/>
          <w:sz w:val="32"/>
          <w:szCs w:val="32"/>
          <w:lang w:val="en-US" w:eastAsia="zh-CN"/>
        </w:rPr>
        <w:t>截至202</w:t>
      </w:r>
      <w:r>
        <w:rPr>
          <w:rFonts w:hint="eastAsia" w:ascii="仿宋_GB2312"/>
          <w:sz w:val="32"/>
          <w:szCs w:val="32"/>
          <w:lang w:val="en-US" w:eastAsia="zh-CN"/>
        </w:rPr>
        <w:t>5</w:t>
      </w:r>
      <w:r>
        <w:rPr>
          <w:rFonts w:hint="eastAsia" w:ascii="仿宋_GB2312" w:eastAsia="仿宋_GB2312"/>
          <w:sz w:val="32"/>
          <w:szCs w:val="32"/>
          <w:lang w:val="en-US" w:eastAsia="zh-CN"/>
        </w:rPr>
        <w:t>年12月31日，我单位自用固定资产770.37万元，占账面固定资产总额的100%，其中:在用770.37万元，占账面固定资产总额的100%；闲置0万元，占账面固定资产总额的0%；待处置（待报废、毁损等）0万元，占账面固定资产总额的0%。自用无形资产6.6万元，占账面无形资产总额的100%；其中在用6.6万元，占账面无形资产总额的100%；闲置0万元，占账面无形资产总额的0%；待处置（待报废、毁损等）0万元，占账面无形资产总额的0%。</w:t>
      </w:r>
    </w:p>
    <w:p w14:paraId="19ED6F52">
      <w:pPr>
        <w:numPr>
          <w:ilvl w:val="0"/>
          <w:numId w:val="0"/>
        </w:numPr>
        <w:spacing w:line="560" w:lineRule="exact"/>
        <w:ind w:firstLine="640" w:firstLineChars="200"/>
        <w:jc w:val="both"/>
        <w:rPr>
          <w:rFonts w:hint="default" w:ascii="Times New Roman" w:hAnsi="Times New Roman" w:cs="Times New Roman"/>
          <w:color w:val="000000"/>
          <w:kern w:val="0"/>
          <w:szCs w:val="32"/>
          <w:highlight w:val="none"/>
          <w:shd w:val="clear" w:color="auto" w:fill="FFFFFF"/>
          <w:lang w:val="zh-CN"/>
        </w:rPr>
      </w:pPr>
      <w:r>
        <w:rPr>
          <w:rFonts w:hint="eastAsia" w:ascii="仿宋_GB2312" w:eastAsia="仿宋_GB2312"/>
          <w:sz w:val="32"/>
          <w:szCs w:val="32"/>
          <w:lang w:val="en-US" w:eastAsia="zh-CN"/>
        </w:rPr>
        <w:t>从源头上控制资产增量，规范资产管理，提高资产的使用</w:t>
      </w:r>
      <w:r>
        <w:rPr>
          <w:rFonts w:hint="eastAsia" w:ascii="仿宋_GB2312" w:hAnsi="楷体" w:eastAsia="仿宋_GB2312"/>
          <w:kern w:val="0"/>
          <w:sz w:val="32"/>
          <w:szCs w:val="32"/>
        </w:rPr>
        <w:t>效率，降低了行政成本，从而提高部门预算编制科学化，精细化水平</w:t>
      </w:r>
      <w:r>
        <w:rPr>
          <w:rFonts w:hint="eastAsia" w:ascii="仿宋_GB2312" w:hAnsi="楷体"/>
          <w:kern w:val="0"/>
          <w:sz w:val="32"/>
          <w:szCs w:val="32"/>
          <w:lang w:eastAsia="zh-CN"/>
        </w:rPr>
        <w:t>，</w:t>
      </w:r>
      <w:r>
        <w:rPr>
          <w:rFonts w:hint="eastAsia" w:ascii="仿宋_GB2312" w:hAnsi="楷体" w:eastAsia="仿宋_GB2312"/>
          <w:kern w:val="0"/>
          <w:sz w:val="32"/>
          <w:szCs w:val="32"/>
        </w:rPr>
        <w:t>节约有限的财政资金。</w:t>
      </w:r>
    </w:p>
    <w:p w14:paraId="378817AD">
      <w:pPr>
        <w:keepNext w:val="0"/>
        <w:keepLines w:val="0"/>
        <w:pageBreakBefore w:val="0"/>
        <w:numPr>
          <w:ilvl w:val="0"/>
          <w:numId w:val="0"/>
        </w:numPr>
        <w:kinsoku/>
        <w:wordWrap/>
        <w:overflowPunct/>
        <w:topLinePunct w:val="0"/>
        <w:autoSpaceDE/>
        <w:autoSpaceDN/>
        <w:bidi w:val="0"/>
        <w:adjustRightInd w:val="0"/>
        <w:snapToGrid w:val="0"/>
        <w:spacing w:line="578" w:lineRule="exact"/>
        <w:ind w:left="640" w:leftChars="0"/>
        <w:textAlignment w:val="auto"/>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采购管理。</w:t>
      </w:r>
    </w:p>
    <w:p w14:paraId="763F679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zh-CN"/>
        </w:rPr>
      </w:pPr>
      <w:r>
        <w:rPr>
          <w:rFonts w:hint="eastAsia" w:ascii="仿宋" w:hAnsi="仿宋" w:eastAsia="仿宋" w:cs="仿宋"/>
          <w:kern w:val="2"/>
          <w:sz w:val="32"/>
          <w:szCs w:val="32"/>
          <w:lang w:val="en-US" w:eastAsia="zh-CN" w:bidi="ar-SA"/>
        </w:rPr>
        <w:t>加强政府采购制度管理，重大开支项目，集体研究决定，实行政府采购；办公设备采购由办公室拟定计划报经班子会研究同意后组织安排实施。经费支出由项目负责人或经办人报财务人员审核后，报分管财务领导、单位负责人签署意见，再报销；实行“办理（具体经办人）、审核（会计）、审签（财务负责人、单位负责人）、报销（出纳）”四分离的财务管理办法。财务决算组织及时，编报准确。</w:t>
      </w:r>
    </w:p>
    <w:p w14:paraId="68BB982B">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仿宋" w:hAnsi="仿宋" w:eastAsia="仿宋" w:cs="仿宋"/>
          <w:kern w:val="2"/>
          <w:sz w:val="32"/>
          <w:szCs w:val="32"/>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default" w:ascii="仿宋" w:hAnsi="仿宋" w:eastAsia="仿宋" w:cs="仿宋"/>
          <w:kern w:val="2"/>
          <w:sz w:val="32"/>
          <w:szCs w:val="32"/>
          <w:lang w:val="zh-CN" w:eastAsia="zh-CN" w:bidi="ar-SA"/>
        </w:rPr>
        <w:t>填报以下数据，并根据部门预算绩效评价指标体系“项目绩效”涉及二、三级指标进行逐项绩效分析并评分，依次包括项目</w:t>
      </w:r>
      <w:r>
        <w:rPr>
          <w:rFonts w:hint="default" w:ascii="仿宋" w:hAnsi="仿宋" w:eastAsia="仿宋" w:cs="仿宋"/>
          <w:kern w:val="2"/>
          <w:sz w:val="32"/>
          <w:szCs w:val="32"/>
          <w:lang w:val="en-US" w:eastAsia="zh-CN" w:bidi="ar-SA"/>
        </w:rPr>
        <w:t>决策、项目执行、目标实现等情况。</w:t>
      </w:r>
    </w:p>
    <w:p w14:paraId="4702629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仿宋" w:hAnsi="仿宋" w:eastAsia="仿宋" w:cs="仿宋"/>
          <w:kern w:val="2"/>
          <w:sz w:val="32"/>
          <w:szCs w:val="32"/>
          <w:lang w:val="zh-CN" w:eastAsia="zh-CN" w:bidi="ar-SA"/>
        </w:rPr>
      </w:pPr>
      <w:r>
        <w:rPr>
          <w:rFonts w:hint="default" w:ascii="仿宋" w:hAnsi="仿宋" w:eastAsia="仿宋" w:cs="仿宋"/>
          <w:kern w:val="2"/>
          <w:sz w:val="32"/>
          <w:szCs w:val="32"/>
          <w:lang w:val="en-US" w:eastAsia="zh-CN" w:bidi="ar-SA"/>
        </w:rPr>
        <w:t>常年项目绩效分析。</w:t>
      </w:r>
      <w:r>
        <w:rPr>
          <w:rFonts w:hint="default" w:ascii="仿宋" w:hAnsi="仿宋" w:eastAsia="仿宋" w:cs="仿宋"/>
          <w:kern w:val="2"/>
          <w:sz w:val="32"/>
          <w:szCs w:val="32"/>
          <w:lang w:val="zh-CN" w:eastAsia="zh-CN" w:bidi="ar-SA"/>
        </w:rPr>
        <w:t>该类项目总数</w:t>
      </w:r>
      <w:r>
        <w:rPr>
          <w:rFonts w:hint="eastAsia" w:ascii="仿宋" w:hAnsi="仿宋" w:eastAsia="仿宋" w:cs="仿宋"/>
          <w:kern w:val="2"/>
          <w:sz w:val="32"/>
          <w:szCs w:val="32"/>
          <w:lang w:val="en-US" w:eastAsia="zh-CN" w:bidi="ar-SA"/>
        </w:rPr>
        <w:t>2</w:t>
      </w:r>
      <w:r>
        <w:rPr>
          <w:rFonts w:hint="default" w:ascii="仿宋" w:hAnsi="仿宋" w:eastAsia="仿宋" w:cs="仿宋"/>
          <w:kern w:val="2"/>
          <w:sz w:val="32"/>
          <w:szCs w:val="32"/>
          <w:lang w:val="zh-CN" w:eastAsia="zh-CN" w:bidi="ar-SA"/>
        </w:rPr>
        <w:t>个，涉及预算总金额</w:t>
      </w:r>
      <w:r>
        <w:rPr>
          <w:rFonts w:hint="default" w:ascii="仿宋" w:hAnsi="仿宋" w:eastAsia="仿宋" w:cs="仿宋"/>
          <w:kern w:val="2"/>
          <w:sz w:val="32"/>
          <w:szCs w:val="32"/>
          <w:lang w:val="en-US" w:eastAsia="zh-CN" w:bidi="ar-SA"/>
        </w:rPr>
        <w:t xml:space="preserve">   </w:t>
      </w:r>
      <w:r>
        <w:rPr>
          <w:rFonts w:hint="eastAsia" w:ascii="仿宋" w:hAnsi="仿宋" w:eastAsia="仿宋" w:cs="仿宋"/>
          <w:kern w:val="2"/>
          <w:sz w:val="32"/>
          <w:szCs w:val="32"/>
          <w:lang w:val="en-US" w:eastAsia="zh-CN" w:bidi="ar-SA"/>
        </w:rPr>
        <w:t>200</w:t>
      </w:r>
      <w:r>
        <w:rPr>
          <w:rFonts w:hint="default" w:ascii="仿宋" w:hAnsi="仿宋" w:eastAsia="仿宋" w:cs="仿宋"/>
          <w:kern w:val="2"/>
          <w:sz w:val="32"/>
          <w:szCs w:val="32"/>
          <w:lang w:val="zh-CN" w:eastAsia="zh-CN" w:bidi="ar-SA"/>
        </w:rPr>
        <w:t>万元，1</w:t>
      </w:r>
      <w:r>
        <w:rPr>
          <w:rFonts w:hint="eastAsia" w:ascii="仿宋" w:hAnsi="仿宋" w:eastAsia="仿宋" w:cs="仿宋"/>
          <w:kern w:val="2"/>
          <w:sz w:val="32"/>
          <w:szCs w:val="32"/>
          <w:lang w:val="zh-CN" w:eastAsia="zh-CN" w:bidi="ar-SA"/>
        </w:rPr>
        <w:t>—</w:t>
      </w:r>
      <w:r>
        <w:rPr>
          <w:rFonts w:hint="default" w:ascii="仿宋" w:hAnsi="仿宋" w:eastAsia="仿宋" w:cs="仿宋"/>
          <w:kern w:val="2"/>
          <w:sz w:val="32"/>
          <w:szCs w:val="32"/>
          <w:lang w:val="zh-CN" w:eastAsia="zh-CN" w:bidi="ar-SA"/>
        </w:rPr>
        <w:t>1</w:t>
      </w:r>
      <w:r>
        <w:rPr>
          <w:rFonts w:hint="default" w:ascii="仿宋" w:hAnsi="仿宋" w:eastAsia="仿宋" w:cs="仿宋"/>
          <w:kern w:val="2"/>
          <w:sz w:val="32"/>
          <w:szCs w:val="32"/>
          <w:lang w:val="en-US" w:eastAsia="zh-CN" w:bidi="ar-SA"/>
        </w:rPr>
        <w:t>2</w:t>
      </w:r>
      <w:r>
        <w:rPr>
          <w:rFonts w:hint="default" w:ascii="仿宋" w:hAnsi="仿宋" w:eastAsia="仿宋" w:cs="仿宋"/>
          <w:kern w:val="2"/>
          <w:sz w:val="32"/>
          <w:szCs w:val="32"/>
          <w:lang w:val="zh-CN" w:eastAsia="zh-CN" w:bidi="ar-SA"/>
        </w:rPr>
        <w:t>月预算执行总体进度为</w:t>
      </w:r>
      <w:r>
        <w:rPr>
          <w:rFonts w:hint="eastAsia" w:ascii="仿宋" w:hAnsi="仿宋" w:eastAsia="仿宋" w:cs="仿宋"/>
          <w:kern w:val="2"/>
          <w:sz w:val="32"/>
          <w:szCs w:val="32"/>
          <w:lang w:val="en-US" w:eastAsia="zh-CN" w:bidi="ar-SA"/>
        </w:rPr>
        <w:t>99.65</w:t>
      </w:r>
      <w:r>
        <w:rPr>
          <w:rFonts w:hint="default" w:ascii="仿宋" w:hAnsi="仿宋" w:eastAsia="仿宋" w:cs="仿宋"/>
          <w:kern w:val="2"/>
          <w:sz w:val="32"/>
          <w:szCs w:val="32"/>
          <w:lang w:val="zh-CN" w:eastAsia="zh-CN" w:bidi="ar-SA"/>
        </w:rPr>
        <w:t>%，其中：预算结余率大于</w:t>
      </w:r>
      <w:r>
        <w:rPr>
          <w:rFonts w:hint="default" w:ascii="仿宋" w:hAnsi="仿宋" w:eastAsia="仿宋" w:cs="仿宋"/>
          <w:kern w:val="2"/>
          <w:sz w:val="32"/>
          <w:szCs w:val="32"/>
          <w:lang w:val="en-US" w:eastAsia="zh-CN" w:bidi="ar-SA"/>
        </w:rPr>
        <w:t>10%</w:t>
      </w:r>
      <w:r>
        <w:rPr>
          <w:rFonts w:hint="default" w:ascii="仿宋" w:hAnsi="仿宋" w:eastAsia="仿宋" w:cs="仿宋"/>
          <w:kern w:val="2"/>
          <w:sz w:val="32"/>
          <w:szCs w:val="32"/>
          <w:lang w:val="zh-CN" w:eastAsia="zh-CN" w:bidi="ar-SA"/>
        </w:rPr>
        <w:t>的项目共计</w:t>
      </w:r>
      <w:r>
        <w:rPr>
          <w:rFonts w:hint="eastAsia" w:ascii="仿宋" w:hAnsi="仿宋" w:eastAsia="仿宋" w:cs="仿宋"/>
          <w:kern w:val="2"/>
          <w:sz w:val="32"/>
          <w:szCs w:val="32"/>
          <w:lang w:val="en-US" w:eastAsia="zh-CN" w:bidi="ar-SA"/>
        </w:rPr>
        <w:t>0</w:t>
      </w:r>
      <w:r>
        <w:rPr>
          <w:rFonts w:hint="default" w:ascii="仿宋" w:hAnsi="仿宋" w:eastAsia="仿宋" w:cs="仿宋"/>
          <w:kern w:val="2"/>
          <w:sz w:val="32"/>
          <w:szCs w:val="32"/>
          <w:lang w:val="zh-CN" w:eastAsia="zh-CN" w:bidi="ar-SA"/>
        </w:rPr>
        <w:t>个。</w:t>
      </w:r>
    </w:p>
    <w:p w14:paraId="28BC729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zh-CN" w:eastAsia="zh-CN"/>
        </w:rPr>
      </w:pPr>
      <w:r>
        <w:rPr>
          <w:rFonts w:hint="default" w:ascii="仿宋" w:hAnsi="仿宋" w:eastAsia="仿宋" w:cs="仿宋"/>
          <w:kern w:val="2"/>
          <w:sz w:val="32"/>
          <w:szCs w:val="32"/>
          <w:lang w:val="en-US" w:eastAsia="zh-CN" w:bidi="ar-SA"/>
        </w:rPr>
        <w:t>阶段（</w:t>
      </w:r>
      <w:r>
        <w:rPr>
          <w:rFonts w:hint="eastAsia" w:ascii="仿宋" w:hAnsi="仿宋" w:eastAsia="仿宋" w:cs="仿宋"/>
          <w:kern w:val="2"/>
          <w:sz w:val="32"/>
          <w:szCs w:val="32"/>
          <w:lang w:val="en-US" w:eastAsia="zh-CN" w:bidi="ar-SA"/>
        </w:rPr>
        <w:t>含</w:t>
      </w:r>
      <w:r>
        <w:rPr>
          <w:rFonts w:hint="default" w:ascii="仿宋" w:hAnsi="仿宋" w:eastAsia="仿宋" w:cs="仿宋"/>
          <w:kern w:val="2"/>
          <w:sz w:val="32"/>
          <w:szCs w:val="32"/>
          <w:lang w:val="en-US" w:eastAsia="zh-CN" w:bidi="ar-SA"/>
        </w:rPr>
        <w:t>一次性）项目绩效分析。</w:t>
      </w:r>
      <w:r>
        <w:rPr>
          <w:rFonts w:hint="default" w:ascii="仿宋" w:hAnsi="仿宋" w:eastAsia="仿宋" w:cs="仿宋"/>
          <w:kern w:val="2"/>
          <w:sz w:val="32"/>
          <w:szCs w:val="32"/>
          <w:lang w:val="zh-CN" w:eastAsia="zh-CN" w:bidi="ar-SA"/>
        </w:rPr>
        <w:t>该类项目总数</w:t>
      </w:r>
      <w:r>
        <w:rPr>
          <w:rFonts w:hint="eastAsia" w:ascii="仿宋" w:hAnsi="仿宋" w:eastAsia="仿宋" w:cs="仿宋"/>
          <w:kern w:val="2"/>
          <w:sz w:val="32"/>
          <w:szCs w:val="32"/>
          <w:lang w:val="en-US" w:eastAsia="zh-CN" w:bidi="ar-SA"/>
        </w:rPr>
        <w:t>14</w:t>
      </w:r>
      <w:r>
        <w:rPr>
          <w:rFonts w:hint="default" w:ascii="仿宋" w:hAnsi="仿宋" w:eastAsia="仿宋" w:cs="仿宋"/>
          <w:kern w:val="2"/>
          <w:sz w:val="32"/>
          <w:szCs w:val="32"/>
          <w:lang w:val="zh-CN" w:eastAsia="zh-CN" w:bidi="ar-SA"/>
        </w:rPr>
        <w:t>个，涉及预算总金额</w:t>
      </w:r>
      <w:r>
        <w:rPr>
          <w:rFonts w:hint="eastAsia" w:ascii="仿宋" w:hAnsi="仿宋" w:eastAsia="仿宋" w:cs="仿宋"/>
          <w:kern w:val="2"/>
          <w:sz w:val="32"/>
          <w:szCs w:val="32"/>
          <w:lang w:val="en-US" w:eastAsia="zh-CN" w:bidi="ar-SA"/>
        </w:rPr>
        <w:t>650.35</w:t>
      </w:r>
      <w:r>
        <w:rPr>
          <w:rFonts w:hint="default" w:ascii="仿宋" w:hAnsi="仿宋" w:eastAsia="仿宋" w:cs="仿宋"/>
          <w:kern w:val="2"/>
          <w:sz w:val="32"/>
          <w:szCs w:val="32"/>
          <w:lang w:val="zh-CN" w:eastAsia="zh-CN" w:bidi="ar-SA"/>
        </w:rPr>
        <w:t>万元，1</w:t>
      </w:r>
      <w:r>
        <w:rPr>
          <w:rFonts w:hint="eastAsia" w:ascii="仿宋" w:hAnsi="仿宋" w:eastAsia="仿宋" w:cs="仿宋"/>
          <w:kern w:val="2"/>
          <w:sz w:val="32"/>
          <w:szCs w:val="32"/>
          <w:lang w:val="zh-CN" w:eastAsia="zh-CN" w:bidi="ar-SA"/>
        </w:rPr>
        <w:t>—</w:t>
      </w:r>
      <w:r>
        <w:rPr>
          <w:rFonts w:hint="default" w:ascii="仿宋" w:hAnsi="仿宋" w:eastAsia="仿宋" w:cs="仿宋"/>
          <w:kern w:val="2"/>
          <w:sz w:val="32"/>
          <w:szCs w:val="32"/>
          <w:lang w:val="zh-CN" w:eastAsia="zh-CN" w:bidi="ar-SA"/>
        </w:rPr>
        <w:t>1</w:t>
      </w:r>
      <w:r>
        <w:rPr>
          <w:rFonts w:hint="default" w:ascii="仿宋" w:hAnsi="仿宋" w:eastAsia="仿宋" w:cs="仿宋"/>
          <w:kern w:val="2"/>
          <w:sz w:val="32"/>
          <w:szCs w:val="32"/>
          <w:lang w:val="en-US" w:eastAsia="zh-CN" w:bidi="ar-SA"/>
        </w:rPr>
        <w:t>2</w:t>
      </w:r>
      <w:r>
        <w:rPr>
          <w:rFonts w:hint="default" w:ascii="仿宋" w:hAnsi="仿宋" w:eastAsia="仿宋" w:cs="仿宋"/>
          <w:kern w:val="2"/>
          <w:sz w:val="32"/>
          <w:szCs w:val="32"/>
          <w:lang w:val="zh-CN" w:eastAsia="zh-CN" w:bidi="ar-SA"/>
        </w:rPr>
        <w:t>月预算执行总体进度为</w:t>
      </w:r>
      <w:r>
        <w:rPr>
          <w:rFonts w:hint="eastAsia" w:ascii="仿宋" w:hAnsi="仿宋" w:eastAsia="仿宋" w:cs="仿宋"/>
          <w:kern w:val="2"/>
          <w:sz w:val="32"/>
          <w:szCs w:val="32"/>
          <w:lang w:val="en-US" w:eastAsia="zh-CN" w:bidi="ar-SA"/>
        </w:rPr>
        <w:t>62.67</w:t>
      </w:r>
      <w:r>
        <w:rPr>
          <w:rFonts w:hint="default" w:ascii="仿宋" w:hAnsi="仿宋" w:eastAsia="仿宋" w:cs="仿宋"/>
          <w:kern w:val="2"/>
          <w:sz w:val="32"/>
          <w:szCs w:val="32"/>
          <w:lang w:val="zh-CN" w:eastAsia="zh-CN" w:bidi="ar-SA"/>
        </w:rPr>
        <w:t>%，其中：预算结余率大于</w:t>
      </w:r>
      <w:r>
        <w:rPr>
          <w:rFonts w:hint="default" w:ascii="仿宋" w:hAnsi="仿宋" w:eastAsia="仿宋" w:cs="仿宋"/>
          <w:kern w:val="2"/>
          <w:sz w:val="32"/>
          <w:szCs w:val="32"/>
          <w:lang w:val="en-US" w:eastAsia="zh-CN" w:bidi="ar-SA"/>
        </w:rPr>
        <w:t>10%</w:t>
      </w:r>
      <w:r>
        <w:rPr>
          <w:rFonts w:hint="default" w:ascii="仿宋" w:hAnsi="仿宋" w:eastAsia="仿宋" w:cs="仿宋"/>
          <w:kern w:val="2"/>
          <w:sz w:val="32"/>
          <w:szCs w:val="32"/>
          <w:lang w:val="zh-CN" w:eastAsia="zh-CN" w:bidi="ar-SA"/>
        </w:rPr>
        <w:t>的项目共计</w:t>
      </w:r>
      <w:r>
        <w:rPr>
          <w:rFonts w:hint="eastAsia" w:ascii="仿宋" w:hAnsi="仿宋" w:eastAsia="仿宋" w:cs="仿宋"/>
          <w:kern w:val="2"/>
          <w:sz w:val="32"/>
          <w:szCs w:val="32"/>
          <w:lang w:val="en-US" w:eastAsia="zh-CN" w:bidi="ar-SA"/>
        </w:rPr>
        <w:t>3</w:t>
      </w:r>
      <w:r>
        <w:rPr>
          <w:rFonts w:hint="default" w:ascii="仿宋" w:hAnsi="仿宋" w:eastAsia="仿宋" w:cs="仿宋"/>
          <w:kern w:val="2"/>
          <w:sz w:val="32"/>
          <w:szCs w:val="32"/>
          <w:lang w:val="zh-CN" w:eastAsia="zh-CN" w:bidi="ar-SA"/>
        </w:rPr>
        <w:t>个。</w:t>
      </w:r>
    </w:p>
    <w:p w14:paraId="18D8D18E">
      <w:pPr>
        <w:keepNext w:val="0"/>
        <w:keepLines w:val="0"/>
        <w:pageBreakBefore w:val="0"/>
        <w:numPr>
          <w:ilvl w:val="0"/>
          <w:numId w:val="0"/>
        </w:numPr>
        <w:kinsoku/>
        <w:wordWrap/>
        <w:overflowPunct/>
        <w:topLinePunct w:val="0"/>
        <w:autoSpaceDE/>
        <w:autoSpaceDN/>
        <w:bidi w:val="0"/>
        <w:adjustRightInd w:val="0"/>
        <w:snapToGrid w:val="0"/>
        <w:spacing w:line="578" w:lineRule="exact"/>
        <w:ind w:left="640" w:leftChars="0"/>
        <w:textAlignment w:val="auto"/>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zh-CN" w:eastAsia="zh-CN" w:bidi="ar-SA"/>
        </w:rPr>
        <w:t>项目决策。</w:t>
      </w:r>
    </w:p>
    <w:p w14:paraId="2136C9B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zh-CN"/>
        </w:rPr>
      </w:pPr>
      <w:r>
        <w:rPr>
          <w:rFonts w:hint="eastAsia" w:ascii="仿宋" w:hAnsi="仿宋" w:eastAsia="仿宋" w:cs="仿宋"/>
          <w:kern w:val="2"/>
          <w:sz w:val="32"/>
          <w:szCs w:val="32"/>
          <w:lang w:val="en-US" w:eastAsia="zh-CN" w:bidi="ar-SA"/>
        </w:rPr>
        <w:t>本单位在部门预算项目设立时，按规定履行评估论证、申报程序，部门预算项目绩效目标与计划期内的任务量、预算安排的资金量和本部门预算项目匹配，绩效目标设置科学合理，预算项目在规定时间完成项目入库。</w:t>
      </w:r>
    </w:p>
    <w:p w14:paraId="40109A9E">
      <w:pPr>
        <w:keepNext w:val="0"/>
        <w:keepLines w:val="0"/>
        <w:pageBreakBefore w:val="0"/>
        <w:numPr>
          <w:ilvl w:val="0"/>
          <w:numId w:val="0"/>
        </w:numPr>
        <w:kinsoku/>
        <w:wordWrap/>
        <w:overflowPunct/>
        <w:topLinePunct w:val="0"/>
        <w:autoSpaceDE/>
        <w:autoSpaceDN/>
        <w:bidi w:val="0"/>
        <w:adjustRightInd w:val="0"/>
        <w:snapToGrid w:val="0"/>
        <w:spacing w:line="578" w:lineRule="exact"/>
        <w:ind w:left="640" w:leftChars="0"/>
        <w:textAlignment w:val="auto"/>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en-US" w:eastAsia="zh-CN" w:bidi="ar-SA"/>
        </w:rPr>
        <w:t>项目执行</w:t>
      </w:r>
      <w:r>
        <w:rPr>
          <w:rFonts w:hint="default" w:ascii="Times New Roman" w:hAnsi="Times New Roman" w:eastAsia="仿宋_GB2312" w:cs="仿宋_GB2312"/>
          <w:color w:val="auto"/>
          <w:kern w:val="2"/>
          <w:sz w:val="32"/>
          <w:szCs w:val="32"/>
          <w:highlight w:val="none"/>
          <w:lang w:val="zh-CN" w:eastAsia="zh-CN" w:bidi="ar-SA"/>
        </w:rPr>
        <w:t>。</w:t>
      </w:r>
    </w:p>
    <w:p w14:paraId="18EF46F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color w:val="000000"/>
          <w:kern w:val="0"/>
          <w:szCs w:val="32"/>
          <w:highlight w:val="green"/>
          <w:shd w:val="clear" w:color="auto" w:fill="FFFFFF"/>
          <w:lang w:val="zh-CN"/>
        </w:rPr>
      </w:pPr>
      <w:r>
        <w:rPr>
          <w:rFonts w:hint="eastAsia" w:ascii="仿宋" w:hAnsi="仿宋" w:eastAsia="仿宋" w:cs="仿宋"/>
          <w:kern w:val="2"/>
          <w:sz w:val="32"/>
          <w:szCs w:val="32"/>
          <w:lang w:val="en-US" w:eastAsia="zh-CN" w:bidi="ar-SA"/>
        </w:rPr>
        <w:t>本单位预算项目实际列支内容和绩效目标设置方向相符，对于执行进度较慢预算项目采取调整措施，加快执行进度，部门整体预算项目执行支付407.57万元，总体进度62.67%。总体执行度较低原因为国家文物保护资金项目为跨年长期项目，项目实施时间较长，导致该项目356万元在2025年未全部完成支付；2025年</w:t>
      </w:r>
      <w:r>
        <w:rPr>
          <w:rFonts w:hint="eastAsia" w:ascii="仿宋" w:hAnsi="仿宋" w:eastAsia="仿宋" w:cs="仿宋"/>
          <w:kern w:val="2"/>
          <w:sz w:val="32"/>
          <w:szCs w:val="32"/>
          <w:lang w:val="zh-CN" w:eastAsia="zh-CN" w:bidi="ar-SA"/>
        </w:rPr>
        <w:t>第四次全国文物普查为实地调查工作，项目实施时间长，导致</w:t>
      </w:r>
      <w:r>
        <w:rPr>
          <w:rFonts w:hint="eastAsia" w:ascii="仿宋" w:hAnsi="仿宋" w:eastAsia="仿宋" w:cs="仿宋"/>
          <w:kern w:val="2"/>
          <w:sz w:val="32"/>
          <w:szCs w:val="32"/>
          <w:lang w:val="en-US" w:eastAsia="zh-CN" w:bidi="ar-SA"/>
        </w:rPr>
        <w:t>2025年未全部完成项目资金支付；马尔康孔龙村遗址考古发掘成果特展需用单位自有资金支付，该项目为政府采购，当年采购流程未完成，导致该项目70万元项目资金在当年未完成支付。</w:t>
      </w:r>
    </w:p>
    <w:p w14:paraId="059429C6">
      <w:pPr>
        <w:keepNext w:val="0"/>
        <w:keepLines w:val="0"/>
        <w:pageBreakBefore w:val="0"/>
        <w:numPr>
          <w:ilvl w:val="0"/>
          <w:numId w:val="0"/>
        </w:numPr>
        <w:kinsoku/>
        <w:wordWrap/>
        <w:overflowPunct/>
        <w:topLinePunct w:val="0"/>
        <w:autoSpaceDE/>
        <w:autoSpaceDN/>
        <w:bidi w:val="0"/>
        <w:adjustRightInd w:val="0"/>
        <w:snapToGrid w:val="0"/>
        <w:spacing w:line="578" w:lineRule="exact"/>
        <w:ind w:left="640" w:leftChars="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目标实现。</w:t>
      </w:r>
    </w:p>
    <w:p w14:paraId="1B0DED5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本单位编制的预算项目和预算项目绩效目标数量指标完成率较高，预算项目绩效目标数量指标实现程度与预期目标的偏离度低，预算项目实施效果较好。</w:t>
      </w:r>
    </w:p>
    <w:p w14:paraId="5DB8E48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绩效结果应用情况。</w:t>
      </w:r>
    </w:p>
    <w:p w14:paraId="46C5C80A">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outlineLvl w:val="0"/>
        <w:rPr>
          <w:rFonts w:hint="default" w:ascii="Times New Roman" w:hAnsi="Times New Roman" w:cs="Times New Roman"/>
          <w:color w:val="000000"/>
          <w:kern w:val="0"/>
          <w:szCs w:val="32"/>
          <w:highlight w:val="none"/>
          <w:shd w:val="clear" w:color="auto" w:fill="FFFFFF"/>
          <w:lang w:val="zh-CN" w:eastAsia="zh-CN"/>
        </w:rPr>
      </w:pPr>
      <w:r>
        <w:rPr>
          <w:rFonts w:hint="eastAsia" w:ascii="仿宋" w:hAnsi="仿宋" w:eastAsia="仿宋" w:cs="仿宋"/>
          <w:kern w:val="2"/>
          <w:sz w:val="32"/>
          <w:szCs w:val="32"/>
          <w:lang w:val="en-US" w:eastAsia="zh-CN" w:bidi="ar-SA"/>
        </w:rPr>
        <w:t>本单位全部项目都进行了绩效全过程监控，</w:t>
      </w:r>
      <w:r>
        <w:rPr>
          <w:rFonts w:hint="default" w:ascii="仿宋" w:hAnsi="仿宋" w:eastAsia="仿宋" w:cs="仿宋"/>
          <w:kern w:val="2"/>
          <w:sz w:val="32"/>
          <w:szCs w:val="32"/>
          <w:lang w:val="en-US" w:eastAsia="zh-CN" w:bidi="ar-SA"/>
        </w:rPr>
        <w:t>按财政相关文件精神已将20</w:t>
      </w:r>
      <w:r>
        <w:rPr>
          <w:rFonts w:hint="eastAsia" w:ascii="仿宋" w:hAnsi="仿宋" w:eastAsia="仿宋" w:cs="仿宋"/>
          <w:kern w:val="2"/>
          <w:sz w:val="32"/>
          <w:szCs w:val="32"/>
          <w:lang w:val="en-US" w:eastAsia="zh-CN" w:bidi="ar-SA"/>
        </w:rPr>
        <w:t>25</w:t>
      </w:r>
      <w:r>
        <w:rPr>
          <w:rFonts w:hint="default" w:ascii="仿宋" w:hAnsi="仿宋" w:eastAsia="仿宋" w:cs="仿宋"/>
          <w:kern w:val="2"/>
          <w:sz w:val="32"/>
          <w:szCs w:val="32"/>
          <w:lang w:val="en-US" w:eastAsia="zh-CN" w:bidi="ar-SA"/>
        </w:rPr>
        <w:t>年</w:t>
      </w:r>
      <w:r>
        <w:rPr>
          <w:rFonts w:hint="eastAsia" w:ascii="仿宋" w:hAnsi="仿宋" w:eastAsia="仿宋" w:cs="仿宋"/>
          <w:kern w:val="2"/>
          <w:sz w:val="32"/>
          <w:szCs w:val="32"/>
          <w:lang w:val="en-US" w:eastAsia="zh-CN" w:bidi="ar-SA"/>
        </w:rPr>
        <w:t>部门</w:t>
      </w:r>
      <w:r>
        <w:rPr>
          <w:rFonts w:hint="default" w:ascii="仿宋" w:hAnsi="仿宋" w:eastAsia="仿宋" w:cs="仿宋"/>
          <w:kern w:val="2"/>
          <w:sz w:val="32"/>
          <w:szCs w:val="32"/>
          <w:lang w:val="en-US" w:eastAsia="zh-CN" w:bidi="ar-SA"/>
        </w:rPr>
        <w:t>预算以及202</w:t>
      </w:r>
      <w:r>
        <w:rPr>
          <w:rFonts w:hint="eastAsia" w:ascii="仿宋" w:hAnsi="仿宋" w:eastAsia="仿宋" w:cs="仿宋"/>
          <w:kern w:val="2"/>
          <w:sz w:val="32"/>
          <w:szCs w:val="32"/>
          <w:lang w:val="en-US" w:eastAsia="zh-CN" w:bidi="ar-SA"/>
        </w:rPr>
        <w:t>5</w:t>
      </w:r>
      <w:r>
        <w:rPr>
          <w:rFonts w:hint="default" w:ascii="仿宋" w:hAnsi="仿宋" w:eastAsia="仿宋" w:cs="仿宋"/>
          <w:kern w:val="2"/>
          <w:sz w:val="32"/>
          <w:szCs w:val="32"/>
          <w:lang w:val="en-US" w:eastAsia="zh-CN" w:bidi="ar-SA"/>
        </w:rPr>
        <w:t>年部门预算在财政</w:t>
      </w:r>
      <w:r>
        <w:rPr>
          <w:rFonts w:hint="eastAsia" w:ascii="仿宋" w:hAnsi="仿宋" w:eastAsia="仿宋" w:cs="仿宋"/>
          <w:kern w:val="2"/>
          <w:sz w:val="32"/>
          <w:szCs w:val="32"/>
          <w:lang w:val="en-US" w:eastAsia="zh-CN" w:bidi="ar-SA"/>
        </w:rPr>
        <w:t>指定</w:t>
      </w:r>
      <w:r>
        <w:rPr>
          <w:rFonts w:hint="default" w:ascii="仿宋" w:hAnsi="仿宋" w:eastAsia="仿宋" w:cs="仿宋"/>
          <w:kern w:val="2"/>
          <w:sz w:val="32"/>
          <w:szCs w:val="32"/>
          <w:lang w:val="en-US" w:eastAsia="zh-CN" w:bidi="ar-SA"/>
        </w:rPr>
        <w:t>网站公开，做到了所公开的数据准确、内容完整</w:t>
      </w:r>
      <w:r>
        <w:rPr>
          <w:rFonts w:hint="eastAsia" w:ascii="仿宋" w:hAnsi="仿宋" w:eastAsia="仿宋" w:cs="仿宋"/>
          <w:kern w:val="2"/>
          <w:sz w:val="32"/>
          <w:szCs w:val="32"/>
          <w:lang w:val="en-US" w:eastAsia="zh-CN" w:bidi="ar-SA"/>
        </w:rPr>
        <w:t>。对于相关财政要求整改反馈的情况，及时进行了反馈和整改。</w:t>
      </w:r>
    </w:p>
    <w:p w14:paraId="5D3297E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四、评价结论及建议</w:t>
      </w:r>
    </w:p>
    <w:p w14:paraId="41BF83D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（一）评价结论。</w:t>
      </w:r>
    </w:p>
    <w:p w14:paraId="015E3DA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仿宋" w:hAnsi="仿宋" w:eastAsia="仿宋" w:cs="仿宋"/>
          <w:kern w:val="2"/>
          <w:sz w:val="32"/>
          <w:szCs w:val="32"/>
          <w:lang w:val="en-US" w:eastAsia="zh-CN" w:bidi="ar-SA"/>
        </w:rPr>
        <w:t>阿坝</w:t>
      </w:r>
      <w:r>
        <w:rPr>
          <w:rFonts w:hint="eastAsia" w:ascii="仿宋" w:hAnsi="仿宋" w:eastAsia="仿宋" w:cs="仿宋"/>
          <w:kern w:val="2"/>
          <w:sz w:val="32"/>
          <w:szCs w:val="32"/>
          <w:lang w:val="en-US" w:eastAsia="zh-CN" w:bidi="ar-SA"/>
        </w:rPr>
        <w:t>藏族羌族自治州文物考古研究所（阿坝州博物馆）在2025年</w:t>
      </w:r>
      <w:r>
        <w:rPr>
          <w:rFonts w:hint="default" w:ascii="仿宋" w:hAnsi="仿宋" w:eastAsia="仿宋" w:cs="仿宋"/>
          <w:kern w:val="2"/>
          <w:sz w:val="32"/>
          <w:szCs w:val="32"/>
          <w:lang w:val="en-US" w:eastAsia="zh-CN" w:bidi="ar-SA"/>
        </w:rPr>
        <w:t>提升了预算绩效管理工作水平，强化</w:t>
      </w:r>
      <w:r>
        <w:rPr>
          <w:rFonts w:hint="eastAsia" w:ascii="仿宋" w:hAnsi="仿宋" w:eastAsia="仿宋" w:cs="仿宋"/>
          <w:kern w:val="2"/>
          <w:sz w:val="32"/>
          <w:szCs w:val="32"/>
          <w:lang w:val="en-US" w:eastAsia="zh-CN" w:bidi="ar-SA"/>
        </w:rPr>
        <w:t>了财政资金</w:t>
      </w:r>
      <w:r>
        <w:rPr>
          <w:rFonts w:hint="default" w:ascii="仿宋" w:hAnsi="仿宋" w:eastAsia="仿宋" w:cs="仿宋"/>
          <w:kern w:val="2"/>
          <w:sz w:val="32"/>
          <w:szCs w:val="32"/>
          <w:lang w:val="en-US" w:eastAsia="zh-CN" w:bidi="ar-SA"/>
        </w:rPr>
        <w:t>支出责任，规范</w:t>
      </w:r>
      <w:r>
        <w:rPr>
          <w:rFonts w:hint="eastAsia" w:ascii="仿宋" w:hAnsi="仿宋" w:eastAsia="仿宋" w:cs="仿宋"/>
          <w:kern w:val="2"/>
          <w:sz w:val="32"/>
          <w:szCs w:val="32"/>
          <w:lang w:val="en-US" w:eastAsia="zh-CN" w:bidi="ar-SA"/>
        </w:rPr>
        <w:t>了财政</w:t>
      </w:r>
      <w:r>
        <w:rPr>
          <w:rFonts w:hint="default" w:ascii="仿宋" w:hAnsi="仿宋" w:eastAsia="仿宋" w:cs="仿宋"/>
          <w:kern w:val="2"/>
          <w:sz w:val="32"/>
          <w:szCs w:val="32"/>
          <w:lang w:val="en-US" w:eastAsia="zh-CN" w:bidi="ar-SA"/>
        </w:rPr>
        <w:t>资金管理行为，提高财政资金使用效益</w:t>
      </w:r>
      <w:r>
        <w:rPr>
          <w:rFonts w:hint="eastAsia" w:ascii="仿宋" w:hAnsi="仿宋" w:eastAsia="仿宋" w:cs="仿宋"/>
          <w:kern w:val="2"/>
          <w:sz w:val="32"/>
          <w:szCs w:val="32"/>
          <w:lang w:val="en-US" w:eastAsia="zh-CN" w:bidi="ar-SA"/>
        </w:rPr>
        <w:t>，部门预算绩效自评总体得分8</w:t>
      </w:r>
      <w:r>
        <w:rPr>
          <w:rFonts w:hint="default" w:ascii="仿宋" w:hAnsi="仿宋" w:eastAsia="仿宋" w:cs="仿宋"/>
          <w:kern w:val="2"/>
          <w:sz w:val="32"/>
          <w:szCs w:val="32"/>
          <w:lang w:val="en-US" w:eastAsia="zh-CN" w:bidi="ar-SA"/>
        </w:rPr>
        <w:t>5</w:t>
      </w:r>
      <w:r>
        <w:rPr>
          <w:rFonts w:hint="eastAsia" w:ascii="仿宋" w:hAnsi="仿宋" w:eastAsia="仿宋" w:cs="仿宋"/>
          <w:kern w:val="2"/>
          <w:sz w:val="32"/>
          <w:szCs w:val="32"/>
          <w:lang w:val="en-US" w:eastAsia="zh-CN" w:bidi="ar-SA"/>
        </w:rPr>
        <w:t>.54分</w:t>
      </w:r>
      <w:r>
        <w:rPr>
          <w:rFonts w:hint="default" w:ascii="仿宋" w:hAnsi="仿宋" w:eastAsia="仿宋" w:cs="仿宋"/>
          <w:kern w:val="2"/>
          <w:sz w:val="32"/>
          <w:szCs w:val="32"/>
          <w:lang w:val="en-US" w:eastAsia="zh-CN" w:bidi="ar-SA"/>
        </w:rPr>
        <w:t>。</w:t>
      </w:r>
    </w:p>
    <w:p w14:paraId="509E38E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eastAsia" w:ascii="Times New Roman" w:hAnsi="Times New Roman" w:eastAsia="楷体_GB2312" w:cs="Times New Roman"/>
          <w:b/>
          <w:bCs/>
          <w:color w:val="000000"/>
          <w:kern w:val="0"/>
          <w:sz w:val="32"/>
          <w:szCs w:val="32"/>
          <w:highlight w:val="none"/>
          <w:shd w:val="clear" w:color="auto" w:fill="FFFFFF"/>
          <w:lang w:val="zh-CN" w:eastAsia="zh-CN"/>
        </w:rPr>
        <w:t>（二）</w:t>
      </w:r>
      <w:r>
        <w:rPr>
          <w:rFonts w:hint="default" w:ascii="Times New Roman" w:hAnsi="Times New Roman" w:eastAsia="楷体_GB2312" w:cs="Times New Roman"/>
          <w:b/>
          <w:bCs/>
          <w:color w:val="000000"/>
          <w:kern w:val="0"/>
          <w:sz w:val="32"/>
          <w:szCs w:val="32"/>
          <w:highlight w:val="none"/>
          <w:shd w:val="clear" w:color="auto" w:fill="FFFFFF"/>
          <w:lang w:val="zh-CN" w:eastAsia="zh-CN"/>
        </w:rPr>
        <w:t>存在问题。</w:t>
      </w:r>
    </w:p>
    <w:p w14:paraId="14FC9A3A">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08" w:firstLineChars="200"/>
        <w:contextualSpacing/>
        <w:jc w:val="left"/>
        <w:textAlignment w:val="auto"/>
        <w:outlineLvl w:val="9"/>
        <w:rPr>
          <w:rFonts w:hint="default" w:ascii="Times New Roman" w:hAnsi="Times New Roman" w:eastAsia="仿宋_GB2312" w:cs="Times New Roman"/>
          <w:b w:val="0"/>
          <w:bCs w:val="0"/>
          <w:w w:val="95"/>
          <w:kern w:val="0"/>
          <w:position w:val="0"/>
          <w:sz w:val="32"/>
          <w:szCs w:val="32"/>
          <w:highlight w:val="none"/>
          <w:lang w:val="en-US" w:eastAsia="zh-CN" w:bidi="ar-SA"/>
        </w:rPr>
      </w:pPr>
      <w:r>
        <w:rPr>
          <w:rFonts w:hint="eastAsia" w:ascii="仿宋_GB2312" w:hAnsi="仿宋_GB2312" w:cs="仿宋_GB2312"/>
          <w:b w:val="0"/>
          <w:bCs w:val="0"/>
          <w:w w:val="95"/>
          <w:kern w:val="0"/>
          <w:position w:val="0"/>
          <w:sz w:val="32"/>
          <w:szCs w:val="32"/>
          <w:highlight w:val="none"/>
          <w:lang w:val="en-US" w:eastAsia="zh-CN" w:bidi="ar-SA"/>
        </w:rPr>
        <w:t>本</w:t>
      </w:r>
      <w:r>
        <w:rPr>
          <w:rFonts w:hint="eastAsia" w:ascii="仿宋" w:hAnsi="仿宋" w:eastAsia="仿宋" w:cs="仿宋"/>
          <w:kern w:val="2"/>
          <w:sz w:val="32"/>
          <w:szCs w:val="32"/>
          <w:lang w:val="en-US" w:eastAsia="zh-CN" w:bidi="ar-SA"/>
        </w:rPr>
        <w:t>单位项目</w:t>
      </w:r>
      <w:r>
        <w:rPr>
          <w:rFonts w:hint="default" w:ascii="仿宋" w:hAnsi="仿宋" w:eastAsia="仿宋" w:cs="仿宋"/>
          <w:kern w:val="2"/>
          <w:sz w:val="32"/>
          <w:szCs w:val="32"/>
          <w:lang w:val="en-US" w:eastAsia="zh-CN" w:bidi="ar-SA"/>
        </w:rPr>
        <w:t>绩效目标精细化水平有待提高</w:t>
      </w:r>
      <w:r>
        <w:rPr>
          <w:rFonts w:hint="eastAsia" w:ascii="仿宋" w:hAnsi="仿宋" w:eastAsia="仿宋" w:cs="仿宋"/>
          <w:kern w:val="2"/>
          <w:sz w:val="32"/>
          <w:szCs w:val="32"/>
          <w:lang w:val="en-US" w:eastAsia="zh-CN" w:bidi="ar-SA"/>
        </w:rPr>
        <w:t>，项目</w:t>
      </w:r>
      <w:r>
        <w:rPr>
          <w:rFonts w:hint="default" w:ascii="仿宋" w:hAnsi="仿宋" w:eastAsia="仿宋" w:cs="仿宋"/>
          <w:kern w:val="2"/>
          <w:sz w:val="32"/>
          <w:szCs w:val="32"/>
          <w:lang w:val="en-US" w:eastAsia="zh-CN" w:bidi="ar-SA"/>
        </w:rPr>
        <w:t>目标任务为完成阿坝</w:t>
      </w:r>
      <w:r>
        <w:rPr>
          <w:rFonts w:hint="eastAsia" w:ascii="仿宋" w:hAnsi="仿宋" w:eastAsia="仿宋" w:cs="仿宋"/>
          <w:kern w:val="2"/>
          <w:sz w:val="32"/>
          <w:szCs w:val="32"/>
          <w:lang w:val="en-US" w:eastAsia="zh-CN" w:bidi="ar-SA"/>
        </w:rPr>
        <w:t>州文物考古研究所职能职责和工作目标而设定，</w:t>
      </w:r>
      <w:r>
        <w:rPr>
          <w:rFonts w:hint="default" w:ascii="仿宋" w:hAnsi="仿宋" w:eastAsia="仿宋" w:cs="仿宋"/>
          <w:kern w:val="2"/>
          <w:sz w:val="32"/>
          <w:szCs w:val="32"/>
          <w:lang w:val="en-US" w:eastAsia="zh-CN" w:bidi="ar-SA"/>
        </w:rPr>
        <w:t>项目产出和效果目标明确，但</w:t>
      </w:r>
      <w:r>
        <w:rPr>
          <w:rFonts w:hint="eastAsia" w:ascii="仿宋" w:hAnsi="仿宋" w:eastAsia="仿宋" w:cs="仿宋"/>
          <w:kern w:val="2"/>
          <w:sz w:val="32"/>
          <w:szCs w:val="32"/>
          <w:lang w:val="en-US" w:eastAsia="zh-CN" w:bidi="ar-SA"/>
        </w:rPr>
        <w:t>项目</w:t>
      </w:r>
      <w:r>
        <w:rPr>
          <w:rFonts w:hint="default" w:ascii="仿宋" w:hAnsi="仿宋" w:eastAsia="仿宋" w:cs="仿宋"/>
          <w:kern w:val="2"/>
          <w:sz w:val="32"/>
          <w:szCs w:val="32"/>
          <w:lang w:val="en-US" w:eastAsia="zh-CN" w:bidi="ar-SA"/>
        </w:rPr>
        <w:t>绩效目标量化程度不足，未能完全准确体现与预算的匹配性。</w:t>
      </w:r>
    </w:p>
    <w:p w14:paraId="7065732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en-US" w:eastAsia="zh-CN"/>
        </w:rPr>
      </w:pPr>
      <w:r>
        <w:rPr>
          <w:rFonts w:hint="eastAsia" w:ascii="Times New Roman" w:hAnsi="Times New Roman" w:eastAsia="楷体_GB2312" w:cs="Times New Roman"/>
          <w:b/>
          <w:bCs/>
          <w:color w:val="000000"/>
          <w:kern w:val="0"/>
          <w:sz w:val="32"/>
          <w:szCs w:val="32"/>
          <w:highlight w:val="none"/>
          <w:shd w:val="clear" w:color="auto" w:fill="FFFFFF"/>
          <w:lang w:val="zh-CN"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改进建议。</w:t>
      </w:r>
    </w:p>
    <w:p w14:paraId="295C556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ascii="仿宋" w:hAnsi="仿宋" w:eastAsia="仿宋" w:cs="仿宋"/>
          <w:kern w:val="2"/>
          <w:sz w:val="32"/>
          <w:szCs w:val="32"/>
          <w:lang w:val="en-US" w:eastAsia="zh-CN" w:bidi="ar-SA"/>
        </w:rPr>
        <w:t>我所在下一年度开展项目绩效目标编制时，根据项目预期任务、实施内容和完成效果等内容，细化量化绩效目标，使目标与预算高度匹配，提高绩效目标精细化水平，提高预算执行率，更为科学合理地体现项目预期效果和资金使用效益。</w:t>
      </w:r>
    </w:p>
    <w:p w14:paraId="511F8B9B">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3BB39D0B">
      <w:pPr>
        <w:pStyle w:val="10"/>
        <w:rPr>
          <w:rFonts w:hint="eastAsia"/>
          <w:lang w:val="zh-CN" w:eastAsia="zh-CN"/>
        </w:rPr>
      </w:pPr>
    </w:p>
    <w:p w14:paraId="3453E8A9">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kern w:val="2"/>
          <w:sz w:val="32"/>
          <w:szCs w:val="32"/>
          <w:u w:val="none"/>
          <w:lang w:val="zh-CN" w:eastAsia="zh-CN" w:bidi="ar"/>
        </w:rPr>
      </w:pPr>
    </w:p>
    <w:p w14:paraId="52AC493A">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eastAsia" w:ascii="仿宋_GB2312" w:hAnsi="仿宋_GB2312" w:eastAsia="仿宋_GB2312" w:cs="仿宋_GB2312"/>
          <w:b/>
          <w:bCs/>
          <w:color w:val="000000" w:themeColor="text1"/>
          <w:kern w:val="2"/>
          <w:sz w:val="32"/>
          <w:szCs w:val="32"/>
          <w:highlight w:val="none"/>
          <w:lang w:val="zh-CN" w:eastAsia="zh-CN" w:bidi="ar-SA"/>
          <w14:textFill>
            <w14:solidFill>
              <w14:schemeClr w14:val="tx1"/>
            </w14:solidFill>
          </w14:textFill>
        </w:rPr>
      </w:pPr>
      <w:r>
        <w:rPr>
          <w:rFonts w:hint="eastAsia" w:ascii="Times New Roman" w:hAnsi="Times New Roman" w:eastAsia="仿宋_GB2312" w:cs="Times New Roman"/>
          <w:b/>
          <w:bCs/>
          <w:color w:val="000000" w:themeColor="text1"/>
          <w:kern w:val="2"/>
          <w:sz w:val="32"/>
          <w:szCs w:val="32"/>
          <w:u w:val="none"/>
          <w:lang w:val="zh-CN" w:eastAsia="zh-CN" w:bidi="ar"/>
          <w14:textFill>
            <w14:solidFill>
              <w14:schemeClr w14:val="tx1"/>
            </w14:solidFill>
          </w14:textFill>
        </w:rPr>
        <w:t>附表</w:t>
      </w:r>
      <w:r>
        <w:rPr>
          <w:rFonts w:hint="eastAsia" w:ascii="仿宋_GB2312" w:hAnsi="仿宋_GB2312" w:eastAsia="仿宋_GB2312" w:cs="仿宋_GB2312"/>
          <w:b/>
          <w:bCs/>
          <w:color w:val="000000" w:themeColor="text1"/>
          <w:kern w:val="2"/>
          <w:sz w:val="32"/>
          <w:szCs w:val="32"/>
          <w:highlight w:val="none"/>
          <w:lang w:val="en-US" w:eastAsia="zh-CN" w:bidi="ar-SA"/>
          <w14:textFill>
            <w14:solidFill>
              <w14:schemeClr w14:val="tx1"/>
            </w14:solidFill>
          </w14:textFill>
        </w:rPr>
        <w:t>1</w:t>
      </w:r>
      <w:r>
        <w:rPr>
          <w:rFonts w:hint="eastAsia" w:ascii="仿宋_GB2312" w:hAnsi="仿宋_GB2312" w:eastAsia="仿宋_GB2312" w:cs="仿宋_GB2312"/>
          <w:b/>
          <w:bCs/>
          <w:color w:val="000000" w:themeColor="text1"/>
          <w:kern w:val="2"/>
          <w:sz w:val="32"/>
          <w:szCs w:val="32"/>
          <w:highlight w:val="none"/>
          <w:lang w:val="zh-CN" w:eastAsia="zh-CN" w:bidi="ar-SA"/>
          <w14:textFill>
            <w14:solidFill>
              <w14:schemeClr w14:val="tx1"/>
            </w14:solidFill>
          </w14:textFill>
        </w:rPr>
        <w:t>：</w:t>
      </w:r>
      <w:r>
        <w:rPr>
          <w:rFonts w:hint="eastAsia" w:ascii="仿宋_GB2312" w:hAnsi="仿宋_GB2312" w:eastAsia="仿宋_GB2312" w:cs="仿宋_GB2312"/>
          <w:b/>
          <w:bCs/>
          <w:color w:val="000000" w:themeColor="text1"/>
          <w:kern w:val="2"/>
          <w:sz w:val="32"/>
          <w:szCs w:val="32"/>
          <w:highlight w:val="none"/>
          <w:lang w:val="en-US" w:eastAsia="zh-CN" w:bidi="ar-SA"/>
          <w14:textFill>
            <w14:solidFill>
              <w14:schemeClr w14:val="tx1"/>
            </w14:solidFill>
          </w14:textFill>
        </w:rPr>
        <w:t>部门预算项目支出绩效自评表（202</w:t>
      </w:r>
      <w:r>
        <w:rPr>
          <w:rFonts w:hint="eastAsia" w:hAnsi="仿宋_GB2312" w:eastAsia="仿宋_GB2312" w:cs="仿宋_GB2312"/>
          <w:b/>
          <w:bCs/>
          <w:color w:val="000000" w:themeColor="text1"/>
          <w:kern w:val="2"/>
          <w:sz w:val="32"/>
          <w:szCs w:val="32"/>
          <w:highlight w:val="none"/>
          <w:lang w:val="en-US" w:eastAsia="zh-CN" w:bidi="ar-SA"/>
          <w14:textFill>
            <w14:solidFill>
              <w14:schemeClr w14:val="tx1"/>
            </w14:solidFill>
          </w14:textFill>
        </w:rPr>
        <w:t>5</w:t>
      </w:r>
      <w:r>
        <w:rPr>
          <w:rFonts w:hint="eastAsia" w:ascii="仿宋_GB2312" w:hAnsi="仿宋_GB2312" w:eastAsia="仿宋_GB2312" w:cs="仿宋_GB2312"/>
          <w:b/>
          <w:bCs/>
          <w:color w:val="000000" w:themeColor="text1"/>
          <w:kern w:val="2"/>
          <w:sz w:val="32"/>
          <w:szCs w:val="32"/>
          <w:highlight w:val="none"/>
          <w:lang w:val="en-US" w:eastAsia="zh-CN" w:bidi="ar-SA"/>
          <w14:textFill>
            <w14:solidFill>
              <w14:schemeClr w14:val="tx1"/>
            </w14:solidFill>
          </w14:textFill>
        </w:rPr>
        <w:t>年度）</w:t>
      </w:r>
    </w:p>
    <w:p w14:paraId="26416C3E">
      <w:pPr>
        <w:pStyle w:val="11"/>
        <w:widowControl w:val="0"/>
        <w:numPr>
          <w:ilvl w:val="0"/>
          <w:numId w:val="0"/>
        </w:numPr>
        <w:jc w:val="both"/>
        <w:rPr>
          <w:rFonts w:hint="default"/>
          <w:lang w:val="en-US" w:eastAsia="zh-CN"/>
        </w:rPr>
      </w:pPr>
    </w:p>
    <w:p w14:paraId="6A0040C8">
      <w:pPr>
        <w:pStyle w:val="11"/>
        <w:widowControl w:val="0"/>
        <w:numPr>
          <w:ilvl w:val="0"/>
          <w:numId w:val="0"/>
        </w:numPr>
        <w:jc w:val="both"/>
        <w:rPr>
          <w:rFonts w:hint="default"/>
          <w:lang w:val="en-US" w:eastAsia="zh-CN"/>
        </w:rPr>
      </w:pPr>
    </w:p>
    <w:tbl>
      <w:tblPr>
        <w:tblStyle w:val="20"/>
        <w:tblW w:w="107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91"/>
        <w:gridCol w:w="233"/>
        <w:gridCol w:w="580"/>
        <w:gridCol w:w="786"/>
        <w:gridCol w:w="1219"/>
        <w:gridCol w:w="786"/>
        <w:gridCol w:w="760"/>
        <w:gridCol w:w="997"/>
        <w:gridCol w:w="1022"/>
        <w:gridCol w:w="1088"/>
        <w:gridCol w:w="2924"/>
        <w:gridCol w:w="233"/>
      </w:tblGrid>
      <w:tr w14:paraId="75922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Before w:val="1"/>
          <w:gridAfter w:val="1"/>
          <w:wBefore w:w="91" w:type="dxa"/>
          <w:wAfter w:w="233" w:type="dxa"/>
          <w:trHeight w:val="1161" w:hRule="exact"/>
          <w:jc w:val="center"/>
        </w:trPr>
        <w:tc>
          <w:tcPr>
            <w:tcW w:w="10395" w:type="dxa"/>
            <w:gridSpan w:val="10"/>
            <w:shd w:val="clear" w:color="auto" w:fill="auto"/>
            <w:vAlign w:val="center"/>
          </w:tcPr>
          <w:p w14:paraId="723E10BD">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default" w:ascii="Times New Roman" w:hAnsi="Times New Roman" w:eastAsia="黑体" w:cs="Times New Roman"/>
                <w:i w:val="0"/>
                <w:color w:val="000000"/>
                <w:sz w:val="28"/>
                <w:szCs w:val="28"/>
                <w:u w:val="none"/>
              </w:rPr>
            </w:pPr>
            <w:r>
              <w:rPr>
                <w:rFonts w:hint="default" w:ascii="Times New Roman" w:hAnsi="Times New Roman" w:eastAsia="方正小标宋简体" w:cs="Times New Roman"/>
                <w:i w:val="0"/>
                <w:color w:val="000000"/>
                <w:kern w:val="0"/>
                <w:sz w:val="44"/>
                <w:szCs w:val="44"/>
                <w:u w:val="none"/>
                <w:lang w:val="en-US" w:eastAsia="zh-CN" w:bidi="ar"/>
              </w:rPr>
              <w:t>阿坝</w:t>
            </w:r>
            <w:r>
              <w:rPr>
                <w:rFonts w:hint="eastAsia" w:ascii="Times New Roman" w:hAnsi="Times New Roman" w:eastAsia="方正小标宋简体" w:cs="Times New Roman"/>
                <w:i w:val="0"/>
                <w:color w:val="000000"/>
                <w:kern w:val="0"/>
                <w:sz w:val="44"/>
                <w:szCs w:val="44"/>
                <w:u w:val="none"/>
                <w:lang w:val="en-US" w:eastAsia="zh-CN" w:bidi="ar"/>
              </w:rPr>
              <w:t>藏族羌族自治州文物考古研究所（阿坝州博物馆</w:t>
            </w:r>
            <w:r>
              <w:rPr>
                <w:rFonts w:hint="eastAsia" w:eastAsia="方正小标宋简体" w:cs="Times New Roman"/>
                <w:i w:val="0"/>
                <w:color w:val="000000"/>
                <w:kern w:val="0"/>
                <w:sz w:val="44"/>
                <w:szCs w:val="44"/>
                <w:u w:val="none"/>
                <w:lang w:val="en-US" w:eastAsia="zh-CN" w:bidi="ar"/>
              </w:rPr>
              <w:t>）</w:t>
            </w:r>
            <w:r>
              <w:rPr>
                <w:rFonts w:hint="default" w:ascii="Times New Roman" w:hAnsi="Times New Roman" w:eastAsia="方正小标宋简体" w:cs="Times New Roman"/>
                <w:i w:val="0"/>
                <w:color w:val="000000"/>
                <w:kern w:val="0"/>
                <w:sz w:val="44"/>
                <w:szCs w:val="44"/>
                <w:u w:val="none"/>
                <w:lang w:val="en-US" w:eastAsia="zh-CN" w:bidi="ar"/>
              </w:rPr>
              <w:t>整体绩效目标完成情况自评表</w:t>
            </w:r>
          </w:p>
        </w:tc>
      </w:tr>
      <w:tr w14:paraId="06F8D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Before w:val="1"/>
          <w:gridAfter w:val="1"/>
          <w:wBefore w:w="91" w:type="dxa"/>
          <w:wAfter w:w="233" w:type="dxa"/>
          <w:trHeight w:val="23" w:hRule="atLeast"/>
          <w:jc w:val="center"/>
        </w:trPr>
        <w:tc>
          <w:tcPr>
            <w:tcW w:w="10395" w:type="dxa"/>
            <w:gridSpan w:val="10"/>
            <w:shd w:val="clear" w:color="auto" w:fill="auto"/>
            <w:vAlign w:val="center"/>
          </w:tcPr>
          <w:p w14:paraId="150201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（202</w:t>
            </w:r>
            <w:r>
              <w:rPr>
                <w:rFonts w:hint="default" w:cs="Times New Roman"/>
                <w:i w:val="0"/>
                <w:color w:val="000000"/>
                <w:kern w:val="0"/>
                <w:sz w:val="28"/>
                <w:szCs w:val="28"/>
                <w:u w:val="none"/>
                <w:lang w:val="en-US" w:eastAsia="zh-CN" w:bidi="ar"/>
              </w:rPr>
              <w:t>5</w:t>
            </w:r>
            <w:r>
              <w:rPr>
                <w:rFonts w:hint="default" w:ascii="Times New Roman" w:hAnsi="Times New Roman" w:eastAsia="宋体" w:cs="Times New Roman"/>
                <w:i w:val="0"/>
                <w:color w:val="000000"/>
                <w:kern w:val="0"/>
                <w:sz w:val="28"/>
                <w:szCs w:val="28"/>
                <w:u w:val="none"/>
                <w:lang w:val="en-US" w:eastAsia="zh-CN" w:bidi="ar"/>
              </w:rPr>
              <w:t>年度）</w:t>
            </w:r>
          </w:p>
        </w:tc>
      </w:tr>
      <w:tr w14:paraId="6A9A549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65" w:hRule="atLeast"/>
          <w:jc w:val="center"/>
        </w:trPr>
        <w:tc>
          <w:tcPr>
            <w:tcW w:w="1690" w:type="dxa"/>
            <w:gridSpan w:val="4"/>
            <w:tcBorders>
              <w:top w:val="single" w:color="000000" w:sz="4" w:space="0"/>
              <w:left w:val="single" w:color="000000" w:sz="4" w:space="0"/>
              <w:bottom w:val="single" w:color="auto" w:sz="4" w:space="0"/>
              <w:right w:val="single" w:color="000000" w:sz="4" w:space="0"/>
            </w:tcBorders>
            <w:shd w:val="clear" w:color="auto" w:fill="auto"/>
            <w:noWrap/>
            <w:vAlign w:val="center"/>
          </w:tcPr>
          <w:p w14:paraId="0ABE379F">
            <w:pPr>
              <w:rPr>
                <w:rFonts w:ascii="宋体" w:hAnsi="宋体" w:eastAsia="宋体" w:cs="宋体"/>
                <w:color w:val="000000"/>
                <w:kern w:val="0"/>
                <w:sz w:val="24"/>
              </w:rPr>
            </w:pPr>
            <w:r>
              <w:rPr>
                <w:rFonts w:eastAsia="黑体"/>
                <w:sz w:val="24"/>
              </w:rPr>
              <w:br w:type="page"/>
            </w:r>
            <w:r>
              <w:rPr>
                <w:rFonts w:hint="eastAsia" w:ascii="宋体" w:hAnsi="宋体" w:eastAsia="宋体" w:cs="宋体"/>
                <w:color w:val="000000"/>
                <w:kern w:val="0"/>
                <w:sz w:val="24"/>
              </w:rPr>
              <w:t>部门名称</w:t>
            </w:r>
          </w:p>
        </w:tc>
        <w:tc>
          <w:tcPr>
            <w:tcW w:w="9029"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329E3">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rPr>
              <w:t>阿</w:t>
            </w:r>
            <w:r>
              <w:rPr>
                <w:rFonts w:hint="eastAsia" w:ascii="宋体" w:hAnsi="宋体" w:eastAsia="宋体" w:cs="宋体"/>
                <w:color w:val="000000"/>
                <w:kern w:val="0"/>
                <w:sz w:val="24"/>
                <w:lang w:eastAsia="zh-CN"/>
              </w:rPr>
              <w:t>藏族羌族自治州文物考古研究所（阿坝州博物馆）</w:t>
            </w:r>
          </w:p>
        </w:tc>
      </w:tr>
      <w:tr w14:paraId="5071221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39" w:hRule="atLeast"/>
          <w:jc w:val="center"/>
        </w:trPr>
        <w:tc>
          <w:tcPr>
            <w:tcW w:w="169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2B39A8F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005" w:type="dxa"/>
            <w:gridSpan w:val="2"/>
            <w:tcBorders>
              <w:top w:val="single" w:color="000000" w:sz="4" w:space="0"/>
              <w:left w:val="single" w:color="auto" w:sz="4" w:space="0"/>
              <w:bottom w:val="single" w:color="000000" w:sz="4" w:space="0"/>
              <w:right w:val="single" w:color="auto" w:sz="4" w:space="0"/>
            </w:tcBorders>
            <w:shd w:val="clear" w:color="auto" w:fill="auto"/>
            <w:noWrap/>
            <w:vAlign w:val="center"/>
          </w:tcPr>
          <w:p w14:paraId="423C974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资金总额</w:t>
            </w:r>
          </w:p>
        </w:tc>
        <w:tc>
          <w:tcPr>
            <w:tcW w:w="175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27972C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p>
        </w:tc>
        <w:tc>
          <w:tcPr>
            <w:tcW w:w="5267"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334EF3D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其他资金</w:t>
            </w:r>
          </w:p>
        </w:tc>
      </w:tr>
      <w:tr w14:paraId="297228D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239" w:hRule="atLeast"/>
          <w:jc w:val="center"/>
        </w:trPr>
        <w:tc>
          <w:tcPr>
            <w:tcW w:w="169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6F35145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收入预算</w:t>
            </w:r>
          </w:p>
        </w:tc>
        <w:tc>
          <w:tcPr>
            <w:tcW w:w="2005" w:type="dxa"/>
            <w:gridSpan w:val="2"/>
            <w:tcBorders>
              <w:top w:val="single" w:color="000000" w:sz="4" w:space="0"/>
              <w:left w:val="single" w:color="auto" w:sz="4" w:space="0"/>
              <w:bottom w:val="single" w:color="000000" w:sz="4" w:space="0"/>
              <w:right w:val="single" w:color="auto" w:sz="4" w:space="0"/>
            </w:tcBorders>
            <w:shd w:val="clear" w:color="auto" w:fill="auto"/>
            <w:noWrap/>
            <w:vAlign w:val="center"/>
          </w:tcPr>
          <w:p w14:paraId="1AC2C424">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1190.38</w:t>
            </w:r>
          </w:p>
        </w:tc>
        <w:tc>
          <w:tcPr>
            <w:tcW w:w="175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DC7D720">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1140.38</w:t>
            </w:r>
          </w:p>
        </w:tc>
        <w:tc>
          <w:tcPr>
            <w:tcW w:w="5267"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483CDE78">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r>
      <w:tr w14:paraId="40AAB34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296" w:hRule="atLeast"/>
          <w:jc w:val="center"/>
        </w:trPr>
        <w:tc>
          <w:tcPr>
            <w:tcW w:w="169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2950BC2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支出预算</w:t>
            </w:r>
          </w:p>
        </w:tc>
        <w:tc>
          <w:tcPr>
            <w:tcW w:w="2005"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14:paraId="6912E5CE">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1151.68</w:t>
            </w:r>
          </w:p>
        </w:tc>
        <w:tc>
          <w:tcPr>
            <w:tcW w:w="1757"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3CE62B47">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1140.38</w:t>
            </w:r>
          </w:p>
        </w:tc>
        <w:tc>
          <w:tcPr>
            <w:tcW w:w="5267" w:type="dxa"/>
            <w:gridSpan w:val="4"/>
            <w:tcBorders>
              <w:top w:val="single" w:color="auto" w:sz="4" w:space="0"/>
              <w:left w:val="single" w:color="000000" w:sz="4" w:space="0"/>
              <w:bottom w:val="single" w:color="000000" w:sz="4" w:space="0"/>
              <w:right w:val="single" w:color="000000" w:sz="4" w:space="0"/>
            </w:tcBorders>
            <w:shd w:val="clear" w:color="auto" w:fill="auto"/>
            <w:noWrap/>
            <w:vAlign w:val="center"/>
          </w:tcPr>
          <w:p w14:paraId="28ABA04E">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11.3</w:t>
            </w:r>
          </w:p>
        </w:tc>
      </w:tr>
      <w:tr w14:paraId="202C35D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296" w:hRule="atLeast"/>
          <w:jc w:val="center"/>
        </w:trPr>
        <w:tc>
          <w:tcPr>
            <w:tcW w:w="1690" w:type="dxa"/>
            <w:gridSpan w:val="4"/>
            <w:tcBorders>
              <w:top w:val="single" w:color="auto" w:sz="4" w:space="0"/>
              <w:left w:val="single" w:color="000000" w:sz="4" w:space="0"/>
              <w:bottom w:val="single" w:color="000000" w:sz="4" w:space="0"/>
              <w:right w:val="single" w:color="000000" w:sz="4" w:space="0"/>
            </w:tcBorders>
            <w:shd w:val="clear" w:color="auto" w:fill="auto"/>
            <w:noWrap/>
            <w:vAlign w:val="center"/>
          </w:tcPr>
          <w:p w14:paraId="26E2AD3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9029"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C3817">
            <w:pPr>
              <w:widowControl/>
              <w:spacing w:line="240" w:lineRule="exact"/>
              <w:ind w:firstLine="240" w:firstLineChars="100"/>
              <w:jc w:val="both"/>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根据2025年预算编制情况及预算下达指标，我单位能按时完成上级安排任务，在规定时间内，按照相关规定完成指标任务。</w:t>
            </w:r>
          </w:p>
        </w:tc>
      </w:tr>
      <w:tr w14:paraId="550A65F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96" w:hRule="atLeast"/>
          <w:jc w:val="center"/>
        </w:trPr>
        <w:tc>
          <w:tcPr>
            <w:tcW w:w="32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D5C6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管理效率</w:t>
            </w:r>
          </w:p>
        </w:tc>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B880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8EA1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1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6C0F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0246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w:t>
            </w:r>
          </w:p>
        </w:tc>
        <w:tc>
          <w:tcPr>
            <w:tcW w:w="386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1160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3157" w:type="dxa"/>
            <w:gridSpan w:val="2"/>
            <w:vMerge w:val="restart"/>
            <w:tcBorders>
              <w:top w:val="single" w:color="000000" w:sz="4" w:space="0"/>
              <w:left w:val="single" w:color="000000" w:sz="4" w:space="0"/>
              <w:right w:val="single" w:color="000000" w:sz="4" w:space="0"/>
            </w:tcBorders>
            <w:shd w:val="clear" w:color="auto" w:fill="auto"/>
            <w:noWrap/>
            <w:vAlign w:val="center"/>
          </w:tcPr>
          <w:p w14:paraId="65A3996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指标实际完成值</w:t>
            </w:r>
          </w:p>
        </w:tc>
      </w:tr>
      <w:tr w14:paraId="7FF029F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96"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AA0A2">
            <w:pPr>
              <w:widowControl/>
              <w:spacing w:line="240" w:lineRule="exact"/>
              <w:jc w:val="center"/>
              <w:textAlignment w:val="center"/>
              <w:rPr>
                <w:rFonts w:ascii="宋体" w:hAnsi="宋体" w:eastAsia="宋体" w:cs="宋体"/>
                <w:color w:val="000000"/>
                <w:kern w:val="0"/>
                <w:sz w:val="24"/>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AFEDC">
            <w:pPr>
              <w:widowControl/>
              <w:spacing w:line="240" w:lineRule="exact"/>
              <w:jc w:val="center"/>
              <w:textAlignment w:val="center"/>
              <w:rPr>
                <w:rFonts w:ascii="宋体" w:hAnsi="宋体" w:eastAsia="宋体" w:cs="宋体"/>
                <w:color w:val="000000"/>
                <w:kern w:val="0"/>
                <w:sz w:val="24"/>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1B9E6">
            <w:pPr>
              <w:widowControl/>
              <w:spacing w:line="240" w:lineRule="exact"/>
              <w:jc w:val="center"/>
              <w:textAlignment w:val="center"/>
              <w:rPr>
                <w:rFonts w:ascii="宋体" w:hAnsi="宋体" w:eastAsia="宋体" w:cs="宋体"/>
                <w:color w:val="000000"/>
                <w:kern w:val="0"/>
                <w:sz w:val="24"/>
              </w:rPr>
            </w:pPr>
          </w:p>
        </w:tc>
        <w:tc>
          <w:tcPr>
            <w:tcW w:w="12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3EED0">
            <w:pPr>
              <w:widowControl/>
              <w:spacing w:line="240" w:lineRule="exact"/>
              <w:jc w:val="center"/>
              <w:textAlignment w:val="center"/>
              <w:rPr>
                <w:rFonts w:ascii="宋体" w:hAnsi="宋体" w:eastAsia="宋体" w:cs="宋体"/>
                <w:color w:val="000000"/>
                <w:kern w:val="0"/>
                <w:sz w:val="24"/>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9014F">
            <w:pPr>
              <w:widowControl/>
              <w:spacing w:line="240" w:lineRule="exact"/>
              <w:jc w:val="center"/>
              <w:textAlignment w:val="center"/>
              <w:rPr>
                <w:rFonts w:ascii="宋体" w:hAnsi="宋体" w:eastAsia="宋体" w:cs="宋体"/>
                <w:color w:val="000000"/>
                <w:kern w:val="0"/>
                <w:sz w:val="24"/>
              </w:rPr>
            </w:pPr>
          </w:p>
        </w:tc>
        <w:tc>
          <w:tcPr>
            <w:tcW w:w="760" w:type="dxa"/>
            <w:tcBorders>
              <w:top w:val="single" w:color="000000" w:sz="4" w:space="0"/>
              <w:left w:val="single" w:color="000000" w:sz="4" w:space="0"/>
              <w:right w:val="single" w:color="000000" w:sz="4" w:space="0"/>
            </w:tcBorders>
            <w:shd w:val="clear" w:color="auto" w:fill="auto"/>
            <w:noWrap/>
            <w:vAlign w:val="center"/>
          </w:tcPr>
          <w:p w14:paraId="49F81E8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三年</w:t>
            </w:r>
          </w:p>
          <w:p w14:paraId="1601AFC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均值</w:t>
            </w: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F372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2023</w:t>
            </w:r>
            <w:r>
              <w:rPr>
                <w:rFonts w:ascii="宋体" w:hAnsi="宋体" w:eastAsia="宋体" w:cs="宋体"/>
                <w:color w:val="000000"/>
                <w:kern w:val="0"/>
                <w:sz w:val="24"/>
              </w:rPr>
              <w:t>年</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FCD1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2024</w:t>
            </w:r>
            <w:r>
              <w:rPr>
                <w:rFonts w:ascii="宋体" w:hAnsi="宋体" w:eastAsia="宋体" w:cs="宋体"/>
                <w:color w:val="000000"/>
                <w:kern w:val="0"/>
                <w:sz w:val="24"/>
              </w:rPr>
              <w:t>年</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9791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2025</w:t>
            </w:r>
            <w:r>
              <w:rPr>
                <w:rFonts w:ascii="宋体" w:hAnsi="宋体" w:eastAsia="宋体" w:cs="宋体"/>
                <w:color w:val="000000"/>
                <w:kern w:val="0"/>
                <w:sz w:val="24"/>
              </w:rPr>
              <w:t>年</w:t>
            </w:r>
          </w:p>
        </w:tc>
        <w:tc>
          <w:tcPr>
            <w:tcW w:w="3157" w:type="dxa"/>
            <w:gridSpan w:val="2"/>
            <w:vMerge w:val="continue"/>
            <w:tcBorders>
              <w:left w:val="single" w:color="000000" w:sz="4" w:space="0"/>
              <w:right w:val="single" w:color="000000" w:sz="4" w:space="0"/>
            </w:tcBorders>
            <w:shd w:val="clear" w:color="auto" w:fill="auto"/>
            <w:noWrap/>
            <w:vAlign w:val="center"/>
          </w:tcPr>
          <w:p w14:paraId="7C9F543B">
            <w:pPr>
              <w:widowControl/>
              <w:spacing w:line="240" w:lineRule="exact"/>
              <w:jc w:val="center"/>
              <w:textAlignment w:val="center"/>
              <w:rPr>
                <w:rFonts w:ascii="宋体" w:hAnsi="宋体" w:eastAsia="宋体" w:cs="宋体"/>
                <w:color w:val="000000"/>
                <w:kern w:val="0"/>
                <w:sz w:val="24"/>
              </w:rPr>
            </w:pPr>
          </w:p>
        </w:tc>
      </w:tr>
      <w:tr w14:paraId="2F7973D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7562D">
            <w:pPr>
              <w:widowControl/>
              <w:spacing w:line="240" w:lineRule="exact"/>
              <w:jc w:val="center"/>
              <w:textAlignment w:val="center"/>
              <w:rPr>
                <w:rFonts w:ascii="宋体" w:hAnsi="宋体" w:eastAsia="宋体" w:cs="宋体"/>
                <w:color w:val="000000"/>
                <w:kern w:val="0"/>
                <w:sz w:val="24"/>
              </w:rPr>
            </w:pPr>
          </w:p>
        </w:tc>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0638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成本指标</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0A75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预算管理</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68DF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r>
              <w:rPr>
                <w:rFonts w:ascii="宋体" w:hAnsi="宋体" w:eastAsia="宋体" w:cs="宋体"/>
                <w:color w:val="000000"/>
                <w:kern w:val="0"/>
                <w:sz w:val="24"/>
              </w:rPr>
              <w:t>预算编制偏离度</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8EE6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5</w:t>
            </w:r>
            <w:r>
              <w:rPr>
                <w:rFonts w:hint="eastAsia" w:ascii="宋体" w:hAnsi="宋体" w:eastAsia="宋体" w:cs="宋体"/>
                <w:color w:val="000000"/>
                <w:kern w:val="0"/>
                <w:sz w:val="24"/>
              </w:rPr>
              <w:t>%</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768A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3.33</w:t>
            </w:r>
            <w:r>
              <w:rPr>
                <w:rFonts w:ascii="宋体" w:hAnsi="宋体" w:eastAsia="宋体" w:cs="宋体"/>
                <w:color w:val="000000"/>
                <w:kern w:val="0"/>
                <w:sz w:val="24"/>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3BC64">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FB175">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3827A">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5C925">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r>
      <w:tr w14:paraId="48776A2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B8A6D">
            <w:pPr>
              <w:widowControl/>
              <w:spacing w:line="240" w:lineRule="exact"/>
              <w:jc w:val="center"/>
              <w:textAlignment w:val="center"/>
              <w:rPr>
                <w:rFonts w:ascii="宋体" w:hAnsi="宋体" w:eastAsia="宋体" w:cs="宋体"/>
                <w:color w:val="000000"/>
                <w:kern w:val="0"/>
                <w:sz w:val="24"/>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0C672">
            <w:pPr>
              <w:widowControl/>
              <w:spacing w:line="240" w:lineRule="exact"/>
              <w:jc w:val="center"/>
              <w:textAlignment w:val="center"/>
              <w:rPr>
                <w:rFonts w:ascii="宋体" w:hAnsi="宋体" w:eastAsia="宋体" w:cs="宋体"/>
                <w:color w:val="000000"/>
                <w:kern w:val="0"/>
                <w:sz w:val="24"/>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C1719">
            <w:pPr>
              <w:widowControl/>
              <w:spacing w:line="240" w:lineRule="exact"/>
              <w:jc w:val="center"/>
              <w:textAlignment w:val="center"/>
              <w:rPr>
                <w:rFonts w:ascii="宋体" w:hAnsi="宋体" w:eastAsia="宋体" w:cs="宋体"/>
                <w:color w:val="000000"/>
                <w:kern w:val="0"/>
                <w:sz w:val="24"/>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2D1F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单位收入统筹度</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EB13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100</w:t>
            </w:r>
            <w:r>
              <w:rPr>
                <w:rFonts w:hint="eastAsia" w:ascii="宋体" w:hAnsi="宋体" w:eastAsia="宋体" w:cs="宋体"/>
                <w:color w:val="000000"/>
                <w:kern w:val="0"/>
                <w:sz w:val="24"/>
              </w:rPr>
              <w:t>%</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2B40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100</w:t>
            </w:r>
            <w:r>
              <w:rPr>
                <w:rFonts w:ascii="宋体" w:hAnsi="宋体" w:eastAsia="宋体" w:cs="宋体"/>
                <w:color w:val="000000"/>
                <w:kern w:val="0"/>
                <w:sz w:val="24"/>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69FC9">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ED5D0">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E17DB">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9BEA0">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361CB8B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90"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B73D6">
            <w:pPr>
              <w:widowControl/>
              <w:spacing w:line="240" w:lineRule="exact"/>
              <w:jc w:val="center"/>
              <w:textAlignment w:val="center"/>
              <w:rPr>
                <w:rFonts w:ascii="宋体" w:hAnsi="宋体" w:eastAsia="宋体" w:cs="宋体"/>
                <w:color w:val="000000"/>
                <w:kern w:val="0"/>
                <w:sz w:val="24"/>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745EE">
            <w:pPr>
              <w:widowControl/>
              <w:spacing w:line="240" w:lineRule="exact"/>
              <w:jc w:val="center"/>
              <w:textAlignment w:val="center"/>
              <w:rPr>
                <w:rFonts w:ascii="宋体" w:hAnsi="宋体" w:eastAsia="宋体" w:cs="宋体"/>
                <w:color w:val="000000"/>
                <w:kern w:val="0"/>
                <w:sz w:val="24"/>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483F5">
            <w:pPr>
              <w:widowControl/>
              <w:spacing w:line="240" w:lineRule="exact"/>
              <w:jc w:val="center"/>
              <w:textAlignment w:val="center"/>
              <w:rPr>
                <w:rFonts w:ascii="宋体" w:hAnsi="宋体" w:eastAsia="宋体" w:cs="宋体"/>
                <w:color w:val="000000"/>
                <w:kern w:val="0"/>
                <w:sz w:val="24"/>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25EE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预算年终结余</w:t>
            </w:r>
            <w:r>
              <w:rPr>
                <w:rFonts w:ascii="宋体" w:hAnsi="宋体" w:eastAsia="宋体" w:cs="宋体"/>
                <w:color w:val="000000"/>
                <w:kern w:val="0"/>
                <w:sz w:val="24"/>
              </w:rPr>
              <w:t>率</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D046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20</w:t>
            </w:r>
            <w:r>
              <w:rPr>
                <w:rFonts w:hint="eastAsia" w:ascii="宋体" w:hAnsi="宋体" w:eastAsia="宋体" w:cs="宋体"/>
                <w:color w:val="000000"/>
                <w:kern w:val="0"/>
                <w:sz w:val="24"/>
              </w:rPr>
              <w:t>%</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3DA95">
            <w:pPr>
              <w:widowControl/>
              <w:spacing w:line="240" w:lineRule="exact"/>
              <w:jc w:val="center"/>
              <w:textAlignment w:val="center"/>
              <w:rPr>
                <w:rFonts w:ascii="宋体" w:hAnsi="宋体" w:eastAsia="宋体" w:cs="宋体"/>
                <w:color w:val="000000"/>
                <w:kern w:val="0"/>
                <w:sz w:val="24"/>
              </w:rPr>
            </w:pPr>
            <w:r>
              <w:rPr>
                <w:rFonts w:hint="default" w:ascii="宋体" w:hAnsi="宋体" w:eastAsia="宋体" w:cs="宋体"/>
                <w:color w:val="000000"/>
                <w:kern w:val="0"/>
                <w:sz w:val="24"/>
                <w:lang w:val="en-US" w:eastAsia="zh-CN"/>
              </w:rPr>
              <w:t>13.33</w:t>
            </w:r>
            <w:r>
              <w:rPr>
                <w:rFonts w:ascii="宋体" w:hAnsi="宋体" w:eastAsia="宋体" w:cs="宋体"/>
                <w:color w:val="000000"/>
                <w:kern w:val="0"/>
                <w:sz w:val="24"/>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E8C18">
            <w:pPr>
              <w:widowControl/>
              <w:spacing w:line="240" w:lineRule="exact"/>
              <w:jc w:val="center"/>
              <w:textAlignment w:val="center"/>
              <w:rPr>
                <w:rFonts w:hint="default" w:ascii="宋体" w:hAnsi="宋体" w:eastAsia="宋体" w:cs="宋体"/>
                <w:color w:val="000000"/>
                <w:kern w:val="0"/>
                <w:sz w:val="24"/>
                <w:lang w:val="en-US" w:eastAsia="zh-CN"/>
              </w:rPr>
            </w:pPr>
            <w:r>
              <w:rPr>
                <w:rFonts w:hint="default" w:ascii="宋体" w:hAnsi="宋体" w:eastAsia="宋体" w:cs="宋体"/>
                <w:color w:val="000000"/>
                <w:kern w:val="0"/>
                <w:sz w:val="24"/>
                <w:lang w:val="en-US" w:eastAsia="zh-CN"/>
              </w:rPr>
              <w:t>10</w:t>
            </w:r>
            <w:r>
              <w:rPr>
                <w:rFonts w:hint="eastAsia" w:ascii="宋体" w:hAnsi="宋体" w:eastAsia="宋体" w:cs="宋体"/>
                <w:color w:val="000000"/>
                <w:kern w:val="0"/>
                <w:sz w:val="24"/>
                <w:lang w:val="en-US" w:eastAsia="zh-CN"/>
              </w:rPr>
              <w:t>%</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6C87A">
            <w:pPr>
              <w:widowControl/>
              <w:spacing w:line="240" w:lineRule="exact"/>
              <w:jc w:val="center"/>
              <w:textAlignment w:val="center"/>
              <w:rPr>
                <w:rFonts w:hint="default" w:ascii="宋体" w:hAnsi="宋体" w:eastAsia="宋体" w:cs="宋体"/>
                <w:color w:val="000000"/>
                <w:kern w:val="0"/>
                <w:sz w:val="24"/>
                <w:lang w:val="en-US" w:eastAsia="zh-CN"/>
              </w:rPr>
            </w:pPr>
            <w:r>
              <w:rPr>
                <w:rFonts w:hint="default" w:ascii="宋体" w:hAnsi="宋体" w:eastAsia="宋体" w:cs="宋体"/>
                <w:color w:val="000000"/>
                <w:kern w:val="0"/>
                <w:sz w:val="24"/>
                <w:lang w:val="en-US" w:eastAsia="zh-CN"/>
              </w:rPr>
              <w:t>15</w:t>
            </w:r>
            <w:r>
              <w:rPr>
                <w:rFonts w:hint="eastAsia" w:ascii="宋体" w:hAnsi="宋体" w:eastAsia="宋体" w:cs="宋体"/>
                <w:color w:val="000000"/>
                <w:kern w:val="0"/>
                <w:sz w:val="24"/>
                <w:lang w:val="en-US" w:eastAsia="zh-CN"/>
              </w:rPr>
              <w:t>%</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2F9FF">
            <w:pPr>
              <w:widowControl/>
              <w:spacing w:line="240" w:lineRule="exact"/>
              <w:jc w:val="center"/>
              <w:textAlignment w:val="center"/>
              <w:rPr>
                <w:rFonts w:hint="default" w:ascii="宋体" w:hAnsi="宋体" w:eastAsia="宋体" w:cs="宋体"/>
                <w:color w:val="000000"/>
                <w:kern w:val="0"/>
                <w:sz w:val="24"/>
                <w:lang w:val="en-US" w:eastAsia="zh-CN"/>
              </w:rPr>
            </w:pPr>
            <w:r>
              <w:rPr>
                <w:rFonts w:hint="default" w:ascii="宋体" w:hAnsi="宋体" w:eastAsia="宋体" w:cs="宋体"/>
                <w:color w:val="000000"/>
                <w:kern w:val="0"/>
                <w:sz w:val="24"/>
                <w:lang w:val="en-US" w:eastAsia="zh-CN"/>
              </w:rPr>
              <w:t>15</w:t>
            </w:r>
            <w:r>
              <w:rPr>
                <w:rFonts w:hint="eastAsia" w:ascii="宋体" w:hAnsi="宋体" w:eastAsia="宋体" w:cs="宋体"/>
                <w:color w:val="000000"/>
                <w:kern w:val="0"/>
                <w:sz w:val="24"/>
                <w:lang w:val="en-US" w:eastAsia="zh-CN"/>
              </w:rPr>
              <w:t>%</w:t>
            </w: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3D538">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18.75%</w:t>
            </w:r>
          </w:p>
        </w:tc>
      </w:tr>
      <w:tr w14:paraId="3F2A721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90"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E1882">
            <w:pPr>
              <w:widowControl/>
              <w:spacing w:line="240" w:lineRule="exact"/>
              <w:jc w:val="center"/>
              <w:textAlignment w:val="center"/>
              <w:rPr>
                <w:rFonts w:ascii="宋体" w:hAnsi="宋体" w:eastAsia="宋体" w:cs="宋体"/>
                <w:color w:val="000000"/>
                <w:kern w:val="0"/>
                <w:sz w:val="24"/>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2239D">
            <w:pPr>
              <w:widowControl/>
              <w:spacing w:line="240" w:lineRule="exact"/>
              <w:jc w:val="center"/>
              <w:textAlignment w:val="center"/>
              <w:rPr>
                <w:rFonts w:ascii="宋体" w:hAnsi="宋体" w:eastAsia="宋体" w:cs="宋体"/>
                <w:color w:val="000000"/>
                <w:kern w:val="0"/>
                <w:sz w:val="24"/>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0FEBA">
            <w:pPr>
              <w:widowControl/>
              <w:spacing w:line="240" w:lineRule="exact"/>
              <w:jc w:val="center"/>
              <w:textAlignment w:val="center"/>
              <w:rPr>
                <w:rFonts w:ascii="宋体" w:hAnsi="宋体" w:eastAsia="宋体" w:cs="宋体"/>
                <w:color w:val="000000"/>
                <w:kern w:val="0"/>
                <w:sz w:val="24"/>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F3FF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一般性支出</w:t>
            </w:r>
            <w:r>
              <w:rPr>
                <w:rFonts w:ascii="宋体" w:hAnsi="宋体" w:eastAsia="宋体" w:cs="宋体"/>
                <w:color w:val="000000"/>
                <w:kern w:val="0"/>
                <w:sz w:val="24"/>
              </w:rPr>
              <w:t>金额</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F391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897.16</w:t>
            </w:r>
            <w:r>
              <w:rPr>
                <w:rFonts w:ascii="宋体" w:hAnsi="宋体" w:eastAsia="宋体" w:cs="宋体"/>
                <w:color w:val="000000"/>
                <w:kern w:val="0"/>
                <w:sz w:val="24"/>
              </w:rPr>
              <w:t>万元</w:t>
            </w:r>
          </w:p>
        </w:tc>
        <w:tc>
          <w:tcPr>
            <w:tcW w:w="386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3FF8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为上年一般性支出金额</w:t>
            </w: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11FEF">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1151.68万元</w:t>
            </w:r>
          </w:p>
        </w:tc>
      </w:tr>
      <w:tr w14:paraId="6A7D12C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02368">
            <w:pPr>
              <w:widowControl/>
              <w:spacing w:line="240" w:lineRule="exact"/>
              <w:jc w:val="center"/>
              <w:textAlignment w:val="center"/>
              <w:rPr>
                <w:rFonts w:ascii="宋体" w:hAnsi="宋体" w:eastAsia="宋体" w:cs="宋体"/>
                <w:color w:val="000000"/>
                <w:kern w:val="0"/>
                <w:sz w:val="24"/>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6B4E6">
            <w:pPr>
              <w:widowControl/>
              <w:spacing w:line="240" w:lineRule="exact"/>
              <w:jc w:val="center"/>
              <w:textAlignment w:val="center"/>
              <w:rPr>
                <w:rFonts w:ascii="宋体" w:hAnsi="宋体" w:eastAsia="宋体" w:cs="宋体"/>
                <w:color w:val="000000"/>
                <w:kern w:val="0"/>
                <w:sz w:val="24"/>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A187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AD41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8DF0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p>
        </w:tc>
        <w:tc>
          <w:tcPr>
            <w:tcW w:w="386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1C69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为“优”“良”“中”或“差”</w:t>
            </w: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D1531">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良</w:t>
            </w:r>
          </w:p>
        </w:tc>
      </w:tr>
      <w:tr w14:paraId="63136F8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90"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A360E">
            <w:pPr>
              <w:widowControl/>
              <w:spacing w:line="240" w:lineRule="exact"/>
              <w:jc w:val="center"/>
              <w:textAlignment w:val="center"/>
              <w:rPr>
                <w:rFonts w:ascii="宋体" w:hAnsi="宋体" w:eastAsia="宋体" w:cs="宋体"/>
                <w:color w:val="000000"/>
                <w:kern w:val="0"/>
                <w:sz w:val="24"/>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0CF3F">
            <w:pPr>
              <w:widowControl/>
              <w:spacing w:line="240" w:lineRule="exact"/>
              <w:jc w:val="center"/>
              <w:textAlignment w:val="center"/>
              <w:rPr>
                <w:rFonts w:ascii="宋体" w:hAnsi="宋体" w:eastAsia="宋体" w:cs="宋体"/>
                <w:color w:val="000000"/>
                <w:kern w:val="0"/>
                <w:sz w:val="24"/>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DC6B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资产管理</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70FC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ECF4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default" w:ascii="宋体" w:hAnsi="宋体" w:eastAsia="宋体" w:cs="宋体"/>
                <w:color w:val="000000"/>
                <w:kern w:val="0"/>
                <w:sz w:val="24"/>
                <w:lang w:val="en-US"/>
              </w:rPr>
              <w:t>5</w:t>
            </w:r>
            <w:r>
              <w:rPr>
                <w:rFonts w:ascii="宋体" w:hAnsi="宋体" w:eastAsia="宋体" w:cs="宋体"/>
                <w:color w:val="000000"/>
                <w:kern w:val="0"/>
                <w:sz w:val="24"/>
              </w:rPr>
              <w:t>%</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C51B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4</w:t>
            </w:r>
            <w:r>
              <w:rPr>
                <w:rFonts w:ascii="宋体" w:hAnsi="宋体" w:eastAsia="宋体" w:cs="宋体"/>
                <w:color w:val="000000"/>
                <w:kern w:val="0"/>
                <w:sz w:val="24"/>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E0339">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D7BF8">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D1B1A">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A9AB2">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r>
      <w:tr w14:paraId="6D580E1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00B1D">
            <w:pPr>
              <w:widowControl/>
              <w:spacing w:line="240" w:lineRule="exact"/>
              <w:jc w:val="center"/>
              <w:textAlignment w:val="center"/>
              <w:rPr>
                <w:rFonts w:ascii="宋体" w:hAnsi="宋体" w:eastAsia="宋体" w:cs="宋体"/>
                <w:color w:val="000000"/>
                <w:kern w:val="0"/>
                <w:sz w:val="24"/>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3017F">
            <w:pPr>
              <w:widowControl/>
              <w:spacing w:line="240" w:lineRule="exact"/>
              <w:jc w:val="center"/>
              <w:textAlignment w:val="center"/>
              <w:rPr>
                <w:rFonts w:ascii="宋体" w:hAnsi="宋体" w:eastAsia="宋体" w:cs="宋体"/>
                <w:color w:val="000000"/>
                <w:kern w:val="0"/>
                <w:sz w:val="24"/>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18ED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采购管理</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6959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02B6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default" w:ascii="宋体" w:hAnsi="宋体" w:eastAsia="宋体" w:cs="宋体"/>
                <w:color w:val="000000"/>
                <w:kern w:val="0"/>
                <w:sz w:val="24"/>
                <w:lang w:val="en-US"/>
              </w:rPr>
              <w:t>9</w:t>
            </w:r>
            <w:r>
              <w:rPr>
                <w:rFonts w:hint="eastAsia" w:ascii="宋体" w:hAnsi="宋体" w:eastAsia="宋体" w:cs="宋体"/>
                <w:color w:val="000000"/>
                <w:kern w:val="0"/>
                <w:sz w:val="24"/>
                <w:lang w:val="en-US" w:eastAsia="zh-CN"/>
              </w:rPr>
              <w:t>5</w:t>
            </w:r>
            <w:r>
              <w:rPr>
                <w:rFonts w:hint="eastAsia" w:ascii="宋体" w:hAnsi="宋体" w:eastAsia="宋体" w:cs="宋体"/>
                <w:color w:val="000000"/>
                <w:kern w:val="0"/>
                <w:sz w:val="24"/>
              </w:rPr>
              <w:t>%</w:t>
            </w:r>
          </w:p>
        </w:tc>
        <w:tc>
          <w:tcPr>
            <w:tcW w:w="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FB6B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90</w:t>
            </w:r>
            <w:r>
              <w:rPr>
                <w:rFonts w:ascii="宋体" w:hAnsi="宋体" w:eastAsia="宋体" w:cs="宋体"/>
                <w:color w:val="000000"/>
                <w:kern w:val="0"/>
                <w:sz w:val="24"/>
              </w:rPr>
              <w:t>%</w:t>
            </w:r>
          </w:p>
        </w:tc>
        <w:tc>
          <w:tcPr>
            <w:tcW w:w="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49309">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D5CE5">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85%</w:t>
            </w:r>
          </w:p>
        </w:tc>
        <w:tc>
          <w:tcPr>
            <w:tcW w:w="10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5C5EE">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4793A">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99%</w:t>
            </w:r>
          </w:p>
        </w:tc>
      </w:tr>
      <w:tr w14:paraId="723D538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68" w:hRule="atLeast"/>
          <w:jc w:val="center"/>
        </w:trPr>
        <w:tc>
          <w:tcPr>
            <w:tcW w:w="32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1DEE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履职效能</w:t>
            </w:r>
          </w:p>
        </w:tc>
        <w:tc>
          <w:tcPr>
            <w:tcW w:w="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D01C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FB43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3896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7209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A5099">
            <w:pPr>
              <w:widowControl/>
              <w:spacing w:line="240" w:lineRule="exact"/>
              <w:jc w:val="center"/>
              <w:textAlignment w:val="center"/>
              <w:rPr>
                <w:rFonts w:ascii="宋体" w:hAnsi="宋体" w:eastAsia="宋体" w:cs="宋体"/>
                <w:color w:val="000000"/>
                <w:kern w:val="0"/>
                <w:sz w:val="24"/>
              </w:rPr>
            </w:pPr>
          </w:p>
        </w:tc>
      </w:tr>
      <w:tr w14:paraId="4C599F9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296"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5C1ED">
            <w:pPr>
              <w:widowControl/>
              <w:spacing w:line="240" w:lineRule="exact"/>
              <w:jc w:val="center"/>
              <w:textAlignment w:val="center"/>
              <w:rPr>
                <w:rFonts w:ascii="宋体" w:hAnsi="宋体" w:eastAsia="宋体" w:cs="宋体"/>
                <w:color w:val="000000"/>
                <w:kern w:val="0"/>
                <w:sz w:val="24"/>
              </w:rPr>
            </w:pPr>
          </w:p>
        </w:tc>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F548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E5DC5">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数量指标</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C144A">
            <w:pPr>
              <w:widowControl/>
              <w:spacing w:line="240" w:lineRule="exact"/>
              <w:jc w:val="center"/>
              <w:textAlignment w:val="center"/>
              <w:rPr>
                <w:rFonts w:ascii="宋体" w:hAnsi="宋体" w:eastAsia="宋体" w:cs="宋体"/>
                <w:color w:val="000000"/>
                <w:kern w:val="0"/>
                <w:sz w:val="24"/>
              </w:rPr>
            </w:pPr>
            <w:r>
              <w:rPr>
                <w:rFonts w:hint="eastAsia" w:eastAsia="宋体" w:cs="Times New Roman"/>
                <w:i w:val="0"/>
                <w:color w:val="000000"/>
                <w:sz w:val="24"/>
                <w:szCs w:val="24"/>
                <w:u w:val="none"/>
                <w:lang w:eastAsia="zh-CN"/>
              </w:rPr>
              <w:t>单位项目数</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034A8">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eastAsia="zh-CN"/>
              </w:rPr>
              <w:t>专项项目</w:t>
            </w:r>
            <w:r>
              <w:rPr>
                <w:rFonts w:hint="eastAsia" w:ascii="宋体" w:hAnsi="宋体" w:eastAsia="宋体" w:cs="宋体"/>
                <w:color w:val="000000"/>
                <w:kern w:val="0"/>
                <w:sz w:val="24"/>
                <w:lang w:val="en-US" w:eastAsia="zh-CN"/>
              </w:rPr>
              <w:t>16个</w:t>
            </w: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03EA4">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完成13个</w:t>
            </w:r>
          </w:p>
        </w:tc>
      </w:tr>
      <w:tr w14:paraId="7B8FFC6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96"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9DC7D">
            <w:pPr>
              <w:widowControl/>
              <w:spacing w:line="240" w:lineRule="exact"/>
              <w:jc w:val="center"/>
              <w:textAlignment w:val="center"/>
              <w:rPr>
                <w:rFonts w:ascii="宋体" w:hAnsi="宋体" w:eastAsia="宋体" w:cs="宋体"/>
                <w:color w:val="000000"/>
                <w:kern w:val="0"/>
                <w:sz w:val="24"/>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67025">
            <w:pPr>
              <w:widowControl/>
              <w:spacing w:line="240" w:lineRule="exact"/>
              <w:jc w:val="center"/>
              <w:textAlignment w:val="center"/>
              <w:rPr>
                <w:rFonts w:ascii="宋体" w:hAnsi="宋体" w:eastAsia="宋体" w:cs="宋体"/>
                <w:color w:val="000000"/>
                <w:kern w:val="0"/>
                <w:sz w:val="24"/>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8B93F">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质量指标</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6FA07">
            <w:pPr>
              <w:widowControl/>
              <w:spacing w:line="240" w:lineRule="exact"/>
              <w:jc w:val="center"/>
              <w:textAlignment w:val="center"/>
              <w:rPr>
                <w:rFonts w:ascii="宋体" w:hAnsi="宋体" w:eastAsia="宋体" w:cs="宋体"/>
                <w:color w:val="000000"/>
                <w:kern w:val="0"/>
                <w:sz w:val="24"/>
              </w:rPr>
            </w:pPr>
            <w:r>
              <w:rPr>
                <w:rFonts w:hint="eastAsia" w:eastAsia="宋体" w:cs="Times New Roman"/>
                <w:i w:val="0"/>
                <w:color w:val="000000"/>
                <w:sz w:val="24"/>
                <w:szCs w:val="24"/>
                <w:u w:val="none"/>
                <w:lang w:val="en-US" w:eastAsia="zh-CN"/>
              </w:rPr>
              <w:t>保障文物考古研究所（博物馆）的公共服务能正常运行</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A4760">
            <w:pPr>
              <w:widowControl/>
              <w:spacing w:line="240" w:lineRule="exact"/>
              <w:jc w:val="center"/>
              <w:textAlignment w:val="center"/>
              <w:rPr>
                <w:rFonts w:hint="default" w:ascii="宋体" w:hAnsi="宋体" w:eastAsia="宋体" w:cs="宋体"/>
                <w:color w:val="000000"/>
                <w:kern w:val="0"/>
                <w:sz w:val="24"/>
                <w:lang w:val="en-US"/>
              </w:rPr>
            </w:pPr>
            <w:r>
              <w:rPr>
                <w:rFonts w:hint="eastAsia" w:ascii="宋体" w:hAnsi="宋体" w:eastAsia="宋体" w:cs="宋体"/>
                <w:color w:val="000000"/>
                <w:kern w:val="0"/>
                <w:sz w:val="24"/>
                <w:lang w:eastAsia="zh-CN"/>
              </w:rPr>
              <w:t>≧</w:t>
            </w:r>
            <w:r>
              <w:rPr>
                <w:rFonts w:hint="eastAsia" w:ascii="宋体" w:hAnsi="宋体" w:eastAsia="宋体" w:cs="宋体"/>
                <w:color w:val="000000"/>
                <w:kern w:val="0"/>
                <w:sz w:val="24"/>
                <w:lang w:val="en-US" w:eastAsia="zh-CN"/>
              </w:rPr>
              <w:t>95%</w:t>
            </w: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0C91D">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完成100%</w:t>
            </w:r>
          </w:p>
        </w:tc>
      </w:tr>
      <w:tr w14:paraId="6110201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296"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EE31A">
            <w:pPr>
              <w:widowControl/>
              <w:spacing w:line="240" w:lineRule="exact"/>
              <w:jc w:val="center"/>
              <w:textAlignment w:val="center"/>
              <w:rPr>
                <w:rFonts w:ascii="宋体" w:hAnsi="宋体" w:eastAsia="宋体" w:cs="宋体"/>
                <w:color w:val="000000"/>
                <w:kern w:val="0"/>
                <w:sz w:val="24"/>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64959">
            <w:pPr>
              <w:widowControl/>
              <w:spacing w:line="240" w:lineRule="exact"/>
              <w:jc w:val="center"/>
              <w:textAlignment w:val="center"/>
              <w:rPr>
                <w:rFonts w:ascii="宋体" w:hAnsi="宋体" w:eastAsia="宋体" w:cs="宋体"/>
                <w:color w:val="000000"/>
                <w:kern w:val="0"/>
                <w:sz w:val="24"/>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C3E01">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时效指标</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683D8">
            <w:pPr>
              <w:widowControl/>
              <w:spacing w:line="240" w:lineRule="exact"/>
              <w:jc w:val="both"/>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2025年全年</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53A9E">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54404">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eastAsia="zh-CN"/>
              </w:rPr>
              <w:t>完成</w:t>
            </w:r>
            <w:r>
              <w:rPr>
                <w:rFonts w:hint="eastAsia" w:ascii="宋体" w:hAnsi="宋体" w:eastAsia="宋体" w:cs="宋体"/>
                <w:color w:val="000000"/>
                <w:kern w:val="0"/>
                <w:sz w:val="24"/>
                <w:lang w:val="en-US" w:eastAsia="zh-CN"/>
              </w:rPr>
              <w:t>80%</w:t>
            </w:r>
          </w:p>
        </w:tc>
      </w:tr>
      <w:tr w14:paraId="1B580DA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296"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963E0">
            <w:pPr>
              <w:widowControl/>
              <w:spacing w:line="240" w:lineRule="exact"/>
              <w:jc w:val="center"/>
              <w:textAlignment w:val="center"/>
              <w:rPr>
                <w:rFonts w:ascii="宋体" w:hAnsi="宋体" w:eastAsia="宋体" w:cs="宋体"/>
                <w:color w:val="000000"/>
                <w:kern w:val="0"/>
                <w:sz w:val="24"/>
              </w:rPr>
            </w:pPr>
          </w:p>
        </w:tc>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5F16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378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14:paraId="6EE0AF91">
            <w:pPr>
              <w:widowControl/>
              <w:spacing w:line="240" w:lineRule="exact"/>
              <w:jc w:val="center"/>
              <w:textAlignment w:val="center"/>
              <w:rPr>
                <w:rFonts w:ascii="宋体" w:hAnsi="宋体" w:eastAsia="宋体" w:cs="宋体"/>
                <w:color w:val="000000"/>
                <w:kern w:val="0"/>
                <w:sz w:val="24"/>
              </w:rPr>
            </w:pPr>
            <w:r>
              <w:rPr>
                <w:rFonts w:hint="default" w:ascii="Times New Roman" w:hAnsi="Times New Roman" w:eastAsia="宋体" w:cs="Times New Roman"/>
                <w:i w:val="0"/>
                <w:color w:val="000000"/>
                <w:kern w:val="0"/>
                <w:sz w:val="24"/>
                <w:szCs w:val="24"/>
                <w:u w:val="none"/>
                <w:lang w:val="en-US" w:eastAsia="zh-CN" w:bidi="ar"/>
              </w:rPr>
              <w:t>指标</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EEF7E">
            <w:pPr>
              <w:widowControl/>
              <w:spacing w:line="240" w:lineRule="exact"/>
              <w:jc w:val="center"/>
              <w:textAlignment w:val="center"/>
              <w:rPr>
                <w:rFonts w:ascii="宋体" w:hAnsi="宋体" w:eastAsia="宋体" w:cs="宋体"/>
                <w:color w:val="000000"/>
                <w:kern w:val="0"/>
                <w:sz w:val="24"/>
              </w:rPr>
            </w:pPr>
            <w:r>
              <w:rPr>
                <w:rFonts w:hint="eastAsia" w:eastAsia="宋体" w:cs="Times New Roman"/>
                <w:i w:val="0"/>
                <w:color w:val="000000"/>
                <w:sz w:val="24"/>
                <w:szCs w:val="24"/>
                <w:u w:val="none"/>
                <w:lang w:eastAsia="zh-CN"/>
              </w:rPr>
              <w:t>提高博物馆公共能力</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366A3">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良好</w:t>
            </w: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D695A">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好</w:t>
            </w:r>
          </w:p>
        </w:tc>
      </w:tr>
      <w:tr w14:paraId="325825C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296"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E82D3">
            <w:pPr>
              <w:widowControl/>
              <w:spacing w:line="240" w:lineRule="exact"/>
              <w:jc w:val="center"/>
              <w:textAlignment w:val="center"/>
              <w:rPr>
                <w:rFonts w:ascii="宋体" w:hAnsi="宋体" w:eastAsia="宋体" w:cs="宋体"/>
                <w:color w:val="000000"/>
                <w:kern w:val="0"/>
                <w:sz w:val="24"/>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8221E">
            <w:pPr>
              <w:widowControl/>
              <w:spacing w:line="240" w:lineRule="exact"/>
              <w:jc w:val="center"/>
              <w:textAlignment w:val="center"/>
              <w:rPr>
                <w:rFonts w:ascii="宋体" w:hAnsi="宋体" w:eastAsia="宋体" w:cs="宋体"/>
                <w:color w:val="000000"/>
                <w:kern w:val="0"/>
                <w:sz w:val="24"/>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4D42B">
            <w:pPr>
              <w:widowControl/>
              <w:spacing w:line="240" w:lineRule="exact"/>
              <w:jc w:val="center"/>
              <w:textAlignment w:val="center"/>
              <w:rPr>
                <w:rFonts w:ascii="宋体" w:hAnsi="宋体" w:eastAsia="宋体" w:cs="宋体"/>
                <w:color w:val="000000"/>
                <w:kern w:val="0"/>
                <w:sz w:val="24"/>
              </w:rPr>
            </w:pPr>
            <w:r>
              <w:rPr>
                <w:rFonts w:hint="default" w:ascii="Times New Roman" w:hAnsi="Times New Roman" w:eastAsia="宋体" w:cs="Times New Roman"/>
                <w:i w:val="0"/>
                <w:color w:val="000000"/>
                <w:kern w:val="0"/>
                <w:sz w:val="24"/>
                <w:szCs w:val="24"/>
                <w:u w:val="none"/>
                <w:lang w:val="en-US" w:eastAsia="zh-CN" w:bidi="ar"/>
              </w:rPr>
              <w:t>可持续影响指标</w:t>
            </w: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5DD4A">
            <w:pPr>
              <w:widowControl/>
              <w:spacing w:line="240" w:lineRule="exact"/>
              <w:jc w:val="center"/>
              <w:textAlignment w:val="center"/>
              <w:rPr>
                <w:rFonts w:ascii="宋体" w:hAnsi="宋体" w:eastAsia="宋体" w:cs="宋体"/>
                <w:color w:val="000000"/>
                <w:kern w:val="0"/>
                <w:sz w:val="24"/>
              </w:rPr>
            </w:pPr>
            <w:r>
              <w:rPr>
                <w:rFonts w:hint="default" w:ascii="Times New Roman" w:hAnsi="Times New Roman" w:eastAsia="宋体" w:cs="Times New Roman"/>
                <w:i w:val="0"/>
                <w:color w:val="000000"/>
                <w:sz w:val="24"/>
                <w:szCs w:val="24"/>
                <w:u w:val="none"/>
              </w:rPr>
              <w:t>博物馆文化影响力</w:t>
            </w: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27A74">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成效显著</w:t>
            </w: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B8AD7">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好</w:t>
            </w:r>
          </w:p>
        </w:tc>
      </w:tr>
      <w:tr w14:paraId="681295D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06" w:hRule="atLeast"/>
          <w:jc w:val="center"/>
        </w:trPr>
        <w:tc>
          <w:tcPr>
            <w:tcW w:w="3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CDD1F">
            <w:pPr>
              <w:widowControl/>
              <w:spacing w:line="240" w:lineRule="exact"/>
              <w:jc w:val="center"/>
              <w:textAlignment w:val="center"/>
              <w:rPr>
                <w:rFonts w:ascii="宋体" w:hAnsi="宋体" w:eastAsia="宋体" w:cs="宋体"/>
                <w:color w:val="000000"/>
                <w:kern w:val="0"/>
                <w:sz w:val="24"/>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C6BDC">
            <w:pPr>
              <w:widowControl/>
              <w:spacing w:line="240" w:lineRule="exact"/>
              <w:jc w:val="center"/>
              <w:textAlignment w:val="center"/>
              <w:rPr>
                <w:rFonts w:ascii="宋体" w:hAnsi="宋体" w:eastAsia="宋体" w:cs="宋体"/>
                <w:color w:val="000000"/>
                <w:kern w:val="0"/>
                <w:sz w:val="24"/>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08562">
            <w:pPr>
              <w:widowControl/>
              <w:spacing w:line="240" w:lineRule="exact"/>
              <w:jc w:val="center"/>
              <w:textAlignment w:val="center"/>
              <w:rPr>
                <w:rFonts w:ascii="宋体" w:hAnsi="宋体" w:eastAsia="宋体" w:cs="宋体"/>
                <w:color w:val="000000"/>
                <w:kern w:val="0"/>
                <w:sz w:val="24"/>
              </w:rPr>
            </w:pPr>
          </w:p>
        </w:tc>
        <w:tc>
          <w:tcPr>
            <w:tcW w:w="12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BAAA7">
            <w:pPr>
              <w:widowControl/>
              <w:spacing w:line="240" w:lineRule="exact"/>
              <w:jc w:val="center"/>
              <w:textAlignment w:val="center"/>
              <w:rPr>
                <w:rFonts w:ascii="宋体" w:hAnsi="宋体" w:eastAsia="宋体" w:cs="宋体"/>
                <w:color w:val="000000"/>
                <w:kern w:val="0"/>
                <w:sz w:val="24"/>
              </w:rPr>
            </w:pPr>
          </w:p>
        </w:tc>
        <w:tc>
          <w:tcPr>
            <w:tcW w:w="465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BB1AD">
            <w:pPr>
              <w:widowControl/>
              <w:spacing w:line="240" w:lineRule="exact"/>
              <w:jc w:val="center"/>
              <w:textAlignment w:val="center"/>
              <w:rPr>
                <w:rFonts w:ascii="宋体" w:hAnsi="宋体" w:eastAsia="宋体" w:cs="宋体"/>
                <w:color w:val="000000"/>
                <w:kern w:val="0"/>
                <w:sz w:val="24"/>
              </w:rPr>
            </w:pPr>
          </w:p>
        </w:tc>
        <w:tc>
          <w:tcPr>
            <w:tcW w:w="31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98575">
            <w:pPr>
              <w:widowControl/>
              <w:spacing w:line="240" w:lineRule="exact"/>
              <w:jc w:val="center"/>
              <w:textAlignment w:val="center"/>
              <w:rPr>
                <w:rFonts w:ascii="宋体" w:hAnsi="宋体" w:eastAsia="宋体" w:cs="宋体"/>
                <w:color w:val="000000"/>
                <w:kern w:val="0"/>
                <w:sz w:val="24"/>
              </w:rPr>
            </w:pPr>
          </w:p>
        </w:tc>
      </w:tr>
    </w:tbl>
    <w:p w14:paraId="3AC6A65B">
      <w:pPr>
        <w:rPr>
          <w:rFonts w:hint="default" w:ascii="Times New Roman" w:hAnsi="Times New Roman" w:eastAsia="黑体" w:cs="Times New Roman"/>
          <w:sz w:val="24"/>
          <w:szCs w:val="24"/>
          <w:highlight w:val="none"/>
          <w:lang w:val="en-US" w:eastAsia="zh-CN"/>
        </w:rPr>
      </w:pPr>
    </w:p>
    <w:p w14:paraId="0159F705">
      <w:pPr>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3CC3E5F2">
      <w:pPr>
        <w:pStyle w:val="38"/>
        <w:keepNext w:val="0"/>
        <w:keepLines w:val="0"/>
        <w:pageBreakBefore w:val="0"/>
        <w:widowControl w:val="0"/>
        <w:kinsoku/>
        <w:wordWrap/>
        <w:overflowPunct/>
        <w:topLinePunct w:val="0"/>
        <w:autoSpaceDE/>
        <w:autoSpaceDN/>
        <w:bidi w:val="0"/>
        <w:spacing w:line="578" w:lineRule="exact"/>
        <w:ind w:firstLine="440" w:firstLineChars="10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阿坝州文物考古研究所（阿坝州博物馆）</w:t>
      </w:r>
    </w:p>
    <w:p w14:paraId="5D394815">
      <w:pPr>
        <w:pStyle w:val="38"/>
        <w:keepNext w:val="0"/>
        <w:keepLines w:val="0"/>
        <w:pageBreakBefore w:val="0"/>
        <w:widowControl w:val="0"/>
        <w:kinsoku/>
        <w:wordWrap/>
        <w:overflowPunct/>
        <w:topLinePunct w:val="0"/>
        <w:autoSpaceDE/>
        <w:autoSpaceDN/>
        <w:bidi w:val="0"/>
        <w:spacing w:line="578" w:lineRule="exact"/>
        <w:ind w:left="880" w:hanging="880" w:hangingChars="20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关于博物馆纪念馆免费开放中央补助资金专项预算项目绩效评价报告</w:t>
      </w:r>
    </w:p>
    <w:p w14:paraId="75AEAFD2">
      <w:pPr>
        <w:pStyle w:val="38"/>
        <w:keepNext w:val="0"/>
        <w:keepLines w:val="0"/>
        <w:pageBreakBefore w:val="0"/>
        <w:widowControl w:val="0"/>
        <w:kinsoku/>
        <w:wordWrap/>
        <w:overflowPunct/>
        <w:topLinePunct w:val="0"/>
        <w:autoSpaceDE/>
        <w:autoSpaceDN/>
        <w:bidi w:val="0"/>
        <w:spacing w:line="578" w:lineRule="exact"/>
        <w:jc w:val="both"/>
        <w:textAlignment w:val="auto"/>
        <w:rPr>
          <w:rFonts w:hint="eastAsia" w:ascii="宋体" w:hAnsi="宋体"/>
          <w:color w:val="auto"/>
          <w:kern w:val="2"/>
          <w:sz w:val="32"/>
          <w:szCs w:val="32"/>
          <w:highlight w:val="none"/>
          <w:lang w:eastAsia="zh-CN"/>
        </w:rPr>
      </w:pPr>
    </w:p>
    <w:p w14:paraId="53001524">
      <w:pPr>
        <w:pStyle w:val="38"/>
        <w:keepNext w:val="0"/>
        <w:keepLines w:val="0"/>
        <w:pageBreakBefore w:val="0"/>
        <w:widowControl w:val="0"/>
        <w:kinsoku/>
        <w:wordWrap/>
        <w:overflowPunct/>
        <w:topLinePunct w:val="0"/>
        <w:autoSpaceDE/>
        <w:autoSpaceDN/>
        <w:bidi w:val="0"/>
        <w:spacing w:line="578" w:lineRule="exact"/>
        <w:jc w:val="both"/>
        <w:textAlignment w:val="auto"/>
        <w:rPr>
          <w:rFonts w:hint="default" w:ascii="Times New Roman" w:hAnsi="Times New Roman" w:cs="Times New Roman"/>
          <w:color w:val="auto"/>
          <w:kern w:val="2"/>
          <w:sz w:val="32"/>
          <w:szCs w:val="32"/>
          <w:highlight w:val="none"/>
        </w:rPr>
      </w:pPr>
      <w:r>
        <w:rPr>
          <w:rFonts w:hint="eastAsia" w:ascii="宋体" w:hAnsi="宋体"/>
          <w:color w:val="auto"/>
          <w:kern w:val="2"/>
          <w:sz w:val="32"/>
          <w:szCs w:val="32"/>
          <w:highlight w:val="none"/>
          <w:lang w:eastAsia="zh-CN"/>
        </w:rPr>
        <w:t>州财政局：</w:t>
      </w:r>
    </w:p>
    <w:p w14:paraId="35AD932B">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default" w:ascii="Times New Roman" w:hAnsi="Times New Roman" w:eastAsia="黑体" w:cs="Times New Roman"/>
          <w:sz w:val="32"/>
          <w:szCs w:val="32"/>
          <w:highlight w:val="none"/>
          <w:lang w:val="zh-CN"/>
        </w:rPr>
      </w:pPr>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val="zh-CN"/>
        </w:rPr>
        <w:t>项目概况</w:t>
      </w:r>
    </w:p>
    <w:p w14:paraId="15CA2CB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14:paraId="552DD887">
      <w:pPr>
        <w:pStyle w:val="19"/>
        <w:keepNext w:val="0"/>
        <w:keepLines w:val="0"/>
        <w:widowControl/>
        <w:suppressLineNumbers w:val="0"/>
        <w:spacing w:before="0" w:beforeAutospacing="0" w:after="0" w:afterAutospacing="0"/>
        <w:ind w:left="0" w:right="0" w:firstLine="640" w:firstLineChars="200"/>
        <w:jc w:val="left"/>
        <w:rPr>
          <w:rFonts w:hint="default" w:ascii="Times New Roman" w:hAnsi="Times New Roman" w:eastAsia="楷体_GB2312" w:cs="Times New Roman"/>
          <w:b/>
          <w:color w:val="auto"/>
          <w:sz w:val="32"/>
          <w:szCs w:val="32"/>
          <w:highlight w:val="none"/>
          <w:u w:val="none"/>
          <w:lang w:val="zh-CN"/>
        </w:rPr>
      </w:pPr>
      <w:r>
        <w:rPr>
          <w:rFonts w:hint="eastAsia" w:ascii="仿宋_GB2312" w:hAnsi="Times New Roman" w:eastAsia="仿宋_GB2312" w:cs="Times New Roman"/>
          <w:kern w:val="2"/>
          <w:sz w:val="32"/>
          <w:szCs w:val="32"/>
          <w:lang w:val="en-US" w:eastAsia="zh-CN" w:bidi="ar-SA"/>
        </w:rPr>
        <w:t>本馆202</w:t>
      </w:r>
      <w:r>
        <w:rPr>
          <w:rFonts w:hint="eastAsia" w:ascii="仿宋_GB2312" w:cs="Times New Roman"/>
          <w:kern w:val="2"/>
          <w:sz w:val="32"/>
          <w:szCs w:val="32"/>
          <w:lang w:val="en-US" w:eastAsia="zh-CN" w:bidi="ar-SA"/>
        </w:rPr>
        <w:t>5</w:t>
      </w:r>
      <w:r>
        <w:rPr>
          <w:rFonts w:hint="eastAsia" w:ascii="仿宋_GB2312" w:hAnsi="Times New Roman" w:eastAsia="仿宋_GB2312" w:cs="Times New Roman"/>
          <w:kern w:val="2"/>
          <w:sz w:val="32"/>
          <w:szCs w:val="32"/>
          <w:lang w:val="en-US" w:eastAsia="zh-CN" w:bidi="ar-SA"/>
        </w:rPr>
        <w:t>年度通过州本级财政转移支付202</w:t>
      </w:r>
      <w:r>
        <w:rPr>
          <w:rFonts w:hint="eastAsia" w:ascii="仿宋_GB2312" w:cs="Times New Roman"/>
          <w:kern w:val="2"/>
          <w:sz w:val="32"/>
          <w:szCs w:val="32"/>
          <w:lang w:val="en-US" w:eastAsia="zh-CN" w:bidi="ar-SA"/>
        </w:rPr>
        <w:t>5</w:t>
      </w:r>
      <w:r>
        <w:rPr>
          <w:rFonts w:hint="eastAsia" w:ascii="仿宋_GB2312" w:hAnsi="Times New Roman" w:eastAsia="仿宋_GB2312" w:cs="Times New Roman"/>
          <w:kern w:val="2"/>
          <w:sz w:val="32"/>
          <w:szCs w:val="32"/>
          <w:lang w:val="en-US" w:eastAsia="zh-CN" w:bidi="ar-SA"/>
        </w:rPr>
        <w:t>年度免费开放资金200万元。项目立项和资金申报是根据《省财政厅</w:t>
      </w:r>
      <w:r>
        <w:rPr>
          <w:rFonts w:hint="eastAsia" w:ascii="仿宋_GB2312" w:hAnsi="Times New Roman" w:cs="Times New Roman"/>
          <w:kern w:val="2"/>
          <w:sz w:val="32"/>
          <w:szCs w:val="32"/>
          <w:lang w:val="en-US" w:eastAsia="zh-CN" w:bidi="ar-SA"/>
        </w:rPr>
        <w:t xml:space="preserve"> </w:t>
      </w:r>
      <w:r>
        <w:rPr>
          <w:rFonts w:hint="eastAsia" w:ascii="仿宋_GB2312" w:hAnsi="Times New Roman" w:eastAsia="仿宋_GB2312" w:cs="Times New Roman"/>
          <w:kern w:val="2"/>
          <w:sz w:val="32"/>
          <w:szCs w:val="32"/>
          <w:lang w:val="en-US" w:eastAsia="zh-CN" w:bidi="ar-SA"/>
        </w:rPr>
        <w:t>省文物局关于下达2025年中央和省级文物保护资金预算的通知》（川财教〔2024〕91号）四川省文物局四川省财政厅关于提前下达2025年中央和省级财政博物馆纪念馆免费开放补助资金预算的通知</w:t>
      </w:r>
      <w:r>
        <w:rPr>
          <w:rFonts w:hint="default" w:ascii="仿宋_GB2312" w:hAnsi="Times New Roman" w:eastAsia="仿宋_GB2312" w:cs="Times New Roman"/>
          <w:kern w:val="2"/>
          <w:sz w:val="32"/>
          <w:szCs w:val="32"/>
          <w:lang w:val="en-US" w:eastAsia="zh-CN" w:bidi="ar-SA"/>
        </w:rPr>
        <w:t>文件精神</w:t>
      </w:r>
      <w:r>
        <w:rPr>
          <w:rFonts w:hint="eastAsia" w:ascii="仿宋_GB2312" w:hAnsi="Times New Roman" w:eastAsia="仿宋_GB2312" w:cs="Times New Roman"/>
          <w:kern w:val="2"/>
          <w:sz w:val="32"/>
          <w:szCs w:val="32"/>
          <w:lang w:val="en-US" w:eastAsia="zh-CN" w:bidi="ar-SA"/>
        </w:rPr>
        <w:t>，川财教【2024】163号）的要求。</w:t>
      </w:r>
    </w:p>
    <w:p w14:paraId="13B7C774">
      <w:pPr>
        <w:keepNext w:val="0"/>
        <w:keepLines w:val="0"/>
        <w:pageBreakBefore w:val="0"/>
        <w:numPr>
          <w:ilvl w:val="0"/>
          <w:numId w:val="4"/>
        </w:numPr>
        <w:kinsoku/>
        <w:wordWrap/>
        <w:overflowPunct/>
        <w:topLinePunct w:val="0"/>
        <w:autoSpaceDE/>
        <w:autoSpaceDN/>
        <w:bidi w:val="0"/>
        <w:adjustRightInd w:val="0"/>
        <w:snapToGrid w:val="0"/>
        <w:spacing w:line="578" w:lineRule="exact"/>
        <w:ind w:left="-13" w:leftChars="0" w:firstLine="643" w:firstLineChars="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实施目的及支持方向。</w:t>
      </w:r>
    </w:p>
    <w:p w14:paraId="19EE2649">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2"/>
          <w:sz w:val="32"/>
          <w:szCs w:val="32"/>
          <w:lang w:val="zh-CN" w:eastAsia="zh-CN" w:bidi="ar-SA"/>
        </w:rPr>
        <w:t>该项目资金使用采取报账制，严格按照规定的程序报销，并按照政府会计制度进行管理，财务人员严格执行单位的有关规定，并做到资金的专项管理，专款专用、重点使用。该项目用于</w:t>
      </w:r>
      <w:r>
        <w:rPr>
          <w:rFonts w:hint="eastAsia" w:ascii="仿宋_GB2312" w:hAnsi="仿宋_GB2312" w:cs="仿宋_GB2312"/>
          <w:color w:val="auto"/>
          <w:kern w:val="0"/>
          <w:sz w:val="32"/>
          <w:szCs w:val="32"/>
          <w:highlight w:val="none"/>
          <w:u w:val="none"/>
          <w:shd w:val="clear" w:color="auto" w:fill="FFFFFF"/>
          <w:lang w:val="en-US" w:eastAsia="zh-CN"/>
        </w:rPr>
        <w:t>支付博物馆开放运行的电费、维修(护）费。</w:t>
      </w:r>
    </w:p>
    <w:p w14:paraId="579CB33B">
      <w:pPr>
        <w:keepNext w:val="0"/>
        <w:keepLines w:val="0"/>
        <w:pageBreakBefore w:val="0"/>
        <w:widowControl/>
        <w:numPr>
          <w:ilvl w:val="0"/>
          <w:numId w:val="4"/>
        </w:numPr>
        <w:kinsoku/>
        <w:wordWrap/>
        <w:overflowPunct/>
        <w:topLinePunct w:val="0"/>
        <w:autoSpaceDE/>
        <w:autoSpaceDN/>
        <w:bidi w:val="0"/>
        <w:adjustRightInd w:val="0"/>
        <w:snapToGrid w:val="0"/>
        <w:spacing w:line="578" w:lineRule="exact"/>
        <w:ind w:left="-13" w:leftChars="0" w:firstLine="643" w:firstLineChars="0"/>
        <w:contextualSpacing/>
        <w:jc w:val="left"/>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p>
    <w:p w14:paraId="40EB6F12">
      <w:pPr>
        <w:pStyle w:val="38"/>
        <w:keepNext w:val="0"/>
        <w:keepLines w:val="0"/>
        <w:pageBreakBefore w:val="0"/>
        <w:widowControl w:val="0"/>
        <w:kinsoku/>
        <w:wordWrap/>
        <w:overflowPunct/>
        <w:topLinePunct w:val="0"/>
        <w:autoSpaceDE/>
        <w:autoSpaceDN/>
        <w:bidi w:val="0"/>
        <w:spacing w:line="578" w:lineRule="exact"/>
        <w:ind w:left="0" w:leftChars="0" w:firstLine="640"/>
        <w:jc w:val="both"/>
        <w:textAlignment w:val="auto"/>
        <w:rPr>
          <w:rFonts w:hint="eastAsia" w:ascii="仿宋_GB2312" w:hAnsi="仿宋_GB2312" w:eastAsia="仿宋_GB2312" w:cs="仿宋_GB2312"/>
          <w:color w:val="auto"/>
          <w:kern w:val="2"/>
          <w:sz w:val="32"/>
          <w:szCs w:val="32"/>
          <w:lang w:val="zh-CN" w:eastAsia="zh-CN" w:bidi="ar-SA"/>
        </w:rPr>
      </w:pPr>
      <w:r>
        <w:rPr>
          <w:rFonts w:hint="eastAsia" w:ascii="仿宋_GB2312" w:hAnsi="仿宋_GB2312" w:eastAsia="仿宋_GB2312" w:cs="仿宋_GB2312"/>
          <w:color w:val="auto"/>
          <w:kern w:val="2"/>
          <w:sz w:val="32"/>
          <w:szCs w:val="32"/>
          <w:lang w:val="en-US" w:eastAsia="zh-CN" w:bidi="ar-SA"/>
        </w:rPr>
        <w:t>博物馆纪念馆免费开放中央补助资金</w:t>
      </w:r>
      <w:r>
        <w:rPr>
          <w:rFonts w:hint="eastAsia" w:ascii="仿宋_GB2312" w:hAnsi="仿宋_GB2312" w:eastAsia="仿宋_GB2312" w:cs="仿宋_GB2312"/>
          <w:color w:val="auto"/>
          <w:kern w:val="2"/>
          <w:sz w:val="32"/>
          <w:szCs w:val="32"/>
          <w:lang w:val="zh-CN" w:eastAsia="zh-CN" w:bidi="ar-SA"/>
        </w:rPr>
        <w:t>，该项目中央160万元，其中</w:t>
      </w:r>
      <w:r>
        <w:rPr>
          <w:rFonts w:hint="eastAsia" w:ascii="仿宋_GB2312" w:hAnsi="仿宋_GB2312" w:eastAsia="仿宋_GB2312" w:cs="仿宋_GB2312"/>
          <w:color w:val="auto"/>
          <w:kern w:val="2"/>
          <w:sz w:val="32"/>
          <w:szCs w:val="32"/>
          <w:lang w:val="en-US" w:eastAsia="zh-CN" w:bidi="ar-SA"/>
        </w:rPr>
        <w:t>140</w:t>
      </w:r>
      <w:r>
        <w:rPr>
          <w:rFonts w:hint="eastAsia" w:ascii="仿宋_GB2312" w:hAnsi="仿宋_GB2312" w:eastAsia="仿宋_GB2312" w:cs="仿宋_GB2312"/>
          <w:color w:val="auto"/>
          <w:kern w:val="2"/>
          <w:sz w:val="32"/>
          <w:szCs w:val="32"/>
          <w:lang w:val="zh-CN" w:eastAsia="zh-CN" w:bidi="ar-SA"/>
        </w:rPr>
        <w:t>万元，202</w:t>
      </w:r>
      <w:r>
        <w:rPr>
          <w:rFonts w:hint="eastAsia" w:ascii="仿宋_GB2312" w:hAnsi="仿宋_GB2312" w:eastAsia="仿宋_GB2312" w:cs="仿宋_GB2312"/>
          <w:color w:val="auto"/>
          <w:kern w:val="2"/>
          <w:sz w:val="32"/>
          <w:szCs w:val="32"/>
          <w:lang w:val="en-US" w:eastAsia="zh-CN" w:bidi="ar-SA"/>
        </w:rPr>
        <w:t>5</w:t>
      </w:r>
      <w:r>
        <w:rPr>
          <w:rFonts w:hint="eastAsia" w:ascii="仿宋_GB2312" w:hAnsi="仿宋_GB2312" w:eastAsia="仿宋_GB2312" w:cs="仿宋_GB2312"/>
          <w:color w:val="auto"/>
          <w:kern w:val="2"/>
          <w:sz w:val="32"/>
          <w:szCs w:val="32"/>
          <w:lang w:val="zh-CN" w:eastAsia="zh-CN" w:bidi="ar-SA"/>
        </w:rPr>
        <w:t>年用于博物馆运行经费</w:t>
      </w:r>
      <w:r>
        <w:rPr>
          <w:rFonts w:hint="eastAsia" w:ascii="仿宋_GB2312" w:hAnsi="仿宋_GB2312" w:eastAsia="仿宋_GB2312" w:cs="仿宋_GB2312"/>
          <w:color w:val="auto"/>
          <w:kern w:val="2"/>
          <w:sz w:val="32"/>
          <w:szCs w:val="32"/>
          <w:lang w:val="en-US" w:eastAsia="zh-CN" w:bidi="ar-SA"/>
        </w:rPr>
        <w:t>，其中：</w:t>
      </w:r>
      <w:r>
        <w:rPr>
          <w:rFonts w:hint="eastAsia" w:ascii="仿宋_GB2312" w:hAnsi="仿宋_GB2312" w:eastAsia="仿宋_GB2312" w:cs="仿宋_GB2312"/>
          <w:color w:val="auto"/>
          <w:kern w:val="2"/>
          <w:sz w:val="32"/>
          <w:szCs w:val="32"/>
          <w:lang w:val="zh-CN" w:eastAsia="zh-CN" w:bidi="ar-SA"/>
        </w:rPr>
        <w:t>物业管理费</w:t>
      </w:r>
      <w:r>
        <w:rPr>
          <w:rFonts w:hint="eastAsia" w:ascii="仿宋_GB2312" w:hAnsi="仿宋_GB2312" w:eastAsia="仿宋_GB2312" w:cs="仿宋_GB2312"/>
          <w:color w:val="auto"/>
          <w:kern w:val="2"/>
          <w:sz w:val="32"/>
          <w:szCs w:val="32"/>
          <w:lang w:val="en-US" w:eastAsia="zh-CN" w:bidi="ar-SA"/>
        </w:rPr>
        <w:t>64万元，维修（护）费7万元，水、电费69万元。</w:t>
      </w:r>
      <w:r>
        <w:rPr>
          <w:rFonts w:hint="eastAsia" w:ascii="仿宋_GB2312" w:hAnsi="仿宋_GB2312" w:eastAsia="仿宋_GB2312" w:cs="仿宋_GB2312"/>
          <w:color w:val="auto"/>
          <w:kern w:val="2"/>
          <w:sz w:val="32"/>
          <w:szCs w:val="32"/>
          <w:lang w:val="zh-CN" w:eastAsia="zh-CN" w:bidi="ar-SA"/>
        </w:rPr>
        <w:t>剩余</w:t>
      </w:r>
      <w:r>
        <w:rPr>
          <w:rFonts w:hint="eastAsia" w:ascii="仿宋_GB2312" w:hAnsi="仿宋_GB2312" w:eastAsia="仿宋_GB2312" w:cs="仿宋_GB2312"/>
          <w:color w:val="auto"/>
          <w:kern w:val="2"/>
          <w:sz w:val="32"/>
          <w:szCs w:val="32"/>
          <w:lang w:val="en-US" w:eastAsia="zh-CN" w:bidi="ar-SA"/>
        </w:rPr>
        <w:t>20</w:t>
      </w:r>
      <w:r>
        <w:rPr>
          <w:rFonts w:hint="eastAsia" w:ascii="仿宋_GB2312" w:hAnsi="仿宋_GB2312" w:eastAsia="仿宋_GB2312" w:cs="仿宋_GB2312"/>
          <w:color w:val="auto"/>
          <w:kern w:val="2"/>
          <w:sz w:val="32"/>
          <w:szCs w:val="32"/>
          <w:lang w:val="zh-CN" w:eastAsia="zh-CN" w:bidi="ar-SA"/>
        </w:rPr>
        <w:t>万元用于博物馆临时展览和和宣传活动经费。</w:t>
      </w:r>
    </w:p>
    <w:p w14:paraId="37144F78">
      <w:pPr>
        <w:keepNext w:val="0"/>
        <w:keepLines w:val="0"/>
        <w:pageBreakBefore w:val="0"/>
        <w:widowControl/>
        <w:numPr>
          <w:ilvl w:val="0"/>
          <w:numId w:val="4"/>
        </w:numPr>
        <w:kinsoku/>
        <w:wordWrap/>
        <w:overflowPunct/>
        <w:topLinePunct w:val="0"/>
        <w:autoSpaceDE/>
        <w:autoSpaceDN/>
        <w:bidi w:val="0"/>
        <w:adjustRightInd w:val="0"/>
        <w:snapToGrid w:val="0"/>
        <w:spacing w:line="578" w:lineRule="exact"/>
        <w:ind w:left="-13" w:leftChars="0" w:firstLine="643" w:firstLineChars="0"/>
        <w:contextualSpacing/>
        <w:jc w:val="left"/>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项目绩效目标设置。</w:t>
      </w:r>
    </w:p>
    <w:p w14:paraId="622BC483">
      <w:pPr>
        <w:pStyle w:val="38"/>
        <w:keepNext w:val="0"/>
        <w:keepLines w:val="0"/>
        <w:pageBreakBefore w:val="0"/>
        <w:widowControl w:val="0"/>
        <w:kinsoku/>
        <w:wordWrap/>
        <w:overflowPunct/>
        <w:topLinePunct w:val="0"/>
        <w:autoSpaceDE/>
        <w:autoSpaceDN/>
        <w:bidi w:val="0"/>
        <w:spacing w:line="578" w:lineRule="exact"/>
        <w:ind w:left="0" w:leftChars="0" w:firstLine="640"/>
        <w:jc w:val="both"/>
        <w:textAlignment w:val="auto"/>
        <w:rPr>
          <w:rFonts w:hint="default" w:ascii="Times New Roman" w:hAnsi="Times New Roman" w:cs="Times New Roman"/>
          <w:color w:val="auto"/>
          <w:kern w:val="0"/>
          <w:sz w:val="32"/>
          <w:szCs w:val="32"/>
          <w:highlight w:val="none"/>
          <w:u w:val="none"/>
          <w:shd w:val="clear" w:color="auto" w:fill="FFFFFF"/>
          <w:lang w:val="zh-CN" w:eastAsia="zh-CN"/>
        </w:rPr>
      </w:pPr>
      <w:r>
        <w:rPr>
          <w:rFonts w:hint="eastAsia" w:ascii="仿宋_GB2312" w:hAnsi="仿宋_GB2312" w:eastAsia="仿宋_GB2312" w:cs="仿宋_GB2312"/>
          <w:color w:val="auto"/>
          <w:kern w:val="2"/>
          <w:sz w:val="32"/>
          <w:szCs w:val="32"/>
          <w:lang w:val="zh-CN" w:eastAsia="zh-CN" w:bidi="ar-SA"/>
        </w:rPr>
        <w:t>博物馆纪念馆免费开放中央补助资金，是根据博物馆社会服务功能需要，保证基本运行所需的物管费、水电费及设施设备的维修维护费。计划实现的具体绩效目标为保证博物馆的正常运行，全年除周一其余时间正常对外开放，满足公众的文化需求，积极发挥博物馆社会职能作用。预算金额</w:t>
      </w:r>
      <w:r>
        <w:rPr>
          <w:rFonts w:hint="eastAsia" w:ascii="仿宋_GB2312" w:hAnsi="仿宋_GB2312" w:eastAsia="仿宋_GB2312" w:cs="仿宋_GB2312"/>
          <w:color w:val="auto"/>
          <w:kern w:val="2"/>
          <w:sz w:val="32"/>
          <w:szCs w:val="32"/>
          <w:lang w:val="en-US" w:eastAsia="zh-CN" w:bidi="ar-SA"/>
        </w:rPr>
        <w:t>160万元，该项目实施完成预算99.56</w:t>
      </w:r>
      <w:r>
        <w:rPr>
          <w:rFonts w:hint="eastAsia" w:ascii="仿宋_GB2312" w:hAnsi="仿宋_GB2312" w:eastAsia="仿宋_GB2312" w:cs="仿宋_GB2312"/>
          <w:color w:val="auto"/>
          <w:kern w:val="2"/>
          <w:sz w:val="32"/>
          <w:szCs w:val="32"/>
          <w:lang w:val="zh-CN" w:eastAsia="zh-CN" w:bidi="ar-SA"/>
        </w:rPr>
        <w:t>%</w:t>
      </w:r>
      <w:r>
        <w:rPr>
          <w:rFonts w:hint="eastAsia" w:ascii="仿宋_GB2312" w:hAnsi="仿宋_GB2312" w:eastAsia="仿宋_GB2312" w:cs="仿宋_GB2312"/>
          <w:color w:val="auto"/>
          <w:kern w:val="2"/>
          <w:sz w:val="32"/>
          <w:szCs w:val="32"/>
          <w:lang w:val="en-US" w:eastAsia="zh-CN" w:bidi="ar-SA"/>
        </w:rPr>
        <w:t>，支出总额159.3</w:t>
      </w:r>
      <w:r>
        <w:rPr>
          <w:rFonts w:hint="eastAsia" w:ascii="仿宋_GB2312" w:hAnsi="仿宋_GB2312" w:eastAsia="仿宋_GB2312" w:cs="仿宋_GB2312"/>
          <w:color w:val="auto"/>
          <w:kern w:val="2"/>
          <w:sz w:val="32"/>
          <w:szCs w:val="32"/>
          <w:lang w:val="zh-CN" w:eastAsia="zh-CN" w:bidi="ar-SA"/>
        </w:rPr>
        <w:t>万</w:t>
      </w:r>
      <w:r>
        <w:rPr>
          <w:rFonts w:hint="eastAsia" w:ascii="仿宋_GB2312" w:hAnsi="仿宋_GB2312" w:eastAsia="仿宋_GB2312" w:cs="仿宋_GB2312"/>
          <w:color w:val="auto"/>
          <w:kern w:val="2"/>
          <w:sz w:val="32"/>
          <w:szCs w:val="32"/>
          <w:lang w:val="en-US" w:eastAsia="zh-CN" w:bidi="ar-SA"/>
        </w:rPr>
        <w:t>元。</w:t>
      </w:r>
    </w:p>
    <w:p w14:paraId="64086764">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rPr>
        <w:t>二、</w:t>
      </w:r>
      <w:r>
        <w:rPr>
          <w:rFonts w:hint="default" w:ascii="Times New Roman" w:hAnsi="Times New Roman" w:eastAsia="黑体" w:cs="Times New Roman"/>
          <w:sz w:val="32"/>
          <w:szCs w:val="32"/>
          <w:highlight w:val="none"/>
          <w:lang w:eastAsia="zh-CN"/>
        </w:rPr>
        <w:t>评价实施</w:t>
      </w:r>
    </w:p>
    <w:p w14:paraId="22CE2DA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14:paraId="40490A7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Times New Roman" w:hAnsi="Times New Roman" w:eastAsia="楷体_GB2312" w:cs="Times New Roman"/>
          <w:b/>
          <w:color w:val="auto"/>
          <w:sz w:val="32"/>
          <w:szCs w:val="32"/>
          <w:highlight w:val="none"/>
          <w:u w:val="none"/>
          <w:lang w:val="zh-CN"/>
        </w:rPr>
      </w:pPr>
      <w:r>
        <w:rPr>
          <w:rFonts w:hint="eastAsia" w:ascii="仿宋_GB2312" w:hAnsi="仿宋_GB2312" w:eastAsia="仿宋_GB2312" w:cs="仿宋_GB2312"/>
          <w:color w:val="auto"/>
          <w:kern w:val="2"/>
          <w:sz w:val="32"/>
          <w:szCs w:val="32"/>
          <w:lang w:val="zh-CN" w:eastAsia="zh-CN" w:bidi="ar-SA"/>
        </w:rPr>
        <w:t>通过对该项目绩效自评实现了项目的实施全过程资金支付监督和控制。</w:t>
      </w:r>
    </w:p>
    <w:p w14:paraId="14F3DC32">
      <w:pPr>
        <w:keepNext w:val="0"/>
        <w:keepLines w:val="0"/>
        <w:pageBreakBefore w:val="0"/>
        <w:widowControl w:val="0"/>
        <w:numPr>
          <w:ilvl w:val="0"/>
          <w:numId w:val="5"/>
        </w:numPr>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14:paraId="7821099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Times New Roman" w:hAnsi="Times New Roman" w:eastAsia="仿宋_GB2312" w:cs="Times New Roman"/>
          <w:szCs w:val="32"/>
        </w:rPr>
      </w:pPr>
      <w:r>
        <w:rPr>
          <w:rFonts w:hint="eastAsia" w:ascii="仿宋_GB2312" w:hAnsi="仿宋_GB2312" w:eastAsia="仿宋_GB2312" w:cs="仿宋_GB2312"/>
          <w:color w:val="auto"/>
          <w:kern w:val="2"/>
          <w:sz w:val="32"/>
          <w:szCs w:val="32"/>
          <w:lang w:val="zh-CN" w:eastAsia="zh-CN" w:bidi="ar-SA"/>
        </w:rPr>
        <w:t>该项目按中央和省要求全面完成绩效目标（含事前评估）、绩效评价等预算绩效管理工作。</w:t>
      </w:r>
    </w:p>
    <w:p w14:paraId="0BDA2DC1">
      <w:pPr>
        <w:keepNext w:val="0"/>
        <w:keepLines w:val="0"/>
        <w:pageBreakBefore w:val="0"/>
        <w:widowControl w:val="0"/>
        <w:numPr>
          <w:ilvl w:val="0"/>
          <w:numId w:val="5"/>
        </w:numPr>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评价选点。</w:t>
      </w:r>
    </w:p>
    <w:p w14:paraId="7327790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eastAsia" w:eastAsia="楷体_GB2312" w:cs="Times New Roman"/>
          <w:b/>
          <w:color w:val="auto"/>
          <w:sz w:val="32"/>
          <w:szCs w:val="32"/>
          <w:highlight w:val="none"/>
          <w:u w:val="none"/>
          <w:lang w:val="en-US" w:eastAsia="zh-CN"/>
        </w:rPr>
        <w:t xml:space="preserve">     </w:t>
      </w:r>
      <w:r>
        <w:rPr>
          <w:rFonts w:hint="eastAsia" w:ascii="仿宋_GB2312" w:hAnsi="仿宋_GB2312" w:eastAsia="仿宋_GB2312" w:cs="仿宋_GB2312"/>
          <w:color w:val="auto"/>
          <w:kern w:val="2"/>
          <w:sz w:val="32"/>
          <w:szCs w:val="32"/>
          <w:lang w:val="en-US" w:eastAsia="zh-CN" w:bidi="ar-SA"/>
        </w:rPr>
        <w:t xml:space="preserve">  无。</w:t>
      </w:r>
    </w:p>
    <w:p w14:paraId="39D3F5DC">
      <w:pPr>
        <w:keepNext w:val="0"/>
        <w:keepLines w:val="0"/>
        <w:pageBreakBefore w:val="0"/>
        <w:widowControl w:val="0"/>
        <w:numPr>
          <w:ilvl w:val="0"/>
          <w:numId w:val="5"/>
        </w:numPr>
        <w:kinsoku/>
        <w:wordWrap/>
        <w:overflowPunct/>
        <w:topLinePunct w:val="0"/>
        <w:autoSpaceDE/>
        <w:autoSpaceDN/>
        <w:bidi w:val="0"/>
        <w:spacing w:line="578"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评价方法。</w:t>
      </w:r>
    </w:p>
    <w:p w14:paraId="0F51A201">
      <w:pPr>
        <w:keepNext w:val="0"/>
        <w:keepLines w:val="0"/>
        <w:pageBreakBefore w:val="0"/>
        <w:widowControl w:val="0"/>
        <w:numPr>
          <w:ilvl w:val="0"/>
          <w:numId w:val="0"/>
        </w:numPr>
        <w:kinsoku/>
        <w:wordWrap/>
        <w:overflowPunct/>
        <w:topLinePunct w:val="0"/>
        <w:autoSpaceDE/>
        <w:autoSpaceDN/>
        <w:bidi w:val="0"/>
        <w:spacing w:line="578" w:lineRule="exact"/>
        <w:ind w:leftChars="200"/>
        <w:textAlignment w:val="auto"/>
        <w:outlineLvl w:val="9"/>
        <w:rPr>
          <w:rFonts w:hint="default" w:ascii="Times New Roman" w:hAnsi="Times New Roman" w:eastAsia="仿宋_GB2312" w:cs="Times New Roman"/>
          <w:szCs w:val="32"/>
        </w:rPr>
      </w:pPr>
      <w:r>
        <w:rPr>
          <w:rFonts w:hint="eastAsia" w:ascii="仿宋_GB2312" w:hAnsi="仿宋_GB2312" w:eastAsia="仿宋_GB2312" w:cs="仿宋_GB2312"/>
          <w:color w:val="auto"/>
          <w:kern w:val="2"/>
          <w:sz w:val="32"/>
          <w:szCs w:val="32"/>
          <w:lang w:val="en-US" w:eastAsia="zh-CN" w:bidi="ar-SA"/>
        </w:rPr>
        <w:t>该项目使用单位自评法进行绩效评价。</w:t>
      </w:r>
    </w:p>
    <w:p w14:paraId="164C1A18">
      <w:pPr>
        <w:keepNext w:val="0"/>
        <w:keepLines w:val="0"/>
        <w:pageBreakBefore w:val="0"/>
        <w:widowControl w:val="0"/>
        <w:numPr>
          <w:ilvl w:val="0"/>
          <w:numId w:val="5"/>
        </w:numPr>
        <w:kinsoku/>
        <w:wordWrap/>
        <w:overflowPunct/>
        <w:topLinePunct w:val="0"/>
        <w:autoSpaceDE/>
        <w:autoSpaceDN/>
        <w:bidi w:val="0"/>
        <w:spacing w:line="578" w:lineRule="exact"/>
        <w:ind w:left="0" w:leftChars="0" w:firstLine="643"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评价组织。</w:t>
      </w:r>
    </w:p>
    <w:p w14:paraId="6F409BB0">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default" w:ascii="Times New Roman" w:hAnsi="Times New Roman" w:eastAsia="仿宋_GB2312" w:cs="Times New Roman"/>
          <w:szCs w:val="32"/>
        </w:rPr>
      </w:pPr>
      <w:r>
        <w:rPr>
          <w:rFonts w:hint="eastAsia" w:ascii="仿宋_GB2312" w:hAnsi="仿宋_GB2312" w:eastAsia="仿宋_GB2312" w:cs="仿宋_GB2312"/>
          <w:color w:val="auto"/>
          <w:kern w:val="2"/>
          <w:sz w:val="32"/>
          <w:szCs w:val="32"/>
          <w:lang w:val="en-US" w:eastAsia="zh-CN" w:bidi="ar-SA"/>
        </w:rPr>
        <w:t>本单位评价组人员构成由财务负责人和各项目负责人组成，财务室组织预算绩效管理工作推进、整体提升。负责督促单位各部室项目负责人提交绩效自评报告和指标体系表并汇总形成部门整体绩效自评报告，送财政局归口联系部门科室审核和财政监督与绩效管理科。</w:t>
      </w:r>
    </w:p>
    <w:p w14:paraId="7D005693">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仿宋_GB2312" w:cs="Times New Roman"/>
          <w:szCs w:val="32"/>
          <w:lang w:val="en-US" w:eastAsia="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cs="Times New Roman"/>
          <w:color w:val="auto"/>
          <w:sz w:val="32"/>
          <w:szCs w:val="32"/>
          <w:highlight w:val="none"/>
          <w:u w:val="none"/>
          <w:lang w:val="zh-CN"/>
        </w:rPr>
        <w:tab/>
      </w:r>
    </w:p>
    <w:p w14:paraId="3ACBCC21">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color w:val="auto"/>
          <w:sz w:val="32"/>
          <w:szCs w:val="32"/>
          <w:highlight w:val="none"/>
          <w:u w:val="none"/>
          <w:lang w:val="zh-CN"/>
        </w:rPr>
        <w:t>绩效分析。</w:t>
      </w:r>
    </w:p>
    <w:p w14:paraId="1BA577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color w:val="auto"/>
          <w:sz w:val="32"/>
          <w:szCs w:val="32"/>
          <w:lang w:val="zh-CN" w:eastAsia="zh-CN"/>
        </w:rPr>
      </w:pPr>
      <w:r>
        <w:rPr>
          <w:rFonts w:hint="default" w:ascii="Times New Roman" w:hAnsi="Times New Roman" w:eastAsia="楷体_GB2312" w:cs="Times New Roman"/>
          <w:color w:val="auto"/>
          <w:sz w:val="32"/>
          <w:szCs w:val="32"/>
          <w:lang w:val="en-US" w:eastAsia="zh-CN"/>
        </w:rPr>
        <w:t>1.</w:t>
      </w:r>
      <w:r>
        <w:rPr>
          <w:rFonts w:hint="default" w:ascii="Times New Roman" w:hAnsi="Times New Roman" w:eastAsia="楷体_GB2312" w:cs="Times New Roman"/>
          <w:color w:val="auto"/>
          <w:sz w:val="32"/>
          <w:szCs w:val="32"/>
          <w:lang w:val="zh-CN" w:eastAsia="zh-CN"/>
        </w:rPr>
        <w:t>项目决策。</w:t>
      </w:r>
    </w:p>
    <w:p w14:paraId="0CCDD5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color w:val="auto"/>
          <w:szCs w:val="32"/>
          <w:lang w:eastAsia="zh-CN"/>
        </w:rPr>
      </w:pPr>
      <w:r>
        <w:rPr>
          <w:rFonts w:hint="eastAsia" w:ascii="CESI仿宋-GB2312" w:hAnsi="CESI仿宋-GB2312" w:eastAsia="CESI仿宋-GB2312" w:cs="CESI仿宋-GB2312"/>
          <w:sz w:val="32"/>
          <w:szCs w:val="32"/>
          <w:lang w:val="en-US" w:eastAsia="zh-CN"/>
        </w:rPr>
        <w:t>该项目符合财政资金管理基本规范和决策程序要求，项目规划符合中央、省委省政府有关决策部署安排。项目实施过程中，既受单位内控机制管理又受上级主管部门监管。</w:t>
      </w:r>
    </w:p>
    <w:p w14:paraId="36DA96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2.项目管理。</w:t>
      </w:r>
    </w:p>
    <w:p w14:paraId="18F382C0">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eastAsia="zh-CN"/>
        </w:rPr>
      </w:pPr>
      <w:r>
        <w:rPr>
          <w:rFonts w:hint="eastAsia" w:ascii="仿宋_GB2312" w:hAnsi="仿宋_GB2312" w:eastAsia="仿宋_GB2312" w:cs="仿宋_GB2312"/>
          <w:color w:val="auto"/>
          <w:kern w:val="2"/>
          <w:sz w:val="32"/>
          <w:szCs w:val="32"/>
          <w:lang w:val="en-US" w:eastAsia="zh-CN" w:bidi="ar-SA"/>
        </w:rPr>
        <w:t>该项目资金管理办法等管理制度体系健全完善，</w:t>
      </w:r>
      <w:r>
        <w:rPr>
          <w:rFonts w:hint="eastAsia" w:ascii="仿宋_GB2312" w:hAnsi="仿宋_GB2312" w:eastAsia="仿宋_GB2312" w:cs="仿宋_GB2312"/>
          <w:color w:val="auto"/>
          <w:kern w:val="2"/>
          <w:sz w:val="32"/>
          <w:szCs w:val="32"/>
          <w:lang w:val="zh-CN" w:eastAsia="zh-CN" w:bidi="ar-SA"/>
        </w:rPr>
        <w:t>整个博物馆纪念馆免费开放中央补助资金</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zh-CN" w:eastAsia="zh-CN" w:bidi="ar-SA"/>
        </w:rPr>
        <w:t>在使用管理方面大额开支由领导班子集体商议决定，其中，物业管理费委托第三方完成招标，然后由各业务部室根据实际工作情况报销开支，纪检委员对过程进行监督。在实施过程严格按照政府采购管理制度执行，实行了公开招标，项目公示。</w:t>
      </w:r>
    </w:p>
    <w:p w14:paraId="46D945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3.项目实施。</w:t>
      </w:r>
    </w:p>
    <w:p w14:paraId="7DBE8EDA">
      <w:pPr>
        <w:pStyle w:val="6"/>
        <w:tabs>
          <w:tab w:val="left" w:pos="2160"/>
        </w:tabs>
        <w:ind w:firstLine="640" w:firstLineChars="200"/>
        <w:rPr>
          <w:rFonts w:hint="default" w:ascii="Times New Roman" w:hAnsi="Times New Roman" w:cs="Times New Roman"/>
          <w:color w:val="auto"/>
          <w:szCs w:val="32"/>
          <w:lang w:eastAsia="zh-CN"/>
        </w:rPr>
      </w:pPr>
      <w:r>
        <w:rPr>
          <w:rFonts w:hint="eastAsia" w:ascii="仿宋_GB2312" w:hAnsi="仿宋_GB2312" w:eastAsia="仿宋_GB2312" w:cs="仿宋_GB2312"/>
          <w:color w:val="auto"/>
          <w:kern w:val="2"/>
          <w:sz w:val="32"/>
          <w:szCs w:val="32"/>
          <w:lang w:val="zh-CN" w:eastAsia="zh-CN" w:bidi="ar-SA"/>
        </w:rPr>
        <w:t>该项目</w:t>
      </w:r>
      <w:r>
        <w:rPr>
          <w:rFonts w:hint="eastAsia" w:ascii="仿宋_GB2312" w:hAnsi="仿宋_GB2312" w:eastAsia="仿宋_GB2312" w:cs="仿宋_GB2312"/>
          <w:color w:val="auto"/>
          <w:kern w:val="2"/>
          <w:sz w:val="32"/>
          <w:szCs w:val="32"/>
          <w:lang w:val="en-US" w:eastAsia="zh-CN" w:bidi="ar-SA"/>
        </w:rPr>
        <w:t>2025年</w:t>
      </w:r>
      <w:r>
        <w:rPr>
          <w:rFonts w:hint="eastAsia" w:ascii="仿宋_GB2312" w:hAnsi="仿宋_GB2312" w:eastAsia="仿宋_GB2312" w:cs="仿宋_GB2312"/>
          <w:color w:val="auto"/>
          <w:kern w:val="2"/>
          <w:sz w:val="32"/>
          <w:szCs w:val="32"/>
          <w:lang w:val="zh-CN" w:eastAsia="zh-CN" w:bidi="ar-SA"/>
        </w:rPr>
        <w:t>资金财政拨付</w:t>
      </w:r>
      <w:r>
        <w:rPr>
          <w:rFonts w:hint="eastAsia" w:ascii="仿宋_GB2312" w:hAnsi="仿宋_GB2312" w:eastAsia="仿宋_GB2312" w:cs="仿宋_GB2312"/>
          <w:color w:val="auto"/>
          <w:kern w:val="2"/>
          <w:sz w:val="32"/>
          <w:szCs w:val="32"/>
          <w:lang w:val="en-US" w:eastAsia="zh-CN" w:bidi="ar-SA"/>
        </w:rPr>
        <w:t>160万元，</w:t>
      </w:r>
      <w:r>
        <w:rPr>
          <w:rFonts w:hint="eastAsia" w:ascii="仿宋_GB2312" w:hAnsi="仿宋_GB2312" w:eastAsia="仿宋_GB2312" w:cs="仿宋_GB2312"/>
          <w:color w:val="auto"/>
          <w:kern w:val="2"/>
          <w:sz w:val="32"/>
          <w:szCs w:val="32"/>
          <w:lang w:val="zh-CN" w:eastAsia="zh-CN" w:bidi="ar-SA"/>
        </w:rPr>
        <w:t>单位在</w:t>
      </w:r>
      <w:r>
        <w:rPr>
          <w:rFonts w:hint="eastAsia" w:ascii="仿宋_GB2312" w:hAnsi="仿宋_GB2312" w:eastAsia="仿宋_GB2312" w:cs="仿宋_GB2312"/>
          <w:color w:val="auto"/>
          <w:kern w:val="2"/>
          <w:sz w:val="32"/>
          <w:szCs w:val="32"/>
          <w:lang w:val="en-US" w:eastAsia="zh-CN" w:bidi="ar-SA"/>
        </w:rPr>
        <w:t>2025年</w:t>
      </w:r>
      <w:r>
        <w:rPr>
          <w:rFonts w:hint="eastAsia" w:ascii="仿宋_GB2312" w:hAnsi="仿宋_GB2312" w:eastAsia="仿宋_GB2312" w:cs="仿宋_GB2312"/>
          <w:color w:val="auto"/>
          <w:kern w:val="2"/>
          <w:sz w:val="32"/>
          <w:szCs w:val="32"/>
          <w:lang w:val="zh-CN" w:eastAsia="zh-CN" w:bidi="ar-SA"/>
        </w:rPr>
        <w:t>执行进度</w:t>
      </w:r>
      <w:r>
        <w:rPr>
          <w:rFonts w:hint="eastAsia" w:ascii="仿宋_GB2312" w:hAnsi="仿宋_GB2312" w:eastAsia="仿宋_GB2312" w:cs="仿宋_GB2312"/>
          <w:color w:val="auto"/>
          <w:kern w:val="2"/>
          <w:sz w:val="32"/>
          <w:szCs w:val="32"/>
          <w:lang w:val="en-US" w:eastAsia="zh-CN" w:bidi="ar-SA"/>
        </w:rPr>
        <w:t>99.56%，资金</w:t>
      </w:r>
      <w:r>
        <w:rPr>
          <w:rFonts w:hint="eastAsia" w:ascii="仿宋_GB2312" w:hAnsi="仿宋_GB2312" w:eastAsia="仿宋_GB2312" w:cs="仿宋_GB2312"/>
          <w:color w:val="auto"/>
          <w:kern w:val="2"/>
          <w:sz w:val="32"/>
          <w:szCs w:val="32"/>
          <w:lang w:val="zh-CN" w:eastAsia="zh-CN" w:bidi="ar-SA"/>
        </w:rPr>
        <w:t>到位及时。</w:t>
      </w:r>
      <w:r>
        <w:rPr>
          <w:rFonts w:hint="eastAsia" w:ascii="仿宋_GB2312" w:hAnsi="仿宋_GB2312" w:eastAsia="仿宋_GB2312" w:cs="仿宋_GB2312"/>
          <w:b w:val="0"/>
          <w:color w:val="auto"/>
          <w:kern w:val="0"/>
          <w:sz w:val="32"/>
          <w:szCs w:val="32"/>
          <w:highlight w:val="none"/>
          <w:u w:val="none"/>
          <w:shd w:val="clear" w:color="auto" w:fill="FFFFFF"/>
          <w:lang w:val="en-US" w:eastAsia="zh-CN" w:bidi="ar-SA"/>
        </w:rPr>
        <w:t>在该项目使用上，其项目首先由馆务会商议决定，再经上级主管部门党组会研究同意后实施。</w:t>
      </w:r>
    </w:p>
    <w:p w14:paraId="4B8FB4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4.项目结果。</w:t>
      </w:r>
    </w:p>
    <w:p w14:paraId="0D4D629E">
      <w:pPr>
        <w:keepNext w:val="0"/>
        <w:keepLines w:val="0"/>
        <w:pageBreakBefore w:val="0"/>
        <w:widowControl w:val="0"/>
        <w:kinsoku/>
        <w:wordWrap/>
        <w:overflowPunct/>
        <w:topLinePunct w:val="0"/>
        <w:autoSpaceDE/>
        <w:autoSpaceDN/>
        <w:adjustRightInd w:val="0"/>
        <w:snapToGrid w:val="0"/>
        <w:spacing w:line="560" w:lineRule="atLeast"/>
        <w:ind w:firstLine="720"/>
        <w:rPr>
          <w:rFonts w:hint="default" w:ascii="Times New Roman" w:hAnsi="Times New Roman" w:cs="Times New Roman"/>
          <w:color w:val="auto"/>
          <w:szCs w:val="32"/>
          <w:lang w:val="en-US" w:eastAsia="zh-CN"/>
        </w:rPr>
      </w:pPr>
      <w:r>
        <w:rPr>
          <w:rFonts w:hint="eastAsia" w:ascii="仿宋_GB2312" w:hAnsi="仿宋_GB2312" w:eastAsia="仿宋_GB2312" w:cs="仿宋_GB2312"/>
          <w:color w:val="auto"/>
          <w:kern w:val="2"/>
          <w:position w:val="0"/>
          <w:sz w:val="32"/>
          <w:szCs w:val="32"/>
          <w:lang w:val="zh-CN" w:eastAsia="zh-CN" w:bidi="ar-SA"/>
        </w:rPr>
        <w:t>该项目项目完成了</w:t>
      </w:r>
      <w:r>
        <w:rPr>
          <w:rFonts w:hint="eastAsia" w:ascii="仿宋_GB2312" w:hAnsi="仿宋_GB2312" w:eastAsia="仿宋_GB2312" w:cs="仿宋_GB2312"/>
          <w:color w:val="auto"/>
          <w:kern w:val="2"/>
          <w:position w:val="0"/>
          <w:sz w:val="32"/>
          <w:szCs w:val="32"/>
          <w:lang w:val="en-US" w:eastAsia="zh-CN" w:bidi="ar-SA"/>
        </w:rPr>
        <w:t>202</w:t>
      </w:r>
      <w:r>
        <w:rPr>
          <w:rFonts w:hint="eastAsia" w:ascii="仿宋_GB2312" w:hAnsi="仿宋_GB2312" w:cs="仿宋_GB2312"/>
          <w:color w:val="auto"/>
          <w:kern w:val="2"/>
          <w:position w:val="0"/>
          <w:sz w:val="32"/>
          <w:szCs w:val="32"/>
          <w:lang w:val="en-US" w:eastAsia="zh-CN" w:bidi="ar-SA"/>
        </w:rPr>
        <w:t>5</w:t>
      </w:r>
      <w:r>
        <w:rPr>
          <w:rFonts w:hint="eastAsia" w:ascii="仿宋_GB2312" w:hAnsi="仿宋_GB2312" w:eastAsia="仿宋_GB2312" w:cs="仿宋_GB2312"/>
          <w:color w:val="auto"/>
          <w:kern w:val="2"/>
          <w:position w:val="0"/>
          <w:sz w:val="32"/>
          <w:szCs w:val="32"/>
          <w:lang w:val="en-US" w:eastAsia="zh-CN" w:bidi="ar-SA"/>
        </w:rPr>
        <w:t>年博物馆的</w:t>
      </w:r>
      <w:r>
        <w:rPr>
          <w:rFonts w:hint="eastAsia" w:ascii="仿宋_GB2312" w:hAnsi="仿宋_GB2312" w:eastAsia="仿宋_GB2312" w:cs="仿宋_GB2312"/>
          <w:color w:val="auto"/>
          <w:kern w:val="2"/>
          <w:position w:val="0"/>
          <w:sz w:val="32"/>
          <w:szCs w:val="32"/>
          <w:lang w:val="zh-CN" w:eastAsia="zh-CN" w:bidi="ar-SA"/>
        </w:rPr>
        <w:t>物管费、水电费及设施设备的维修维护费的支出，保证了博物馆的基本运行。有效的发挥了公共文化服务功能，为公众提供了较好的参观环境。项目的实施进度为</w:t>
      </w:r>
      <w:r>
        <w:rPr>
          <w:rFonts w:hint="eastAsia" w:ascii="仿宋_GB2312" w:hAnsi="仿宋_GB2312" w:cs="仿宋_GB2312"/>
          <w:color w:val="auto"/>
          <w:kern w:val="2"/>
          <w:position w:val="0"/>
          <w:sz w:val="32"/>
          <w:szCs w:val="32"/>
          <w:lang w:val="en-US" w:eastAsia="zh-CN" w:bidi="ar-SA"/>
        </w:rPr>
        <w:t>99.56</w:t>
      </w:r>
      <w:r>
        <w:rPr>
          <w:rFonts w:hint="eastAsia" w:ascii="仿宋_GB2312" w:hAnsi="仿宋_GB2312" w:eastAsia="仿宋_GB2312" w:cs="仿宋_GB2312"/>
          <w:color w:val="auto"/>
          <w:kern w:val="2"/>
          <w:position w:val="0"/>
          <w:sz w:val="32"/>
          <w:szCs w:val="32"/>
          <w:lang w:val="en-US" w:eastAsia="zh-CN" w:bidi="ar-SA"/>
        </w:rPr>
        <w:t>%，按时结算支付，确保了单位的正常运行，临聘的讲解人员专业素质较高为参馆公众提供了较为优质的讲解服务，年均讲解场次为100余，馆内环境干净整洁。</w:t>
      </w:r>
    </w:p>
    <w:p w14:paraId="6464C821">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outlineLvl w:val="9"/>
        <w:rPr>
          <w:rFonts w:hint="default" w:ascii="仿宋_GB2312" w:hAnsi="仿宋_GB2312" w:eastAsia="仿宋_GB2312" w:cs="仿宋_GB2312"/>
          <w:color w:val="auto"/>
          <w:kern w:val="2"/>
          <w:position w:val="0"/>
          <w:sz w:val="32"/>
          <w:szCs w:val="32"/>
          <w:lang w:val="zh-CN" w:eastAsia="zh-CN" w:bidi="ar-SA"/>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color w:val="auto"/>
          <w:sz w:val="32"/>
          <w:szCs w:val="32"/>
          <w:highlight w:val="none"/>
          <w:u w:val="none"/>
          <w:lang w:val="zh-CN"/>
        </w:rPr>
        <w:t>绩效分析。</w:t>
      </w:r>
      <w:r>
        <w:rPr>
          <w:rFonts w:hint="default" w:ascii="仿宋_GB2312" w:hAnsi="仿宋_GB2312" w:eastAsia="仿宋_GB2312" w:cs="仿宋_GB2312"/>
          <w:color w:val="auto"/>
          <w:kern w:val="2"/>
          <w:position w:val="0"/>
          <w:sz w:val="32"/>
          <w:szCs w:val="32"/>
          <w:lang w:val="zh-CN" w:eastAsia="zh-CN" w:bidi="ar-SA"/>
        </w:rPr>
        <w:t>根据</w:t>
      </w:r>
      <w:r>
        <w:rPr>
          <w:rFonts w:hint="default" w:ascii="仿宋_GB2312" w:hAnsi="仿宋_GB2312" w:eastAsia="仿宋_GB2312" w:cs="仿宋_GB2312"/>
          <w:color w:val="auto"/>
          <w:kern w:val="2"/>
          <w:position w:val="0"/>
          <w:sz w:val="32"/>
          <w:szCs w:val="32"/>
          <w:lang w:val="en-US" w:eastAsia="zh-CN" w:bidi="ar-SA"/>
        </w:rPr>
        <w:t>专项预算项目资金支持对象选择所属指标进行绩效分析。支持对象</w:t>
      </w:r>
      <w:r>
        <w:rPr>
          <w:rFonts w:hint="default" w:ascii="仿宋_GB2312" w:hAnsi="仿宋_GB2312" w:eastAsia="仿宋_GB2312" w:cs="仿宋_GB2312"/>
          <w:color w:val="auto"/>
          <w:kern w:val="2"/>
          <w:position w:val="0"/>
          <w:sz w:val="32"/>
          <w:szCs w:val="32"/>
          <w:lang w:val="zh-CN" w:eastAsia="zh-CN" w:bidi="ar-SA"/>
        </w:rPr>
        <w:t>包括产业发展、民生保障、基础设施、行政运转等方面。</w:t>
      </w:r>
    </w:p>
    <w:p w14:paraId="63AEA3E9">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1.产业发展类。</w:t>
      </w:r>
    </w:p>
    <w:p w14:paraId="59670E05">
      <w:pPr>
        <w:keepNext w:val="0"/>
        <w:keepLines w:val="0"/>
        <w:pageBreakBefore w:val="0"/>
        <w:widowControl w:val="0"/>
        <w:kinsoku/>
        <w:wordWrap/>
        <w:overflowPunct/>
        <w:topLinePunct w:val="0"/>
        <w:autoSpaceDE/>
        <w:autoSpaceDN/>
        <w:bidi w:val="0"/>
        <w:adjustRightInd/>
        <w:snapToGrid/>
        <w:spacing w:line="578" w:lineRule="exact"/>
        <w:ind w:left="0" w:leftChars="0" w:firstLine="1440" w:firstLineChars="450"/>
        <w:textAlignment w:val="auto"/>
        <w:outlineLvl w:val="9"/>
        <w:rPr>
          <w:rFonts w:hint="default" w:ascii="Times New Roman" w:hAnsi="Times New Roman" w:eastAsia="楷体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无。</w:t>
      </w:r>
    </w:p>
    <w:p w14:paraId="77CD3529">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eastAsia="楷体_GB2312" w:cs="Times New Roman"/>
          <w:color w:val="auto"/>
          <w:sz w:val="32"/>
          <w:szCs w:val="32"/>
          <w:lang w:val="zh-CN" w:eastAsia="zh-CN"/>
        </w:rPr>
      </w:pPr>
      <w:r>
        <w:rPr>
          <w:rFonts w:hint="default" w:ascii="Times New Roman" w:hAnsi="Times New Roman" w:eastAsia="楷体_GB2312" w:cs="Times New Roman"/>
          <w:color w:val="auto"/>
          <w:sz w:val="32"/>
          <w:szCs w:val="32"/>
          <w:lang w:val="en-US" w:eastAsia="zh-CN"/>
        </w:rPr>
        <w:t>2.</w:t>
      </w:r>
      <w:r>
        <w:rPr>
          <w:rFonts w:hint="default" w:ascii="Times New Roman" w:hAnsi="Times New Roman" w:eastAsia="楷体_GB2312" w:cs="Times New Roman"/>
          <w:color w:val="auto"/>
          <w:sz w:val="32"/>
          <w:szCs w:val="32"/>
          <w:lang w:val="zh-CN" w:eastAsia="zh-CN"/>
        </w:rPr>
        <w:t>民生保障</w:t>
      </w:r>
      <w:r>
        <w:rPr>
          <w:rFonts w:hint="default" w:ascii="Times New Roman" w:hAnsi="Times New Roman" w:eastAsia="楷体_GB2312" w:cs="Times New Roman"/>
          <w:color w:val="auto"/>
          <w:sz w:val="32"/>
          <w:szCs w:val="32"/>
          <w:lang w:val="en-US" w:eastAsia="zh-CN"/>
        </w:rPr>
        <w:t>类</w:t>
      </w:r>
      <w:r>
        <w:rPr>
          <w:rFonts w:hint="default" w:ascii="Times New Roman" w:hAnsi="Times New Roman" w:eastAsia="楷体_GB2312" w:cs="Times New Roman"/>
          <w:color w:val="auto"/>
          <w:sz w:val="32"/>
          <w:szCs w:val="32"/>
          <w:lang w:val="zh-CN" w:eastAsia="zh-CN"/>
        </w:rPr>
        <w:t>。</w:t>
      </w:r>
    </w:p>
    <w:p w14:paraId="45758557">
      <w:pPr>
        <w:keepNext w:val="0"/>
        <w:keepLines w:val="0"/>
        <w:pageBreakBefore w:val="0"/>
        <w:widowControl w:val="0"/>
        <w:kinsoku/>
        <w:wordWrap/>
        <w:overflowPunct/>
        <w:topLinePunct w:val="0"/>
        <w:autoSpaceDE/>
        <w:autoSpaceDN/>
        <w:bidi w:val="0"/>
        <w:adjustRightInd/>
        <w:snapToGrid/>
        <w:spacing w:line="578" w:lineRule="exact"/>
        <w:ind w:left="0" w:leftChars="0" w:firstLine="1600" w:firstLineChars="500"/>
        <w:textAlignment w:val="auto"/>
        <w:outlineLvl w:val="9"/>
        <w:rPr>
          <w:rFonts w:hint="default" w:ascii="Times New Roman" w:hAnsi="Times New Roman" w:eastAsia="楷体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无。</w:t>
      </w:r>
    </w:p>
    <w:p w14:paraId="48E5CAE3">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3.基础设施类。</w:t>
      </w:r>
    </w:p>
    <w:p w14:paraId="5028D388">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eastAsia="楷体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 xml:space="preserve">      无。</w:t>
      </w:r>
    </w:p>
    <w:p w14:paraId="7770804B">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eastAsia="楷体_GB2312" w:cs="Times New Roman"/>
          <w:color w:val="auto"/>
          <w:sz w:val="32"/>
          <w:szCs w:val="32"/>
          <w:lang w:val="zh-CN" w:eastAsia="zh-CN"/>
        </w:rPr>
      </w:pPr>
      <w:r>
        <w:rPr>
          <w:rFonts w:hint="default" w:ascii="Times New Roman" w:hAnsi="Times New Roman" w:eastAsia="楷体_GB2312" w:cs="Times New Roman"/>
          <w:color w:val="auto"/>
          <w:sz w:val="32"/>
          <w:szCs w:val="32"/>
          <w:lang w:val="en-US" w:eastAsia="zh-CN"/>
        </w:rPr>
        <w:t>4.</w:t>
      </w:r>
      <w:r>
        <w:rPr>
          <w:rFonts w:hint="default" w:ascii="Times New Roman" w:hAnsi="Times New Roman" w:eastAsia="楷体_GB2312" w:cs="Times New Roman"/>
          <w:color w:val="auto"/>
          <w:sz w:val="32"/>
          <w:szCs w:val="32"/>
          <w:lang w:val="zh-CN" w:eastAsia="zh-CN"/>
        </w:rPr>
        <w:t>行政运转</w:t>
      </w:r>
      <w:r>
        <w:rPr>
          <w:rFonts w:hint="default" w:ascii="Times New Roman" w:hAnsi="Times New Roman" w:eastAsia="楷体_GB2312" w:cs="Times New Roman"/>
          <w:color w:val="auto"/>
          <w:sz w:val="32"/>
          <w:szCs w:val="32"/>
          <w:lang w:val="en-US" w:eastAsia="zh-CN"/>
        </w:rPr>
        <w:t>类</w:t>
      </w:r>
      <w:r>
        <w:rPr>
          <w:rFonts w:hint="default" w:ascii="Times New Roman" w:hAnsi="Times New Roman" w:eastAsia="楷体_GB2312" w:cs="Times New Roman"/>
          <w:color w:val="auto"/>
          <w:sz w:val="32"/>
          <w:szCs w:val="32"/>
          <w:lang w:val="zh-CN" w:eastAsia="zh-CN"/>
        </w:rPr>
        <w:t>。</w:t>
      </w:r>
    </w:p>
    <w:p w14:paraId="588F21EE">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200" w:firstLine="320" w:firstLineChars="100"/>
        <w:textAlignment w:val="auto"/>
        <w:outlineLvl w:val="9"/>
        <w:rPr>
          <w:rFonts w:hint="default" w:ascii="Times New Roman" w:hAnsi="Times New Roman" w:cs="Times New Roman"/>
          <w:color w:val="auto"/>
          <w:szCs w:val="32"/>
          <w:lang w:val="zh-CN" w:eastAsia="zh-CN"/>
        </w:rPr>
      </w:pPr>
      <w:r>
        <w:rPr>
          <w:rFonts w:hint="default" w:ascii="仿宋_GB2312" w:hAnsi="仿宋_GB2312" w:eastAsia="仿宋_GB2312" w:cs="仿宋_GB2312"/>
          <w:color w:val="auto"/>
          <w:kern w:val="2"/>
          <w:position w:val="0"/>
          <w:sz w:val="32"/>
          <w:szCs w:val="32"/>
          <w:lang w:val="zh-CN" w:eastAsia="zh-CN" w:bidi="ar-SA"/>
        </w:rPr>
        <w:t>博物馆纪念馆免费开放中央补助资金</w:t>
      </w:r>
      <w:r>
        <w:rPr>
          <w:rFonts w:hint="eastAsia" w:ascii="仿宋_GB2312" w:hAnsi="仿宋_GB2312" w:eastAsia="仿宋_GB2312" w:cs="仿宋_GB2312"/>
          <w:color w:val="auto"/>
          <w:kern w:val="2"/>
          <w:position w:val="0"/>
          <w:sz w:val="32"/>
          <w:szCs w:val="32"/>
          <w:lang w:val="zh-CN" w:eastAsia="zh-CN" w:bidi="ar-SA"/>
        </w:rPr>
        <w:t>用途和程序、标准合规合法。</w:t>
      </w:r>
    </w:p>
    <w:p w14:paraId="4DF48CEB">
      <w:pPr>
        <w:keepNext w:val="0"/>
        <w:keepLines w:val="0"/>
        <w:pageBreakBefore w:val="0"/>
        <w:widowControl w:val="0"/>
        <w:numPr>
          <w:ilvl w:val="0"/>
          <w:numId w:val="6"/>
        </w:numPr>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color w:val="auto"/>
          <w:sz w:val="32"/>
          <w:szCs w:val="32"/>
          <w:highlight w:val="none"/>
          <w:u w:val="none"/>
          <w:lang w:val="zh-CN" w:eastAsia="zh-CN"/>
        </w:rPr>
        <w:t>绩效分析。</w:t>
      </w:r>
    </w:p>
    <w:p w14:paraId="32A2FC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1.产出指标</w:t>
      </w:r>
    </w:p>
    <w:p w14:paraId="35A274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CESI仿宋-GB2312" w:hAnsi="CESI仿宋-GB2312" w:eastAsia="CESI仿宋-GB2312" w:cs="CESI仿宋-GB2312"/>
          <w:sz w:val="32"/>
          <w:szCs w:val="32"/>
          <w:highlight w:val="none"/>
          <w:lang w:val="en-US" w:eastAsia="zh-CN"/>
        </w:rPr>
      </w:pPr>
      <w:r>
        <w:rPr>
          <w:rFonts w:hint="eastAsia" w:ascii="CESI仿宋-GB2312" w:hAnsi="CESI仿宋-GB2312" w:eastAsia="CESI仿宋-GB2312" w:cs="CESI仿宋-GB2312"/>
          <w:sz w:val="32"/>
          <w:szCs w:val="32"/>
          <w:highlight w:val="none"/>
          <w:lang w:val="en-US" w:eastAsia="zh-CN"/>
        </w:rPr>
        <w:t>本项目为保障博物馆日常运行项目。2025年已完成46.88万元用于博物馆电费，63.3万元用于物业管理费，15.31万元用于维修（护）费，4.7万元用于劳务费，37.15万元用于委托业务费等内容。相关质量指标按国家和行业标准执行，已完成部分达到要求。项目进度则按约定时间推进，2025年项目内容全部完成，完成资金支付159.3万元，占总金额的99.56%，资金共执行99.56%。</w:t>
      </w:r>
    </w:p>
    <w:p w14:paraId="273BD7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sz w:val="32"/>
          <w:szCs w:val="32"/>
          <w:highlight w:val="none"/>
          <w:lang w:val="en-US" w:eastAsia="zh-CN"/>
        </w:rPr>
      </w:pPr>
      <w:r>
        <w:rPr>
          <w:rFonts w:hint="eastAsia" w:ascii="CESI仿宋-GB2312" w:hAnsi="CESI仿宋-GB2312" w:eastAsia="CESI仿宋-GB2312" w:cs="CESI仿宋-GB2312"/>
          <w:sz w:val="32"/>
          <w:szCs w:val="32"/>
          <w:highlight w:val="none"/>
          <w:lang w:val="en-US" w:eastAsia="zh-CN"/>
        </w:rPr>
        <w:t>2.效益指标</w:t>
      </w:r>
    </w:p>
    <w:p w14:paraId="701461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sz w:val="32"/>
          <w:szCs w:val="32"/>
          <w:highlight w:val="none"/>
          <w:lang w:val="en-US" w:eastAsia="zh-CN"/>
        </w:rPr>
      </w:pPr>
      <w:r>
        <w:rPr>
          <w:rFonts w:hint="eastAsia" w:ascii="CESI仿宋-GB2312" w:hAnsi="CESI仿宋-GB2312" w:eastAsia="CESI仿宋-GB2312" w:cs="CESI仿宋-GB2312"/>
          <w:sz w:val="32"/>
          <w:szCs w:val="32"/>
          <w:highlight w:val="none"/>
          <w:lang w:val="en-US" w:eastAsia="zh-CN"/>
        </w:rPr>
        <w:t>投入资金均为项目需要无浪费项目。对更好地开展公共文化服务，满足社会公众文化需求。及时足额的电费支付保障了正常开放。</w:t>
      </w:r>
    </w:p>
    <w:p w14:paraId="26CAD6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sz w:val="32"/>
          <w:szCs w:val="32"/>
          <w:highlight w:val="none"/>
          <w:lang w:val="en-US" w:eastAsia="zh-CN"/>
        </w:rPr>
      </w:pPr>
      <w:r>
        <w:rPr>
          <w:rFonts w:hint="eastAsia" w:ascii="CESI仿宋-GB2312" w:hAnsi="CESI仿宋-GB2312" w:eastAsia="CESI仿宋-GB2312" w:cs="CESI仿宋-GB2312"/>
          <w:sz w:val="32"/>
          <w:szCs w:val="32"/>
          <w:highlight w:val="none"/>
          <w:lang w:val="en-US" w:eastAsia="zh-CN"/>
        </w:rPr>
        <w:t>3.满意度指标</w:t>
      </w:r>
    </w:p>
    <w:p w14:paraId="1116D7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sz w:val="32"/>
          <w:szCs w:val="32"/>
          <w:highlight w:val="none"/>
          <w:lang w:val="en-US" w:eastAsia="zh-CN"/>
        </w:rPr>
      </w:pPr>
      <w:r>
        <w:rPr>
          <w:rFonts w:hint="eastAsia" w:ascii="CESI仿宋-GB2312" w:hAnsi="CESI仿宋-GB2312" w:eastAsia="CESI仿宋-GB2312" w:cs="CESI仿宋-GB2312"/>
          <w:sz w:val="32"/>
          <w:szCs w:val="32"/>
          <w:highlight w:val="none"/>
          <w:lang w:val="en-US" w:eastAsia="zh-CN"/>
        </w:rPr>
        <w:t>已实施项目内容满足社会公众对博物馆文化服务需要。按事前评估满意度达到90%。</w:t>
      </w:r>
    </w:p>
    <w:p w14:paraId="6AADEF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仿宋-GB2312" w:hAnsi="CESI仿宋-GB2312" w:eastAsia="CESI仿宋-GB2312" w:cs="CESI仿宋-GB2312"/>
          <w:sz w:val="32"/>
          <w:szCs w:val="32"/>
          <w:highlight w:val="none"/>
          <w:lang w:val="en-US" w:eastAsia="zh-CN"/>
        </w:rPr>
      </w:pPr>
      <w:r>
        <w:rPr>
          <w:rFonts w:hint="eastAsia" w:ascii="CESI仿宋-GB2312" w:hAnsi="CESI仿宋-GB2312" w:eastAsia="CESI仿宋-GB2312" w:cs="CESI仿宋-GB2312"/>
          <w:sz w:val="32"/>
          <w:szCs w:val="32"/>
          <w:highlight w:val="none"/>
          <w:lang w:val="en-US" w:eastAsia="zh-CN"/>
        </w:rPr>
        <w:t>4.成本指标</w:t>
      </w:r>
    </w:p>
    <w:p w14:paraId="6BD2BD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CESI仿宋-GB2312" w:hAnsi="CESI仿宋-GB2312" w:eastAsia="CESI仿宋-GB2312" w:cs="CESI仿宋-GB2312"/>
          <w:sz w:val="32"/>
          <w:szCs w:val="32"/>
          <w:highlight w:val="none"/>
          <w:lang w:val="en-US" w:eastAsia="zh-CN"/>
        </w:rPr>
      </w:pPr>
      <w:r>
        <w:rPr>
          <w:rFonts w:hint="eastAsia" w:ascii="CESI仿宋-GB2312" w:hAnsi="CESI仿宋-GB2312" w:eastAsia="CESI仿宋-GB2312" w:cs="CESI仿宋-GB2312"/>
          <w:sz w:val="32"/>
          <w:szCs w:val="32"/>
          <w:highlight w:val="none"/>
          <w:lang w:val="en-US" w:eastAsia="zh-CN"/>
        </w:rPr>
        <w:t xml:space="preserve"> 保障文物考古研究所（博物馆）的公共服务能正常运行的成本。</w:t>
      </w:r>
    </w:p>
    <w:p w14:paraId="06AAE6C5">
      <w:pPr>
        <w:pStyle w:val="6"/>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14:paraId="69631E31">
      <w:pPr>
        <w:keepNext w:val="0"/>
        <w:keepLines w:val="0"/>
        <w:pageBreakBefore w:val="0"/>
        <w:widowControl w:val="0"/>
        <w:kinsoku/>
        <w:wordWrap/>
        <w:overflowPunct/>
        <w:topLinePunct w:val="0"/>
        <w:autoSpaceDE/>
        <w:autoSpaceDN/>
        <w:adjustRightInd w:val="0"/>
        <w:snapToGrid w:val="0"/>
        <w:spacing w:line="560" w:lineRule="atLeast"/>
        <w:ind w:firstLine="720"/>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ascii="仿宋_GB2312" w:hAnsi="仿宋_GB2312" w:eastAsia="仿宋_GB2312" w:cs="仿宋_GB2312"/>
          <w:sz w:val="32"/>
          <w:szCs w:val="32"/>
          <w:lang w:val="zh-CN" w:eastAsia="zh-CN"/>
        </w:rPr>
        <w:t>该项目基本落实了本单位公共文化服务功能要求，为社会公众提供良好的公共文化服务，满足公众对历史文化的精神需求，公众的满意度为</w:t>
      </w:r>
      <w:r>
        <w:rPr>
          <w:rFonts w:hint="eastAsia" w:ascii="仿宋_GB2312" w:hAnsi="仿宋_GB2312" w:eastAsia="仿宋_GB2312" w:cs="仿宋_GB2312"/>
          <w:sz w:val="32"/>
          <w:szCs w:val="32"/>
          <w:lang w:val="en-US" w:eastAsia="zh-CN"/>
        </w:rPr>
        <w:t>90%以上</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自评得分95分。</w:t>
      </w:r>
    </w:p>
    <w:p w14:paraId="2DE4BB5B">
      <w:pPr>
        <w:pStyle w:val="6"/>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u w:val="none"/>
          <w:lang w:eastAsia="zh-CN"/>
        </w:rPr>
        <w:t>五、存在主要问题</w:t>
      </w:r>
    </w:p>
    <w:p w14:paraId="624293B2">
      <w:pPr>
        <w:pStyle w:val="6"/>
        <w:pageBreakBefore w:val="0"/>
        <w:numPr>
          <w:ilvl w:val="0"/>
          <w:numId w:val="0"/>
        </w:numPr>
        <w:tabs>
          <w:tab w:val="left" w:pos="2160"/>
        </w:tabs>
        <w:kinsoku/>
        <w:wordWrap/>
        <w:overflowPunct/>
        <w:topLinePunct w:val="0"/>
        <w:autoSpaceDE/>
        <w:autoSpaceDN/>
        <w:bidi w:val="0"/>
        <w:adjustRightInd/>
        <w:spacing w:line="600" w:lineRule="exact"/>
        <w:ind w:firstLine="1920" w:firstLineChars="600"/>
        <w:textAlignment w:val="auto"/>
        <w:rPr>
          <w:rFonts w:hint="default" w:ascii="Times New Roman" w:hAnsi="Times New Roman" w:cs="Times New Roman"/>
          <w:b w:val="0"/>
          <w:bCs w:val="0"/>
          <w:kern w:val="2"/>
          <w:position w:val="0"/>
          <w:sz w:val="32"/>
          <w:szCs w:val="32"/>
          <w:highlight w:val="none"/>
          <w:lang w:val="en-US" w:eastAsia="zh-CN" w:bidi="ar-SA"/>
        </w:rPr>
      </w:pPr>
      <w:r>
        <w:rPr>
          <w:rFonts w:hint="eastAsia" w:ascii="Times New Roman" w:eastAsia="仿宋_GB2312" w:cs="Times New Roman"/>
          <w:b w:val="0"/>
          <w:bCs w:val="0"/>
          <w:kern w:val="0"/>
          <w:position w:val="0"/>
          <w:sz w:val="32"/>
          <w:szCs w:val="32"/>
          <w:highlight w:val="none"/>
          <w:lang w:val="en-US" w:eastAsia="zh-CN" w:bidi="ar-SA"/>
        </w:rPr>
        <w:t>无</w:t>
      </w:r>
      <w:r>
        <w:rPr>
          <w:rFonts w:hint="default" w:ascii="Times New Roman" w:hAnsi="Times New Roman" w:eastAsia="仿宋_GB2312" w:cs="Times New Roman"/>
          <w:b w:val="0"/>
          <w:bCs w:val="0"/>
          <w:kern w:val="0"/>
          <w:position w:val="0"/>
          <w:sz w:val="32"/>
          <w:szCs w:val="32"/>
          <w:highlight w:val="none"/>
          <w:lang w:val="en-US" w:eastAsia="zh-CN" w:bidi="ar-SA"/>
        </w:rPr>
        <w:t>。</w:t>
      </w:r>
    </w:p>
    <w:p w14:paraId="5974F438">
      <w:pPr>
        <w:pStyle w:val="6"/>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14:paraId="4C8A314B">
      <w:pPr>
        <w:tabs>
          <w:tab w:val="left" w:pos="1911"/>
        </w:tabs>
        <w:jc w:val="left"/>
        <w:rPr>
          <w:rFonts w:hint="default" w:ascii="Times New Roman" w:hAnsi="Times New Roman" w:eastAsia="仿宋_GB2312" w:cs="Times New Roman"/>
          <w:b w:val="0"/>
          <w:bCs w:val="0"/>
          <w:kern w:val="0"/>
          <w:position w:val="0"/>
          <w:sz w:val="32"/>
          <w:szCs w:val="32"/>
          <w:highlight w:val="none"/>
          <w:lang w:val="en" w:eastAsia="zh-CN" w:bidi="ar-SA"/>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 xml:space="preserve"> </w:t>
      </w:r>
      <w:r>
        <w:rPr>
          <w:rFonts w:hint="default" w:ascii="Times New Roman" w:hAnsi="Times New Roman" w:cs="Times New Roman"/>
          <w:b w:val="0"/>
          <w:bCs w:val="0"/>
          <w:kern w:val="0"/>
          <w:position w:val="0"/>
          <w:sz w:val="32"/>
          <w:szCs w:val="32"/>
          <w:highlight w:val="none"/>
          <w:lang w:val="en-US" w:eastAsia="zh-CN" w:bidi="ar-SA"/>
        </w:rPr>
        <w:t xml:space="preserve">   </w:t>
      </w:r>
      <w:bookmarkStart w:id="47" w:name="_Hlk110546638"/>
      <w:r>
        <w:rPr>
          <w:rFonts w:hint="eastAsia" w:cs="Times New Roman"/>
          <w:b w:val="0"/>
          <w:bCs w:val="0"/>
          <w:kern w:val="0"/>
          <w:position w:val="0"/>
          <w:sz w:val="32"/>
          <w:szCs w:val="32"/>
          <w:highlight w:val="none"/>
          <w:lang w:val="en-US" w:eastAsia="zh-CN" w:bidi="ar-SA"/>
        </w:rPr>
        <w:t xml:space="preserve">       </w:t>
      </w:r>
      <w:r>
        <w:rPr>
          <w:rFonts w:hint="eastAsia" w:ascii="Times New Roman" w:hAnsi="Times New Roman" w:eastAsia="仿宋_GB2312" w:cs="Times New Roman"/>
          <w:b w:val="0"/>
          <w:bCs w:val="0"/>
          <w:kern w:val="0"/>
          <w:position w:val="0"/>
          <w:sz w:val="32"/>
          <w:szCs w:val="32"/>
          <w:highlight w:val="none"/>
          <w:lang w:val="en-US" w:eastAsia="zh-CN" w:bidi="ar-SA"/>
        </w:rPr>
        <w:t xml:space="preserve"> 无</w:t>
      </w:r>
      <w:r>
        <w:rPr>
          <w:rFonts w:hint="default" w:ascii="Times New Roman" w:hAnsi="Times New Roman" w:eastAsia="仿宋_GB2312" w:cs="Times New Roman"/>
          <w:b w:val="0"/>
          <w:bCs w:val="0"/>
          <w:kern w:val="0"/>
          <w:position w:val="0"/>
          <w:sz w:val="32"/>
          <w:szCs w:val="32"/>
          <w:highlight w:val="none"/>
          <w:lang w:val="en-US" w:eastAsia="zh-CN" w:bidi="ar-SA"/>
        </w:rPr>
        <w:t>。</w:t>
      </w:r>
    </w:p>
    <w:bookmarkEnd w:id="47"/>
    <w:p w14:paraId="41298D49">
      <w:pPr>
        <w:pStyle w:val="38"/>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2A6C085B">
      <w:pPr>
        <w:keepNext w:val="0"/>
        <w:keepLines w:val="0"/>
        <w:pageBreakBefore w:val="0"/>
        <w:kinsoku/>
        <w:wordWrap/>
        <w:overflowPunct/>
        <w:topLinePunct w:val="0"/>
        <w:autoSpaceDE/>
        <w:autoSpaceDN/>
        <w:bidi w:val="0"/>
        <w:adjustRightInd/>
        <w:snapToGrid w:val="0"/>
        <w:spacing w:line="578" w:lineRule="exact"/>
        <w:ind w:firstLine="640"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w:t>
      </w:r>
      <w:r>
        <w:rPr>
          <w:rFonts w:hint="eastAsia" w:eastAsia="仿宋_GB2312" w:cs="仿宋_GB2312"/>
          <w:b w:val="0"/>
          <w:bCs w:val="0"/>
          <w:kern w:val="0"/>
          <w:position w:val="0"/>
          <w:sz w:val="32"/>
          <w:szCs w:val="32"/>
          <w:highlight w:val="none"/>
          <w:lang w:val="en-US" w:eastAsia="zh-CN" w:bidi="ar-SA"/>
        </w:rPr>
        <w:t>注：</w:t>
      </w:r>
      <w:r>
        <w:rPr>
          <w:rFonts w:hint="eastAsia" w:ascii="Times New Roman" w:hAnsi="Times New Roman" w:eastAsia="仿宋_GB2312" w:cs="仿宋_GB2312"/>
          <w:b w:val="0"/>
          <w:bCs w:val="0"/>
          <w:kern w:val="0"/>
          <w:position w:val="0"/>
          <w:sz w:val="32"/>
          <w:szCs w:val="32"/>
          <w:highlight w:val="none"/>
          <w:lang w:val="en-US" w:eastAsia="zh-CN" w:bidi="ar-SA"/>
        </w:rPr>
        <w:t>以上绩效自评报告，除涉密敏感内容外，原则上都应予以公开）</w:t>
      </w:r>
    </w:p>
    <w:p w14:paraId="4B53CEAC">
      <w:pPr>
        <w:keepNext w:val="0"/>
        <w:keepLines w:val="0"/>
        <w:pageBreakBefore w:val="0"/>
        <w:kinsoku/>
        <w:wordWrap/>
        <w:overflowPunct/>
        <w:topLinePunct w:val="0"/>
        <w:autoSpaceDE/>
        <w:autoSpaceDN/>
        <w:bidi w:val="0"/>
        <w:adjustRightInd/>
        <w:snapToGrid w:val="0"/>
        <w:spacing w:line="578" w:lineRule="exact"/>
        <w:ind w:firstLine="640" w:firstLineChars="200"/>
        <w:jc w:val="both"/>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仿宋" w:hAnsi="仿宋" w:eastAsia="仿宋" w:cs="仿宋"/>
          <w:color w:val="000000"/>
          <w:kern w:val="0"/>
          <w:sz w:val="32"/>
          <w:szCs w:val="32"/>
          <w:highlight w:val="none"/>
          <w:shd w:val="clear" w:color="auto" w:fill="FFFFFF"/>
          <w:lang w:val="en-US" w:eastAsia="zh-CN"/>
        </w:rPr>
        <w:t>附表2：</w:t>
      </w:r>
      <w:r>
        <w:rPr>
          <w:rFonts w:hint="default" w:ascii="仿宋" w:hAnsi="仿宋" w:eastAsia="仿宋" w:cs="仿宋"/>
          <w:color w:val="000000"/>
          <w:kern w:val="0"/>
          <w:sz w:val="32"/>
          <w:szCs w:val="32"/>
          <w:highlight w:val="none"/>
          <w:shd w:val="clear" w:color="auto" w:fill="FFFFFF"/>
          <w:lang w:val="en-US" w:eastAsia="zh-CN"/>
        </w:rPr>
        <w:t>博物馆纪念馆免费开放中央补助资金</w:t>
      </w:r>
      <w:r>
        <w:rPr>
          <w:rFonts w:hint="eastAsia" w:ascii="仿宋" w:hAnsi="仿宋" w:eastAsia="仿宋" w:cs="仿宋"/>
          <w:color w:val="000000"/>
          <w:kern w:val="0"/>
          <w:sz w:val="32"/>
          <w:szCs w:val="32"/>
          <w:highlight w:val="none"/>
          <w:shd w:val="clear" w:color="auto" w:fill="FFFFFF"/>
          <w:lang w:val="en-US" w:eastAsia="zh-CN"/>
        </w:rPr>
        <w:t>预算项目绩效目标完成情况自评表</w:t>
      </w:r>
    </w:p>
    <w:tbl>
      <w:tblPr>
        <w:tblStyle w:val="20"/>
        <w:tblpPr w:leftFromText="180" w:rightFromText="180" w:vertAnchor="text" w:horzAnchor="page" w:tblpX="1042" w:tblpY="2250"/>
        <w:tblOverlap w:val="never"/>
        <w:tblW w:w="103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461"/>
        <w:gridCol w:w="529"/>
        <w:gridCol w:w="1680"/>
        <w:gridCol w:w="1567"/>
        <w:gridCol w:w="577"/>
        <w:gridCol w:w="493"/>
        <w:gridCol w:w="400"/>
        <w:gridCol w:w="481"/>
        <w:gridCol w:w="395"/>
        <w:gridCol w:w="57"/>
        <w:gridCol w:w="437"/>
        <w:gridCol w:w="414"/>
        <w:gridCol w:w="110"/>
        <w:gridCol w:w="409"/>
        <w:gridCol w:w="396"/>
        <w:gridCol w:w="1398"/>
      </w:tblGrid>
      <w:tr w14:paraId="7E861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4" w:hRule="atLeast"/>
        </w:trPr>
        <w:tc>
          <w:tcPr>
            <w:tcW w:w="10380"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44863294">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4CFC4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1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AC46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9348"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2C02C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博物馆纪念馆免费开放中央补助资金</w:t>
            </w:r>
          </w:p>
        </w:tc>
      </w:tr>
      <w:tr w14:paraId="49127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6" w:hRule="atLeast"/>
        </w:trPr>
        <w:tc>
          <w:tcPr>
            <w:tcW w:w="10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1611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25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670C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阿坝藏族羌族自治州文化广播电视和旅游局</w:t>
            </w:r>
          </w:p>
        </w:tc>
        <w:tc>
          <w:tcPr>
            <w:tcW w:w="876" w:type="dxa"/>
            <w:gridSpan w:val="2"/>
            <w:tcBorders>
              <w:top w:val="nil"/>
              <w:left w:val="nil"/>
              <w:bottom w:val="nil"/>
              <w:right w:val="nil"/>
            </w:tcBorders>
            <w:shd w:val="clear" w:color="auto" w:fill="auto"/>
            <w:vAlign w:val="center"/>
          </w:tcPr>
          <w:p w14:paraId="27A98887">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322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19DC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阿坝藏族羌族自治州文物考古研究所</w:t>
            </w:r>
          </w:p>
        </w:tc>
      </w:tr>
      <w:tr w14:paraId="7504D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9D9F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9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0CDE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65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E13C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72F9FF">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15D57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6"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057BD">
            <w:pPr>
              <w:rPr>
                <w:rFonts w:hint="eastAsia" w:ascii="宋体" w:hAnsi="宋体" w:eastAsia="宋体" w:cs="宋体"/>
                <w:i w:val="0"/>
                <w:iCs w:val="0"/>
                <w:color w:val="000000"/>
                <w:sz w:val="18"/>
                <w:szCs w:val="18"/>
                <w:u w:val="none"/>
              </w:rPr>
            </w:pPr>
          </w:p>
        </w:tc>
        <w:tc>
          <w:tcPr>
            <w:tcW w:w="99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5A953">
            <w:pPr>
              <w:rPr>
                <w:rFonts w:hint="eastAsia" w:ascii="宋体" w:hAnsi="宋体" w:eastAsia="宋体" w:cs="宋体"/>
                <w:i w:val="0"/>
                <w:iCs w:val="0"/>
                <w:color w:val="000000"/>
                <w:sz w:val="18"/>
                <w:szCs w:val="18"/>
                <w:u w:val="none"/>
              </w:rPr>
            </w:pPr>
          </w:p>
        </w:tc>
        <w:tc>
          <w:tcPr>
            <w:tcW w:w="565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6E5B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保证了博物馆的基本运行。项目的实施进度为100%，按时结算支付，未有因免开资源导致闭馆的情况，为参观者提供了优质的参观环境和完善的基础设施，也为参观者提供了较好的讲解服务。</w:t>
            </w:r>
          </w:p>
        </w:tc>
        <w:tc>
          <w:tcPr>
            <w:tcW w:w="31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C3E77C">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项目已完成。</w:t>
            </w:r>
          </w:p>
        </w:tc>
      </w:tr>
      <w:tr w14:paraId="2FBCB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6"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34901">
            <w:pPr>
              <w:rPr>
                <w:rFonts w:hint="eastAsia" w:ascii="宋体" w:hAnsi="宋体" w:eastAsia="宋体" w:cs="宋体"/>
                <w:i w:val="0"/>
                <w:iCs w:val="0"/>
                <w:color w:val="000000"/>
                <w:sz w:val="18"/>
                <w:szCs w:val="18"/>
                <w:u w:val="none"/>
              </w:rPr>
            </w:pP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D130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817"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C7E5A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2025年完成博物馆免费服务参观群众人次，保障了博物馆的基本运行。</w:t>
            </w:r>
          </w:p>
        </w:tc>
      </w:tr>
      <w:tr w14:paraId="73145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3B7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2B3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F02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287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6E65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4521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81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F0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37A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E52E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6"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46BB8">
            <w:pPr>
              <w:jc w:val="center"/>
              <w:rPr>
                <w:rFonts w:hint="eastAsia" w:ascii="宋体" w:hAnsi="宋体" w:eastAsia="宋体" w:cs="宋体"/>
                <w:i w:val="0"/>
                <w:iCs w:val="0"/>
                <w:color w:val="000000"/>
                <w:sz w:val="18"/>
                <w:szCs w:val="18"/>
                <w:u w:val="none"/>
              </w:rPr>
            </w:pP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A8AC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D4C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160.00</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9D8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160.00</w:t>
            </w:r>
          </w:p>
        </w:tc>
        <w:tc>
          <w:tcPr>
            <w:tcW w:w="18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BF8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159.30</w:t>
            </w: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C68E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99.56%</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9B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107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51614F">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该项目预算执行率已达到99.56%，项目全部完成支付。</w:t>
            </w:r>
          </w:p>
        </w:tc>
      </w:tr>
      <w:tr w14:paraId="79F5C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AE081">
            <w:pPr>
              <w:jc w:val="center"/>
              <w:rPr>
                <w:rFonts w:hint="eastAsia" w:ascii="宋体" w:hAnsi="宋体" w:eastAsia="宋体" w:cs="宋体"/>
                <w:i w:val="0"/>
                <w:iCs w:val="0"/>
                <w:color w:val="000000"/>
                <w:sz w:val="18"/>
                <w:szCs w:val="18"/>
                <w:u w:val="none"/>
              </w:rPr>
            </w:pP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7AA2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86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160.00</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7DE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160.00</w:t>
            </w:r>
          </w:p>
        </w:tc>
        <w:tc>
          <w:tcPr>
            <w:tcW w:w="18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1C6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159.30</w:t>
            </w: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DAA3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99.56%</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D9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1CF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0EE38">
            <w:pPr>
              <w:rPr>
                <w:rFonts w:hint="default" w:ascii="黑体" w:hAnsi="黑体" w:eastAsia="黑体" w:cs="黑体"/>
                <w:i/>
                <w:iCs/>
                <w:color w:val="000000"/>
                <w:sz w:val="18"/>
                <w:szCs w:val="18"/>
                <w:u w:val="none"/>
              </w:rPr>
            </w:pPr>
          </w:p>
        </w:tc>
      </w:tr>
      <w:tr w14:paraId="31596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DADED">
            <w:pPr>
              <w:jc w:val="center"/>
              <w:rPr>
                <w:rFonts w:hint="eastAsia" w:ascii="宋体" w:hAnsi="宋体" w:eastAsia="宋体" w:cs="宋体"/>
                <w:i w:val="0"/>
                <w:iCs w:val="0"/>
                <w:color w:val="000000"/>
                <w:sz w:val="18"/>
                <w:szCs w:val="18"/>
                <w:u w:val="none"/>
              </w:rPr>
            </w:pP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3A8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E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1A8799">
            <w:pPr>
              <w:jc w:val="center"/>
              <w:rPr>
                <w:rFonts w:hint="eastAsia" w:ascii="宋体" w:hAnsi="宋体" w:eastAsia="宋体" w:cs="宋体"/>
                <w:i w:val="0"/>
                <w:iCs w:val="0"/>
                <w:color w:val="000000"/>
                <w:sz w:val="18"/>
                <w:szCs w:val="18"/>
                <w:u w:val="none"/>
              </w:rPr>
            </w:pPr>
          </w:p>
        </w:tc>
        <w:tc>
          <w:tcPr>
            <w:tcW w:w="18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D47C2C">
            <w:pPr>
              <w:jc w:val="center"/>
              <w:rPr>
                <w:rFonts w:hint="eastAsia" w:ascii="宋体" w:hAnsi="宋体" w:eastAsia="宋体" w:cs="宋体"/>
                <w:i w:val="0"/>
                <w:iCs w:val="0"/>
                <w:color w:val="000000"/>
                <w:sz w:val="18"/>
                <w:szCs w:val="18"/>
                <w:u w:val="none"/>
              </w:rPr>
            </w:pP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CBE5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D1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AA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A3195">
            <w:pPr>
              <w:rPr>
                <w:rFonts w:hint="default" w:ascii="黑体" w:hAnsi="黑体" w:eastAsia="黑体" w:cs="黑体"/>
                <w:i/>
                <w:iCs/>
                <w:color w:val="000000"/>
                <w:sz w:val="18"/>
                <w:szCs w:val="18"/>
                <w:u w:val="none"/>
              </w:rPr>
            </w:pPr>
          </w:p>
        </w:tc>
      </w:tr>
      <w:tr w14:paraId="30D2D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891EB">
            <w:pPr>
              <w:jc w:val="center"/>
              <w:rPr>
                <w:rFonts w:hint="eastAsia" w:ascii="宋体" w:hAnsi="宋体" w:eastAsia="宋体" w:cs="宋体"/>
                <w:i w:val="0"/>
                <w:iCs w:val="0"/>
                <w:color w:val="000000"/>
                <w:sz w:val="18"/>
                <w:szCs w:val="18"/>
                <w:u w:val="none"/>
              </w:rPr>
            </w:pP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1F8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42B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3DE7EE">
            <w:pPr>
              <w:jc w:val="center"/>
              <w:rPr>
                <w:rFonts w:hint="eastAsia" w:ascii="宋体" w:hAnsi="宋体" w:eastAsia="宋体" w:cs="宋体"/>
                <w:i w:val="0"/>
                <w:iCs w:val="0"/>
                <w:color w:val="000000"/>
                <w:sz w:val="18"/>
                <w:szCs w:val="18"/>
                <w:u w:val="none"/>
              </w:rPr>
            </w:pPr>
          </w:p>
        </w:tc>
        <w:tc>
          <w:tcPr>
            <w:tcW w:w="18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94B43E">
            <w:pPr>
              <w:jc w:val="center"/>
              <w:rPr>
                <w:rFonts w:hint="eastAsia" w:ascii="宋体" w:hAnsi="宋体" w:eastAsia="宋体" w:cs="宋体"/>
                <w:i w:val="0"/>
                <w:iCs w:val="0"/>
                <w:color w:val="000000"/>
                <w:sz w:val="18"/>
                <w:szCs w:val="18"/>
                <w:u w:val="none"/>
              </w:rPr>
            </w:pP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9CC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20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FB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A6924">
            <w:pPr>
              <w:rPr>
                <w:rFonts w:hint="default" w:ascii="黑体" w:hAnsi="黑体" w:eastAsia="黑体" w:cs="黑体"/>
                <w:i/>
                <w:iCs/>
                <w:color w:val="000000"/>
                <w:sz w:val="18"/>
                <w:szCs w:val="18"/>
                <w:u w:val="none"/>
              </w:rPr>
            </w:pPr>
          </w:p>
        </w:tc>
      </w:tr>
      <w:tr w14:paraId="3FD5A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B0036">
            <w:pPr>
              <w:jc w:val="center"/>
              <w:rPr>
                <w:rFonts w:hint="eastAsia" w:ascii="宋体" w:hAnsi="宋体" w:eastAsia="宋体" w:cs="宋体"/>
                <w:i w:val="0"/>
                <w:iCs w:val="0"/>
                <w:color w:val="000000"/>
                <w:sz w:val="18"/>
                <w:szCs w:val="18"/>
                <w:u w:val="none"/>
              </w:rPr>
            </w:pP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4E50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94E1F">
            <w:pPr>
              <w:jc w:val="center"/>
              <w:rPr>
                <w:rFonts w:hint="eastAsia" w:ascii="微软雅黑" w:hAnsi="微软雅黑" w:eastAsia="微软雅黑" w:cs="微软雅黑"/>
                <w:i/>
                <w:iCs/>
                <w:color w:val="000000"/>
                <w:sz w:val="16"/>
                <w:szCs w:val="16"/>
                <w:u w:val="none"/>
              </w:rPr>
            </w:pP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C7FAEC">
            <w:pPr>
              <w:jc w:val="center"/>
              <w:rPr>
                <w:rFonts w:hint="default" w:ascii="微软雅黑" w:hAnsi="微软雅黑" w:eastAsia="微软雅黑" w:cs="微软雅黑"/>
                <w:i/>
                <w:iCs/>
                <w:color w:val="000000"/>
                <w:sz w:val="16"/>
                <w:szCs w:val="16"/>
                <w:u w:val="none"/>
              </w:rPr>
            </w:pPr>
          </w:p>
        </w:tc>
        <w:tc>
          <w:tcPr>
            <w:tcW w:w="182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E1DF5D">
            <w:pPr>
              <w:jc w:val="center"/>
              <w:rPr>
                <w:rFonts w:hint="default" w:ascii="微软雅黑" w:hAnsi="微软雅黑" w:eastAsia="微软雅黑" w:cs="微软雅黑"/>
                <w:i/>
                <w:iCs/>
                <w:color w:val="000000"/>
                <w:sz w:val="16"/>
                <w:szCs w:val="16"/>
                <w:u w:val="none"/>
              </w:rPr>
            </w:pP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3E6A05">
            <w:pPr>
              <w:jc w:val="center"/>
              <w:rPr>
                <w:rFonts w:hint="default" w:ascii="微软雅黑" w:hAnsi="微软雅黑" w:eastAsia="微软雅黑" w:cs="微软雅黑"/>
                <w:i/>
                <w:iCs/>
                <w:color w:val="000000"/>
                <w:sz w:val="16"/>
                <w:szCs w:val="16"/>
                <w:u w:val="none"/>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69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2B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BC2C6">
            <w:pPr>
              <w:rPr>
                <w:rFonts w:hint="default" w:ascii="黑体" w:hAnsi="黑体" w:eastAsia="黑体" w:cs="黑体"/>
                <w:i/>
                <w:iCs/>
                <w:color w:val="000000"/>
                <w:sz w:val="18"/>
                <w:szCs w:val="18"/>
                <w:u w:val="none"/>
              </w:rPr>
            </w:pPr>
          </w:p>
        </w:tc>
      </w:tr>
      <w:tr w14:paraId="590A4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7" w:hRule="atLeast"/>
        </w:trPr>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68B8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002C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18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0F1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A2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964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B04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D50C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C1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948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DE1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6772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CCE06">
            <w:pPr>
              <w:jc w:val="center"/>
              <w:rPr>
                <w:rFonts w:hint="eastAsia" w:ascii="宋体" w:hAnsi="宋体" w:eastAsia="宋体" w:cs="宋体"/>
                <w:i w:val="0"/>
                <w:iCs w:val="0"/>
                <w:color w:val="000000"/>
                <w:sz w:val="18"/>
                <w:szCs w:val="18"/>
                <w:u w:val="none"/>
              </w:rPr>
            </w:pP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1DB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D1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522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免费服务参观群众人次</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3E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1B26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w:t>
            </w:r>
          </w:p>
        </w:tc>
        <w:tc>
          <w:tcPr>
            <w:tcW w:w="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48C1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555C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51603人次</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77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FB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88220">
            <w:pPr>
              <w:jc w:val="center"/>
              <w:rPr>
                <w:rFonts w:hint="default" w:ascii="微软雅黑" w:hAnsi="微软雅黑" w:eastAsia="微软雅黑" w:cs="微软雅黑"/>
                <w:i/>
                <w:iCs/>
                <w:color w:val="000000"/>
                <w:sz w:val="16"/>
                <w:szCs w:val="16"/>
                <w:u w:val="none"/>
              </w:rPr>
            </w:pPr>
          </w:p>
        </w:tc>
      </w:tr>
      <w:tr w14:paraId="607F6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6"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533E8">
            <w:pPr>
              <w:jc w:val="center"/>
              <w:rPr>
                <w:rFonts w:hint="eastAsia" w:ascii="宋体" w:hAnsi="宋体" w:eastAsia="宋体" w:cs="宋体"/>
                <w:i w:val="0"/>
                <w:iCs w:val="0"/>
                <w:color w:val="000000"/>
                <w:sz w:val="18"/>
                <w:szCs w:val="18"/>
                <w:u w:val="none"/>
              </w:rPr>
            </w:pP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C94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A2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0EE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保障文物考古研究所（博物馆）的公共服务能正常运行</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3D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1CB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C19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A687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0E9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E1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0DB49">
            <w:pPr>
              <w:rPr>
                <w:rFonts w:hint="eastAsia" w:ascii="宋体" w:hAnsi="宋体" w:eastAsia="宋体" w:cs="宋体"/>
                <w:i w:val="0"/>
                <w:iCs w:val="0"/>
                <w:color w:val="000000"/>
                <w:sz w:val="18"/>
                <w:szCs w:val="18"/>
                <w:u w:val="none"/>
              </w:rPr>
            </w:pPr>
          </w:p>
        </w:tc>
      </w:tr>
      <w:tr w14:paraId="137DB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458F2">
            <w:pPr>
              <w:jc w:val="center"/>
              <w:rPr>
                <w:rFonts w:hint="eastAsia" w:ascii="宋体" w:hAnsi="宋体" w:eastAsia="宋体" w:cs="宋体"/>
                <w:i w:val="0"/>
                <w:iCs w:val="0"/>
                <w:color w:val="000000"/>
                <w:sz w:val="18"/>
                <w:szCs w:val="18"/>
                <w:u w:val="none"/>
              </w:rPr>
            </w:pP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D63B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B52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D8A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2025年全年</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8F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CCF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A7A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18A6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B9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05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4B8B0">
            <w:pPr>
              <w:rPr>
                <w:rFonts w:hint="eastAsia" w:ascii="宋体" w:hAnsi="宋体" w:eastAsia="宋体" w:cs="宋体"/>
                <w:i w:val="0"/>
                <w:iCs w:val="0"/>
                <w:color w:val="000000"/>
                <w:sz w:val="18"/>
                <w:szCs w:val="18"/>
                <w:u w:val="none"/>
              </w:rPr>
            </w:pPr>
          </w:p>
        </w:tc>
      </w:tr>
      <w:tr w14:paraId="4FC1A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5B448">
            <w:pPr>
              <w:jc w:val="center"/>
              <w:rPr>
                <w:rFonts w:hint="eastAsia" w:ascii="宋体" w:hAnsi="宋体" w:eastAsia="宋体" w:cs="宋体"/>
                <w:i w:val="0"/>
                <w:iCs w:val="0"/>
                <w:color w:val="000000"/>
                <w:sz w:val="18"/>
                <w:szCs w:val="18"/>
                <w:u w:val="none"/>
              </w:rPr>
            </w:pP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70A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75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D8C8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博物馆运行</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81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DC5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节约运行成本</w:t>
            </w:r>
          </w:p>
        </w:tc>
        <w:tc>
          <w:tcPr>
            <w:tcW w:w="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0D3621">
            <w:pPr>
              <w:jc w:val="center"/>
              <w:rPr>
                <w:rFonts w:hint="eastAsia" w:ascii="宋体" w:hAnsi="宋体" w:eastAsia="宋体" w:cs="宋体"/>
                <w:i w:val="0"/>
                <w:iCs w:val="0"/>
                <w:color w:val="000000"/>
                <w:sz w:val="18"/>
                <w:szCs w:val="18"/>
                <w:u w:val="none"/>
              </w:rPr>
            </w:pP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04CE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A5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38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0E4EB">
            <w:pPr>
              <w:rPr>
                <w:rFonts w:hint="eastAsia" w:ascii="宋体" w:hAnsi="宋体" w:eastAsia="宋体" w:cs="宋体"/>
                <w:i w:val="0"/>
                <w:iCs w:val="0"/>
                <w:color w:val="000000"/>
                <w:sz w:val="18"/>
                <w:szCs w:val="18"/>
                <w:u w:val="none"/>
              </w:rPr>
            </w:pPr>
          </w:p>
        </w:tc>
      </w:tr>
      <w:tr w14:paraId="3A387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49522">
            <w:pPr>
              <w:jc w:val="center"/>
              <w:rPr>
                <w:rFonts w:hint="eastAsia" w:ascii="宋体" w:hAnsi="宋体" w:eastAsia="宋体" w:cs="宋体"/>
                <w:i w:val="0"/>
                <w:iCs w:val="0"/>
                <w:color w:val="000000"/>
                <w:sz w:val="18"/>
                <w:szCs w:val="18"/>
                <w:u w:val="none"/>
              </w:rPr>
            </w:pP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70E5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D5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87FD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提供博物馆公共服务功能</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08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05E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0EB1FD">
            <w:pPr>
              <w:jc w:val="center"/>
              <w:rPr>
                <w:rFonts w:hint="eastAsia" w:ascii="宋体" w:hAnsi="宋体" w:eastAsia="宋体" w:cs="宋体"/>
                <w:i w:val="0"/>
                <w:iCs w:val="0"/>
                <w:color w:val="000000"/>
                <w:sz w:val="18"/>
                <w:szCs w:val="18"/>
                <w:u w:val="none"/>
              </w:rPr>
            </w:pP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68D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A28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C68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4334F">
            <w:pPr>
              <w:rPr>
                <w:rFonts w:hint="eastAsia" w:ascii="宋体" w:hAnsi="宋体" w:eastAsia="宋体" w:cs="宋体"/>
                <w:i w:val="0"/>
                <w:iCs w:val="0"/>
                <w:color w:val="000000"/>
                <w:sz w:val="18"/>
                <w:szCs w:val="18"/>
                <w:u w:val="none"/>
              </w:rPr>
            </w:pPr>
          </w:p>
        </w:tc>
      </w:tr>
      <w:tr w14:paraId="7E898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5FE4F">
            <w:pPr>
              <w:jc w:val="center"/>
              <w:rPr>
                <w:rFonts w:hint="eastAsia" w:ascii="宋体" w:hAnsi="宋体" w:eastAsia="宋体" w:cs="宋体"/>
                <w:i w:val="0"/>
                <w:iCs w:val="0"/>
                <w:color w:val="000000"/>
                <w:sz w:val="18"/>
                <w:szCs w:val="18"/>
                <w:u w:val="none"/>
              </w:rPr>
            </w:pP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C97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F13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586F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社会公众满意度达90%及以上</w:t>
            </w:r>
          </w:p>
        </w:tc>
        <w:tc>
          <w:tcPr>
            <w:tcW w:w="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7A7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02D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84C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A51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EE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8D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A9109">
            <w:pPr>
              <w:rPr>
                <w:rFonts w:hint="eastAsia" w:ascii="宋体" w:hAnsi="宋体" w:eastAsia="宋体" w:cs="宋体"/>
                <w:i w:val="0"/>
                <w:iCs w:val="0"/>
                <w:color w:val="000000"/>
                <w:sz w:val="18"/>
                <w:szCs w:val="18"/>
                <w:u w:val="none"/>
              </w:rPr>
            </w:pPr>
          </w:p>
        </w:tc>
      </w:tr>
      <w:tr w14:paraId="17F65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7" w:hRule="atLeast"/>
        </w:trPr>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8E00D">
            <w:pPr>
              <w:jc w:val="center"/>
              <w:rPr>
                <w:rFonts w:hint="eastAsia" w:ascii="宋体" w:hAnsi="宋体" w:eastAsia="宋体" w:cs="宋体"/>
                <w:i w:val="0"/>
                <w:iCs w:val="0"/>
                <w:color w:val="000000"/>
                <w:sz w:val="18"/>
                <w:szCs w:val="18"/>
                <w:u w:val="none"/>
              </w:rPr>
            </w:pP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7029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20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指标</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EF8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项目实施成本</w:t>
            </w:r>
          </w:p>
        </w:tc>
        <w:tc>
          <w:tcPr>
            <w:tcW w:w="493" w:type="dxa"/>
            <w:tcBorders>
              <w:top w:val="nil"/>
              <w:left w:val="nil"/>
              <w:bottom w:val="nil"/>
              <w:right w:val="nil"/>
            </w:tcBorders>
            <w:shd w:val="clear" w:color="auto" w:fill="auto"/>
            <w:noWrap/>
            <w:vAlign w:val="center"/>
          </w:tcPr>
          <w:p w14:paraId="00EFFAFA">
            <w:pPr>
              <w:keepNext w:val="0"/>
              <w:keepLines w:val="0"/>
              <w:widowControl/>
              <w:suppressLineNumbers w:val="0"/>
              <w:jc w:val="both"/>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w:t>
            </w:r>
          </w:p>
        </w:tc>
        <w:tc>
          <w:tcPr>
            <w:tcW w:w="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C9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w:t>
            </w:r>
          </w:p>
        </w:tc>
        <w:tc>
          <w:tcPr>
            <w:tcW w:w="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7224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A97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C2B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FF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165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项目预算执行已达到99.56%，项目全部完成支付。</w:t>
            </w:r>
          </w:p>
        </w:tc>
      </w:tr>
      <w:tr w14:paraId="76938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715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52E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1DC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77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31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E9F0B2">
            <w:pPr>
              <w:rPr>
                <w:rFonts w:hint="eastAsia" w:ascii="宋体" w:hAnsi="宋体" w:eastAsia="宋体" w:cs="宋体"/>
                <w:i w:val="0"/>
                <w:iCs w:val="0"/>
                <w:color w:val="000000"/>
                <w:sz w:val="18"/>
                <w:szCs w:val="18"/>
                <w:u w:val="none"/>
              </w:rPr>
            </w:pPr>
          </w:p>
        </w:tc>
      </w:tr>
      <w:tr w14:paraId="30081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939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81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33E1B3A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该项目基本落实了本单位公共文化服务功能要求，为社会公众提供良好的公共文化服务，满足公众对历史文化的精神需求，公众的满意度为90%以上。</w:t>
            </w:r>
          </w:p>
        </w:tc>
      </w:tr>
      <w:tr w14:paraId="51221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C9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81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50B08C6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无。</w:t>
            </w:r>
          </w:p>
        </w:tc>
      </w:tr>
      <w:tr w14:paraId="57E14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A88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810"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260C5EE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无。</w:t>
            </w:r>
          </w:p>
        </w:tc>
      </w:tr>
      <w:tr w14:paraId="52680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48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85D0D8">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项目负责人：王静、王扎</w:t>
            </w:r>
          </w:p>
        </w:tc>
        <w:tc>
          <w:tcPr>
            <w:tcW w:w="557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EB52B01">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 xml:space="preserve">财务负责人：邓勇 </w:t>
            </w:r>
          </w:p>
        </w:tc>
      </w:tr>
    </w:tbl>
    <w:p w14:paraId="7CF9FEF5">
      <w:pPr>
        <w:keepNext w:val="0"/>
        <w:keepLines w:val="0"/>
        <w:pageBreakBefore w:val="0"/>
        <w:kinsoku/>
        <w:wordWrap/>
        <w:overflowPunct/>
        <w:topLinePunct w:val="0"/>
        <w:autoSpaceDE/>
        <w:autoSpaceDN/>
        <w:bidi w:val="0"/>
        <w:adjustRightInd/>
        <w:snapToGrid w:val="0"/>
        <w:spacing w:line="578" w:lineRule="exact"/>
        <w:ind w:firstLine="640" w:firstLineChars="200"/>
        <w:jc w:val="both"/>
        <w:textAlignment w:val="auto"/>
        <w:outlineLvl w:val="9"/>
        <w:rPr>
          <w:rFonts w:hint="eastAsia" w:ascii="仿宋" w:hAnsi="仿宋" w:eastAsia="仿宋" w:cs="仿宋"/>
          <w:color w:val="000000"/>
          <w:kern w:val="0"/>
          <w:sz w:val="32"/>
          <w:szCs w:val="32"/>
          <w:highlight w:val="none"/>
          <w:shd w:val="clear" w:color="auto" w:fill="FFFFFF"/>
          <w:lang w:val="en-US" w:eastAsia="zh-CN"/>
        </w:rPr>
      </w:pPr>
    </w:p>
    <w:p w14:paraId="48CE330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yellow"/>
          <w:lang w:val="en-US" w:eastAsia="zh-CN" w:bidi="ar-SA"/>
        </w:rPr>
      </w:pPr>
    </w:p>
    <w:p w14:paraId="66682096">
      <w:pPr>
        <w:pStyle w:val="11"/>
        <w:numPr>
          <w:ilvl w:val="0"/>
          <w:numId w:val="0"/>
        </w:numPr>
        <w:rPr>
          <w:rFonts w:hint="eastAsia"/>
          <w:lang w:val="en-US" w:eastAsia="zh-CN"/>
        </w:rPr>
      </w:pPr>
    </w:p>
    <w:p w14:paraId="2D35F77E">
      <w:pPr>
        <w:pStyle w:val="11"/>
        <w:numPr>
          <w:ilvl w:val="0"/>
          <w:numId w:val="0"/>
        </w:numPr>
        <w:rPr>
          <w:rFonts w:hint="eastAsia"/>
          <w:lang w:val="en-US" w:eastAsia="zh-CN"/>
        </w:rPr>
      </w:pPr>
    </w:p>
    <w:p w14:paraId="3C0756F0">
      <w:pPr>
        <w:pStyle w:val="11"/>
        <w:numPr>
          <w:ilvl w:val="0"/>
          <w:numId w:val="0"/>
        </w:numPr>
        <w:rPr>
          <w:rFonts w:hint="eastAsia"/>
          <w:lang w:val="en-US" w:eastAsia="zh-CN"/>
        </w:rPr>
      </w:pPr>
    </w:p>
    <w:p w14:paraId="3D24EDEB">
      <w:pPr>
        <w:pStyle w:val="11"/>
        <w:numPr>
          <w:ilvl w:val="0"/>
          <w:numId w:val="0"/>
        </w:numPr>
        <w:rPr>
          <w:rFonts w:hint="eastAsia"/>
          <w:lang w:val="en-US" w:eastAsia="zh-CN"/>
        </w:rPr>
      </w:pPr>
    </w:p>
    <w:p w14:paraId="78C47B70">
      <w:pPr>
        <w:pStyle w:val="11"/>
        <w:numPr>
          <w:ilvl w:val="0"/>
          <w:numId w:val="0"/>
        </w:numPr>
        <w:rPr>
          <w:rFonts w:hint="eastAsia"/>
          <w:lang w:val="en-US" w:eastAsia="zh-CN"/>
        </w:rPr>
      </w:pPr>
    </w:p>
    <w:p w14:paraId="6A3066A9">
      <w:pPr>
        <w:pStyle w:val="11"/>
        <w:numPr>
          <w:ilvl w:val="0"/>
          <w:numId w:val="0"/>
        </w:numPr>
        <w:rPr>
          <w:rFonts w:hint="eastAsia"/>
          <w:lang w:val="en-US" w:eastAsia="zh-CN"/>
        </w:rPr>
      </w:pPr>
    </w:p>
    <w:tbl>
      <w:tblPr>
        <w:tblStyle w:val="20"/>
        <w:tblW w:w="104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9"/>
        <w:gridCol w:w="1971"/>
        <w:gridCol w:w="1154"/>
        <w:gridCol w:w="1797"/>
        <w:gridCol w:w="1334"/>
        <w:gridCol w:w="1549"/>
        <w:gridCol w:w="1653"/>
      </w:tblGrid>
      <w:tr w14:paraId="2C11F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jc w:val="center"/>
        </w:trPr>
        <w:tc>
          <w:tcPr>
            <w:tcW w:w="9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6EBF61">
            <w:pPr>
              <w:keepNext w:val="0"/>
              <w:keepLines w:val="0"/>
              <w:widowControl/>
              <w:suppressLineNumbers w:val="0"/>
              <w:jc w:val="center"/>
              <w:textAlignment w:val="center"/>
              <w:rPr>
                <w:rFonts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部门代码</w:t>
            </w:r>
          </w:p>
        </w:tc>
        <w:tc>
          <w:tcPr>
            <w:tcW w:w="19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1AF399">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部门名称</w:t>
            </w:r>
          </w:p>
        </w:tc>
        <w:tc>
          <w:tcPr>
            <w:tcW w:w="11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9DF205">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单位代码</w:t>
            </w:r>
          </w:p>
        </w:tc>
        <w:tc>
          <w:tcPr>
            <w:tcW w:w="17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C772CA">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单位名称</w:t>
            </w:r>
          </w:p>
        </w:tc>
        <w:tc>
          <w:tcPr>
            <w:tcW w:w="45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DFC344">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一般公共预算</w:t>
            </w:r>
          </w:p>
        </w:tc>
      </w:tr>
      <w:tr w14:paraId="0F658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jc w:val="center"/>
        </w:trPr>
        <w:tc>
          <w:tcPr>
            <w:tcW w:w="9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C9284">
            <w:pPr>
              <w:jc w:val="center"/>
              <w:rPr>
                <w:rFonts w:hint="eastAsia" w:ascii="黑体" w:hAnsi="黑体" w:eastAsia="黑体" w:cs="黑体"/>
                <w:b/>
                <w:bCs/>
                <w:i w:val="0"/>
                <w:iCs w:val="0"/>
                <w:color w:val="000000"/>
                <w:sz w:val="18"/>
                <w:szCs w:val="18"/>
                <w:u w:val="none"/>
              </w:rPr>
            </w:pPr>
          </w:p>
        </w:tc>
        <w:tc>
          <w:tcPr>
            <w:tcW w:w="1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A2DE8">
            <w:pPr>
              <w:jc w:val="center"/>
              <w:rPr>
                <w:rFonts w:hint="eastAsia" w:ascii="黑体" w:hAnsi="黑体" w:eastAsia="黑体" w:cs="黑体"/>
                <w:b/>
                <w:bCs/>
                <w:i w:val="0"/>
                <w:iCs w:val="0"/>
                <w:color w:val="000000"/>
                <w:sz w:val="18"/>
                <w:szCs w:val="18"/>
                <w:u w:val="none"/>
              </w:rPr>
            </w:pPr>
          </w:p>
        </w:tc>
        <w:tc>
          <w:tcPr>
            <w:tcW w:w="1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9D9BE">
            <w:pPr>
              <w:jc w:val="center"/>
              <w:rPr>
                <w:rFonts w:hint="eastAsia" w:ascii="黑体" w:hAnsi="黑体" w:eastAsia="黑体" w:cs="黑体"/>
                <w:b/>
                <w:bCs/>
                <w:i w:val="0"/>
                <w:iCs w:val="0"/>
                <w:color w:val="000000"/>
                <w:sz w:val="18"/>
                <w:szCs w:val="18"/>
                <w:u w:val="none"/>
              </w:rPr>
            </w:pPr>
          </w:p>
        </w:tc>
        <w:tc>
          <w:tcPr>
            <w:tcW w:w="17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399E1">
            <w:pPr>
              <w:jc w:val="center"/>
              <w:rPr>
                <w:rFonts w:hint="eastAsia" w:ascii="黑体" w:hAnsi="黑体" w:eastAsia="黑体" w:cs="黑体"/>
                <w:b/>
                <w:bCs/>
                <w:i w:val="0"/>
                <w:iCs w:val="0"/>
                <w:color w:val="000000"/>
                <w:sz w:val="18"/>
                <w:szCs w:val="18"/>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FE31E">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年初预算数</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21517">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调整后预算数</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9D29C">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支付数</w:t>
            </w:r>
          </w:p>
        </w:tc>
      </w:tr>
      <w:tr w14:paraId="31DDE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9" w:hRule="atLeast"/>
          <w:jc w:val="center"/>
        </w:trPr>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0F1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204001</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458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阿坝藏族羌族自治州文化广播电视和旅游局</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B63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204006</w:t>
            </w:r>
          </w:p>
        </w:tc>
        <w:tc>
          <w:tcPr>
            <w:tcW w:w="17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B1F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阿坝藏族羌族自治州文物考古研究所</w:t>
            </w: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E0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160.00</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F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160.00</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E667B">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default" w:ascii="宋体" w:hAnsi="宋体" w:cs="宋体"/>
                <w:i w:val="0"/>
                <w:iCs w:val="0"/>
                <w:color w:val="000000"/>
                <w:kern w:val="0"/>
                <w:sz w:val="18"/>
                <w:szCs w:val="18"/>
                <w:u w:val="none"/>
                <w:lang w:val="en-US" w:eastAsia="zh-CN" w:bidi="ar"/>
              </w:rPr>
              <w:t>159.3</w:t>
            </w:r>
          </w:p>
        </w:tc>
      </w:tr>
    </w:tbl>
    <w:p w14:paraId="2B0EFA6B">
      <w:pPr>
        <w:keepNext w:val="0"/>
        <w:keepLines w:val="0"/>
        <w:pageBreakBefore w:val="0"/>
        <w:widowControl w:val="0"/>
        <w:kinsoku/>
        <w:wordWrap/>
        <w:overflowPunct/>
        <w:topLinePunct w:val="0"/>
        <w:autoSpaceDE/>
        <w:autoSpaceDN/>
        <w:bidi w:val="0"/>
        <w:spacing w:line="578" w:lineRule="exact"/>
        <w:textAlignment w:val="auto"/>
        <w:outlineLvl w:val="9"/>
        <w:rPr>
          <w:rFonts w:hint="eastAsia" w:eastAsia="仿宋_GB2312" w:cs="仿宋_GB2312"/>
          <w:b w:val="0"/>
          <w:bCs w:val="0"/>
          <w:kern w:val="0"/>
          <w:position w:val="0"/>
          <w:sz w:val="32"/>
          <w:szCs w:val="32"/>
          <w:highlight w:val="none"/>
          <w:lang w:val="en-US" w:eastAsia="zh-CN" w:bidi="ar-SA"/>
        </w:rPr>
      </w:pPr>
    </w:p>
    <w:p w14:paraId="5D50576E">
      <w:pPr>
        <w:rPr>
          <w:rFonts w:hint="eastAsia" w:ascii="Times New Roman" w:hAnsi="Times New Roman" w:eastAsia="黑体" w:cs="黑体"/>
          <w:color w:val="auto"/>
          <w:kern w:val="0"/>
          <w:sz w:val="32"/>
          <w:szCs w:val="32"/>
          <w:highlight w:val="none"/>
          <w:shd w:val="clear" w:color="auto" w:fill="FFFFFF"/>
          <w:lang w:val="en-US" w:eastAsia="zh-CN"/>
        </w:rPr>
      </w:pPr>
      <w:r>
        <w:rPr>
          <w:rFonts w:hint="eastAsia" w:ascii="Times New Roman" w:hAnsi="Times New Roman" w:eastAsia="黑体" w:cs="黑体"/>
          <w:color w:val="auto"/>
          <w:kern w:val="0"/>
          <w:sz w:val="32"/>
          <w:szCs w:val="32"/>
          <w:highlight w:val="none"/>
          <w:shd w:val="clear" w:color="auto" w:fill="FFFFFF"/>
          <w:lang w:val="en-US" w:eastAsia="zh-CN"/>
        </w:rPr>
        <w:t>附</w:t>
      </w:r>
      <w:r>
        <w:rPr>
          <w:rFonts w:hint="eastAsia" w:eastAsia="黑体" w:cs="黑体"/>
          <w:color w:val="auto"/>
          <w:kern w:val="0"/>
          <w:sz w:val="32"/>
          <w:szCs w:val="32"/>
          <w:highlight w:val="none"/>
          <w:shd w:val="clear" w:color="auto" w:fill="FFFFFF"/>
          <w:lang w:val="en-US" w:eastAsia="zh-CN"/>
        </w:rPr>
        <w:t>件</w:t>
      </w:r>
      <w:r>
        <w:rPr>
          <w:rFonts w:hint="eastAsia" w:ascii="Times New Roman" w:hAnsi="Times New Roman" w:eastAsia="黑体" w:cs="黑体"/>
          <w:color w:val="auto"/>
          <w:kern w:val="0"/>
          <w:sz w:val="32"/>
          <w:szCs w:val="32"/>
          <w:highlight w:val="none"/>
          <w:shd w:val="clear" w:color="auto" w:fill="FFFFFF"/>
          <w:lang w:val="en-US" w:eastAsia="zh-CN"/>
        </w:rPr>
        <w:t>3</w:t>
      </w:r>
    </w:p>
    <w:p w14:paraId="0B1027FF">
      <w:pPr>
        <w:pStyle w:val="19"/>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kern w:val="2"/>
          <w:sz w:val="44"/>
          <w:szCs w:val="44"/>
        </w:rPr>
      </w:pPr>
    </w:p>
    <w:p w14:paraId="487265D0">
      <w:pPr>
        <w:pStyle w:val="19"/>
        <w:keepNext w:val="0"/>
        <w:keepLines w:val="0"/>
        <w:pageBreakBefore w:val="0"/>
        <w:widowControl/>
        <w:kinsoku/>
        <w:wordWrap/>
        <w:overflowPunct/>
        <w:topLinePunct w:val="0"/>
        <w:autoSpaceDE/>
        <w:autoSpaceDN/>
        <w:bidi w:val="0"/>
        <w:spacing w:beforeAutospacing="0" w:afterAutospacing="0" w:line="560" w:lineRule="exact"/>
        <w:jc w:val="center"/>
        <w:rPr>
          <w:rFonts w:hint="eastAsia" w:ascii="方正小标宋简体" w:hAnsi="方正小标宋简体" w:eastAsia="方正小标宋简体" w:cs="方正小标宋简体"/>
          <w:kern w:val="2"/>
          <w:sz w:val="44"/>
          <w:szCs w:val="44"/>
        </w:rPr>
      </w:pPr>
      <w:r>
        <w:rPr>
          <w:rFonts w:hint="eastAsia" w:ascii="方正小标宋简体" w:hAnsi="方正小标宋简体" w:eastAsia="方正小标宋简体" w:cs="方正小标宋简体"/>
          <w:kern w:val="2"/>
          <w:sz w:val="44"/>
          <w:szCs w:val="44"/>
        </w:rPr>
        <w:t>阿坝州文物考古研究所（阿坝州博物馆）</w:t>
      </w:r>
    </w:p>
    <w:p w14:paraId="04DE0482">
      <w:pPr>
        <w:pStyle w:val="19"/>
        <w:keepNext w:val="0"/>
        <w:keepLines w:val="0"/>
        <w:pageBreakBefore w:val="0"/>
        <w:widowControl/>
        <w:kinsoku/>
        <w:wordWrap/>
        <w:overflowPunct/>
        <w:topLinePunct w:val="0"/>
        <w:autoSpaceDE/>
        <w:autoSpaceDN/>
        <w:bidi w:val="0"/>
        <w:spacing w:beforeAutospacing="0" w:afterAutospacing="0" w:line="560" w:lineRule="exact"/>
        <w:jc w:val="center"/>
        <w:rPr>
          <w:rFonts w:hint="eastAsia" w:ascii="方正小标宋简体" w:hAnsi="方正小标宋简体" w:eastAsia="方正小标宋简体" w:cs="方正小标宋简体"/>
          <w:kern w:val="2"/>
          <w:sz w:val="44"/>
          <w:szCs w:val="44"/>
        </w:rPr>
      </w:pPr>
      <w:r>
        <w:rPr>
          <w:rFonts w:hint="eastAsia" w:ascii="方正小标宋简体" w:hAnsi="方正小标宋简体" w:eastAsia="方正小标宋简体" w:cs="方正小标宋简体"/>
          <w:kern w:val="2"/>
          <w:sz w:val="44"/>
          <w:szCs w:val="44"/>
        </w:rPr>
        <w:t>关于</w:t>
      </w:r>
      <w:r>
        <w:rPr>
          <w:rFonts w:hint="eastAsia" w:ascii="方正小标宋简体" w:hAnsi="方正小标宋简体" w:eastAsia="方正小标宋简体" w:cs="方正小标宋简体"/>
          <w:kern w:val="2"/>
          <w:sz w:val="44"/>
          <w:szCs w:val="44"/>
          <w:lang w:val="en-US" w:eastAsia="zh-CN"/>
        </w:rPr>
        <w:t>第四次全国文物普查</w:t>
      </w:r>
      <w:r>
        <w:rPr>
          <w:rFonts w:hint="eastAsia" w:ascii="方正小标宋简体" w:hAnsi="方正小标宋简体" w:eastAsia="方正小标宋简体" w:cs="方正小标宋简体"/>
          <w:kern w:val="2"/>
          <w:sz w:val="44"/>
          <w:szCs w:val="44"/>
        </w:rPr>
        <w:t>项目资金</w:t>
      </w:r>
    </w:p>
    <w:p w14:paraId="7CBAFB1C">
      <w:pPr>
        <w:pStyle w:val="19"/>
        <w:keepNext w:val="0"/>
        <w:keepLines w:val="0"/>
        <w:pageBreakBefore w:val="0"/>
        <w:widowControl/>
        <w:kinsoku/>
        <w:wordWrap/>
        <w:overflowPunct/>
        <w:topLinePunct w:val="0"/>
        <w:autoSpaceDE/>
        <w:autoSpaceDN/>
        <w:bidi w:val="0"/>
        <w:spacing w:beforeAutospacing="0" w:afterAutospacing="0" w:line="560" w:lineRule="exact"/>
        <w:jc w:val="center"/>
        <w:rPr>
          <w:rFonts w:hint="eastAsia" w:ascii="方正小标宋简体" w:hAnsi="方正小标宋简体" w:eastAsia="方正小标宋简体" w:cs="方正小标宋简体"/>
          <w:kern w:val="2"/>
          <w:sz w:val="44"/>
          <w:szCs w:val="44"/>
        </w:rPr>
      </w:pPr>
      <w:r>
        <w:rPr>
          <w:rFonts w:hint="eastAsia" w:ascii="方正小标宋简体" w:hAnsi="方正小标宋简体" w:eastAsia="方正小标宋简体" w:cs="方正小标宋简体"/>
          <w:kern w:val="2"/>
          <w:sz w:val="44"/>
          <w:szCs w:val="44"/>
        </w:rPr>
        <w:t>绩效自评报告</w:t>
      </w:r>
    </w:p>
    <w:p w14:paraId="614D6BD4">
      <w:pPr>
        <w:pStyle w:val="19"/>
        <w:keepNext w:val="0"/>
        <w:keepLines w:val="0"/>
        <w:pageBreakBefore w:val="0"/>
        <w:widowControl/>
        <w:kinsoku/>
        <w:wordWrap/>
        <w:overflowPunct/>
        <w:topLinePunct w:val="0"/>
        <w:autoSpaceDE/>
        <w:autoSpaceDN/>
        <w:bidi w:val="0"/>
        <w:spacing w:beforeAutospacing="0" w:afterAutospacing="0" w:line="560" w:lineRule="exact"/>
        <w:jc w:val="both"/>
        <w:textAlignment w:val="auto"/>
        <w:rPr>
          <w:rFonts w:hint="default"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州财政局：</w:t>
      </w:r>
    </w:p>
    <w:p w14:paraId="3B2D3FD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黑体" w:cs="Times New Roman"/>
          <w:sz w:val="32"/>
          <w:szCs w:val="32"/>
          <w:lang w:val="zh-CN" w:eastAsia="zh-CN"/>
        </w:rPr>
      </w:pPr>
      <w:r>
        <w:rPr>
          <w:rFonts w:hint="eastAsia" w:ascii="Times New Roman" w:hAnsi="Times New Roman" w:eastAsia="黑体" w:cs="Times New Roman"/>
          <w:sz w:val="32"/>
          <w:szCs w:val="32"/>
          <w:lang w:val="en-US" w:eastAsia="zh-CN"/>
        </w:rPr>
        <w:t>一、</w:t>
      </w:r>
      <w:r>
        <w:rPr>
          <w:rFonts w:hint="eastAsia" w:ascii="Times New Roman" w:hAnsi="Times New Roman" w:eastAsia="黑体" w:cs="Times New Roman"/>
          <w:sz w:val="32"/>
          <w:szCs w:val="32"/>
          <w:lang w:val="zh-CN" w:eastAsia="zh-CN"/>
        </w:rPr>
        <w:t>项目概况</w:t>
      </w:r>
    </w:p>
    <w:p w14:paraId="6502BD2A">
      <w:pPr>
        <w:pStyle w:val="19"/>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jc w:val="both"/>
        <w:textAlignment w:val="auto"/>
        <w:rPr>
          <w:rFonts w:hint="eastAsia" w:ascii="仿宋_GB2312" w:hAnsi="宋体" w:eastAsia="仿宋_GB2312" w:cs="Times New Roman"/>
          <w:kern w:val="2"/>
          <w:sz w:val="32"/>
          <w:szCs w:val="32"/>
          <w:lang w:val="en-US" w:eastAsia="zh-CN" w:bidi="ar-SA"/>
        </w:rPr>
      </w:pPr>
      <w:r>
        <w:rPr>
          <w:rFonts w:hint="eastAsia" w:ascii="Times New Roman" w:hAnsi="Times New Roman" w:eastAsia="楷体_GB2312" w:cs="Times New Roman"/>
          <w:b/>
          <w:kern w:val="2"/>
          <w:sz w:val="32"/>
          <w:szCs w:val="32"/>
          <w:lang w:val="zh-CN" w:eastAsia="zh-CN" w:bidi="ar-SA"/>
        </w:rPr>
        <w:t>（一）设立背景及基本情况。</w:t>
      </w:r>
      <w:r>
        <w:rPr>
          <w:rFonts w:hint="eastAsia" w:ascii="仿宋_GB2312" w:hAnsi="宋体" w:eastAsia="仿宋_GB2312" w:cs="Times New Roman"/>
          <w:kern w:val="2"/>
          <w:sz w:val="32"/>
          <w:szCs w:val="32"/>
          <w:lang w:val="en-US" w:eastAsia="zh-CN" w:bidi="ar-SA"/>
        </w:rPr>
        <w:t>根据国家和省文物局和州政府安排，2025年将全面开展第四次全国文物普查实地调查工作，本单位根据州普查队职责承担对全州普查人员的培训和现场业务指导工作。整体目标为全面完成实地调查工作。此次普查，将以习近平新时代中国特色社会主义思想为指导，深入贯彻党的二十大精神，认真贯彻落实党中央关于坚持保护第一、加强管理、挖掘价值、有效利用、让文物活起来的工作要求，周密组织部署，确保普查结果全面客观反映我州不可移动文物资源基本状况，为社会、经济、文化建设发展提供基础信息。</w:t>
      </w:r>
    </w:p>
    <w:p w14:paraId="59CBAA24">
      <w:pPr>
        <w:keepNext w:val="0"/>
        <w:keepLines w:val="0"/>
        <w:pageBreakBefore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宋体" w:eastAsia="仿宋_GB2312" w:cs="Times New Roman"/>
          <w:kern w:val="2"/>
          <w:sz w:val="32"/>
          <w:szCs w:val="32"/>
          <w:lang w:val="en-US" w:eastAsia="zh-CN" w:bidi="ar-SA"/>
        </w:rPr>
      </w:pPr>
      <w:r>
        <w:rPr>
          <w:rFonts w:hint="default" w:ascii="Times New Roman" w:hAnsi="Times New Roman" w:eastAsia="楷体_GB2312"/>
          <w:b/>
          <w:sz w:val="32"/>
          <w:szCs w:val="32"/>
          <w:lang w:val="zh-CN"/>
        </w:rPr>
        <w:t>（二）</w:t>
      </w:r>
      <w:r>
        <w:rPr>
          <w:rFonts w:hint="default" w:ascii="Times New Roman" w:hAnsi="Times New Roman" w:eastAsia="楷体_GB2312"/>
          <w:b/>
          <w:sz w:val="32"/>
          <w:szCs w:val="32"/>
          <w:lang w:eastAsia="zh-CN"/>
        </w:rPr>
        <w:t>实施目的及支持方向。</w:t>
      </w:r>
      <w:r>
        <w:rPr>
          <w:rFonts w:hint="eastAsia" w:ascii="仿宋_GB2312" w:hAnsi="宋体" w:eastAsia="仿宋_GB2312" w:cs="Times New Roman"/>
          <w:kern w:val="2"/>
          <w:sz w:val="32"/>
          <w:szCs w:val="32"/>
          <w:lang w:val="en-US" w:eastAsia="zh-CN" w:bidi="ar-SA"/>
        </w:rPr>
        <w:t>借助资金绩效项目，开展阿坝州第四次文物普查工作，将全面摸清本地区不可移动文物资源底数。支持普查组织、实地调查、专业技术、成果汇交、宣传培训与能力建设，保障普查高质量完成。</w:t>
      </w:r>
    </w:p>
    <w:p w14:paraId="65D78731">
      <w:pPr>
        <w:keepNext w:val="0"/>
        <w:keepLines w:val="0"/>
        <w:pageBreakBefore w:val="0"/>
        <w:kinsoku/>
        <w:wordWrap/>
        <w:overflowPunct/>
        <w:topLinePunct w:val="0"/>
        <w:autoSpaceDE/>
        <w:autoSpaceDN/>
        <w:bidi w:val="0"/>
        <w:spacing w:before="1" w:line="560" w:lineRule="exact"/>
        <w:ind w:firstLine="643" w:firstLineChars="200"/>
        <w:textAlignment w:val="auto"/>
        <w:rPr>
          <w:rFonts w:hint="eastAsia" w:ascii="仿宋_GB2312" w:hAnsi="宋体" w:eastAsia="仿宋_GB2312" w:cs="Times New Roman"/>
          <w:kern w:val="2"/>
          <w:sz w:val="32"/>
          <w:szCs w:val="32"/>
          <w:lang w:val="zh-CN" w:eastAsia="zh-CN" w:bidi="ar-SA"/>
        </w:rPr>
      </w:pPr>
      <w:r>
        <w:rPr>
          <w:rFonts w:hint="eastAsia" w:ascii="Times New Roman" w:hAnsi="Times New Roman" w:eastAsia="楷体_GB2312" w:cs="Times New Roman"/>
          <w:b/>
          <w:kern w:val="2"/>
          <w:sz w:val="32"/>
          <w:szCs w:val="32"/>
          <w:lang w:val="zh-CN" w:eastAsia="zh-CN" w:bidi="ar-SA"/>
        </w:rPr>
        <w:t>（三）预算安排及分配管理。</w:t>
      </w:r>
      <w:r>
        <w:rPr>
          <w:rFonts w:hint="eastAsia" w:ascii="仿宋_GB2312" w:hAnsi="宋体" w:eastAsia="仿宋_GB2312" w:cs="Times New Roman"/>
          <w:kern w:val="2"/>
          <w:sz w:val="32"/>
          <w:szCs w:val="32"/>
          <w:lang w:val="zh-CN" w:eastAsia="zh-CN" w:bidi="ar-SA"/>
        </w:rPr>
        <w:t>本项目属于财政支持范围，资金为</w:t>
      </w:r>
      <w:r>
        <w:rPr>
          <w:rFonts w:hint="eastAsia" w:ascii="仿宋_GB2312" w:hAnsi="宋体" w:cs="Times New Roman"/>
          <w:kern w:val="2"/>
          <w:sz w:val="32"/>
          <w:szCs w:val="32"/>
          <w:lang w:val="en-US" w:eastAsia="zh-CN" w:bidi="ar-SA"/>
        </w:rPr>
        <w:t>财政资金</w:t>
      </w:r>
      <w:r>
        <w:rPr>
          <w:rFonts w:hint="eastAsia" w:ascii="仿宋_GB2312" w:hAnsi="宋体" w:eastAsia="仿宋_GB2312" w:cs="Times New Roman"/>
          <w:kern w:val="2"/>
          <w:sz w:val="32"/>
          <w:szCs w:val="32"/>
          <w:lang w:val="zh-CN" w:eastAsia="zh-CN" w:bidi="ar-SA"/>
        </w:rPr>
        <w:t>，已下达。本项目资金全额下达后，全部投入到项目内容上，无挤占挪用情况。</w:t>
      </w:r>
    </w:p>
    <w:p w14:paraId="7EF12F0C">
      <w:pPr>
        <w:pStyle w:val="38"/>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宋体" w:eastAsia="仿宋_GB2312" w:cs="Times New Roman"/>
          <w:color w:val="auto"/>
          <w:kern w:val="2"/>
          <w:sz w:val="32"/>
          <w:szCs w:val="32"/>
          <w:lang w:val="zh-CN" w:eastAsia="zh-CN" w:bidi="ar-SA"/>
        </w:rPr>
      </w:pPr>
      <w:r>
        <w:rPr>
          <w:rFonts w:ascii="Times New Roman" w:hAnsi="Times New Roman" w:eastAsia="楷体_GB2312"/>
          <w:b/>
          <w:color w:val="auto"/>
          <w:sz w:val="32"/>
          <w:szCs w:val="32"/>
        </w:rPr>
        <w:t>（四）项目绩效目标设置。</w:t>
      </w:r>
    </w:p>
    <w:p w14:paraId="76559FD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Times New Roman" w:hAnsi="Times New Roman" w:eastAsia="黑体" w:cs="Times New Roman"/>
          <w:sz w:val="32"/>
          <w:szCs w:val="32"/>
        </w:rPr>
      </w:pPr>
      <w:r>
        <w:rPr>
          <w:rFonts w:ascii="Times New Roman" w:hAnsi="Times New Roman" w:eastAsia="黑体" w:cs="Times New Roman"/>
          <w:sz w:val="32"/>
          <w:szCs w:val="32"/>
        </w:rPr>
        <w:t>二、评价实施</w:t>
      </w:r>
    </w:p>
    <w:p w14:paraId="27ADC264">
      <w:pPr>
        <w:ind w:firstLine="643" w:firstLineChars="200"/>
        <w:rPr>
          <w:rFonts w:hint="eastAsia" w:ascii="仿宋_GB2312" w:hAnsi="宋体" w:eastAsia="仿宋_GB2312" w:cs="Times New Roman"/>
          <w:kern w:val="2"/>
          <w:sz w:val="32"/>
          <w:szCs w:val="32"/>
          <w:lang w:val="en-US" w:eastAsia="zh-CN" w:bidi="ar-SA"/>
        </w:rPr>
      </w:pPr>
      <w:r>
        <w:rPr>
          <w:rFonts w:ascii="Times New Roman" w:hAnsi="Times New Roman" w:eastAsia="楷体_GB2312" w:cs="Times New Roman"/>
          <w:b/>
          <w:sz w:val="32"/>
          <w:szCs w:val="32"/>
          <w:lang w:val="zh-CN"/>
        </w:rPr>
        <w:t>（一）评价目的。</w:t>
      </w:r>
      <w:r>
        <w:rPr>
          <w:rFonts w:hint="eastAsia" w:ascii="仿宋_GB2312" w:hAnsi="宋体" w:eastAsia="仿宋_GB2312" w:cs="Times New Roman"/>
          <w:kern w:val="2"/>
          <w:sz w:val="32"/>
          <w:szCs w:val="32"/>
          <w:lang w:val="en-US" w:eastAsia="zh-CN" w:bidi="ar-SA"/>
        </w:rPr>
        <w:t>通过项目绩效自评，全面摸清阿坝州不可移动文物底数，建立资源目录与数据库，完善保护管理机制，夯实文物保护基础，提升治理效能。为今后类似项目的预算安排和管理提供参考依据。</w:t>
      </w:r>
    </w:p>
    <w:p w14:paraId="01FD4345">
      <w:pPr>
        <w:keepNext w:val="0"/>
        <w:keepLines w:val="0"/>
        <w:pageBreakBefore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宋体" w:eastAsia="仿宋_GB2312" w:cs="Times New Roman"/>
          <w:kern w:val="2"/>
          <w:sz w:val="32"/>
          <w:szCs w:val="32"/>
          <w:lang w:val="zh-CN" w:eastAsia="zh-CN" w:bidi="ar-SA"/>
        </w:rPr>
      </w:pPr>
      <w:r>
        <w:rPr>
          <w:rFonts w:ascii="Times New Roman" w:hAnsi="Times New Roman" w:eastAsia="楷体_GB2312" w:cs="Times New Roman"/>
          <w:b/>
          <w:sz w:val="32"/>
          <w:szCs w:val="32"/>
          <w:lang w:val="zh-CN"/>
        </w:rPr>
        <w:t>（二）预设问题及评价重点。</w:t>
      </w:r>
      <w:r>
        <w:rPr>
          <w:rFonts w:hint="eastAsia" w:ascii="仿宋_GB2312" w:hAnsi="宋体" w:eastAsia="仿宋_GB2312" w:cs="Times New Roman"/>
          <w:kern w:val="2"/>
          <w:sz w:val="32"/>
          <w:szCs w:val="32"/>
          <w:lang w:val="zh-CN" w:eastAsia="zh-CN" w:bidi="ar-SA"/>
        </w:rPr>
        <w:t>资金开支范围、标准严格按照调查情况支出，项目资金专款专用、严格执行财务管理制度、财务处理及时、会计核算规范。</w:t>
      </w:r>
    </w:p>
    <w:p w14:paraId="3F58BE2F">
      <w:pPr>
        <w:keepNext w:val="0"/>
        <w:keepLines w:val="0"/>
        <w:pageBreakBefore w:val="0"/>
        <w:kinsoku/>
        <w:wordWrap/>
        <w:overflowPunct/>
        <w:topLinePunct w:val="0"/>
        <w:autoSpaceDE/>
        <w:autoSpaceDN/>
        <w:bidi w:val="0"/>
        <w:spacing w:line="560" w:lineRule="exact"/>
        <w:ind w:firstLine="643" w:firstLineChars="200"/>
        <w:textAlignment w:val="auto"/>
        <w:rPr>
          <w:rFonts w:hint="eastAsia" w:eastAsia="楷体_GB2312"/>
          <w:b/>
          <w:lang w:val="en-US" w:eastAsia="zh-CN"/>
        </w:rPr>
      </w:pPr>
      <w:r>
        <w:rPr>
          <w:rFonts w:ascii="Times New Roman" w:hAnsi="Times New Roman" w:eastAsia="楷体_GB2312" w:cs="Times New Roman"/>
          <w:b/>
          <w:sz w:val="32"/>
          <w:szCs w:val="32"/>
          <w:lang w:val="zh-CN"/>
        </w:rPr>
        <w:t>（三）评价选点。</w:t>
      </w:r>
      <w:r>
        <w:rPr>
          <w:rFonts w:hint="eastAsia" w:ascii="仿宋_GB2312" w:hAnsi="宋体" w:eastAsia="仿宋_GB2312" w:cs="Times New Roman"/>
          <w:kern w:val="2"/>
          <w:sz w:val="32"/>
          <w:szCs w:val="32"/>
          <w:lang w:val="en-US" w:eastAsia="zh-CN" w:bidi="ar-SA"/>
        </w:rPr>
        <w:t>无。</w:t>
      </w:r>
    </w:p>
    <w:p w14:paraId="6EDCC3D8">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宋体" w:eastAsia="仿宋_GB2312" w:cs="Times New Roman"/>
          <w:kern w:val="2"/>
          <w:sz w:val="32"/>
          <w:szCs w:val="32"/>
          <w:lang w:val="zh-CN" w:eastAsia="zh-CN" w:bidi="ar-SA"/>
        </w:rPr>
      </w:pPr>
      <w:r>
        <w:rPr>
          <w:rFonts w:ascii="Times New Roman" w:hAnsi="Times New Roman" w:eastAsia="楷体_GB2312" w:cs="Times New Roman"/>
          <w:b/>
          <w:sz w:val="32"/>
          <w:szCs w:val="32"/>
          <w:lang w:val="zh-CN"/>
        </w:rPr>
        <w:t>（四）评价方法。</w:t>
      </w:r>
      <w:r>
        <w:rPr>
          <w:rFonts w:hint="eastAsia" w:ascii="仿宋_GB2312" w:hAnsi="宋体" w:eastAsia="仿宋_GB2312" w:cs="Times New Roman"/>
          <w:kern w:val="2"/>
          <w:sz w:val="32"/>
          <w:szCs w:val="32"/>
          <w:lang w:val="zh-CN" w:eastAsia="zh-CN" w:bidi="ar-SA"/>
        </w:rPr>
        <w:t>根据项目实施内容、该项目使用单位自评法进行绩效评价。按照省文物局文物保护资金项目支出绩效评价工作等通知及绩效评估办法和申报方案要求，我单位认真学习领会相关文件要求，明确绩效评价要求；二是对照绩效目标自评表指标要求，组织实施开展自查总结；三是在此基础上分析项目在管理、完成数量质量、完成绩效等方面的情况；四是全面总结项目存在的问题，提出相关建议。</w:t>
      </w:r>
    </w:p>
    <w:p w14:paraId="3DC428FC">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宋体" w:eastAsia="仿宋_GB2312" w:cs="Times New Roman"/>
          <w:kern w:val="2"/>
          <w:sz w:val="32"/>
          <w:szCs w:val="32"/>
          <w:lang w:val="zh-CN" w:eastAsia="zh-CN" w:bidi="ar-SA"/>
        </w:rPr>
      </w:pPr>
      <w:r>
        <w:rPr>
          <w:rFonts w:ascii="Times New Roman" w:hAnsi="Times New Roman" w:eastAsia="楷体_GB2312" w:cs="Times New Roman"/>
          <w:b/>
          <w:sz w:val="32"/>
          <w:szCs w:val="32"/>
          <w:lang w:val="zh-CN"/>
        </w:rPr>
        <w:t>（五）评价组织。</w:t>
      </w:r>
      <w:r>
        <w:rPr>
          <w:rFonts w:hint="eastAsia" w:ascii="仿宋_GB2312" w:hAnsi="宋体" w:eastAsia="仿宋_GB2312" w:cs="Times New Roman"/>
          <w:kern w:val="2"/>
          <w:sz w:val="32"/>
          <w:szCs w:val="32"/>
          <w:lang w:val="zh-CN" w:eastAsia="zh-CN" w:bidi="ar-SA"/>
        </w:rPr>
        <w:t>由单位组织人员成立评价工作组，通过收集相关材料开展座谈调研等，对照绩效目标与全年目标任务，量化考核指标，全面综合评价。</w:t>
      </w:r>
    </w:p>
    <w:p w14:paraId="5E52FE2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Times New Roman" w:hAnsi="Times New Roman" w:eastAsia="黑体" w:cs="Times New Roman"/>
          <w:sz w:val="32"/>
          <w:szCs w:val="32"/>
          <w:lang w:val="zh-CN"/>
        </w:rPr>
      </w:pPr>
      <w:r>
        <w:rPr>
          <w:rFonts w:ascii="Times New Roman" w:hAnsi="Times New Roman" w:eastAsia="黑体" w:cs="Times New Roman"/>
          <w:sz w:val="32"/>
          <w:szCs w:val="32"/>
        </w:rPr>
        <w:t>三、绩效分析</w:t>
      </w:r>
      <w:r>
        <w:rPr>
          <w:rFonts w:ascii="Times New Roman" w:hAnsi="Times New Roman" w:eastAsia="黑体" w:cs="Times New Roman"/>
          <w:sz w:val="32"/>
          <w:szCs w:val="32"/>
          <w:lang w:val="zh-CN"/>
        </w:rPr>
        <w:tab/>
      </w:r>
    </w:p>
    <w:p w14:paraId="64D252EE">
      <w:pPr>
        <w:keepNext w:val="0"/>
        <w:keepLines w:val="0"/>
        <w:pageBreakBefore w:val="0"/>
        <w:kinsoku/>
        <w:wordWrap/>
        <w:overflowPunct/>
        <w:topLinePunct w:val="0"/>
        <w:autoSpaceDE/>
        <w:autoSpaceDN/>
        <w:bidi w:val="0"/>
        <w:spacing w:line="560" w:lineRule="exact"/>
        <w:ind w:firstLine="643" w:firstLineChars="200"/>
        <w:textAlignment w:val="auto"/>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（一）通用指标绩效分析。</w:t>
      </w:r>
    </w:p>
    <w:p w14:paraId="3C68B8E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宋体" w:eastAsia="仿宋_GB2312"/>
          <w:sz w:val="32"/>
          <w:szCs w:val="32"/>
        </w:rPr>
      </w:pPr>
      <w:r>
        <w:rPr>
          <w:rFonts w:ascii="Times New Roman" w:hAnsi="Times New Roman" w:eastAsia="楷体_GB2312" w:cs="Times New Roman"/>
          <w:sz w:val="32"/>
          <w:szCs w:val="32"/>
        </w:rPr>
        <w:t>1.项目决策。</w:t>
      </w:r>
      <w:r>
        <w:rPr>
          <w:rFonts w:hint="eastAsia" w:ascii="仿宋_GB2312" w:hAnsi="宋体" w:eastAsia="仿宋_GB2312"/>
          <w:sz w:val="32"/>
          <w:szCs w:val="32"/>
        </w:rPr>
        <w:t>本项目经费预算主要依据《中华人民共和国文物保护法》（2017年）、四川省《中华人民共和国文物保护法》实施办法（2006年）、国家文物局关于颁发《考古调查、勘探、发掘经费预算定额管理办法》的通知（（90）文物字第248号）、《</w:t>
      </w:r>
      <w:r>
        <w:rPr>
          <w:rFonts w:ascii="仿宋_GB2312" w:hAnsi="宋体" w:eastAsia="仿宋_GB2312"/>
          <w:sz w:val="32"/>
          <w:szCs w:val="32"/>
        </w:rPr>
        <w:fldChar w:fldCharType="begin"/>
      </w:r>
      <w:r>
        <w:rPr>
          <w:rFonts w:ascii="仿宋_GB2312" w:hAnsi="宋体" w:eastAsia="仿宋_GB2312"/>
          <w:sz w:val="32"/>
          <w:szCs w:val="32"/>
        </w:rPr>
        <w:instrText xml:space="preserve"> HYPERLINK "https://www.pkulaw.com/lar/7ac2b8a40bcd1e8723b9f0b8e2ac1a03bdfb.html" \t "_blank" </w:instrText>
      </w:r>
      <w:r>
        <w:rPr>
          <w:rFonts w:ascii="仿宋_GB2312" w:hAnsi="宋体" w:eastAsia="仿宋_GB2312"/>
          <w:sz w:val="32"/>
          <w:szCs w:val="32"/>
        </w:rPr>
        <w:fldChar w:fldCharType="separate"/>
      </w:r>
      <w:r>
        <w:rPr>
          <w:rFonts w:hint="eastAsia" w:ascii="仿宋_GB2312" w:hAnsi="宋体" w:eastAsia="仿宋_GB2312"/>
          <w:sz w:val="32"/>
          <w:szCs w:val="32"/>
        </w:rPr>
        <w:t>阿坝州州级行政事业单位差旅费管理办法</w:t>
      </w:r>
      <w:r>
        <w:rPr>
          <w:rFonts w:ascii="仿宋_GB2312" w:hAnsi="宋体" w:eastAsia="仿宋_GB2312"/>
          <w:sz w:val="32"/>
          <w:szCs w:val="32"/>
        </w:rPr>
        <w:fldChar w:fldCharType="end"/>
      </w:r>
      <w:r>
        <w:rPr>
          <w:rFonts w:hint="eastAsia" w:ascii="仿宋_GB2312" w:hAnsi="宋体" w:eastAsia="仿宋_GB2312"/>
          <w:sz w:val="32"/>
          <w:szCs w:val="32"/>
        </w:rPr>
        <w:t>》（阿府办发[2014]17号）等相关规定及通知内容，公开的实施本项目，实施期间本着“厉行节约、精打细算”的原则开展工作。</w:t>
      </w:r>
    </w:p>
    <w:p w14:paraId="1F8F67AA">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kern w:val="2"/>
          <w:sz w:val="32"/>
          <w:szCs w:val="32"/>
          <w:lang w:val="zh-CN" w:eastAsia="zh-CN" w:bidi="ar-SA"/>
        </w:rPr>
      </w:pPr>
      <w:r>
        <w:rPr>
          <w:rFonts w:ascii="Times New Roman" w:hAnsi="Times New Roman" w:eastAsia="楷体_GB2312" w:cs="Times New Roman"/>
          <w:sz w:val="32"/>
          <w:szCs w:val="32"/>
        </w:rPr>
        <w:t>2.项目管理。</w:t>
      </w:r>
      <w:r>
        <w:rPr>
          <w:rFonts w:hint="eastAsia" w:ascii="仿宋_GB2312" w:hAnsi="宋体" w:eastAsia="仿宋_GB2312" w:cs="Times New Roman"/>
          <w:kern w:val="2"/>
          <w:sz w:val="32"/>
          <w:szCs w:val="32"/>
          <w:lang w:val="zh-CN" w:eastAsia="zh-CN" w:bidi="ar-SA"/>
        </w:rPr>
        <w:t>严格按照项目管理办法，项目管理细则进行落实，做好服务工作，项目资金专款专用，严格按院内控制度要求，严格执行流程，按需通报资金使用进度。</w:t>
      </w:r>
    </w:p>
    <w:p w14:paraId="41A415DC">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kern w:val="2"/>
          <w:sz w:val="32"/>
          <w:szCs w:val="32"/>
          <w:lang w:val="zh-CN" w:eastAsia="zh-CN" w:bidi="ar-SA"/>
        </w:rPr>
      </w:pPr>
      <w:r>
        <w:rPr>
          <w:rFonts w:ascii="Times New Roman" w:hAnsi="Times New Roman" w:eastAsia="楷体_GB2312" w:cs="Times New Roman"/>
          <w:sz w:val="32"/>
          <w:szCs w:val="32"/>
        </w:rPr>
        <w:t>3.项目实施。</w:t>
      </w:r>
      <w:r>
        <w:rPr>
          <w:rFonts w:hint="eastAsia" w:ascii="仿宋_GB2312" w:hAnsi="宋体" w:eastAsia="仿宋_GB2312" w:cs="Times New Roman"/>
          <w:kern w:val="2"/>
          <w:sz w:val="32"/>
          <w:szCs w:val="32"/>
          <w:lang w:val="zh-CN" w:eastAsia="zh-CN" w:bidi="ar-SA"/>
        </w:rPr>
        <w:t>严格按照实施方案，按照进度实施项目，定期或不定期分析项目实施情况，针对项目实施存在问题，制定措施及时纠正完善。</w:t>
      </w:r>
    </w:p>
    <w:p w14:paraId="660FFEB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宋体" w:eastAsia="仿宋_GB2312"/>
          <w:sz w:val="32"/>
          <w:szCs w:val="32"/>
        </w:rPr>
      </w:pPr>
      <w:r>
        <w:rPr>
          <w:rFonts w:ascii="Times New Roman" w:hAnsi="Times New Roman" w:eastAsia="楷体_GB2312" w:cs="Times New Roman"/>
          <w:sz w:val="32"/>
          <w:szCs w:val="32"/>
        </w:rPr>
        <w:t>4.项目结果。</w:t>
      </w:r>
      <w:r>
        <w:rPr>
          <w:rFonts w:hint="eastAsia" w:ascii="仿宋_GB2312" w:hAnsi="宋体" w:eastAsia="仿宋_GB2312"/>
          <w:sz w:val="32"/>
          <w:szCs w:val="32"/>
        </w:rPr>
        <w:t>通过本次全国文物普查项目实施，全面完成了区域内不可移动文物资源调查、核查、认定、数据采集与成果汇交等各项工作任务，实现了预期工作目标。项目全面摸清了辖区文物资源底数，准确掌握了不可移动文物数量、分布、类型、保存状况及保护管理现状，建立了规范统一的文物资源档案与数据库，形成了完整的普查成果体系。</w:t>
      </w:r>
    </w:p>
    <w:p w14:paraId="378E4B69">
      <w:pPr>
        <w:keepNext w:val="0"/>
        <w:keepLines w:val="0"/>
        <w:pageBreakBefore w:val="0"/>
        <w:kinsoku/>
        <w:wordWrap/>
        <w:overflowPunct/>
        <w:topLinePunct w:val="0"/>
        <w:autoSpaceDE/>
        <w:autoSpaceDN/>
        <w:bidi w:val="0"/>
        <w:spacing w:line="560" w:lineRule="exact"/>
        <w:ind w:firstLine="643" w:firstLineChars="200"/>
        <w:textAlignment w:val="auto"/>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（二）专用指标绩效分析。</w:t>
      </w:r>
    </w:p>
    <w:p w14:paraId="06FFCD60">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1.产业发展。</w:t>
      </w:r>
      <w:r>
        <w:rPr>
          <w:rFonts w:hint="eastAsia" w:ascii="仿宋_GB2312" w:hAnsi="宋体" w:eastAsia="仿宋_GB2312" w:cs="Times New Roman"/>
          <w:sz w:val="32"/>
          <w:szCs w:val="32"/>
          <w:lang w:val="zh-CN"/>
        </w:rPr>
        <w:t>无。</w:t>
      </w:r>
    </w:p>
    <w:p w14:paraId="59A18D5E">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sz w:val="32"/>
          <w:szCs w:val="32"/>
          <w:lang w:val="zh-CN"/>
        </w:rPr>
      </w:pPr>
      <w:r>
        <w:rPr>
          <w:rFonts w:hint="eastAsia" w:ascii="楷体_GB2312" w:hAnsi="楷体_GB2312" w:eastAsia="楷体_GB2312" w:cs="楷体_GB2312"/>
          <w:sz w:val="32"/>
          <w:szCs w:val="32"/>
        </w:rPr>
        <w:t>2.</w:t>
      </w:r>
      <w:r>
        <w:rPr>
          <w:rFonts w:hint="eastAsia" w:ascii="楷体_GB2312" w:hAnsi="楷体_GB2312" w:eastAsia="楷体_GB2312" w:cs="楷体_GB2312"/>
          <w:sz w:val="32"/>
          <w:szCs w:val="32"/>
          <w:lang w:val="zh-CN"/>
        </w:rPr>
        <w:t>民生保障。</w:t>
      </w:r>
      <w:r>
        <w:rPr>
          <w:rFonts w:hint="eastAsia" w:ascii="仿宋_GB2312" w:hAnsi="宋体" w:eastAsia="仿宋_GB2312" w:cs="Times New Roman"/>
          <w:sz w:val="32"/>
          <w:szCs w:val="32"/>
          <w:lang w:val="zh-CN"/>
        </w:rPr>
        <w:t>无。</w:t>
      </w:r>
    </w:p>
    <w:p w14:paraId="39474841">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sz w:val="32"/>
          <w:szCs w:val="32"/>
          <w:lang w:val="zh-CN"/>
        </w:rPr>
      </w:pPr>
      <w:r>
        <w:rPr>
          <w:rFonts w:hint="eastAsia" w:ascii="楷体_GB2312" w:hAnsi="楷体_GB2312" w:eastAsia="楷体_GB2312" w:cs="楷体_GB2312"/>
          <w:sz w:val="32"/>
          <w:szCs w:val="32"/>
        </w:rPr>
        <w:t>3.基础设施。</w:t>
      </w:r>
      <w:r>
        <w:rPr>
          <w:rFonts w:hint="eastAsia" w:ascii="仿宋_GB2312" w:hAnsi="宋体" w:eastAsia="仿宋_GB2312" w:cs="Times New Roman"/>
          <w:sz w:val="32"/>
          <w:szCs w:val="32"/>
          <w:lang w:val="zh-CN"/>
        </w:rPr>
        <w:t>无。</w:t>
      </w:r>
    </w:p>
    <w:p w14:paraId="3F1C5B66">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sz w:val="32"/>
          <w:szCs w:val="32"/>
          <w:lang w:val="zh-CN"/>
        </w:rPr>
      </w:pPr>
      <w:r>
        <w:rPr>
          <w:rFonts w:hint="eastAsia" w:ascii="楷体_GB2312" w:hAnsi="楷体_GB2312" w:eastAsia="楷体_GB2312" w:cs="楷体_GB2312"/>
          <w:sz w:val="32"/>
          <w:szCs w:val="32"/>
        </w:rPr>
        <w:t>4.</w:t>
      </w:r>
      <w:r>
        <w:rPr>
          <w:rFonts w:hint="eastAsia" w:ascii="楷体_GB2312" w:hAnsi="楷体_GB2312" w:eastAsia="楷体_GB2312" w:cs="楷体_GB2312"/>
          <w:sz w:val="32"/>
          <w:szCs w:val="32"/>
          <w:lang w:val="zh-CN"/>
        </w:rPr>
        <w:t>行政运转。</w:t>
      </w:r>
    </w:p>
    <w:p w14:paraId="5AC91779">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lang w:val="zh-CN"/>
        </w:rPr>
      </w:pPr>
      <w:r>
        <w:rPr>
          <w:rFonts w:hint="eastAsia" w:ascii="仿宋_GB2312" w:hAnsi="宋体" w:eastAsia="仿宋_GB2312" w:cs="Times New Roman"/>
          <w:sz w:val="32"/>
          <w:szCs w:val="32"/>
          <w:lang w:val="zh-CN"/>
        </w:rPr>
        <w:t xml:space="preserve">项目由单位牵头，联合当地文旅局等组建项目组。统筹资源、对接乡镇部门。期间各单位分工明确，构建起职责清晰、协同有序的管理体系，有力推动田野调查工作按计划开展。 </w:t>
      </w:r>
    </w:p>
    <w:p w14:paraId="74F5BF52">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宋体" w:eastAsia="仿宋_GB2312" w:cs="Times New Roman"/>
          <w:sz w:val="32"/>
          <w:szCs w:val="32"/>
          <w:lang w:val="zh-CN"/>
        </w:rPr>
      </w:pPr>
      <w:r>
        <w:rPr>
          <w:rFonts w:ascii="Times New Roman" w:hAnsi="Times New Roman" w:eastAsia="楷体_GB2312" w:cs="Times New Roman"/>
          <w:b/>
          <w:sz w:val="32"/>
          <w:szCs w:val="32"/>
          <w:lang w:val="zh-CN"/>
        </w:rPr>
        <w:t>（三）个性指标绩效分析。</w:t>
      </w:r>
      <w:r>
        <w:rPr>
          <w:rFonts w:hint="eastAsia" w:ascii="仿宋_GB2312" w:hAnsi="宋体" w:eastAsia="仿宋_GB2312" w:cs="Times New Roman"/>
          <w:sz w:val="32"/>
          <w:szCs w:val="32"/>
          <w:lang w:val="zh-CN"/>
        </w:rPr>
        <w:t>本次文物普查个性绩效指标围绕普查覆盖率、数据准确率、成果完成率、经费合规率、社会知晓率五大核心维度设置，突出文物资源调查的真实性、完整性、规范性、时效性，聚焦“摸清家底、建立档案、规范管理、长效应用”目标，确保指标可量化、可考核、可核验，体现文物普查专项工作的专业性与公益性特点。</w:t>
      </w:r>
    </w:p>
    <w:p w14:paraId="2EDDED8B">
      <w:pPr>
        <w:pStyle w:val="6"/>
        <w:keepNext w:val="0"/>
        <w:keepLines w:val="0"/>
        <w:pageBreakBefore w:val="0"/>
        <w:widowControl/>
        <w:tabs>
          <w:tab w:val="left" w:pos="2160"/>
        </w:tabs>
        <w:kinsoku/>
        <w:wordWrap/>
        <w:overflowPunct/>
        <w:topLinePunct w:val="0"/>
        <w:autoSpaceDE/>
        <w:autoSpaceDN/>
        <w:bidi w:val="0"/>
        <w:spacing w:beforeLines="-2147483648" w:line="560" w:lineRule="exact"/>
        <w:ind w:firstLine="640" w:firstLineChars="200"/>
        <w:jc w:val="left"/>
        <w:textAlignment w:val="auto"/>
        <w:rPr>
          <w:rFonts w:hint="eastAsia" w:ascii="黑体" w:hAnsi="宋体" w:eastAsia="黑体" w:cs="Times New Roman"/>
          <w:position w:val="3"/>
          <w:sz w:val="32"/>
          <w:szCs w:val="32"/>
          <w:lang w:eastAsia="zh-CN"/>
        </w:rPr>
      </w:pPr>
      <w:r>
        <w:rPr>
          <w:rFonts w:hint="eastAsia" w:ascii="黑体" w:hAnsi="宋体" w:eastAsia="黑体" w:cs="Times New Roman"/>
          <w:position w:val="3"/>
          <w:sz w:val="32"/>
          <w:szCs w:val="32"/>
          <w:lang w:eastAsia="zh-CN"/>
        </w:rPr>
        <w:t>四、评价结论</w:t>
      </w:r>
    </w:p>
    <w:p w14:paraId="5BAF74C0">
      <w:pPr>
        <w:pStyle w:val="6"/>
        <w:keepNext w:val="0"/>
        <w:keepLines w:val="0"/>
        <w:pageBreakBefore w:val="0"/>
        <w:tabs>
          <w:tab w:val="left" w:pos="2160"/>
        </w:tabs>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position w:val="0"/>
          <w:sz w:val="32"/>
          <w:szCs w:val="32"/>
          <w:lang w:val="zh-CN" w:eastAsia="zh-CN" w:bidi="ar-SA"/>
        </w:rPr>
      </w:pPr>
      <w:r>
        <w:rPr>
          <w:rFonts w:hint="eastAsia" w:ascii="Times New Roman" w:hAnsi="Times New Roman" w:eastAsia="仿宋_GB2312" w:cs="Times New Roman"/>
          <w:kern w:val="2"/>
          <w:position w:val="0"/>
          <w:sz w:val="32"/>
          <w:szCs w:val="32"/>
          <w:lang w:val="zh-CN" w:eastAsia="zh-CN" w:bidi="ar-SA"/>
        </w:rPr>
        <w:t>评估情况良好，单位严格按照程序要求，完成目标任务，自评得分</w:t>
      </w:r>
      <w:r>
        <w:rPr>
          <w:rFonts w:hint="eastAsia" w:ascii="仿宋" w:hAnsi="仿宋" w:eastAsia="仿宋" w:cs="仿宋"/>
          <w:color w:val="000000"/>
          <w:kern w:val="0"/>
          <w:sz w:val="32"/>
          <w:szCs w:val="32"/>
          <w:highlight w:val="none"/>
          <w:shd w:val="clear" w:color="auto" w:fill="FFFFFF"/>
          <w:lang w:val="en-US" w:eastAsia="zh-CN" w:bidi="ar-SA"/>
        </w:rPr>
        <w:t>95</w:t>
      </w:r>
      <w:r>
        <w:rPr>
          <w:rFonts w:hint="eastAsia" w:ascii="仿宋" w:hAnsi="仿宋" w:eastAsia="仿宋" w:cs="仿宋"/>
          <w:color w:val="000000"/>
          <w:kern w:val="0"/>
          <w:sz w:val="32"/>
          <w:szCs w:val="32"/>
          <w:highlight w:val="none"/>
          <w:shd w:val="clear" w:color="auto" w:fill="FFFFFF"/>
          <w:lang w:val="zh-CN" w:eastAsia="zh-CN" w:bidi="ar-SA"/>
        </w:rPr>
        <w:t>分</w:t>
      </w:r>
      <w:r>
        <w:rPr>
          <w:rFonts w:hint="eastAsia" w:ascii="Times New Roman" w:hAnsi="Times New Roman" w:eastAsia="仿宋_GB2312" w:cs="Times New Roman"/>
          <w:kern w:val="2"/>
          <w:position w:val="0"/>
          <w:sz w:val="32"/>
          <w:szCs w:val="32"/>
          <w:lang w:val="zh-CN" w:eastAsia="zh-CN" w:bidi="ar-SA"/>
        </w:rPr>
        <w:t>。</w:t>
      </w:r>
    </w:p>
    <w:p w14:paraId="325C2BF7">
      <w:pPr>
        <w:pStyle w:val="6"/>
        <w:keepNext w:val="0"/>
        <w:keepLines w:val="0"/>
        <w:pageBreakBefore w:val="0"/>
        <w:widowControl/>
        <w:tabs>
          <w:tab w:val="left" w:pos="2160"/>
        </w:tabs>
        <w:kinsoku/>
        <w:wordWrap/>
        <w:overflowPunct/>
        <w:topLinePunct w:val="0"/>
        <w:autoSpaceDE/>
        <w:autoSpaceDN/>
        <w:bidi w:val="0"/>
        <w:spacing w:beforeLines="-2147483648" w:line="560" w:lineRule="exact"/>
        <w:ind w:firstLine="640" w:firstLineChars="200"/>
        <w:jc w:val="left"/>
        <w:textAlignment w:val="auto"/>
        <w:rPr>
          <w:rFonts w:hint="eastAsia" w:ascii="黑体" w:hAnsi="宋体" w:eastAsia="黑体" w:cs="Times New Roman"/>
          <w:position w:val="3"/>
          <w:sz w:val="32"/>
          <w:szCs w:val="32"/>
          <w:lang w:eastAsia="zh-CN"/>
        </w:rPr>
      </w:pPr>
      <w:r>
        <w:rPr>
          <w:rFonts w:hint="eastAsia" w:ascii="黑体" w:hAnsi="宋体" w:eastAsia="黑体" w:cs="Times New Roman"/>
          <w:position w:val="3"/>
          <w:sz w:val="32"/>
          <w:szCs w:val="32"/>
          <w:lang w:eastAsia="zh-CN"/>
        </w:rPr>
        <w:t>五、存在主要问题</w:t>
      </w:r>
    </w:p>
    <w:p w14:paraId="3E4201C1">
      <w:pPr>
        <w:pStyle w:val="6"/>
        <w:keepNext w:val="0"/>
        <w:keepLines w:val="0"/>
        <w:pageBreakBefore w:val="0"/>
        <w:tabs>
          <w:tab w:val="left" w:pos="2160"/>
        </w:tabs>
        <w:kinsoku/>
        <w:wordWrap/>
        <w:overflowPunct/>
        <w:topLinePunct w:val="0"/>
        <w:autoSpaceDE/>
        <w:autoSpaceDN/>
        <w:bidi w:val="0"/>
        <w:spacing w:line="560" w:lineRule="exact"/>
        <w:ind w:firstLine="1280" w:firstLineChars="400"/>
        <w:textAlignment w:val="auto"/>
        <w:rPr>
          <w:rFonts w:hint="eastAsia" w:ascii="Times New Roman" w:hAnsi="Times New Roman" w:eastAsia="仿宋_GB2312" w:cs="Times New Roman"/>
          <w:kern w:val="2"/>
          <w:position w:val="0"/>
          <w:sz w:val="32"/>
          <w:szCs w:val="32"/>
          <w:lang w:val="zh-CN" w:eastAsia="zh-CN" w:bidi="ar-SA"/>
        </w:rPr>
      </w:pPr>
      <w:r>
        <w:rPr>
          <w:rFonts w:hint="eastAsia" w:ascii="Times New Roman" w:hAnsi="Times New Roman" w:eastAsia="仿宋_GB2312" w:cs="Times New Roman"/>
          <w:kern w:val="2"/>
          <w:position w:val="0"/>
          <w:sz w:val="32"/>
          <w:szCs w:val="32"/>
          <w:lang w:val="zh-CN" w:eastAsia="zh-CN" w:bidi="ar-SA"/>
        </w:rPr>
        <w:t>无。</w:t>
      </w:r>
    </w:p>
    <w:p w14:paraId="66AF0544">
      <w:pPr>
        <w:pStyle w:val="6"/>
        <w:keepNext w:val="0"/>
        <w:keepLines w:val="0"/>
        <w:pageBreakBefore w:val="0"/>
        <w:widowControl/>
        <w:tabs>
          <w:tab w:val="left" w:pos="2160"/>
        </w:tabs>
        <w:kinsoku/>
        <w:wordWrap/>
        <w:overflowPunct/>
        <w:topLinePunct w:val="0"/>
        <w:autoSpaceDE/>
        <w:autoSpaceDN/>
        <w:bidi w:val="0"/>
        <w:spacing w:beforeLines="-2147483648" w:line="560" w:lineRule="exact"/>
        <w:ind w:firstLine="640" w:firstLineChars="200"/>
        <w:jc w:val="left"/>
        <w:textAlignment w:val="auto"/>
        <w:rPr>
          <w:rFonts w:hint="eastAsia" w:ascii="黑体" w:hAnsi="宋体" w:eastAsia="黑体" w:cs="Times New Roman"/>
          <w:position w:val="3"/>
          <w:sz w:val="32"/>
          <w:szCs w:val="32"/>
          <w:lang w:val="zh-CN" w:eastAsia="zh-CN"/>
        </w:rPr>
      </w:pPr>
      <w:r>
        <w:rPr>
          <w:rFonts w:hint="eastAsia" w:ascii="黑体" w:hAnsi="宋体" w:eastAsia="黑体" w:cs="Times New Roman"/>
          <w:position w:val="3"/>
          <w:sz w:val="32"/>
          <w:szCs w:val="32"/>
          <w:lang w:val="zh-CN" w:eastAsia="zh-CN"/>
        </w:rPr>
        <w:t>六、改进建议</w:t>
      </w:r>
    </w:p>
    <w:p w14:paraId="28576FC4">
      <w:pPr>
        <w:pStyle w:val="6"/>
        <w:keepNext w:val="0"/>
        <w:keepLines w:val="0"/>
        <w:pageBreakBefore w:val="0"/>
        <w:tabs>
          <w:tab w:val="left" w:pos="2160"/>
        </w:tabs>
        <w:kinsoku/>
        <w:wordWrap/>
        <w:overflowPunct/>
        <w:topLinePunct w:val="0"/>
        <w:autoSpaceDE/>
        <w:autoSpaceDN/>
        <w:bidi w:val="0"/>
        <w:spacing w:line="560" w:lineRule="exact"/>
        <w:ind w:firstLine="1600" w:firstLineChars="500"/>
        <w:textAlignment w:val="auto"/>
        <w:rPr>
          <w:rFonts w:hint="eastAsia" w:ascii="Times New Roman" w:hAnsi="Times New Roman" w:eastAsia="仿宋_GB2312" w:cs="Times New Roman"/>
          <w:kern w:val="2"/>
          <w:position w:val="0"/>
          <w:sz w:val="32"/>
          <w:szCs w:val="32"/>
          <w:lang w:val="zh-CN" w:eastAsia="zh-CN" w:bidi="ar-SA"/>
        </w:rPr>
      </w:pPr>
      <w:r>
        <w:rPr>
          <w:rFonts w:hint="eastAsia" w:ascii="Times New Roman" w:hAnsi="Times New Roman" w:eastAsia="仿宋_GB2312" w:cs="Times New Roman"/>
          <w:kern w:val="2"/>
          <w:position w:val="0"/>
          <w:sz w:val="32"/>
          <w:szCs w:val="32"/>
          <w:lang w:val="zh-CN" w:eastAsia="zh-CN" w:bidi="ar-SA"/>
        </w:rPr>
        <w:t>无。</w:t>
      </w:r>
    </w:p>
    <w:p w14:paraId="53C67EDF">
      <w:pPr>
        <w:pStyle w:val="10"/>
        <w:rPr>
          <w:rFonts w:hint="default"/>
          <w:lang w:val="en-US" w:eastAsia="zh-CN"/>
        </w:rPr>
      </w:pPr>
    </w:p>
    <w:p w14:paraId="44421B1D">
      <w:pPr>
        <w:rPr>
          <w:rFonts w:hint="eastAsia"/>
        </w:rPr>
      </w:pPr>
    </w:p>
    <w:p w14:paraId="75783AB5">
      <w:pPr>
        <w:rPr>
          <w:rFonts w:hint="eastAsia"/>
        </w:rPr>
      </w:pPr>
      <w:r>
        <w:rPr>
          <w:rFonts w:hint="eastAsia" w:ascii="仿宋" w:hAnsi="仿宋" w:eastAsia="仿宋" w:cs="仿宋"/>
          <w:color w:val="000000"/>
          <w:kern w:val="0"/>
          <w:sz w:val="32"/>
          <w:szCs w:val="32"/>
          <w:highlight w:val="none"/>
          <w:shd w:val="clear" w:color="auto" w:fill="FFFFFF"/>
          <w:lang w:val="en-US" w:eastAsia="zh-CN"/>
        </w:rPr>
        <w:t>附表3：第四次全国文物普查预算项目绩效目标完成情况自评表</w:t>
      </w:r>
    </w:p>
    <w:tbl>
      <w:tblPr>
        <w:tblStyle w:val="20"/>
        <w:tblW w:w="10086" w:type="dxa"/>
        <w:tblInd w:w="-43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02"/>
        <w:gridCol w:w="1259"/>
        <w:gridCol w:w="1101"/>
        <w:gridCol w:w="1401"/>
        <w:gridCol w:w="396"/>
        <w:gridCol w:w="1023"/>
        <w:gridCol w:w="396"/>
        <w:gridCol w:w="771"/>
        <w:gridCol w:w="486"/>
        <w:gridCol w:w="396"/>
        <w:gridCol w:w="1755"/>
      </w:tblGrid>
      <w:tr w14:paraId="58D5B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3" w:hRule="atLeast"/>
        </w:trPr>
        <w:tc>
          <w:tcPr>
            <w:tcW w:w="1008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8CF406D">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2A2A1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atLeast"/>
        </w:trPr>
        <w:tc>
          <w:tcPr>
            <w:tcW w:w="23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0FC1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2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BCEC8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第四次全国文物普查</w:t>
            </w:r>
          </w:p>
        </w:tc>
      </w:tr>
      <w:tr w14:paraId="3A16C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23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CAF4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3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52D0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阿坝藏族羌族自治州文化广播电视和旅游局</w:t>
            </w:r>
          </w:p>
        </w:tc>
        <w:tc>
          <w:tcPr>
            <w:tcW w:w="771" w:type="dxa"/>
            <w:tcBorders>
              <w:top w:val="nil"/>
              <w:left w:val="nil"/>
              <w:bottom w:val="nil"/>
              <w:right w:val="nil"/>
            </w:tcBorders>
            <w:shd w:val="clear" w:color="auto" w:fill="auto"/>
            <w:vAlign w:val="center"/>
          </w:tcPr>
          <w:p w14:paraId="70C8D78B">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26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A3E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阿坝藏族羌族自治州文物考古研究所</w:t>
            </w:r>
          </w:p>
        </w:tc>
      </w:tr>
      <w:tr w14:paraId="3F123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atLeast"/>
        </w:trPr>
        <w:tc>
          <w:tcPr>
            <w:tcW w:w="11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AB6B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7D7D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3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E23E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4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559F02">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14:paraId="64B7A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5"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F3CC2">
            <w:pPr>
              <w:rPr>
                <w:rFonts w:hint="eastAsia" w:ascii="宋体" w:hAnsi="宋体" w:eastAsia="宋体" w:cs="宋体"/>
                <w:i w:val="0"/>
                <w:iCs w:val="0"/>
                <w:color w:val="000000"/>
                <w:sz w:val="18"/>
                <w:szCs w:val="18"/>
                <w:u w:val="none"/>
              </w:rPr>
            </w:pPr>
          </w:p>
        </w:tc>
        <w:tc>
          <w:tcPr>
            <w:tcW w:w="12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97B10">
            <w:pPr>
              <w:rPr>
                <w:rFonts w:hint="eastAsia" w:ascii="宋体" w:hAnsi="宋体" w:eastAsia="宋体" w:cs="宋体"/>
                <w:i w:val="0"/>
                <w:iCs w:val="0"/>
                <w:color w:val="000000"/>
                <w:sz w:val="18"/>
                <w:szCs w:val="18"/>
                <w:u w:val="none"/>
              </w:rPr>
            </w:pPr>
          </w:p>
        </w:tc>
        <w:tc>
          <w:tcPr>
            <w:tcW w:w="43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7120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全面完成辖区内不可移动文物实地调查。</w:t>
            </w:r>
          </w:p>
        </w:tc>
        <w:tc>
          <w:tcPr>
            <w:tcW w:w="340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ED59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目前已完成初验。</w:t>
            </w:r>
          </w:p>
        </w:tc>
      </w:tr>
      <w:tr w14:paraId="051AE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220E5">
            <w:pPr>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73D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2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B41E0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国家和省文物局和州政府安排，2025年将全面开展第四次全国文物普查实地调查工作，本单位根据州普查队职责承担对全州普查人员的培训和现场业务指导工作。整体目标为全面完成实地调查工作。此次普查，将以习近平新时代中国特色社会主义思想为指导，深入贯彻党的二十大精神，认真贯彻落实党中央关于坚持保护第一、加强管理、挖掘价值、有效利用、让文物活起来的工作要求，周密组织部署，确保普查结果全面客观反映我州不可移动文物资源基本状况，为社会、经济、文化建设发展提供基础信息。</w:t>
            </w:r>
          </w:p>
        </w:tc>
      </w:tr>
      <w:tr w14:paraId="46CF1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11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A10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D6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E5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B8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39B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DA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F3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503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7A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91CB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8B9B8">
            <w:pPr>
              <w:jc w:val="center"/>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7E7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B79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5A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4AB1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13.95</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78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69.76%</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06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756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7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1F7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该项目为3年项目，2026年完成。</w:t>
            </w:r>
          </w:p>
        </w:tc>
      </w:tr>
      <w:tr w14:paraId="4495A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82DE2">
            <w:pPr>
              <w:jc w:val="center"/>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6A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22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B4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w:t>
            </w: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143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13.95</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EC9CF">
            <w:pPr>
              <w:jc w:val="cente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9A7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E0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7566C">
            <w:pPr>
              <w:jc w:val="center"/>
              <w:rPr>
                <w:rFonts w:hint="eastAsia" w:ascii="宋体" w:hAnsi="宋体" w:eastAsia="宋体" w:cs="宋体"/>
                <w:i w:val="0"/>
                <w:iCs w:val="0"/>
                <w:color w:val="000000"/>
                <w:sz w:val="18"/>
                <w:szCs w:val="18"/>
                <w:u w:val="none"/>
              </w:rPr>
            </w:pPr>
          </w:p>
        </w:tc>
      </w:tr>
      <w:tr w14:paraId="5BFD5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4CDDF">
            <w:pPr>
              <w:jc w:val="center"/>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DA0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6862D">
            <w:pPr>
              <w:jc w:val="center"/>
              <w:rPr>
                <w:rFonts w:hint="eastAsia" w:ascii="宋体" w:hAnsi="宋体" w:eastAsia="宋体" w:cs="宋体"/>
                <w:i w:val="0"/>
                <w:iCs w:val="0"/>
                <w:color w:val="000000"/>
                <w:sz w:val="18"/>
                <w:szCs w:val="18"/>
                <w:u w:val="none"/>
              </w:rPr>
            </w:pP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C9A1C">
            <w:pPr>
              <w:jc w:val="center"/>
              <w:rPr>
                <w:rFonts w:hint="eastAsia" w:ascii="宋体" w:hAnsi="宋体" w:eastAsia="宋体" w:cs="宋体"/>
                <w:i w:val="0"/>
                <w:iCs w:val="0"/>
                <w:color w:val="000000"/>
                <w:sz w:val="18"/>
                <w:szCs w:val="18"/>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829EE0">
            <w:pPr>
              <w:jc w:val="center"/>
              <w:rPr>
                <w:rFonts w:hint="eastAsia" w:ascii="宋体" w:hAnsi="宋体" w:eastAsia="宋体" w:cs="宋体"/>
                <w:i w:val="0"/>
                <w:iCs w:val="0"/>
                <w:color w:val="000000"/>
                <w:sz w:val="18"/>
                <w:szCs w:val="18"/>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FE151">
            <w:pPr>
              <w:jc w:val="cente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5F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87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CA839">
            <w:pPr>
              <w:jc w:val="center"/>
              <w:rPr>
                <w:rFonts w:hint="eastAsia" w:ascii="宋体" w:hAnsi="宋体" w:eastAsia="宋体" w:cs="宋体"/>
                <w:i w:val="0"/>
                <w:iCs w:val="0"/>
                <w:color w:val="000000"/>
                <w:sz w:val="18"/>
                <w:szCs w:val="18"/>
                <w:u w:val="none"/>
              </w:rPr>
            </w:pPr>
          </w:p>
        </w:tc>
      </w:tr>
      <w:tr w14:paraId="31BD8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3"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ABD88">
            <w:pPr>
              <w:jc w:val="center"/>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8D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D300F">
            <w:pPr>
              <w:jc w:val="center"/>
              <w:rPr>
                <w:rFonts w:hint="eastAsia" w:ascii="宋体" w:hAnsi="宋体" w:eastAsia="宋体" w:cs="宋体"/>
                <w:i w:val="0"/>
                <w:iCs w:val="0"/>
                <w:color w:val="000000"/>
                <w:sz w:val="18"/>
                <w:szCs w:val="18"/>
                <w:u w:val="none"/>
              </w:rPr>
            </w:pP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0CDED">
            <w:pPr>
              <w:jc w:val="center"/>
              <w:rPr>
                <w:rFonts w:hint="eastAsia" w:ascii="宋体" w:hAnsi="宋体" w:eastAsia="宋体" w:cs="宋体"/>
                <w:i w:val="0"/>
                <w:iCs w:val="0"/>
                <w:color w:val="000000"/>
                <w:sz w:val="18"/>
                <w:szCs w:val="18"/>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94AD51">
            <w:pPr>
              <w:jc w:val="center"/>
              <w:rPr>
                <w:rFonts w:hint="eastAsia" w:ascii="宋体" w:hAnsi="宋体" w:eastAsia="宋体" w:cs="宋体"/>
                <w:i w:val="0"/>
                <w:iCs w:val="0"/>
                <w:color w:val="000000"/>
                <w:sz w:val="18"/>
                <w:szCs w:val="18"/>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3A3E1">
            <w:pPr>
              <w:jc w:val="center"/>
              <w:rPr>
                <w:rFonts w:hint="eastAsia" w:ascii="宋体" w:hAnsi="宋体" w:eastAsia="宋体" w:cs="宋体"/>
                <w:i w:val="0"/>
                <w:iCs w:val="0"/>
                <w:color w:val="000000"/>
                <w:sz w:val="18"/>
                <w:szCs w:val="18"/>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DC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F94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A32CE">
            <w:pPr>
              <w:jc w:val="center"/>
              <w:rPr>
                <w:rFonts w:hint="eastAsia" w:ascii="宋体" w:hAnsi="宋体" w:eastAsia="宋体" w:cs="宋体"/>
                <w:i w:val="0"/>
                <w:iCs w:val="0"/>
                <w:color w:val="000000"/>
                <w:sz w:val="18"/>
                <w:szCs w:val="18"/>
                <w:u w:val="none"/>
              </w:rPr>
            </w:pPr>
          </w:p>
        </w:tc>
      </w:tr>
      <w:tr w14:paraId="52D17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587E9">
            <w:pPr>
              <w:jc w:val="center"/>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86E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DBC7B">
            <w:pPr>
              <w:jc w:val="center"/>
              <w:rPr>
                <w:rFonts w:hint="eastAsia" w:ascii="微软雅黑" w:hAnsi="微软雅黑" w:eastAsia="微软雅黑" w:cs="微软雅黑"/>
                <w:i/>
                <w:iCs/>
                <w:color w:val="000000"/>
                <w:sz w:val="16"/>
                <w:szCs w:val="16"/>
                <w:u w:val="none"/>
              </w:rPr>
            </w:pP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4CA80">
            <w:pPr>
              <w:jc w:val="center"/>
              <w:rPr>
                <w:rFonts w:hint="default" w:ascii="微软雅黑" w:hAnsi="微软雅黑" w:eastAsia="微软雅黑" w:cs="微软雅黑"/>
                <w:i/>
                <w:iCs/>
                <w:color w:val="000000"/>
                <w:sz w:val="16"/>
                <w:szCs w:val="16"/>
                <w:u w:val="none"/>
              </w:rPr>
            </w:pPr>
          </w:p>
        </w:tc>
        <w:tc>
          <w:tcPr>
            <w:tcW w:w="18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59647D">
            <w:pPr>
              <w:jc w:val="center"/>
              <w:rPr>
                <w:rFonts w:hint="default" w:ascii="微软雅黑" w:hAnsi="微软雅黑" w:eastAsia="微软雅黑" w:cs="微软雅黑"/>
                <w:i/>
                <w:iCs/>
                <w:color w:val="000000"/>
                <w:sz w:val="16"/>
                <w:szCs w:val="16"/>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42C61">
            <w:pPr>
              <w:jc w:val="center"/>
              <w:rPr>
                <w:rFonts w:hint="default" w:ascii="微软雅黑" w:hAnsi="微软雅黑" w:eastAsia="微软雅黑" w:cs="微软雅黑"/>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B6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28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60751">
            <w:pPr>
              <w:jc w:val="center"/>
              <w:rPr>
                <w:rFonts w:hint="eastAsia" w:ascii="宋体" w:hAnsi="宋体" w:eastAsia="宋体" w:cs="宋体"/>
                <w:i w:val="0"/>
                <w:iCs w:val="0"/>
                <w:color w:val="000000"/>
                <w:sz w:val="18"/>
                <w:szCs w:val="18"/>
                <w:u w:val="none"/>
              </w:rPr>
            </w:pPr>
          </w:p>
        </w:tc>
      </w:tr>
      <w:tr w14:paraId="3CB10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1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C15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9A4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F59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8C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278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38A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AA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35F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B6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D6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1A8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C2F2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AD5F3">
            <w:pPr>
              <w:jc w:val="center"/>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79D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C00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8E1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查工作涉及县（市）数量</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6B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DF1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70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A244C">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9B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FA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755" w:type="dxa"/>
            <w:tcBorders>
              <w:top w:val="nil"/>
              <w:left w:val="single" w:color="000000" w:sz="4" w:space="0"/>
              <w:bottom w:val="single" w:color="000000" w:sz="4" w:space="0"/>
              <w:right w:val="single" w:color="000000" w:sz="4" w:space="0"/>
            </w:tcBorders>
            <w:shd w:val="clear" w:color="auto" w:fill="auto"/>
            <w:vAlign w:val="center"/>
          </w:tcPr>
          <w:p w14:paraId="4AB13B2D">
            <w:pPr>
              <w:rPr>
                <w:rFonts w:hint="eastAsia" w:ascii="宋体" w:hAnsi="宋体" w:eastAsia="宋体" w:cs="宋体"/>
                <w:i w:val="0"/>
                <w:iCs w:val="0"/>
                <w:color w:val="000000"/>
                <w:sz w:val="18"/>
                <w:szCs w:val="18"/>
                <w:u w:val="none"/>
              </w:rPr>
            </w:pPr>
          </w:p>
        </w:tc>
      </w:tr>
      <w:tr w14:paraId="7BBBE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C42C7">
            <w:pPr>
              <w:jc w:val="center"/>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72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AA2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8FE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文物普查实地调查完成率。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35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090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DA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DA84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nil"/>
              <w:right w:val="single" w:color="000000" w:sz="4" w:space="0"/>
            </w:tcBorders>
            <w:shd w:val="clear" w:color="auto" w:fill="auto"/>
            <w:vAlign w:val="center"/>
          </w:tcPr>
          <w:p w14:paraId="2CEA70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96" w:type="dxa"/>
            <w:tcBorders>
              <w:top w:val="single" w:color="000000" w:sz="4" w:space="0"/>
              <w:left w:val="single" w:color="000000" w:sz="4" w:space="0"/>
              <w:bottom w:val="nil"/>
              <w:right w:val="single" w:color="000000" w:sz="4" w:space="0"/>
            </w:tcBorders>
            <w:shd w:val="clear" w:color="auto" w:fill="auto"/>
            <w:vAlign w:val="center"/>
          </w:tcPr>
          <w:p w14:paraId="21002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755" w:type="dxa"/>
            <w:tcBorders>
              <w:top w:val="single" w:color="000000" w:sz="4" w:space="0"/>
              <w:left w:val="single" w:color="000000" w:sz="4" w:space="0"/>
              <w:bottom w:val="nil"/>
              <w:right w:val="single" w:color="000000" w:sz="4" w:space="0"/>
            </w:tcBorders>
            <w:shd w:val="clear" w:color="auto" w:fill="auto"/>
            <w:vAlign w:val="center"/>
          </w:tcPr>
          <w:p w14:paraId="3380DEDB">
            <w:pPr>
              <w:jc w:val="center"/>
              <w:rPr>
                <w:rFonts w:hint="eastAsia" w:ascii="宋体" w:hAnsi="宋体" w:eastAsia="宋体" w:cs="宋体"/>
                <w:i w:val="0"/>
                <w:iCs w:val="0"/>
                <w:color w:val="000000"/>
                <w:sz w:val="18"/>
                <w:szCs w:val="18"/>
                <w:u w:val="none"/>
              </w:rPr>
            </w:pPr>
          </w:p>
        </w:tc>
      </w:tr>
      <w:tr w14:paraId="130A3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39BEC">
            <w:pPr>
              <w:jc w:val="center"/>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8B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0EB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FE8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项目及时完成率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51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750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05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C75E1">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A8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18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F40B6">
            <w:pPr>
              <w:rPr>
                <w:rFonts w:hint="eastAsia" w:ascii="宋体" w:hAnsi="宋体" w:eastAsia="宋体" w:cs="宋体"/>
                <w:i w:val="0"/>
                <w:iCs w:val="0"/>
                <w:color w:val="000000"/>
                <w:sz w:val="22"/>
                <w:szCs w:val="22"/>
                <w:u w:val="none"/>
              </w:rPr>
            </w:pPr>
          </w:p>
        </w:tc>
      </w:tr>
      <w:tr w14:paraId="17019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9347F">
            <w:pPr>
              <w:jc w:val="center"/>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15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68A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79F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提高文物资源基础信息完整性。</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7F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FA5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15E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636DD">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nil"/>
              <w:left w:val="single" w:color="000000" w:sz="4" w:space="0"/>
              <w:bottom w:val="single" w:color="000000" w:sz="4" w:space="0"/>
              <w:right w:val="single" w:color="000000" w:sz="4" w:space="0"/>
            </w:tcBorders>
            <w:shd w:val="clear" w:color="auto" w:fill="auto"/>
            <w:vAlign w:val="center"/>
          </w:tcPr>
          <w:p w14:paraId="30308E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nil"/>
              <w:left w:val="single" w:color="000000" w:sz="4" w:space="0"/>
              <w:bottom w:val="single" w:color="000000" w:sz="4" w:space="0"/>
              <w:right w:val="nil"/>
            </w:tcBorders>
            <w:shd w:val="clear" w:color="auto" w:fill="auto"/>
            <w:vAlign w:val="center"/>
          </w:tcPr>
          <w:p w14:paraId="077BD0FE">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3BA50">
            <w:pPr>
              <w:rPr>
                <w:rFonts w:hint="eastAsia" w:ascii="宋体" w:hAnsi="宋体" w:eastAsia="宋体" w:cs="宋体"/>
                <w:i w:val="0"/>
                <w:iCs w:val="0"/>
                <w:color w:val="000000"/>
                <w:sz w:val="22"/>
                <w:szCs w:val="22"/>
                <w:u w:val="none"/>
              </w:rPr>
            </w:pPr>
          </w:p>
        </w:tc>
      </w:tr>
      <w:tr w14:paraId="16A9B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A79E2">
            <w:pPr>
              <w:jc w:val="center"/>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048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682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E15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持续保护文物点。</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10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DC2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22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FAA49">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nil"/>
              <w:left w:val="single" w:color="000000" w:sz="4" w:space="0"/>
              <w:bottom w:val="single" w:color="000000" w:sz="4" w:space="0"/>
              <w:right w:val="single" w:color="000000" w:sz="4" w:space="0"/>
            </w:tcBorders>
            <w:shd w:val="clear" w:color="auto" w:fill="auto"/>
            <w:vAlign w:val="center"/>
          </w:tcPr>
          <w:p w14:paraId="032F50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nil"/>
              <w:left w:val="single" w:color="000000" w:sz="4" w:space="0"/>
              <w:bottom w:val="single" w:color="000000" w:sz="4" w:space="0"/>
              <w:right w:val="nil"/>
            </w:tcBorders>
            <w:shd w:val="clear" w:color="auto" w:fill="auto"/>
            <w:vAlign w:val="center"/>
          </w:tcPr>
          <w:p w14:paraId="6D91893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E4A59">
            <w:pPr>
              <w:rPr>
                <w:rFonts w:hint="eastAsia" w:ascii="宋体" w:hAnsi="宋体" w:eastAsia="宋体" w:cs="宋体"/>
                <w:i w:val="0"/>
                <w:iCs w:val="0"/>
                <w:color w:val="000000"/>
                <w:sz w:val="22"/>
                <w:szCs w:val="22"/>
                <w:u w:val="none"/>
              </w:rPr>
            </w:pPr>
          </w:p>
        </w:tc>
      </w:tr>
      <w:tr w14:paraId="51B98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370AD">
            <w:pPr>
              <w:jc w:val="center"/>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C7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F1D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9C1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社会公众满意度。</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47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0DA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22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B874E">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nil"/>
              <w:left w:val="single" w:color="000000" w:sz="4" w:space="0"/>
              <w:bottom w:val="single" w:color="000000" w:sz="4" w:space="0"/>
              <w:right w:val="single" w:color="000000" w:sz="4" w:space="0"/>
            </w:tcBorders>
            <w:shd w:val="clear" w:color="auto" w:fill="auto"/>
            <w:vAlign w:val="center"/>
          </w:tcPr>
          <w:p w14:paraId="5C1E2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96" w:type="dxa"/>
            <w:tcBorders>
              <w:top w:val="nil"/>
              <w:left w:val="single" w:color="000000" w:sz="4" w:space="0"/>
              <w:bottom w:val="single" w:color="000000" w:sz="4" w:space="0"/>
              <w:right w:val="nil"/>
            </w:tcBorders>
            <w:shd w:val="clear" w:color="auto" w:fill="auto"/>
            <w:vAlign w:val="center"/>
          </w:tcPr>
          <w:p w14:paraId="2B1E557E">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755" w:type="dxa"/>
            <w:tcBorders>
              <w:top w:val="single" w:color="000000" w:sz="4" w:space="0"/>
              <w:left w:val="single" w:color="000000" w:sz="4" w:space="0"/>
              <w:bottom w:val="nil"/>
              <w:right w:val="single" w:color="000000" w:sz="4" w:space="0"/>
            </w:tcBorders>
            <w:shd w:val="clear" w:color="auto" w:fill="auto"/>
            <w:vAlign w:val="center"/>
          </w:tcPr>
          <w:p w14:paraId="190E83B3">
            <w:pPr>
              <w:jc w:val="center"/>
              <w:rPr>
                <w:rFonts w:hint="eastAsia" w:ascii="宋体" w:hAnsi="宋体" w:eastAsia="宋体" w:cs="宋体"/>
                <w:i w:val="0"/>
                <w:iCs w:val="0"/>
                <w:color w:val="000000"/>
                <w:sz w:val="18"/>
                <w:szCs w:val="18"/>
                <w:u w:val="none"/>
              </w:rPr>
            </w:pPr>
          </w:p>
        </w:tc>
      </w:tr>
      <w:tr w14:paraId="01E89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trPr>
        <w:tc>
          <w:tcPr>
            <w:tcW w:w="11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BB906">
            <w:pPr>
              <w:jc w:val="center"/>
              <w:rPr>
                <w:rFonts w:hint="eastAsia" w:ascii="宋体" w:hAnsi="宋体" w:eastAsia="宋体" w:cs="宋体"/>
                <w:i w:val="0"/>
                <w:iCs w:val="0"/>
                <w:color w:val="000000"/>
                <w:sz w:val="18"/>
                <w:szCs w:val="18"/>
                <w:u w:val="none"/>
              </w:rPr>
            </w:pPr>
          </w:p>
        </w:tc>
        <w:tc>
          <w:tcPr>
            <w:tcW w:w="1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DB9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DDC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3E9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人员培训成本控制率</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F1E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526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EE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A496">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6" w:type="dxa"/>
            <w:tcBorders>
              <w:top w:val="nil"/>
              <w:left w:val="single" w:color="000000" w:sz="4" w:space="0"/>
              <w:bottom w:val="single" w:color="000000" w:sz="4" w:space="0"/>
              <w:right w:val="single" w:color="000000" w:sz="4" w:space="0"/>
            </w:tcBorders>
            <w:shd w:val="clear" w:color="auto" w:fill="auto"/>
            <w:vAlign w:val="center"/>
          </w:tcPr>
          <w:p w14:paraId="0FEBE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96" w:type="dxa"/>
            <w:tcBorders>
              <w:top w:val="nil"/>
              <w:left w:val="single" w:color="000000" w:sz="4" w:space="0"/>
              <w:bottom w:val="single" w:color="000000" w:sz="4" w:space="0"/>
              <w:right w:val="nil"/>
            </w:tcBorders>
            <w:shd w:val="clear" w:color="auto" w:fill="auto"/>
            <w:vAlign w:val="center"/>
          </w:tcPr>
          <w:p w14:paraId="197D28E9">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755" w:type="dxa"/>
            <w:tcBorders>
              <w:top w:val="nil"/>
              <w:left w:val="single" w:color="000000" w:sz="4" w:space="0"/>
              <w:bottom w:val="single" w:color="000000" w:sz="4" w:space="0"/>
              <w:right w:val="single" w:color="000000" w:sz="4" w:space="0"/>
            </w:tcBorders>
            <w:shd w:val="clear" w:color="auto" w:fill="auto"/>
            <w:vAlign w:val="center"/>
          </w:tcPr>
          <w:p w14:paraId="43422660">
            <w:pPr>
              <w:rPr>
                <w:rFonts w:hint="eastAsia" w:ascii="宋体" w:hAnsi="宋体" w:eastAsia="宋体" w:cs="宋体"/>
                <w:i w:val="0"/>
                <w:iCs w:val="0"/>
                <w:color w:val="000000"/>
                <w:sz w:val="18"/>
                <w:szCs w:val="18"/>
                <w:u w:val="none"/>
              </w:rPr>
            </w:pPr>
          </w:p>
        </w:tc>
      </w:tr>
      <w:tr w14:paraId="381A6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7" w:hRule="atLeast"/>
        </w:trPr>
        <w:tc>
          <w:tcPr>
            <w:tcW w:w="744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25BB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6B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5B172">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64291">
            <w:pPr>
              <w:rPr>
                <w:rFonts w:hint="eastAsia" w:ascii="宋体" w:hAnsi="宋体" w:eastAsia="宋体" w:cs="宋体"/>
                <w:i w:val="0"/>
                <w:iCs w:val="0"/>
                <w:color w:val="000000"/>
                <w:sz w:val="18"/>
                <w:szCs w:val="18"/>
                <w:u w:val="none"/>
              </w:rPr>
            </w:pPr>
          </w:p>
        </w:tc>
      </w:tr>
      <w:tr w14:paraId="25043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63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98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7DF1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已完成。</w:t>
            </w:r>
          </w:p>
        </w:tc>
      </w:tr>
      <w:tr w14:paraId="1AE35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E82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98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4AEA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61D34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trPr>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6A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98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BEC5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w:t>
            </w:r>
          </w:p>
        </w:tc>
      </w:tr>
      <w:tr w14:paraId="25C9B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2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D56BB0">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项目负责人：李勤学</w:t>
            </w:r>
          </w:p>
        </w:tc>
        <w:tc>
          <w:tcPr>
            <w:tcW w:w="482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EA6B5C">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财务负责人：邓勇</w:t>
            </w:r>
          </w:p>
        </w:tc>
      </w:tr>
    </w:tbl>
    <w:p w14:paraId="444A7A43">
      <w:pPr>
        <w:rPr>
          <w:rFonts w:hint="eastAsia"/>
        </w:rPr>
      </w:pPr>
    </w:p>
    <w:p w14:paraId="4BD394AA">
      <w:pPr>
        <w:pStyle w:val="11"/>
        <w:numPr>
          <w:ilvl w:val="0"/>
          <w:numId w:val="0"/>
        </w:numPr>
        <w:ind w:left="1680" w:leftChars="0"/>
        <w:rPr>
          <w:rFonts w:hint="eastAsia"/>
          <w:lang w:val="en-US" w:eastAsia="zh-CN"/>
        </w:rPr>
      </w:pPr>
    </w:p>
    <w:p w14:paraId="54A1AC03">
      <w:pPr>
        <w:pStyle w:val="10"/>
        <w:rPr>
          <w:rFonts w:hint="eastAsia"/>
          <w:lang w:val="en-US" w:eastAsia="zh-CN"/>
        </w:rPr>
      </w:pPr>
    </w:p>
    <w:p w14:paraId="1C334BF6">
      <w:pPr>
        <w:pStyle w:val="10"/>
        <w:rPr>
          <w:rFonts w:hint="eastAsia"/>
          <w:lang w:val="en-US" w:eastAsia="zh-CN"/>
        </w:rPr>
      </w:pPr>
    </w:p>
    <w:tbl>
      <w:tblPr>
        <w:tblStyle w:val="20"/>
        <w:tblW w:w="10117" w:type="dxa"/>
        <w:tblInd w:w="-58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16"/>
        <w:gridCol w:w="1555"/>
        <w:gridCol w:w="841"/>
        <w:gridCol w:w="1690"/>
        <w:gridCol w:w="1059"/>
        <w:gridCol w:w="1616"/>
        <w:gridCol w:w="1840"/>
      </w:tblGrid>
      <w:tr w14:paraId="1971D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5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9A204C">
            <w:pPr>
              <w:keepNext w:val="0"/>
              <w:keepLines w:val="0"/>
              <w:widowControl/>
              <w:suppressLineNumbers w:val="0"/>
              <w:jc w:val="center"/>
              <w:textAlignment w:val="center"/>
              <w:rPr>
                <w:rFonts w:ascii="黑体" w:hAnsi="黑体" w:eastAsia="黑体" w:cs="黑体"/>
                <w:b/>
                <w:bCs/>
                <w:i w:val="0"/>
                <w:iCs w:val="0"/>
                <w:color w:val="000000"/>
                <w:sz w:val="18"/>
                <w:szCs w:val="18"/>
                <w:u w:val="none"/>
              </w:rPr>
            </w:pPr>
            <w:bookmarkStart w:id="48" w:name="_Toc15396618"/>
            <w:r>
              <w:rPr>
                <w:rFonts w:hint="eastAsia" w:ascii="黑体" w:hAnsi="黑体" w:eastAsia="黑体" w:cs="黑体"/>
                <w:b/>
                <w:bCs/>
                <w:i w:val="0"/>
                <w:iCs w:val="0"/>
                <w:color w:val="000000"/>
                <w:kern w:val="0"/>
                <w:sz w:val="18"/>
                <w:szCs w:val="18"/>
                <w:u w:val="none"/>
                <w:lang w:val="en-US" w:eastAsia="zh-CN" w:bidi="ar"/>
              </w:rPr>
              <w:t>部门代码</w:t>
            </w:r>
          </w:p>
        </w:tc>
        <w:tc>
          <w:tcPr>
            <w:tcW w:w="1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573FC5">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部门名称</w:t>
            </w:r>
          </w:p>
        </w:tc>
        <w:tc>
          <w:tcPr>
            <w:tcW w:w="8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5F5C7B">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单位代码</w:t>
            </w:r>
          </w:p>
        </w:tc>
        <w:tc>
          <w:tcPr>
            <w:tcW w:w="1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C5A4EF">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单位名称</w:t>
            </w:r>
          </w:p>
        </w:tc>
        <w:tc>
          <w:tcPr>
            <w:tcW w:w="45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36508E">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一般公共预算</w:t>
            </w:r>
          </w:p>
        </w:tc>
      </w:tr>
      <w:tr w14:paraId="2C7D7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3" w:hRule="atLeast"/>
        </w:trPr>
        <w:tc>
          <w:tcPr>
            <w:tcW w:w="15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3F2FC">
            <w:pPr>
              <w:jc w:val="center"/>
              <w:rPr>
                <w:rFonts w:hint="eastAsia" w:ascii="黑体" w:hAnsi="黑体" w:eastAsia="黑体" w:cs="黑体"/>
                <w:b/>
                <w:bCs/>
                <w:i w:val="0"/>
                <w:iCs w:val="0"/>
                <w:color w:val="000000"/>
                <w:sz w:val="18"/>
                <w:szCs w:val="18"/>
                <w:u w:val="none"/>
              </w:rPr>
            </w:pPr>
          </w:p>
        </w:tc>
        <w:tc>
          <w:tcPr>
            <w:tcW w:w="1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1F3DF">
            <w:pPr>
              <w:jc w:val="center"/>
              <w:rPr>
                <w:rFonts w:hint="eastAsia" w:ascii="黑体" w:hAnsi="黑体" w:eastAsia="黑体" w:cs="黑体"/>
                <w:b/>
                <w:bCs/>
                <w:i w:val="0"/>
                <w:iCs w:val="0"/>
                <w:color w:val="000000"/>
                <w:sz w:val="18"/>
                <w:szCs w:val="18"/>
                <w:u w:val="none"/>
              </w:rPr>
            </w:pPr>
          </w:p>
        </w:tc>
        <w:tc>
          <w:tcPr>
            <w:tcW w:w="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57A92">
            <w:pPr>
              <w:jc w:val="center"/>
              <w:rPr>
                <w:rFonts w:hint="eastAsia" w:ascii="黑体" w:hAnsi="黑体" w:eastAsia="黑体" w:cs="黑体"/>
                <w:b/>
                <w:bCs/>
                <w:i w:val="0"/>
                <w:iCs w:val="0"/>
                <w:color w:val="000000"/>
                <w:sz w:val="18"/>
                <w:szCs w:val="18"/>
                <w:u w:val="none"/>
              </w:rPr>
            </w:pPr>
          </w:p>
        </w:tc>
        <w:tc>
          <w:tcPr>
            <w:tcW w:w="1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6F5EB">
            <w:pPr>
              <w:jc w:val="center"/>
              <w:rPr>
                <w:rFonts w:hint="eastAsia" w:ascii="黑体" w:hAnsi="黑体" w:eastAsia="黑体" w:cs="黑体"/>
                <w:b/>
                <w:bCs/>
                <w:i w:val="0"/>
                <w:iCs w:val="0"/>
                <w:color w:val="000000"/>
                <w:sz w:val="18"/>
                <w:szCs w:val="18"/>
                <w:u w:val="none"/>
              </w:rPr>
            </w:pP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001EE">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年初预算数</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85653">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调整后预算数</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A3454">
            <w:pPr>
              <w:keepNext w:val="0"/>
              <w:keepLines w:val="0"/>
              <w:widowControl/>
              <w:suppressLineNumbers w:val="0"/>
              <w:jc w:val="center"/>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支付数</w:t>
            </w:r>
          </w:p>
        </w:tc>
      </w:tr>
      <w:tr w14:paraId="44942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1" w:hRule="atLeast"/>
        </w:trPr>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1BE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204001</w:t>
            </w:r>
          </w:p>
        </w:tc>
        <w:tc>
          <w:tcPr>
            <w:tcW w:w="1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721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阿坝州文化广播电视和旅游局</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E7B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204006</w:t>
            </w:r>
          </w:p>
        </w:tc>
        <w:tc>
          <w:tcPr>
            <w:tcW w:w="1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91B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阿坝州文物考古研究所（阿坝州博物馆）</w:t>
            </w:r>
          </w:p>
        </w:tc>
        <w:tc>
          <w:tcPr>
            <w:tcW w:w="10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C313F">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20</w:t>
            </w:r>
          </w:p>
        </w:tc>
        <w:tc>
          <w:tcPr>
            <w:tcW w:w="1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CB1D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20</w:t>
            </w:r>
          </w:p>
        </w:tc>
        <w:tc>
          <w:tcPr>
            <w:tcW w:w="1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2A41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13.95</w:t>
            </w:r>
          </w:p>
        </w:tc>
      </w:tr>
    </w:tbl>
    <w:p w14:paraId="5514CECA">
      <w:pPr>
        <w:keepNext w:val="0"/>
        <w:keepLines w:val="0"/>
        <w:pageBreakBefore w:val="0"/>
        <w:widowControl w:val="0"/>
        <w:kinsoku/>
        <w:wordWrap/>
        <w:overflowPunct/>
        <w:topLinePunct w:val="0"/>
        <w:autoSpaceDE/>
        <w:autoSpaceDN/>
        <w:bidi w:val="0"/>
        <w:spacing w:line="578" w:lineRule="exact"/>
        <w:textAlignment w:val="auto"/>
        <w:outlineLvl w:val="9"/>
        <w:rPr>
          <w:rFonts w:hint="eastAsia"/>
          <w:lang w:val="en-US" w:eastAsia="zh-CN"/>
        </w:rPr>
        <w:sectPr>
          <w:footerReference r:id="rId6" w:type="first"/>
          <w:footerReference r:id="rId5" w:type="default"/>
          <w:pgSz w:w="11906" w:h="16838"/>
          <w:pgMar w:top="1440" w:right="1800" w:bottom="1440" w:left="1800" w:header="851" w:footer="992" w:gutter="0"/>
          <w:pgNumType w:fmt="numberInDash" w:start="1"/>
          <w:cols w:space="425" w:num="1"/>
          <w:titlePg/>
          <w:docGrid w:type="lines" w:linePitch="312" w:charSpace="0"/>
        </w:sectPr>
      </w:pPr>
    </w:p>
    <w:p w14:paraId="2BE8284F">
      <w:pPr>
        <w:pStyle w:val="11"/>
        <w:numPr>
          <w:ilvl w:val="0"/>
          <w:numId w:val="0"/>
        </w:numPr>
        <w:rPr>
          <w:rFonts w:hint="eastAsia"/>
          <w:lang w:val="en-US" w:eastAsia="zh-CN"/>
        </w:rPr>
      </w:pPr>
    </w:p>
    <w:p w14:paraId="5B58C0C3">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2"/>
          <w:rFonts w:hint="eastAsia" w:ascii="Times New Roman" w:hAnsi="Times New Roman" w:eastAsia="黑体"/>
          <w:b w:val="0"/>
          <w:color w:val="auto"/>
          <w:highlight w:val="none"/>
        </w:rPr>
        <w:t>五部分 附表</w:t>
      </w:r>
      <w:bookmarkEnd w:id="45"/>
      <w:bookmarkEnd w:id="48"/>
      <w:bookmarkStart w:id="49" w:name="_Toc15396619"/>
    </w:p>
    <w:p w14:paraId="1284399F">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3A0ABE82">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9"/>
    </w:p>
    <w:p w14:paraId="1A289B08">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0"/>
      <w:r>
        <w:rPr>
          <w:rFonts w:hint="eastAsia" w:ascii="Times New Roman" w:hAnsi="Times New Roman" w:eastAsia="仿宋_GB2312" w:cs="仿宋_GB2312"/>
          <w:color w:val="auto"/>
          <w:sz w:val="32"/>
          <w:szCs w:val="32"/>
          <w:highlight w:val="none"/>
        </w:rPr>
        <w:t>二、收入决算表</w:t>
      </w:r>
      <w:bookmarkEnd w:id="50"/>
    </w:p>
    <w:p w14:paraId="3666B3E9">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1"/>
      <w:r>
        <w:rPr>
          <w:rFonts w:hint="eastAsia" w:ascii="Times New Roman" w:hAnsi="Times New Roman" w:eastAsia="仿宋_GB2312" w:cs="仿宋_GB2312"/>
          <w:color w:val="auto"/>
          <w:sz w:val="32"/>
          <w:szCs w:val="32"/>
          <w:highlight w:val="none"/>
        </w:rPr>
        <w:t>三、支出决算表</w:t>
      </w:r>
      <w:bookmarkEnd w:id="51"/>
    </w:p>
    <w:p w14:paraId="285EEDCD">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2"/>
      <w:r>
        <w:rPr>
          <w:rFonts w:hint="eastAsia" w:ascii="Times New Roman" w:hAnsi="Times New Roman" w:eastAsia="仿宋_GB2312" w:cs="仿宋_GB2312"/>
          <w:color w:val="auto"/>
          <w:sz w:val="32"/>
          <w:szCs w:val="32"/>
          <w:highlight w:val="none"/>
        </w:rPr>
        <w:t>四、财政拨款收入支出决算总表</w:t>
      </w:r>
      <w:bookmarkEnd w:id="52"/>
    </w:p>
    <w:p w14:paraId="6F2911F1">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3"/>
      <w:r>
        <w:rPr>
          <w:rFonts w:hint="eastAsia" w:ascii="Times New Roman" w:hAnsi="Times New Roman" w:eastAsia="仿宋_GB2312" w:cs="仿宋_GB2312"/>
          <w:color w:val="auto"/>
          <w:sz w:val="32"/>
          <w:szCs w:val="32"/>
          <w:highlight w:val="none"/>
        </w:rPr>
        <w:t>五、财政拨款支出决算明细表</w:t>
      </w:r>
      <w:bookmarkEnd w:id="53"/>
      <w:bookmarkStart w:id="54" w:name="_Toc15396624"/>
    </w:p>
    <w:p w14:paraId="501128D2">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4"/>
    </w:p>
    <w:p w14:paraId="738D00B1">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5"/>
      <w:r>
        <w:rPr>
          <w:rFonts w:hint="eastAsia" w:ascii="Times New Roman" w:hAnsi="Times New Roman" w:eastAsia="仿宋_GB2312" w:cs="仿宋_GB2312"/>
          <w:color w:val="auto"/>
          <w:sz w:val="32"/>
          <w:szCs w:val="32"/>
          <w:highlight w:val="none"/>
        </w:rPr>
        <w:t>七、一般公共预算财政拨款支出决算明细表</w:t>
      </w:r>
      <w:bookmarkEnd w:id="55"/>
    </w:p>
    <w:p w14:paraId="583818DB">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6"/>
      <w:r>
        <w:rPr>
          <w:rFonts w:hint="eastAsia" w:ascii="Times New Roman" w:hAnsi="Times New Roman" w:eastAsia="仿宋_GB2312" w:cs="仿宋_GB2312"/>
          <w:color w:val="auto"/>
          <w:sz w:val="32"/>
          <w:szCs w:val="32"/>
          <w:highlight w:val="none"/>
        </w:rPr>
        <w:t>八、一般公共预算财政拨款基本支出决算表</w:t>
      </w:r>
      <w:bookmarkEnd w:id="56"/>
    </w:p>
    <w:p w14:paraId="12159D1E">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7"/>
      <w:r>
        <w:rPr>
          <w:rFonts w:hint="eastAsia" w:ascii="Times New Roman" w:hAnsi="Times New Roman" w:eastAsia="仿宋_GB2312" w:cs="仿宋_GB2312"/>
          <w:color w:val="auto"/>
          <w:sz w:val="32"/>
          <w:szCs w:val="32"/>
          <w:highlight w:val="none"/>
        </w:rPr>
        <w:t>九、一般公共预算财政拨款项目支出决算表</w:t>
      </w:r>
      <w:bookmarkEnd w:id="57"/>
    </w:p>
    <w:p w14:paraId="7F438ACC">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8"/>
      <w:r>
        <w:rPr>
          <w:rFonts w:hint="eastAsia" w:ascii="Times New Roman" w:hAnsi="Times New Roman" w:eastAsia="仿宋_GB2312" w:cs="仿宋_GB2312"/>
          <w:color w:val="auto"/>
          <w:sz w:val="32"/>
          <w:szCs w:val="32"/>
          <w:highlight w:val="none"/>
        </w:rPr>
        <w:t>十、</w:t>
      </w:r>
      <w:bookmarkEnd w:id="58"/>
      <w:r>
        <w:rPr>
          <w:rFonts w:hint="eastAsia" w:ascii="Times New Roman" w:hAnsi="Times New Roman" w:eastAsia="仿宋_GB2312" w:cs="仿宋_GB2312"/>
          <w:color w:val="auto"/>
          <w:sz w:val="32"/>
          <w:szCs w:val="32"/>
          <w:highlight w:val="none"/>
        </w:rPr>
        <w:t>政府性基金预算财政拨款收入支出决算表</w:t>
      </w:r>
    </w:p>
    <w:p w14:paraId="7CDD9ECA">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9"/>
      <w:r>
        <w:rPr>
          <w:rFonts w:hint="eastAsia" w:ascii="Times New Roman" w:hAnsi="Times New Roman" w:eastAsia="仿宋_GB2312" w:cs="仿宋_GB2312"/>
          <w:color w:val="auto"/>
          <w:sz w:val="32"/>
          <w:szCs w:val="32"/>
          <w:highlight w:val="none"/>
        </w:rPr>
        <w:t>十一、</w:t>
      </w:r>
      <w:bookmarkEnd w:id="5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54095AF4">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30"/>
      <w:r>
        <w:rPr>
          <w:rFonts w:hint="eastAsia" w:ascii="Times New Roman" w:hAnsi="Times New Roman" w:eastAsia="仿宋_GB2312" w:cs="仿宋_GB2312"/>
          <w:color w:val="auto"/>
          <w:sz w:val="32"/>
          <w:szCs w:val="32"/>
          <w:highlight w:val="none"/>
        </w:rPr>
        <w:t>十二、</w:t>
      </w:r>
      <w:bookmarkEnd w:id="60"/>
      <w:r>
        <w:rPr>
          <w:rFonts w:hint="eastAsia" w:ascii="Times New Roman" w:hAnsi="Times New Roman" w:eastAsia="仿宋_GB2312" w:cs="仿宋_GB2312"/>
          <w:color w:val="auto"/>
          <w:sz w:val="32"/>
          <w:szCs w:val="32"/>
          <w:highlight w:val="none"/>
          <w:lang w:eastAsia="zh-CN"/>
        </w:rPr>
        <w:t>国有资本经营预算财政拨款支出决算表</w:t>
      </w:r>
    </w:p>
    <w:p w14:paraId="34764067">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1" w:name="_Toc15396631"/>
      <w:r>
        <w:rPr>
          <w:rFonts w:hint="eastAsia" w:ascii="Times New Roman" w:hAnsi="Times New Roman" w:eastAsia="仿宋_GB2312" w:cs="仿宋_GB2312"/>
          <w:color w:val="auto"/>
          <w:sz w:val="32"/>
          <w:szCs w:val="32"/>
          <w:highlight w:val="none"/>
        </w:rPr>
        <w:t>十三、</w:t>
      </w:r>
      <w:bookmarkEnd w:id="61"/>
      <w:r>
        <w:rPr>
          <w:rFonts w:hint="eastAsia" w:ascii="Times New Roman" w:hAnsi="Times New Roman" w:eastAsia="仿宋_GB2312" w:cs="仿宋_GB2312"/>
          <w:color w:val="auto"/>
          <w:sz w:val="32"/>
          <w:szCs w:val="32"/>
          <w:highlight w:val="none"/>
          <w:lang w:eastAsia="zh-CN"/>
        </w:rPr>
        <w:t>财政拨款“三公”经费支出决算表</w:t>
      </w:r>
    </w:p>
    <w:p w14:paraId="21C4999D">
      <w:pPr>
        <w:rPr>
          <w:rFonts w:hint="eastAsia" w:ascii="Times New Roman" w:hAnsi="Times New Roman"/>
          <w:lang w:eastAsia="zh-CN"/>
        </w:rPr>
      </w:pPr>
    </w:p>
    <w:sectPr>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国标仿宋">
    <w:altName w:val="仿宋"/>
    <w:panose1 w:val="02000500000000000000"/>
    <w:charset w:val="86"/>
    <w:family w:val="auto"/>
    <w:pitch w:val="default"/>
    <w:sig w:usb0="00000000" w:usb1="00000000" w:usb2="00000016" w:usb3="00000000" w:csb0="00060007"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557087D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103C4">
    <w:pPr>
      <w:pStyle w:val="13"/>
      <w:jc w:val="center"/>
    </w:pPr>
  </w:p>
  <w:p w14:paraId="6C569461">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431EB">
    <w:pPr>
      <w:pStyle w:val="13"/>
      <w:jc w:val="center"/>
    </w:pPr>
  </w:p>
  <w:p w14:paraId="04499FA9">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E3AB8">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B2B5F">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917B24"/>
    <w:multiLevelType w:val="singleLevel"/>
    <w:tmpl w:val="95917B24"/>
    <w:lvl w:ilvl="0" w:tentative="0">
      <w:start w:val="3"/>
      <w:numFmt w:val="chineseCounting"/>
      <w:suff w:val="nothing"/>
      <w:lvlText w:val="（%1）"/>
      <w:lvlJc w:val="left"/>
      <w:rPr>
        <w:rFonts w:hint="eastAsia"/>
      </w:rPr>
    </w:lvl>
  </w:abstractNum>
  <w:abstractNum w:abstractNumId="1">
    <w:nsid w:val="BCDD353B"/>
    <w:multiLevelType w:val="singleLevel"/>
    <w:tmpl w:val="BCDD353B"/>
    <w:lvl w:ilvl="0" w:tentative="0">
      <w:start w:val="2"/>
      <w:numFmt w:val="chineseCounting"/>
      <w:suff w:val="nothing"/>
      <w:lvlText w:val="（%1）"/>
      <w:lvlJc w:val="left"/>
      <w:rPr>
        <w:rFonts w:hint="eastAsia"/>
      </w:rPr>
    </w:lvl>
  </w:abstractNum>
  <w:abstractNum w:abstractNumId="2">
    <w:nsid w:val="BF9F2A72"/>
    <w:multiLevelType w:val="singleLevel"/>
    <w:tmpl w:val="BF9F2A72"/>
    <w:lvl w:ilvl="0" w:tentative="0">
      <w:start w:val="1"/>
      <w:numFmt w:val="chineseCounting"/>
      <w:suff w:val="nothing"/>
      <w:lvlText w:val="%1、"/>
      <w:lvlJc w:val="left"/>
      <w:rPr>
        <w:rFonts w:hint="eastAsia"/>
      </w:rPr>
    </w:lvl>
  </w:abstractNum>
  <w:abstractNum w:abstractNumId="3">
    <w:nsid w:val="2CCACD23"/>
    <w:multiLevelType w:val="singleLevel"/>
    <w:tmpl w:val="2CCACD23"/>
    <w:lvl w:ilvl="0" w:tentative="0">
      <w:start w:val="1"/>
      <w:numFmt w:val="decimal"/>
      <w:pStyle w:val="11"/>
      <w:lvlText w:val="%1."/>
      <w:lvlJc w:val="left"/>
      <w:pPr>
        <w:tabs>
          <w:tab w:val="left" w:pos="2040"/>
        </w:tabs>
        <w:ind w:left="2040" w:hanging="360"/>
      </w:pPr>
    </w:lvl>
  </w:abstractNum>
  <w:abstractNum w:abstractNumId="4">
    <w:nsid w:val="3C5235E1"/>
    <w:multiLevelType w:val="singleLevel"/>
    <w:tmpl w:val="3C5235E1"/>
    <w:lvl w:ilvl="0" w:tentative="0">
      <w:start w:val="2"/>
      <w:numFmt w:val="chineseCounting"/>
      <w:suff w:val="nothing"/>
      <w:lvlText w:val="（%1）"/>
      <w:lvlJc w:val="left"/>
      <w:pPr>
        <w:ind w:left="-13"/>
      </w:pPr>
      <w:rPr>
        <w:rFonts w:hint="eastAsia"/>
      </w:rPr>
    </w:lvl>
  </w:abstractNum>
  <w:abstractNum w:abstractNumId="5">
    <w:nsid w:val="62F6054B"/>
    <w:multiLevelType w:val="singleLevel"/>
    <w:tmpl w:val="62F6054B"/>
    <w:lvl w:ilvl="0" w:tentative="0">
      <w:start w:val="1"/>
      <w:numFmt w:val="decimal"/>
      <w:lvlText w:val="%1."/>
      <w:lvlJc w:val="left"/>
      <w:pPr>
        <w:tabs>
          <w:tab w:val="left" w:pos="312"/>
        </w:tabs>
      </w:p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zYTQ2YzQ4ZTMyMmJiNjYxODc1NjA0MzJiMTVlZTk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A41649"/>
    <w:rsid w:val="07DFD8BA"/>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6E76664"/>
    <w:rsid w:val="17E50567"/>
    <w:rsid w:val="186504BB"/>
    <w:rsid w:val="19A445FC"/>
    <w:rsid w:val="1BE8440E"/>
    <w:rsid w:val="1D155CEE"/>
    <w:rsid w:val="1D1638FE"/>
    <w:rsid w:val="1E312DEB"/>
    <w:rsid w:val="1E740ACF"/>
    <w:rsid w:val="1FEE111D"/>
    <w:rsid w:val="1FF35744"/>
    <w:rsid w:val="1FF59FD6"/>
    <w:rsid w:val="1FF6BC77"/>
    <w:rsid w:val="2186353C"/>
    <w:rsid w:val="23860B96"/>
    <w:rsid w:val="240371BF"/>
    <w:rsid w:val="244F3473"/>
    <w:rsid w:val="24C97D99"/>
    <w:rsid w:val="25A718F0"/>
    <w:rsid w:val="25BB59F6"/>
    <w:rsid w:val="260F557C"/>
    <w:rsid w:val="26970054"/>
    <w:rsid w:val="27B1142C"/>
    <w:rsid w:val="281408E2"/>
    <w:rsid w:val="29FD04D3"/>
    <w:rsid w:val="2AFD8B74"/>
    <w:rsid w:val="2BFF7BC6"/>
    <w:rsid w:val="2C8A61B5"/>
    <w:rsid w:val="2D426824"/>
    <w:rsid w:val="2DF04E50"/>
    <w:rsid w:val="2E586DFA"/>
    <w:rsid w:val="2F040D46"/>
    <w:rsid w:val="2F6B035B"/>
    <w:rsid w:val="2FAE5751"/>
    <w:rsid w:val="2FB1A395"/>
    <w:rsid w:val="2FD9A7D8"/>
    <w:rsid w:val="2FDBF714"/>
    <w:rsid w:val="30AB6865"/>
    <w:rsid w:val="319F7F4E"/>
    <w:rsid w:val="32BD1EF1"/>
    <w:rsid w:val="3304709D"/>
    <w:rsid w:val="33583F85"/>
    <w:rsid w:val="33A773CB"/>
    <w:rsid w:val="349D6851"/>
    <w:rsid w:val="34C03211"/>
    <w:rsid w:val="36AA5135"/>
    <w:rsid w:val="36BE0DA7"/>
    <w:rsid w:val="36F72454"/>
    <w:rsid w:val="376B6AA6"/>
    <w:rsid w:val="376D39B2"/>
    <w:rsid w:val="37E16F03"/>
    <w:rsid w:val="37ECCF00"/>
    <w:rsid w:val="37F53A3B"/>
    <w:rsid w:val="389B6C89"/>
    <w:rsid w:val="38D469F0"/>
    <w:rsid w:val="38F39004"/>
    <w:rsid w:val="39627CCD"/>
    <w:rsid w:val="397BAF1F"/>
    <w:rsid w:val="3AB79AF3"/>
    <w:rsid w:val="3AE834C0"/>
    <w:rsid w:val="3B7EF35A"/>
    <w:rsid w:val="3B7EF8F9"/>
    <w:rsid w:val="3B9FDB6C"/>
    <w:rsid w:val="3BF5BC2F"/>
    <w:rsid w:val="3CEBA265"/>
    <w:rsid w:val="3D98207C"/>
    <w:rsid w:val="3DEE7CF3"/>
    <w:rsid w:val="3E740A63"/>
    <w:rsid w:val="3E78745D"/>
    <w:rsid w:val="3EE17838"/>
    <w:rsid w:val="3EFEA2B6"/>
    <w:rsid w:val="3F55381A"/>
    <w:rsid w:val="3F7F7599"/>
    <w:rsid w:val="3FA65C94"/>
    <w:rsid w:val="3FAD3316"/>
    <w:rsid w:val="3FBB21DC"/>
    <w:rsid w:val="3FF4CAE0"/>
    <w:rsid w:val="3FF7B227"/>
    <w:rsid w:val="3FFDF48A"/>
    <w:rsid w:val="3FFF0AC3"/>
    <w:rsid w:val="3FFF9AC4"/>
    <w:rsid w:val="3FFFF504"/>
    <w:rsid w:val="43001551"/>
    <w:rsid w:val="444F3D7F"/>
    <w:rsid w:val="44E268DA"/>
    <w:rsid w:val="450D13D7"/>
    <w:rsid w:val="45506656"/>
    <w:rsid w:val="47FEDA0E"/>
    <w:rsid w:val="486A6C7A"/>
    <w:rsid w:val="4A627F82"/>
    <w:rsid w:val="4B0E749A"/>
    <w:rsid w:val="4B2477C4"/>
    <w:rsid w:val="4B4F25DA"/>
    <w:rsid w:val="4B97108D"/>
    <w:rsid w:val="4BE068DB"/>
    <w:rsid w:val="4C68661E"/>
    <w:rsid w:val="4C779577"/>
    <w:rsid w:val="4CD60F91"/>
    <w:rsid w:val="4D577224"/>
    <w:rsid w:val="4DBF1CEB"/>
    <w:rsid w:val="4DF0007C"/>
    <w:rsid w:val="4EAB630A"/>
    <w:rsid w:val="4ECE2238"/>
    <w:rsid w:val="4F833267"/>
    <w:rsid w:val="4FE9BD67"/>
    <w:rsid w:val="4FEFB869"/>
    <w:rsid w:val="4FFB052F"/>
    <w:rsid w:val="51426BF5"/>
    <w:rsid w:val="51B5280D"/>
    <w:rsid w:val="52884109"/>
    <w:rsid w:val="537E6D0A"/>
    <w:rsid w:val="53F74C96"/>
    <w:rsid w:val="54C55FA4"/>
    <w:rsid w:val="55170BA8"/>
    <w:rsid w:val="552A3695"/>
    <w:rsid w:val="553218C9"/>
    <w:rsid w:val="55E677F0"/>
    <w:rsid w:val="56206DD9"/>
    <w:rsid w:val="567E1AA5"/>
    <w:rsid w:val="56DC53F6"/>
    <w:rsid w:val="56E44E88"/>
    <w:rsid w:val="56E47B74"/>
    <w:rsid w:val="57175D52"/>
    <w:rsid w:val="57BD3DD4"/>
    <w:rsid w:val="5AF92295"/>
    <w:rsid w:val="5B250254"/>
    <w:rsid w:val="5BDD79E6"/>
    <w:rsid w:val="5BF561CA"/>
    <w:rsid w:val="5BFF5DFC"/>
    <w:rsid w:val="5CC7D2ED"/>
    <w:rsid w:val="5CD71FC4"/>
    <w:rsid w:val="5CEFDD09"/>
    <w:rsid w:val="5CF7B644"/>
    <w:rsid w:val="5D1F11B5"/>
    <w:rsid w:val="5D591236"/>
    <w:rsid w:val="5D695134"/>
    <w:rsid w:val="5DAE1B18"/>
    <w:rsid w:val="5DAF1AB1"/>
    <w:rsid w:val="5DE7D9E5"/>
    <w:rsid w:val="5DF6A1C8"/>
    <w:rsid w:val="5ECEC941"/>
    <w:rsid w:val="5FAD3BC7"/>
    <w:rsid w:val="5FBF9FF3"/>
    <w:rsid w:val="5FCD4E2C"/>
    <w:rsid w:val="5FEB0883"/>
    <w:rsid w:val="5FEF394A"/>
    <w:rsid w:val="5FF67715"/>
    <w:rsid w:val="5FF90D84"/>
    <w:rsid w:val="62BF3928"/>
    <w:rsid w:val="63B3701E"/>
    <w:rsid w:val="647F5392"/>
    <w:rsid w:val="652F3863"/>
    <w:rsid w:val="65C43E27"/>
    <w:rsid w:val="65E66580"/>
    <w:rsid w:val="664B1D71"/>
    <w:rsid w:val="664B4E8E"/>
    <w:rsid w:val="67277B67"/>
    <w:rsid w:val="67AA3209"/>
    <w:rsid w:val="698D0931"/>
    <w:rsid w:val="69E34543"/>
    <w:rsid w:val="6A7FE5F3"/>
    <w:rsid w:val="6ACA0C56"/>
    <w:rsid w:val="6B053271"/>
    <w:rsid w:val="6B1B6C7E"/>
    <w:rsid w:val="6B365977"/>
    <w:rsid w:val="6BDD78B3"/>
    <w:rsid w:val="6BEF18B4"/>
    <w:rsid w:val="6C4A05C8"/>
    <w:rsid w:val="6C8742B8"/>
    <w:rsid w:val="6CDE381E"/>
    <w:rsid w:val="6DBF5E93"/>
    <w:rsid w:val="6DFF077E"/>
    <w:rsid w:val="6E714EF0"/>
    <w:rsid w:val="6E7E3605"/>
    <w:rsid w:val="6E7FDCC7"/>
    <w:rsid w:val="6ED6A62E"/>
    <w:rsid w:val="6EE00B15"/>
    <w:rsid w:val="6F6C4E86"/>
    <w:rsid w:val="6F6FB3EB"/>
    <w:rsid w:val="6F8731EA"/>
    <w:rsid w:val="6FCE6052"/>
    <w:rsid w:val="6FD57C00"/>
    <w:rsid w:val="6FDFDA07"/>
    <w:rsid w:val="6FEB5E55"/>
    <w:rsid w:val="6FEFFFD8"/>
    <w:rsid w:val="6FF5CC65"/>
    <w:rsid w:val="6FF7D1B1"/>
    <w:rsid w:val="6FFB47EC"/>
    <w:rsid w:val="6FFF034A"/>
    <w:rsid w:val="6FFF82A2"/>
    <w:rsid w:val="70484440"/>
    <w:rsid w:val="712A28F1"/>
    <w:rsid w:val="715C0E4B"/>
    <w:rsid w:val="71992E7C"/>
    <w:rsid w:val="72233669"/>
    <w:rsid w:val="72734D90"/>
    <w:rsid w:val="72FA2A34"/>
    <w:rsid w:val="73160E6D"/>
    <w:rsid w:val="7332FE48"/>
    <w:rsid w:val="73758AA6"/>
    <w:rsid w:val="73AB61DA"/>
    <w:rsid w:val="73AD73D5"/>
    <w:rsid w:val="73B6EB34"/>
    <w:rsid w:val="73FA497D"/>
    <w:rsid w:val="744731E5"/>
    <w:rsid w:val="74BBD01D"/>
    <w:rsid w:val="74ED5379"/>
    <w:rsid w:val="74FBFFE3"/>
    <w:rsid w:val="75B25942"/>
    <w:rsid w:val="75DCF447"/>
    <w:rsid w:val="75DD5ADA"/>
    <w:rsid w:val="75DEEEC2"/>
    <w:rsid w:val="75E32345"/>
    <w:rsid w:val="76E3355F"/>
    <w:rsid w:val="76FF5125"/>
    <w:rsid w:val="776F6FFA"/>
    <w:rsid w:val="778769C8"/>
    <w:rsid w:val="77A75DCA"/>
    <w:rsid w:val="77BD46A4"/>
    <w:rsid w:val="77D9960C"/>
    <w:rsid w:val="77DB9B3F"/>
    <w:rsid w:val="77DC22F5"/>
    <w:rsid w:val="77DEE2FC"/>
    <w:rsid w:val="77DFD7CF"/>
    <w:rsid w:val="783E271A"/>
    <w:rsid w:val="78616DE9"/>
    <w:rsid w:val="78E875D7"/>
    <w:rsid w:val="79086DAD"/>
    <w:rsid w:val="79934B0E"/>
    <w:rsid w:val="79BE3914"/>
    <w:rsid w:val="79D7FD79"/>
    <w:rsid w:val="79EE5BA4"/>
    <w:rsid w:val="79FB8A25"/>
    <w:rsid w:val="7A3F1218"/>
    <w:rsid w:val="7A894339"/>
    <w:rsid w:val="7AB7DB75"/>
    <w:rsid w:val="7AD284E8"/>
    <w:rsid w:val="7AFF7572"/>
    <w:rsid w:val="7B0A57DF"/>
    <w:rsid w:val="7B6C7DFB"/>
    <w:rsid w:val="7B9F49B6"/>
    <w:rsid w:val="7BBFBED0"/>
    <w:rsid w:val="7BC3E394"/>
    <w:rsid w:val="7C1F3737"/>
    <w:rsid w:val="7C3F04AB"/>
    <w:rsid w:val="7C7BC65F"/>
    <w:rsid w:val="7CBFC87B"/>
    <w:rsid w:val="7CFE0F48"/>
    <w:rsid w:val="7D272ABC"/>
    <w:rsid w:val="7D7EC23E"/>
    <w:rsid w:val="7D9FA191"/>
    <w:rsid w:val="7DE7959A"/>
    <w:rsid w:val="7E347E6A"/>
    <w:rsid w:val="7E8ADEBF"/>
    <w:rsid w:val="7EAF07A6"/>
    <w:rsid w:val="7EEF11D3"/>
    <w:rsid w:val="7EEF7265"/>
    <w:rsid w:val="7EFE4840"/>
    <w:rsid w:val="7F0971A6"/>
    <w:rsid w:val="7F1D62E7"/>
    <w:rsid w:val="7F3F679B"/>
    <w:rsid w:val="7F4FC4EF"/>
    <w:rsid w:val="7F5E4D54"/>
    <w:rsid w:val="7F6E0135"/>
    <w:rsid w:val="7F79F205"/>
    <w:rsid w:val="7FA30C79"/>
    <w:rsid w:val="7FA79C44"/>
    <w:rsid w:val="7FAF8ABF"/>
    <w:rsid w:val="7FB5A859"/>
    <w:rsid w:val="7FB7269E"/>
    <w:rsid w:val="7FC96657"/>
    <w:rsid w:val="7FDA9588"/>
    <w:rsid w:val="7FDF220F"/>
    <w:rsid w:val="7FDF2A1B"/>
    <w:rsid w:val="7FEDC5F7"/>
    <w:rsid w:val="7FEDD9DE"/>
    <w:rsid w:val="7FEF7C62"/>
    <w:rsid w:val="7FF4DFC5"/>
    <w:rsid w:val="7FF5890D"/>
    <w:rsid w:val="7FF92AAC"/>
    <w:rsid w:val="7FF93490"/>
    <w:rsid w:val="7FFBECF1"/>
    <w:rsid w:val="8EEF492B"/>
    <w:rsid w:val="937966AF"/>
    <w:rsid w:val="99FF2014"/>
    <w:rsid w:val="9FD3A841"/>
    <w:rsid w:val="A6DD0D7F"/>
    <w:rsid w:val="ACFF4FBB"/>
    <w:rsid w:val="ADC6F725"/>
    <w:rsid w:val="B77F5C54"/>
    <w:rsid w:val="B79D2F66"/>
    <w:rsid w:val="B7CF06AB"/>
    <w:rsid w:val="B7CFA926"/>
    <w:rsid w:val="B7F8786B"/>
    <w:rsid w:val="B7FE128D"/>
    <w:rsid w:val="BABB6AA1"/>
    <w:rsid w:val="BB2F4199"/>
    <w:rsid w:val="BB7BAB28"/>
    <w:rsid w:val="BBBF25FC"/>
    <w:rsid w:val="BCFFB442"/>
    <w:rsid w:val="BD079C78"/>
    <w:rsid w:val="BD733540"/>
    <w:rsid w:val="BF3735D5"/>
    <w:rsid w:val="BF7F09AC"/>
    <w:rsid w:val="BFD475C3"/>
    <w:rsid w:val="BFDE5EA6"/>
    <w:rsid w:val="BFEF79E7"/>
    <w:rsid w:val="BFF6E223"/>
    <w:rsid w:val="BFF7820D"/>
    <w:rsid w:val="BFFD928C"/>
    <w:rsid w:val="C1FFD1A9"/>
    <w:rsid w:val="CBCDD1E4"/>
    <w:rsid w:val="CEEF1FD1"/>
    <w:rsid w:val="CF6FC6F3"/>
    <w:rsid w:val="CF7ED67D"/>
    <w:rsid w:val="CFD3D3D7"/>
    <w:rsid w:val="CFDF1009"/>
    <w:rsid w:val="D17B939A"/>
    <w:rsid w:val="D32F3A4A"/>
    <w:rsid w:val="D6BBBCAE"/>
    <w:rsid w:val="D7D7B16A"/>
    <w:rsid w:val="D7FD89CB"/>
    <w:rsid w:val="D8D6DB89"/>
    <w:rsid w:val="D95D3A19"/>
    <w:rsid w:val="DB6D8DEF"/>
    <w:rsid w:val="DB6F4CAB"/>
    <w:rsid w:val="DB777682"/>
    <w:rsid w:val="DD1FB521"/>
    <w:rsid w:val="DEBBE5E2"/>
    <w:rsid w:val="DEE7343A"/>
    <w:rsid w:val="DEFBFEAE"/>
    <w:rsid w:val="DF1F3B80"/>
    <w:rsid w:val="DF3C1C3E"/>
    <w:rsid w:val="DF6F9789"/>
    <w:rsid w:val="DF767180"/>
    <w:rsid w:val="DF7D2E37"/>
    <w:rsid w:val="DFE9BE81"/>
    <w:rsid w:val="DFFFA9E8"/>
    <w:rsid w:val="E3937E83"/>
    <w:rsid w:val="E57231DF"/>
    <w:rsid w:val="E5F4E9DC"/>
    <w:rsid w:val="E70FE695"/>
    <w:rsid w:val="E96FA270"/>
    <w:rsid w:val="EB2E368B"/>
    <w:rsid w:val="ECFED1BC"/>
    <w:rsid w:val="ED1D69BB"/>
    <w:rsid w:val="ED3F1318"/>
    <w:rsid w:val="ED7FD312"/>
    <w:rsid w:val="EEDDE4D3"/>
    <w:rsid w:val="EEDFBAEB"/>
    <w:rsid w:val="EF2E1AC6"/>
    <w:rsid w:val="EF53993F"/>
    <w:rsid w:val="EF6C4913"/>
    <w:rsid w:val="EF6FD633"/>
    <w:rsid w:val="EFAF3EAB"/>
    <w:rsid w:val="EFBFB2F4"/>
    <w:rsid w:val="EFBFFA21"/>
    <w:rsid w:val="F17F3FED"/>
    <w:rsid w:val="F2BEBCB8"/>
    <w:rsid w:val="F32F4C5B"/>
    <w:rsid w:val="F36FB518"/>
    <w:rsid w:val="F3DE1A04"/>
    <w:rsid w:val="F3F722E5"/>
    <w:rsid w:val="F4FBCD07"/>
    <w:rsid w:val="F6DF3D3B"/>
    <w:rsid w:val="F727B75A"/>
    <w:rsid w:val="FA5F1E70"/>
    <w:rsid w:val="FA5FDB97"/>
    <w:rsid w:val="FB7F486A"/>
    <w:rsid w:val="FBCDF083"/>
    <w:rsid w:val="FBFF5B2E"/>
    <w:rsid w:val="FC979079"/>
    <w:rsid w:val="FC9E1192"/>
    <w:rsid w:val="FD77E548"/>
    <w:rsid w:val="FD7FFE2B"/>
    <w:rsid w:val="FDEB2D2D"/>
    <w:rsid w:val="FDEE196B"/>
    <w:rsid w:val="FDFE6575"/>
    <w:rsid w:val="FE368E5B"/>
    <w:rsid w:val="FE6FDE09"/>
    <w:rsid w:val="FEDF37F1"/>
    <w:rsid w:val="FEDFDDC2"/>
    <w:rsid w:val="FEED32F6"/>
    <w:rsid w:val="FEF781DD"/>
    <w:rsid w:val="FF3F7E3F"/>
    <w:rsid w:val="FF7B5334"/>
    <w:rsid w:val="FF7FE46B"/>
    <w:rsid w:val="FFBA12D7"/>
    <w:rsid w:val="FFBF7691"/>
    <w:rsid w:val="FFCBD314"/>
    <w:rsid w:val="FFCF14BE"/>
    <w:rsid w:val="FFDF5A41"/>
    <w:rsid w:val="FFDFF91C"/>
    <w:rsid w:val="FFDFFAEE"/>
    <w:rsid w:val="FFEF6777"/>
    <w:rsid w:val="FFF7BC23"/>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qFormat="1"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39"/>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2"/>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21">
    <w:name w:val="Default Paragraph Font"/>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9"/>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Plain Text"/>
    <w:basedOn w:val="1"/>
    <w:next w:val="11"/>
    <w:qFormat/>
    <w:uiPriority w:val="99"/>
    <w:rPr>
      <w:rFonts w:ascii="宋体" w:hAnsi="Courier New"/>
      <w:szCs w:val="21"/>
    </w:rPr>
  </w:style>
  <w:style w:type="paragraph" w:styleId="11">
    <w:name w:val="List Number 5"/>
    <w:basedOn w:val="1"/>
    <w:semiHidden/>
    <w:unhideWhenUsed/>
    <w:qFormat/>
    <w:uiPriority w:val="99"/>
    <w:pPr>
      <w:numPr>
        <w:ilvl w:val="0"/>
        <w:numId w:val="1"/>
      </w:numPr>
    </w:pPr>
  </w:style>
  <w:style w:type="paragraph" w:styleId="12">
    <w:name w:val="Balloon Text"/>
    <w:basedOn w:val="1"/>
    <w:link w:val="35"/>
    <w:semiHidden/>
    <w:unhideWhenUsed/>
    <w:qFormat/>
    <w:uiPriority w:val="99"/>
    <w:rPr>
      <w:sz w:val="18"/>
      <w:szCs w:val="18"/>
    </w:rPr>
  </w:style>
  <w:style w:type="paragraph" w:styleId="13">
    <w:name w:val="footer"/>
    <w:basedOn w:val="1"/>
    <w:link w:val="27"/>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5"/>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footnote text"/>
    <w:basedOn w:val="1"/>
    <w:next w:val="8"/>
    <w:semiHidden/>
    <w:qFormat/>
    <w:uiPriority w:val="0"/>
    <w:pPr>
      <w:snapToGrid w:val="0"/>
      <w:jc w:val="left"/>
    </w:pPr>
    <w:rPr>
      <w:sz w:val="18"/>
      <w:szCs w:val="18"/>
    </w:rPr>
  </w:style>
  <w:style w:type="paragraph" w:styleId="17">
    <w:name w:val="toc 2"/>
    <w:basedOn w:val="1"/>
    <w:next w:val="1"/>
    <w:unhideWhenUsed/>
    <w:qFormat/>
    <w:uiPriority w:val="39"/>
    <w:pPr>
      <w:tabs>
        <w:tab w:val="right" w:leader="dot" w:pos="8296"/>
      </w:tabs>
      <w:ind w:left="420" w:leftChars="200"/>
    </w:pPr>
  </w:style>
  <w:style w:type="paragraph" w:styleId="1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9">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22">
    <w:name w:val="Strong"/>
    <w:basedOn w:val="21"/>
    <w:qFormat/>
    <w:uiPriority w:val="99"/>
    <w:rPr>
      <w:b/>
    </w:rPr>
  </w:style>
  <w:style w:type="character" w:styleId="23">
    <w:name w:val="Hyperlink"/>
    <w:basedOn w:val="21"/>
    <w:unhideWhenUsed/>
    <w:qFormat/>
    <w:uiPriority w:val="99"/>
    <w:rPr>
      <w:color w:val="0000FF" w:themeColor="hyperlink"/>
      <w:u w:val="single"/>
      <w14:textFill>
        <w14:solidFill>
          <w14:schemeClr w14:val="hlink"/>
        </w14:solidFill>
      </w14:textFill>
    </w:rPr>
  </w:style>
  <w:style w:type="character" w:customStyle="1" w:styleId="24">
    <w:name w:val="Header Char"/>
    <w:basedOn w:val="21"/>
    <w:semiHidden/>
    <w:qFormat/>
    <w:uiPriority w:val="99"/>
    <w:rPr>
      <w:rFonts w:ascii="Times New Roman" w:hAnsi="Times New Roman"/>
      <w:sz w:val="18"/>
      <w:szCs w:val="18"/>
    </w:rPr>
  </w:style>
  <w:style w:type="character" w:customStyle="1" w:styleId="25">
    <w:name w:val="页眉 Char"/>
    <w:link w:val="14"/>
    <w:semiHidden/>
    <w:qFormat/>
    <w:locked/>
    <w:uiPriority w:val="99"/>
    <w:rPr>
      <w:sz w:val="18"/>
    </w:rPr>
  </w:style>
  <w:style w:type="character" w:customStyle="1" w:styleId="26">
    <w:name w:val="Footer Char"/>
    <w:basedOn w:val="21"/>
    <w:semiHidden/>
    <w:qFormat/>
    <w:uiPriority w:val="99"/>
    <w:rPr>
      <w:rFonts w:ascii="Times New Roman" w:hAnsi="Times New Roman"/>
      <w:sz w:val="18"/>
      <w:szCs w:val="18"/>
    </w:rPr>
  </w:style>
  <w:style w:type="character" w:customStyle="1" w:styleId="27">
    <w:name w:val="页脚 Char"/>
    <w:link w:val="13"/>
    <w:qFormat/>
    <w:locked/>
    <w:uiPriority w:val="99"/>
    <w:rPr>
      <w:sz w:val="18"/>
    </w:rPr>
  </w:style>
  <w:style w:type="character" w:customStyle="1" w:styleId="28">
    <w:name w:val="Body Text Char"/>
    <w:basedOn w:val="21"/>
    <w:semiHidden/>
    <w:qFormat/>
    <w:uiPriority w:val="99"/>
    <w:rPr>
      <w:rFonts w:ascii="Times New Roman" w:hAnsi="Times New Roman"/>
      <w:szCs w:val="24"/>
    </w:rPr>
  </w:style>
  <w:style w:type="character" w:customStyle="1" w:styleId="29">
    <w:name w:val="正文文本 Char"/>
    <w:link w:val="6"/>
    <w:qFormat/>
    <w:locked/>
    <w:uiPriority w:val="99"/>
    <w:rPr>
      <w:rFonts w:ascii="仿宋_GB2312" w:hAnsi="Times New Roman" w:eastAsia="仿宋_GB2312"/>
      <w:sz w:val="24"/>
    </w:rPr>
  </w:style>
  <w:style w:type="paragraph" w:customStyle="1" w:styleId="30">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1">
    <w:name w:val="List Paragraph"/>
    <w:basedOn w:val="1"/>
    <w:qFormat/>
    <w:uiPriority w:val="34"/>
    <w:pPr>
      <w:ind w:firstLine="420" w:firstLineChars="200"/>
    </w:pPr>
  </w:style>
  <w:style w:type="character" w:customStyle="1" w:styleId="32">
    <w:name w:val="标题 1 Char"/>
    <w:basedOn w:val="21"/>
    <w:link w:val="3"/>
    <w:qFormat/>
    <w:uiPriority w:val="9"/>
    <w:rPr>
      <w:rFonts w:ascii="Times New Roman" w:hAnsi="Times New Roman"/>
      <w:b/>
      <w:bCs/>
      <w:kern w:val="44"/>
      <w:sz w:val="44"/>
      <w:szCs w:val="44"/>
    </w:rPr>
  </w:style>
  <w:style w:type="character" w:customStyle="1" w:styleId="33">
    <w:name w:val="标题 2 Char"/>
    <w:basedOn w:val="21"/>
    <w:link w:val="4"/>
    <w:qFormat/>
    <w:uiPriority w:val="9"/>
    <w:rPr>
      <w:rFonts w:asciiTheme="majorHAnsi" w:hAnsiTheme="majorHAnsi" w:eastAsiaTheme="majorEastAsia" w:cstheme="majorBidi"/>
      <w:b/>
      <w:bCs/>
      <w:kern w:val="2"/>
      <w:sz w:val="32"/>
      <w:szCs w:val="32"/>
    </w:rPr>
  </w:style>
  <w:style w:type="paragraph" w:customStyle="1" w:styleId="34">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Char"/>
    <w:basedOn w:val="21"/>
    <w:link w:val="12"/>
    <w:semiHidden/>
    <w:qFormat/>
    <w:uiPriority w:val="99"/>
    <w:rPr>
      <w:rFonts w:ascii="Times New Roman" w:hAnsi="Times New Roman"/>
      <w:kern w:val="2"/>
      <w:sz w:val="18"/>
      <w:szCs w:val="18"/>
    </w:rPr>
  </w:style>
  <w:style w:type="character" w:customStyle="1" w:styleId="36">
    <w:name w:val="标题 3 Char"/>
    <w:basedOn w:val="21"/>
    <w:link w:val="5"/>
    <w:qFormat/>
    <w:uiPriority w:val="9"/>
    <w:rPr>
      <w:rFonts w:ascii="Times New Roman" w:hAnsi="Times New Roman"/>
      <w:b/>
      <w:bCs/>
      <w:kern w:val="2"/>
      <w:sz w:val="32"/>
      <w:szCs w:val="32"/>
    </w:rPr>
  </w:style>
  <w:style w:type="paragraph" w:customStyle="1" w:styleId="37">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8">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9">
    <w:name w:val="NormalCharacter"/>
    <w:link w:val="1"/>
    <w:qFormat/>
    <w:uiPriority w:val="0"/>
    <w:rPr>
      <w:rFonts w:ascii="Times New Roman" w:hAnsi="Times New Roman" w:eastAsia="宋体" w:cs="Times New Roman"/>
      <w:kern w:val="2"/>
      <w:sz w:val="21"/>
      <w:szCs w:val="24"/>
      <w:lang w:val="en-US" w:eastAsia="zh-CN" w:bidi="ar-SA"/>
    </w:rPr>
  </w:style>
  <w:style w:type="character" w:customStyle="1" w:styleId="40">
    <w:name w:val="font51"/>
    <w:basedOn w:val="21"/>
    <w:qFormat/>
    <w:uiPriority w:val="0"/>
    <w:rPr>
      <w:rFonts w:ascii="宋体" w:hAnsi="宋体" w:eastAsia="宋体" w:cs="宋体"/>
      <w:color w:val="000000"/>
      <w:sz w:val="18"/>
      <w:szCs w:val="18"/>
      <w:u w:val="none"/>
    </w:rPr>
  </w:style>
  <w:style w:type="character" w:customStyle="1" w:styleId="41">
    <w:name w:val="font41"/>
    <w:basedOn w:val="21"/>
    <w:qFormat/>
    <w:uiPriority w:val="0"/>
    <w:rPr>
      <w:rFonts w:hint="eastAsia" w:ascii="宋体" w:hAnsi="宋体" w:eastAsia="宋体" w:cs="宋体"/>
      <w:color w:val="000000"/>
      <w:sz w:val="24"/>
      <w:szCs w:val="24"/>
      <w:u w:val="none"/>
    </w:rPr>
  </w:style>
  <w:style w:type="character" w:customStyle="1" w:styleId="42">
    <w:name w:val="font31"/>
    <w:basedOn w:val="2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oleObject" Target="embeddings/oleObject5.bin"/><Relationship Id="rId17" Type="http://schemas.openxmlformats.org/officeDocument/2006/relationships/image" Target="media/image4.png"/><Relationship Id="rId16" Type="http://schemas.openxmlformats.org/officeDocument/2006/relationships/oleObject" Target="embeddings/oleObject4.bin"/><Relationship Id="rId15" Type="http://schemas.openxmlformats.org/officeDocument/2006/relationships/image" Target="media/image3.png"/><Relationship Id="rId14" Type="http://schemas.openxmlformats.org/officeDocument/2006/relationships/oleObject" Target="embeddings/oleObject3.bin"/><Relationship Id="rId13" Type="http://schemas.openxmlformats.org/officeDocument/2006/relationships/image" Target="media/image2.png"/><Relationship Id="rId12" Type="http://schemas.openxmlformats.org/officeDocument/2006/relationships/oleObject" Target="embeddings/oleObject2.bin"/><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2025年收入决算情况表</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4</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2"/>
              <c:delete val="1"/>
            </c:dLbl>
            <c:dLbl>
              <c:idx val="3"/>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一般公共预算财政拨款收入</c:v>
                </c:pt>
                <c:pt idx="1">
                  <c:v>上级补助收入</c:v>
                </c:pt>
                <c:pt idx="2">
                  <c:v>事业收入</c:v>
                </c:pt>
                <c:pt idx="3">
                  <c:v>其他收入</c:v>
                </c:pt>
              </c:strCache>
            </c:strRef>
          </c:cat>
          <c:val>
            <c:numRef>
              <c:f>Sheet1!$B$2:$B$5</c:f>
              <c:numCache>
                <c:formatCode>General</c:formatCode>
                <c:ptCount val="4"/>
                <c:pt idx="0">
                  <c:v>1140.39</c:v>
                </c:pt>
                <c:pt idx="1">
                  <c:v>0</c:v>
                </c:pt>
                <c:pt idx="2">
                  <c:v>0</c:v>
                </c:pt>
                <c:pt idx="3">
                  <c:v>50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3f40bf8-007c-4d30-ab59-0d0a88ea502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2025年支出决算情况表</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549.91</c:v>
                </c:pt>
                <c:pt idx="1">
                  <c:v>601.77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e3689fb-ae15-41c2-97eb-0567450e8c5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44</Pages>
  <Words>13120</Words>
  <Characters>15484</Characters>
  <Lines>61</Lines>
  <Paragraphs>17</Paragraphs>
  <TotalTime>44</TotalTime>
  <ScaleCrop>false</ScaleCrop>
  <LinksUpToDate>false</LinksUpToDate>
  <CharactersWithSpaces>15556</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2020-08-12T17:49:00Z</dcterms:created>
  <dc:creator>曹颖</dc:creator>
  <cp:lastModifiedBy>Maxwell</cp:lastModifiedBy>
  <cp:lastPrinted>2026-09-01T11:53:00Z</cp:lastPrinted>
  <dcterms:modified xsi:type="dcterms:W3CDTF">2026-10-23T07:35:44Z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9E5FFCE57576C5B06729BE68C7356ED5</vt:lpwstr>
  </property>
  <property fmtid="{D5CDD505-2E9C-101B-9397-08002B2CF9AE}" pid="4" name="KSOTemplateDocerSaveRecord">
    <vt:lpwstr>eyJoZGlkIjoiMDhmMzQ2NDRkNWVhZjg2YTU1N2Y4MmViNDgwNzY0YmUiLCJ1c2VySWQiOiIyODY3NzkzNDMifQ==</vt:lpwstr>
  </property>
</Properties>
</file>