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黑体" w:hAnsi="黑体" w:eastAsia="黑体" w:cs="黑体"/>
          <w:color w:val="auto"/>
          <w:kern w:val="2"/>
          <w:sz w:val="32"/>
          <w:szCs w:val="32"/>
          <w:highlight w:val="none"/>
          <w:lang w:val="en-US" w:eastAsia="zh-CN" w:bidi="ar-SA"/>
        </w:rPr>
      </w:pPr>
      <w:bookmarkStart w:id="0" w:name="_Toc15378441"/>
      <w:bookmarkStart w:id="1" w:name="_Toc15396475"/>
      <w:bookmarkStart w:id="2" w:name="_Toc15306267"/>
      <w:bookmarkStart w:id="3" w:name="_Toc15396597"/>
      <w:bookmarkStart w:id="4" w:name="_Toc15377425"/>
      <w:bookmarkStart w:id="5" w:name="_Toc15377193"/>
      <w:r>
        <w:rPr>
          <w:rFonts w:hint="eastAsia" w:ascii="黑体" w:hAnsi="黑体" w:eastAsia="黑体" w:cs="黑体"/>
          <w:color w:val="auto"/>
          <w:kern w:val="2"/>
          <w:sz w:val="32"/>
          <w:szCs w:val="32"/>
          <w:highlight w:val="none"/>
          <w:lang w:val="en-US" w:eastAsia="zh-CN" w:bidi="ar-SA"/>
        </w:rPr>
        <w:t>附件4</w:t>
      </w: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2025年度阿坝州文化广播电视和旅游局</w:t>
      </w:r>
      <w:r>
        <w:rPr>
          <w:rFonts w:hint="eastAsia" w:ascii="Times New Roman" w:hAnsi="Times New Roman" w:eastAsia="方正小标宋简体" w:cs="Times New Roman"/>
          <w:color w:val="auto"/>
          <w:kern w:val="2"/>
          <w:sz w:val="44"/>
          <w:szCs w:val="44"/>
          <w:highlight w:val="none"/>
          <w:lang w:val="en-US" w:eastAsia="zh-CN" w:bidi="ar-SA"/>
        </w:rPr>
        <w:t>（</w:t>
      </w:r>
      <w:r>
        <w:rPr>
          <w:rFonts w:hint="eastAsia" w:ascii="Times New Roman" w:eastAsia="方正小标宋简体" w:cs="Times New Roman"/>
          <w:color w:val="auto"/>
          <w:kern w:val="2"/>
          <w:sz w:val="44"/>
          <w:szCs w:val="44"/>
          <w:highlight w:val="none"/>
          <w:lang w:val="en-US" w:eastAsia="zh-CN" w:bidi="ar-SA"/>
        </w:rPr>
        <w:t>部门</w:t>
      </w:r>
      <w:r>
        <w:rPr>
          <w:rFonts w:hint="eastAsia" w:ascii="Times New Roman" w:hAnsi="Times New Roman" w:eastAsia="方正小标宋简体" w:cs="Times New Roman"/>
          <w:color w:val="auto"/>
          <w:kern w:val="2"/>
          <w:sz w:val="44"/>
          <w:szCs w:val="44"/>
          <w:highlight w:val="none"/>
          <w:lang w:val="en-US" w:eastAsia="zh-CN" w:bidi="ar-SA"/>
        </w:rPr>
        <w:t>）决算公开</w:t>
      </w:r>
      <w:r>
        <w:rPr>
          <w:rFonts w:hint="eastAsia" w:ascii="Times New Roman" w:eastAsia="方正小标宋简体" w:cs="Times New Roman"/>
          <w:color w:val="auto"/>
          <w:kern w:val="2"/>
          <w:sz w:val="44"/>
          <w:szCs w:val="44"/>
          <w:highlight w:val="none"/>
          <w:lang w:val="en-US" w:eastAsia="zh-CN" w:bidi="ar-SA"/>
        </w:rPr>
        <w:t>说明</w:t>
      </w:r>
    </w:p>
    <w:p>
      <w:pPr>
        <w:spacing w:line="600" w:lineRule="exact"/>
        <w:jc w:val="center"/>
        <w:outlineLvl w:val="0"/>
        <w:rPr>
          <w:rFonts w:ascii="Times New Roman" w:hAnsi="Times New Roman" w:eastAsia="方正小标宋简体"/>
          <w:color w:val="auto"/>
          <w:sz w:val="72"/>
          <w:szCs w:val="72"/>
          <w:highlight w:val="none"/>
        </w:rPr>
      </w:pPr>
    </w:p>
    <w:p>
      <w:pPr>
        <w:pStyle w:val="2"/>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rPr>
          <w:rFonts w:ascii="Times New Roman" w:hAnsi="Times New Roman"/>
        </w:rPr>
      </w:pPr>
    </w:p>
    <w:bookmarkEnd w:id="0"/>
    <w:bookmarkEnd w:id="1"/>
    <w:bookmarkEnd w:id="2"/>
    <w:bookmarkEnd w:id="3"/>
    <w:bookmarkEnd w:id="4"/>
    <w:bookmarkEnd w:id="5"/>
    <w:p>
      <w:pPr>
        <w:widowControl/>
        <w:ind w:firstLine="3360" w:firstLineChars="700"/>
        <w:jc w:val="both"/>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17</w:t>
      </w:r>
      <w:bookmarkStart w:id="65" w:name="_GoBack"/>
      <w:bookmarkEnd w:id="65"/>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28"/>
          <w:szCs w:val="28"/>
          <w:highlight w:val="none"/>
        </w:rPr>
        <w:t>一、</w:t>
      </w:r>
      <w:r>
        <w:rPr>
          <w:rFonts w:hint="eastAsia" w:ascii="Times New Roman" w:hAnsi="Times New Roman" w:eastAsia="仿宋_GB2312" w:cs="仿宋_GB2312"/>
          <w:color w:val="auto"/>
          <w:sz w:val="28"/>
          <w:szCs w:val="28"/>
          <w:highlight w:val="none"/>
          <w:lang w:eastAsia="zh-CN"/>
        </w:rPr>
        <w:t>部门职责</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28"/>
          <w:szCs w:val="28"/>
          <w:highlight w:val="none"/>
        </w:rPr>
        <w:t>二、机构设置</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5</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一、收入支出决算总体情况说明</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二、收入决算情况说明</w:t>
      </w:r>
      <w:r>
        <w:rPr>
          <w:rFonts w:hint="eastAsia" w:eastAsia="仿宋_GB2312" w:cs="仿宋_GB2312"/>
          <w:color w:val="auto"/>
          <w:sz w:val="28"/>
          <w:szCs w:val="28"/>
          <w:highlight w:val="none"/>
          <w:lang w:val="en-US" w:eastAsia="zh-CN"/>
        </w:rPr>
        <w:t xml:space="preserve">  </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三、支出决算情况说明</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四、财政拨款收入支出决算总体情况说明</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五、一般公共预算财政拨款支出决算情况说明</w:t>
      </w:r>
      <w:r>
        <w:rPr>
          <w:rFonts w:hint="eastAsia" w:eastAsia="仿宋_GB2312" w:cs="仿宋_GB2312"/>
          <w:color w:val="auto"/>
          <w:sz w:val="28"/>
          <w:szCs w:val="28"/>
          <w:highlight w:val="none"/>
          <w:lang w:val="en-US" w:eastAsia="zh-CN"/>
        </w:rPr>
        <w:t xml:space="preserve"> </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9</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六、一般公共预算财政拨款基本支出决算情况说明</w:t>
      </w:r>
      <w:r>
        <w:rPr>
          <w:rFonts w:hint="eastAsia" w:eastAsia="仿宋_GB2312" w:cs="仿宋_GB2312"/>
          <w:color w:val="auto"/>
          <w:sz w:val="28"/>
          <w:szCs w:val="28"/>
          <w:highlight w:val="none"/>
          <w:lang w:val="en-US" w:eastAsia="zh-CN"/>
        </w:rPr>
        <w:t xml:space="preserve"> </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14</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七、财政拨款</w:t>
      </w:r>
      <w:r>
        <w:rPr>
          <w:rFonts w:hint="eastAsia" w:ascii="Times New Roman" w:hAnsi="Times New Roman" w:eastAsia="仿宋_GB2312" w:cs="仿宋_GB2312"/>
          <w:color w:val="auto"/>
          <w:sz w:val="28"/>
          <w:szCs w:val="28"/>
          <w:highlight w:val="none"/>
          <w:lang w:eastAsia="zh-CN"/>
        </w:rPr>
        <w:t>“</w:t>
      </w:r>
      <w:r>
        <w:rPr>
          <w:rFonts w:hint="eastAsia" w:ascii="Times New Roman" w:hAnsi="Times New Roman" w:eastAsia="仿宋_GB2312" w:cs="仿宋_GB2312"/>
          <w:color w:val="auto"/>
          <w:sz w:val="28"/>
          <w:szCs w:val="28"/>
          <w:highlight w:val="none"/>
        </w:rPr>
        <w:t>三公”经费支出决算情况说明</w:t>
      </w:r>
      <w:r>
        <w:rPr>
          <w:rFonts w:hint="eastAsia" w:eastAsia="仿宋_GB2312" w:cs="仿宋_GB2312"/>
          <w:color w:val="auto"/>
          <w:sz w:val="28"/>
          <w:szCs w:val="28"/>
          <w:highlight w:val="none"/>
          <w:lang w:val="en-US" w:eastAsia="zh-CN"/>
        </w:rPr>
        <w:t xml:space="preserve"> </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15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八、政府性基金预算支出决算情况说明</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18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九、</w:t>
      </w:r>
      <w:r>
        <w:rPr>
          <w:rFonts w:hint="eastAsia" w:ascii="Times New Roman" w:hAnsi="Times New Roman" w:eastAsia="仿宋_GB2312" w:cs="仿宋_GB2312"/>
          <w:color w:val="auto"/>
          <w:sz w:val="28"/>
          <w:szCs w:val="28"/>
          <w:highlight w:val="none"/>
          <w:lang w:eastAsia="zh-CN"/>
        </w:rPr>
        <w:t>国</w:t>
      </w:r>
      <w:r>
        <w:rPr>
          <w:rFonts w:hint="eastAsia" w:ascii="Times New Roman" w:hAnsi="Times New Roman" w:eastAsia="仿宋_GB2312" w:cs="仿宋_GB2312"/>
          <w:color w:val="auto"/>
          <w:sz w:val="28"/>
          <w:szCs w:val="28"/>
          <w:highlight w:val="none"/>
        </w:rPr>
        <w:t>有资本经营预算支出决算情况说明</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18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lang w:eastAsia="zh-CN"/>
        </w:rPr>
        <w:t>十</w:t>
      </w:r>
      <w:r>
        <w:rPr>
          <w:rFonts w:hint="eastAsia" w:ascii="Times New Roman" w:hAnsi="Times New Roman" w:eastAsia="仿宋_GB2312" w:cs="仿宋_GB2312"/>
          <w:color w:val="auto"/>
          <w:sz w:val="28"/>
          <w:szCs w:val="28"/>
          <w:highlight w:val="none"/>
        </w:rPr>
        <w:t>、其他重要事项的情况说明</w:t>
      </w:r>
      <w:r>
        <w:rPr>
          <w:rFonts w:hint="eastAsia" w:eastAsia="仿宋_GB2312" w:cs="仿宋_GB2312"/>
          <w:color w:val="auto"/>
          <w:sz w:val="28"/>
          <w:szCs w:val="28"/>
          <w:highlight w:val="none"/>
          <w:lang w:val="en-US" w:eastAsia="zh-CN"/>
        </w:rPr>
        <w:t xml:space="preserve"> </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18</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八、一般公共预算财政拨款基本支出决算</w:t>
      </w:r>
      <w:r>
        <w:rPr>
          <w:rFonts w:hint="eastAsia" w:ascii="Times New Roman" w:hAnsi="Times New Roman" w:eastAsia="仿宋_GB2312" w:cs="仿宋_GB2312"/>
          <w:color w:val="auto"/>
          <w:sz w:val="28"/>
          <w:szCs w:val="28"/>
          <w:highlight w:val="none"/>
          <w:lang w:eastAsia="zh-CN"/>
        </w:rPr>
        <w:t>明细</w:t>
      </w:r>
      <w:r>
        <w:rPr>
          <w:rFonts w:hint="eastAsia" w:ascii="Times New Roman" w:hAnsi="Times New Roman" w:eastAsia="仿宋_GB2312" w:cs="仿宋_GB2312"/>
          <w:color w:val="auto"/>
          <w:sz w:val="28"/>
          <w:szCs w:val="28"/>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十二、</w:t>
      </w:r>
      <w:r>
        <w:rPr>
          <w:rFonts w:hint="eastAsia" w:ascii="Times New Roman" w:hAnsi="Times New Roman" w:eastAsia="仿宋_GB2312" w:cs="仿宋_GB2312"/>
          <w:color w:val="auto"/>
          <w:sz w:val="28"/>
          <w:szCs w:val="28"/>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十三、财政拨款“三公”经费支出决算表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pPr>
        <w:pStyle w:val="3"/>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pPr>
        <w:pStyle w:val="4"/>
        <w:numPr>
          <w:ilvl w:val="0"/>
          <w:numId w:val="0"/>
        </w:numPr>
        <w:ind w:firstLine="640" w:firstLineChars="200"/>
        <w:rPr>
          <w:rFonts w:hint="eastAsia" w:ascii="Times New Roman" w:hAnsi="Times New Roman" w:eastAsia="黑体"/>
          <w:b w:val="0"/>
          <w:bCs/>
          <w:color w:val="auto"/>
          <w:highlight w:val="none"/>
          <w:lang w:eastAsia="zh-CN"/>
        </w:rPr>
      </w:pPr>
      <w:r>
        <w:rPr>
          <w:rFonts w:hint="eastAsia" w:ascii="Times New Roman" w:hAnsi="Times New Roman" w:eastAsia="黑体"/>
          <w:b w:val="0"/>
          <w:bCs/>
          <w:color w:val="auto"/>
          <w:highlight w:val="none"/>
          <w:lang w:val="en-US" w:eastAsia="zh-CN"/>
        </w:rPr>
        <w:t>一、</w:t>
      </w:r>
      <w:r>
        <w:rPr>
          <w:rFonts w:hint="eastAsia" w:ascii="Times New Roman" w:hAnsi="Times New Roman" w:eastAsia="黑体"/>
          <w:b w:val="0"/>
          <w:bCs/>
          <w:color w:val="auto"/>
          <w:highlight w:val="none"/>
          <w:lang w:eastAsia="zh-CN"/>
        </w:rPr>
        <w:t>部门职责</w:t>
      </w:r>
    </w:p>
    <w:p>
      <w:pPr>
        <w:keepNext w:val="0"/>
        <w:keepLines w:val="0"/>
        <w:pageBreakBefore w:val="0"/>
        <w:widowControl w:val="0"/>
        <w:kinsoku/>
        <w:wordWrap/>
        <w:overflowPunct/>
        <w:topLinePunct w:val="0"/>
        <w:autoSpaceDE/>
        <w:autoSpaceDN/>
        <w:bidi w:val="0"/>
        <w:adjustRightInd/>
        <w:snapToGrid/>
        <w:spacing w:line="560" w:lineRule="exact"/>
        <w:ind w:left="12" w:right="47" w:firstLine="648"/>
        <w:textAlignment w:val="auto"/>
        <w:rPr>
          <w:rFonts w:hint="eastAsia" w:ascii="CESI仿宋-GB2312" w:hAnsi="CESI仿宋-GB2312" w:eastAsia="CESI仿宋-GB2312" w:cs="CESI仿宋-GB2312"/>
          <w:sz w:val="32"/>
          <w:szCs w:val="32"/>
        </w:rPr>
      </w:pPr>
      <w:bookmarkStart w:id="8" w:name="_Toc15377200"/>
      <w:bookmarkStart w:id="9" w:name="_Toc15396601"/>
      <w:r>
        <w:rPr>
          <w:rFonts w:hint="eastAsia" w:ascii="CESI仿宋-GB2312" w:hAnsi="CESI仿宋-GB2312" w:eastAsia="CESI仿宋-GB2312" w:cs="CESI仿宋-GB2312"/>
          <w:spacing w:val="10"/>
          <w:sz w:val="32"/>
          <w:szCs w:val="32"/>
        </w:rPr>
        <w:t>1.拟订文化、广电和旅游政策措施，拟订全州网 络</w:t>
      </w:r>
      <w:r>
        <w:rPr>
          <w:rFonts w:hint="eastAsia" w:ascii="CESI仿宋-GB2312" w:hAnsi="CESI仿宋-GB2312" w:eastAsia="CESI仿宋-GB2312" w:cs="CESI仿宋-GB2312"/>
          <w:spacing w:val="-3"/>
          <w:sz w:val="32"/>
          <w:szCs w:val="32"/>
        </w:rPr>
        <w:t>视听节目服务管理的政策措施。起草文化、广电和旅游自</w:t>
      </w:r>
      <w:r>
        <w:rPr>
          <w:rFonts w:hint="eastAsia" w:ascii="CESI仿宋-GB2312" w:hAnsi="CESI仿宋-GB2312" w:eastAsia="CESI仿宋-GB2312" w:cs="CESI仿宋-GB2312"/>
          <w:spacing w:val="5"/>
          <w:sz w:val="32"/>
          <w:szCs w:val="32"/>
        </w:rPr>
        <w:t>治法规、规范性文件草案，负责本部门依法行政工作。</w:t>
      </w:r>
    </w:p>
    <w:p>
      <w:pPr>
        <w:keepNext w:val="0"/>
        <w:keepLines w:val="0"/>
        <w:pageBreakBefore w:val="0"/>
        <w:widowControl w:val="0"/>
        <w:kinsoku/>
        <w:wordWrap/>
        <w:overflowPunct/>
        <w:topLinePunct w:val="0"/>
        <w:autoSpaceDE/>
        <w:autoSpaceDN/>
        <w:bidi w:val="0"/>
        <w:adjustRightInd/>
        <w:snapToGrid/>
        <w:spacing w:line="560" w:lineRule="exact"/>
        <w:ind w:left="4" w:right="47" w:firstLine="648"/>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pacing w:val="10"/>
          <w:sz w:val="32"/>
          <w:szCs w:val="32"/>
        </w:rPr>
        <w:t>2.加强广播电视阵地建设，把握正确的舆论导向和创作 导</w:t>
      </w:r>
      <w:r>
        <w:rPr>
          <w:rFonts w:hint="eastAsia" w:ascii="CESI仿宋-GB2312" w:hAnsi="CESI仿宋-GB2312" w:eastAsia="CESI仿宋-GB2312" w:cs="CESI仿宋-GB2312"/>
          <w:sz w:val="32"/>
          <w:szCs w:val="32"/>
        </w:rPr>
        <w:t>向。负责利用广播电视加强党和政府的声音传播力，抢占舆论 高</w:t>
      </w:r>
      <w:r>
        <w:rPr>
          <w:rFonts w:hint="eastAsia" w:ascii="CESI仿宋-GB2312" w:hAnsi="CESI仿宋-GB2312" w:eastAsia="CESI仿宋-GB2312" w:cs="CESI仿宋-GB2312"/>
          <w:spacing w:val="5"/>
          <w:sz w:val="32"/>
          <w:szCs w:val="32"/>
        </w:rPr>
        <w:t>地，强化舆论反制，巩固意识形态阵地。</w:t>
      </w:r>
    </w:p>
    <w:p>
      <w:pPr>
        <w:keepNext w:val="0"/>
        <w:keepLines w:val="0"/>
        <w:pageBreakBefore w:val="0"/>
        <w:widowControl w:val="0"/>
        <w:kinsoku/>
        <w:wordWrap/>
        <w:overflowPunct/>
        <w:topLinePunct w:val="0"/>
        <w:autoSpaceDE/>
        <w:autoSpaceDN/>
        <w:bidi w:val="0"/>
        <w:adjustRightInd/>
        <w:snapToGrid/>
        <w:spacing w:line="560" w:lineRule="exact"/>
        <w:ind w:left="6" w:right="47" w:firstLine="66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pacing w:val="10"/>
          <w:sz w:val="32"/>
          <w:szCs w:val="32"/>
        </w:rPr>
        <w:t>3.推进文化、广电、旅游体制机制改革。组织推动</w:t>
      </w:r>
      <w:r>
        <w:rPr>
          <w:rFonts w:hint="eastAsia" w:ascii="CESI仿宋-GB2312" w:hAnsi="CESI仿宋-GB2312" w:eastAsia="CESI仿宋-GB2312" w:cs="CESI仿宋-GB2312"/>
          <w:spacing w:val="-5"/>
          <w:sz w:val="32"/>
          <w:szCs w:val="32"/>
        </w:rPr>
        <w:t>全州文化、广电事业和旅游业发展，拟订发展规划并组</w:t>
      </w:r>
      <w:r>
        <w:rPr>
          <w:rFonts w:hint="eastAsia" w:ascii="CESI仿宋-GB2312" w:hAnsi="CESI仿宋-GB2312" w:eastAsia="CESI仿宋-GB2312" w:cs="CESI仿宋-GB2312"/>
          <w:spacing w:val="-6"/>
          <w:sz w:val="32"/>
          <w:szCs w:val="32"/>
        </w:rPr>
        <w:t xml:space="preserve"> 织</w:t>
      </w:r>
      <w:r>
        <w:rPr>
          <w:rFonts w:hint="eastAsia" w:ascii="CESI仿宋-GB2312" w:hAnsi="CESI仿宋-GB2312" w:eastAsia="CESI仿宋-GB2312" w:cs="CESI仿宋-GB2312"/>
          <w:spacing w:val="5"/>
          <w:sz w:val="32"/>
          <w:szCs w:val="32"/>
        </w:rPr>
        <w:t>实施。推进文化、广电和旅游产业融合发展，促进文化、广电和旅游与相关产业融合发展。</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4.组织实施全州文化、广电和旅游资源的普查</w:t>
      </w:r>
      <w:r>
        <w:rPr>
          <w:rFonts w:hint="eastAsia" w:ascii="CESI仿宋-GB2312" w:hAnsi="CESI仿宋-GB2312" w:eastAsia="CESI仿宋-GB2312" w:cs="CESI仿宋-GB2312"/>
          <w:spacing w:val="10"/>
          <w:sz w:val="32"/>
          <w:szCs w:val="32"/>
          <w:lang w:eastAsia="zh-CN"/>
        </w:rPr>
        <w:t>、</w:t>
      </w:r>
      <w:r>
        <w:rPr>
          <w:rFonts w:hint="eastAsia" w:ascii="CESI仿宋-GB2312" w:hAnsi="CESI仿宋-GB2312" w:eastAsia="CESI仿宋-GB2312" w:cs="CESI仿宋-GB2312"/>
          <w:spacing w:val="10"/>
          <w:sz w:val="32"/>
          <w:szCs w:val="32"/>
        </w:rPr>
        <w:t>保护与利用。管理全州性重大文化、广电和旅游活动，组织全州重点文化、广电和旅游设施建设。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5.组织实施全州文化、广电和旅游整体形象推广，促进文化、广电和旅游产业市场推广和对外合作交流。制定文化、广电和旅游市场开发战略并组织实施。负责管理文化、广电和旅游国内外交流合作与宣传推广工作，组织大型文化、广电和旅游对外及对港澳台交流活动。</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6.负责对全州各类广播电视机构进行业务指导和行业监管，会同有关部门对网络视听节目服务机构进行管理。组织实施广播电视节目评价工作，监督管理、审查广播电视和网络视听节目的内容和质量，指导、监管广播电视广告播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7.负责指导推进电视剧行业发展和创作生产。推进广播 电视与新媒体技术新业态融合发展、推进广电网与电信网、互联 网三网融合。负责广播电视节目传输覆盖、检测和安全播出的监 督管理，指导、推进应急广播体系建设。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8.弘扬优秀传统文化，推动阿坝本地特色文化传承发展。 指导管理文艺事业，把握正确的创作导向，推动文化艺术创作生产，扶持体现社会主义核心价值观、具有导向性代表性示范性的文化艺术作品，推动各门类艺术、各艺术品种发展。</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9.负责公共文化、广电事业发展，推进全州公共文化、广电服务体系建设和旅游公共服务建设，深入实施 惠民工程，统筹推进文化、广电和旅游基本公共服务标准化、均等化。</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10.负责文化、广电和旅游行业信息化、标准化建设，推进文化、广电和旅游科技创新。</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11.负责非物质文化遗产保护工作，推动非物质文化遗 产的传承、普及、弘扬和振兴。</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12.管理和指导全州文物保护、利用和考古工作，组织  开展文物资源调查工作。协调、指导和监督全州文物安全工作，履行文物行政督察职能。负责全州世界文化遗产保护和管理工作，协同相关部门开展世界文化与自然遗产、历史文化名城(镇、村)申报和管理工作。负责全州文物和博物馆公共服务体系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1</w:t>
      </w:r>
      <w:r>
        <w:rPr>
          <w:rFonts w:hint="eastAsia" w:ascii="CESI仿宋-GB2312" w:hAnsi="CESI仿宋-GB2312" w:eastAsia="CESI仿宋-GB2312" w:cs="CESI仿宋-GB2312"/>
          <w:spacing w:val="10"/>
          <w:sz w:val="32"/>
          <w:szCs w:val="32"/>
          <w:lang w:val="en-US" w:eastAsia="zh-CN"/>
        </w:rPr>
        <w:t>3</w:t>
      </w:r>
      <w:r>
        <w:rPr>
          <w:rFonts w:hint="eastAsia" w:ascii="CESI仿宋-GB2312" w:hAnsi="CESI仿宋-GB2312" w:eastAsia="CESI仿宋-GB2312" w:cs="CESI仿宋-GB2312"/>
          <w:spacing w:val="10"/>
          <w:sz w:val="32"/>
          <w:szCs w:val="32"/>
        </w:rPr>
        <w:t>.推动全州文化、广电和旅游市场发展，对全州文化、广电和旅游市场依法进行行业监管，依法规范文化、广电和旅游市场。推进文化、广电和旅游行业信用体系建设。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1</w:t>
      </w:r>
      <w:r>
        <w:rPr>
          <w:rFonts w:hint="eastAsia" w:ascii="CESI仿宋-GB2312" w:hAnsi="CESI仿宋-GB2312" w:eastAsia="CESI仿宋-GB2312" w:cs="CESI仿宋-GB2312"/>
          <w:spacing w:val="10"/>
          <w:sz w:val="32"/>
          <w:szCs w:val="32"/>
          <w:lang w:val="en-US" w:eastAsia="zh-CN"/>
        </w:rPr>
        <w:t>4</w:t>
      </w:r>
      <w:r>
        <w:rPr>
          <w:rFonts w:hint="eastAsia" w:ascii="CESI仿宋-GB2312" w:hAnsi="CESI仿宋-GB2312" w:eastAsia="CESI仿宋-GB2312" w:cs="CESI仿宋-GB2312"/>
          <w:spacing w:val="10"/>
          <w:sz w:val="32"/>
          <w:szCs w:val="32"/>
        </w:rPr>
        <w:t>.负责全州旅游景区管理机构、文旅企业的行业管理 和标准化建设。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1</w:t>
      </w:r>
      <w:r>
        <w:rPr>
          <w:rFonts w:hint="eastAsia" w:ascii="CESI仿宋-GB2312" w:hAnsi="CESI仿宋-GB2312" w:eastAsia="CESI仿宋-GB2312" w:cs="CESI仿宋-GB2312"/>
          <w:spacing w:val="10"/>
          <w:sz w:val="32"/>
          <w:szCs w:val="32"/>
          <w:lang w:val="en-US" w:eastAsia="zh-CN"/>
        </w:rPr>
        <w:t>5</w:t>
      </w:r>
      <w:r>
        <w:rPr>
          <w:rFonts w:hint="eastAsia" w:ascii="CESI仿宋-GB2312" w:hAnsi="CESI仿宋-GB2312" w:eastAsia="CESI仿宋-GB2312" w:cs="CESI仿宋-GB2312"/>
          <w:spacing w:val="10"/>
          <w:sz w:val="32"/>
          <w:szCs w:val="32"/>
        </w:rPr>
        <w:t>.统筹指导全州文化、广电、旅游市场综合行政执法，规范文化、广电、旅游行政执法，组织查处全州性、跨区域文化、文物、广电、旅游等违法行为，督查督办大案要案。</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1</w:t>
      </w:r>
      <w:r>
        <w:rPr>
          <w:rFonts w:hint="eastAsia" w:ascii="CESI仿宋-GB2312" w:hAnsi="CESI仿宋-GB2312" w:eastAsia="CESI仿宋-GB2312" w:cs="CESI仿宋-GB2312"/>
          <w:spacing w:val="10"/>
          <w:sz w:val="32"/>
          <w:szCs w:val="32"/>
          <w:lang w:val="en-US" w:eastAsia="zh-CN"/>
        </w:rPr>
        <w:t>6</w:t>
      </w:r>
      <w:r>
        <w:rPr>
          <w:rFonts w:hint="eastAsia" w:ascii="CESI仿宋-GB2312" w:hAnsi="CESI仿宋-GB2312" w:eastAsia="CESI仿宋-GB2312" w:cs="CESI仿宋-GB2312"/>
          <w:spacing w:val="10"/>
          <w:sz w:val="32"/>
          <w:szCs w:val="32"/>
        </w:rPr>
        <w:t>.负责文化、广电和旅游行业安全生产工作的综合协调与监督管理，制定职责范围内的安全生产年度监督检查 计划并组织实施。依法履行行业职业健康监管职责，承担职责范 围内生态环境保护、公共机构节能减排、审批服务便民化等工作。</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lang w:val="en-US" w:eastAsia="zh-CN"/>
        </w:rPr>
        <w:t>17</w:t>
      </w:r>
      <w:r>
        <w:rPr>
          <w:rFonts w:hint="eastAsia" w:ascii="CESI仿宋-GB2312" w:hAnsi="CESI仿宋-GB2312" w:eastAsia="CESI仿宋-GB2312" w:cs="CESI仿宋-GB2312"/>
          <w:spacing w:val="10"/>
          <w:sz w:val="32"/>
          <w:szCs w:val="32"/>
        </w:rPr>
        <w:t>.完成州委、州政府交办的其他任务。</w:t>
      </w:r>
    </w:p>
    <w:p>
      <w:pPr>
        <w:pStyle w:val="4"/>
        <w:pageBreakBefore w:val="0"/>
        <w:kinsoku/>
        <w:wordWrap/>
        <w:overflowPunct/>
        <w:topLinePunct w:val="0"/>
        <w:autoSpaceDE/>
        <w:autoSpaceDN/>
        <w:bidi w:val="0"/>
        <w:spacing w:line="560" w:lineRule="exact"/>
        <w:ind w:firstLine="640" w:firstLineChars="200"/>
        <w:textAlignment w:val="auto"/>
        <w:rPr>
          <w:rStyle w:val="29"/>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auto"/>
          <w:sz w:val="32"/>
          <w:szCs w:val="32"/>
          <w:highlight w:val="none"/>
        </w:rPr>
        <w:t>阿坝藏族羌族自治州文化广播电视和旅游局下属二级</w:t>
      </w:r>
      <w:r>
        <w:rPr>
          <w:rFonts w:hint="eastAsia" w:ascii="仿宋_GB2312" w:hAnsi="仿宋_GB2312" w:eastAsia="仿宋_GB2312" w:cs="仿宋_GB2312"/>
          <w:color w:val="auto"/>
          <w:sz w:val="32"/>
          <w:szCs w:val="32"/>
          <w:highlight w:val="none"/>
          <w:lang w:eastAsia="zh-CN"/>
        </w:rPr>
        <w:t>预算</w:t>
      </w:r>
      <w:r>
        <w:rPr>
          <w:rFonts w:hint="eastAsia" w:ascii="仿宋_GB2312" w:hAnsi="仿宋_GB2312" w:eastAsia="仿宋_GB2312" w:cs="仿宋_GB2312"/>
          <w:color w:val="auto"/>
          <w:sz w:val="32"/>
          <w:szCs w:val="32"/>
          <w:highlight w:val="none"/>
        </w:rPr>
        <w:t>单位</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个，其中行政单位</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个，参照公务员法管理的事业单位</w:t>
      </w:r>
      <w:r>
        <w:rPr>
          <w:rFonts w:hint="eastAsia" w:ascii="仿宋_GB2312" w:hAnsi="仿宋_GB2312" w:eastAsia="仿宋_GB2312" w:cs="仿宋_GB2312"/>
          <w:bCs/>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个，其他事业单</w:t>
      </w:r>
      <w:r>
        <w:rPr>
          <w:rFonts w:hint="eastAsia" w:ascii="仿宋_GB2312" w:hAnsi="仿宋_GB2312" w:eastAsia="仿宋_GB2312" w:cs="仿宋_GB2312"/>
          <w:color w:val="000000" w:themeColor="text1"/>
          <w:sz w:val="32"/>
          <w:szCs w:val="32"/>
          <w:highlight w:val="none"/>
          <w14:textFill>
            <w14:solidFill>
              <w14:schemeClr w14:val="tx1"/>
            </w14:solidFill>
          </w14:textFill>
        </w:rPr>
        <w:t>位</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highlight w:val="none"/>
          <w14:textFill>
            <w14:solidFill>
              <w14:schemeClr w14:val="tx1"/>
            </w14:solidFill>
          </w14:textFill>
        </w:rPr>
        <w:t>个。</w:t>
      </w:r>
    </w:p>
    <w:p>
      <w:pPr>
        <w:pStyle w:val="6"/>
        <w:pageBreakBefore w:val="0"/>
        <w:kinsoku/>
        <w:wordWrap/>
        <w:overflowPunct/>
        <w:topLinePunct w:val="0"/>
        <w:autoSpaceDE/>
        <w:autoSpaceDN/>
        <w:bidi w:val="0"/>
        <w:adjustRightInd w:val="0"/>
        <w:snapToGrid w:val="0"/>
        <w:spacing w:before="93" w:line="560" w:lineRule="exact"/>
        <w:ind w:firstLine="672" w:firstLineChars="21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纳入阿坝藏族羌族自治州文化广播电视和旅游局</w:t>
      </w:r>
      <w:r>
        <w:rPr>
          <w:rFonts w:hint="eastAsia" w:ascii="仿宋_GB2312" w:hAnsi="仿宋_GB2312" w:eastAsia="仿宋_GB2312" w:cs="仿宋_GB2312"/>
          <w:color w:val="auto"/>
          <w:sz w:val="32"/>
          <w:szCs w:val="32"/>
          <w:highlight w:val="none"/>
          <w:lang w:eastAsia="zh-CN"/>
        </w:rPr>
        <w:t>2025年度</w:t>
      </w:r>
      <w:r>
        <w:rPr>
          <w:rFonts w:hint="eastAsia" w:ascii="仿宋_GB2312" w:hAnsi="仿宋_GB2312" w:eastAsia="仿宋_GB2312" w:cs="仿宋_GB2312"/>
          <w:color w:val="auto"/>
          <w:sz w:val="32"/>
          <w:szCs w:val="32"/>
          <w:highlight w:val="none"/>
        </w:rPr>
        <w:t>部门决算编制范围的二级预算单位包括：</w:t>
      </w:r>
    </w:p>
    <w:p>
      <w:pPr>
        <w:pStyle w:val="6"/>
        <w:pageBreakBefore w:val="0"/>
        <w:numPr>
          <w:ilvl w:val="0"/>
          <w:numId w:val="1"/>
        </w:numPr>
        <w:kinsoku/>
        <w:wordWrap/>
        <w:overflowPunct/>
        <w:topLinePunct w:val="0"/>
        <w:autoSpaceDE/>
        <w:autoSpaceDN/>
        <w:bidi w:val="0"/>
        <w:adjustRightInd w:val="0"/>
        <w:snapToGrid w:val="0"/>
        <w:spacing w:before="93" w:line="560" w:lineRule="exact"/>
        <w:ind w:left="1320" w:leftChars="0" w:firstLineChars="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 xml:space="preserve">阿坝州国家公园服务中心  2.阿坝州文化馆  </w:t>
      </w:r>
    </w:p>
    <w:p>
      <w:pPr>
        <w:pStyle w:val="6"/>
        <w:pageBreakBefore w:val="0"/>
        <w:numPr>
          <w:ilvl w:val="0"/>
          <w:numId w:val="0"/>
        </w:numPr>
        <w:kinsoku/>
        <w:wordWrap/>
        <w:overflowPunct/>
        <w:topLinePunct w:val="0"/>
        <w:autoSpaceDE/>
        <w:autoSpaceDN/>
        <w:bidi w:val="0"/>
        <w:adjustRightInd w:val="0"/>
        <w:snapToGrid w:val="0"/>
        <w:spacing w:before="93" w:line="560" w:lineRule="exact"/>
        <w:ind w:left="840" w:leftChars="0"/>
        <w:textAlignment w:val="auto"/>
        <w:outlineLvl w:val="2"/>
        <w:rPr>
          <w:rFonts w:hint="eastAsia" w:ascii="仿宋_GB2312" w:hAnsi="仿宋_GB2312" w:eastAsia="仿宋_GB2312" w:cs="仿宋_GB2312"/>
          <w:color w:val="auto"/>
          <w:sz w:val="32"/>
          <w:szCs w:val="32"/>
          <w:highlight w:val="none"/>
        </w:rPr>
      </w:pPr>
      <w:bookmarkStart w:id="10" w:name="_Toc15306276"/>
      <w:bookmarkStart w:id="11" w:name="_Toc15377433"/>
      <w:bookmarkStart w:id="12" w:name="_Toc15378449"/>
      <w:bookmarkStart w:id="13" w:name="_Toc15377202"/>
      <w:r>
        <w:rPr>
          <w:rFonts w:hint="eastAsia" w:ascii="仿宋_GB2312" w:hAnsi="仿宋_GB2312" w:eastAsia="仿宋_GB2312" w:cs="仿宋_GB2312"/>
          <w:color w:val="auto"/>
          <w:sz w:val="32"/>
          <w:szCs w:val="32"/>
          <w:highlight w:val="none"/>
          <w:lang w:val="en-US" w:eastAsia="zh-CN"/>
        </w:rPr>
        <w:t>3.阿坝州图书馆</w:t>
      </w:r>
      <w:bookmarkEnd w:id="10"/>
      <w:bookmarkEnd w:id="11"/>
      <w:bookmarkEnd w:id="12"/>
      <w:bookmarkEnd w:id="13"/>
      <w:r>
        <w:rPr>
          <w:rFonts w:hint="eastAsia" w:ascii="仿宋_GB2312" w:hAnsi="仿宋_GB2312" w:eastAsia="仿宋_GB2312" w:cs="仿宋_GB2312"/>
          <w:color w:val="auto"/>
          <w:sz w:val="32"/>
          <w:szCs w:val="32"/>
          <w:highlight w:val="none"/>
          <w:lang w:val="en-US" w:eastAsia="zh-CN"/>
        </w:rPr>
        <w:t xml:space="preserve">             4.阿坝州民族歌舞团</w:t>
      </w:r>
    </w:p>
    <w:p>
      <w:pPr>
        <w:pStyle w:val="6"/>
        <w:pageBreakBefore w:val="0"/>
        <w:numPr>
          <w:ilvl w:val="0"/>
          <w:numId w:val="0"/>
        </w:numPr>
        <w:kinsoku/>
        <w:wordWrap/>
        <w:overflowPunct/>
        <w:topLinePunct w:val="0"/>
        <w:autoSpaceDE/>
        <w:autoSpaceDN/>
        <w:bidi w:val="0"/>
        <w:adjustRightInd w:val="0"/>
        <w:snapToGrid w:val="0"/>
        <w:spacing w:before="93" w:line="560" w:lineRule="exact"/>
        <w:ind w:firstLine="960" w:firstLineChars="3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5.阿坝州文物考古研究所（博物馆）</w:t>
      </w:r>
    </w:p>
    <w:p>
      <w:pPr>
        <w:pStyle w:val="6"/>
        <w:pageBreakBefore w:val="0"/>
        <w:numPr>
          <w:ilvl w:val="0"/>
          <w:numId w:val="0"/>
        </w:numPr>
        <w:kinsoku/>
        <w:wordWrap/>
        <w:overflowPunct/>
        <w:topLinePunct w:val="0"/>
        <w:autoSpaceDE/>
        <w:autoSpaceDN/>
        <w:bidi w:val="0"/>
        <w:adjustRightInd w:val="0"/>
        <w:snapToGrid w:val="0"/>
        <w:spacing w:before="93" w:line="560" w:lineRule="exact"/>
        <w:ind w:left="840" w:leftChars="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6.阿坝州全域旅游研究所</w:t>
      </w:r>
    </w:p>
    <w:p>
      <w:pPr>
        <w:pageBreakBefore w:val="0"/>
        <w:widowControl/>
        <w:kinsoku/>
        <w:wordWrap/>
        <w:overflowPunct/>
        <w:topLinePunct w:val="0"/>
        <w:autoSpaceDE/>
        <w:autoSpaceDN/>
        <w:bidi w:val="0"/>
        <w:spacing w:line="560" w:lineRule="exact"/>
        <w:jc w:val="left"/>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br w:type="page"/>
      </w:r>
    </w:p>
    <w:p>
      <w:pPr>
        <w:pStyle w:val="3"/>
        <w:jc w:val="center"/>
        <w:rPr>
          <w:rFonts w:hint="eastAsia" w:ascii="Times New Roman" w:hAnsi="Times New Roman" w:eastAsia="方正小标宋简体" w:cs="方正小标宋简体"/>
          <w:b w:val="0"/>
          <w:color w:val="auto"/>
          <w:highlight w:val="none"/>
        </w:rPr>
      </w:pPr>
      <w:bookmarkStart w:id="14" w:name="_Toc15396602"/>
      <w:bookmarkStart w:id="15" w:name="_Toc15377204"/>
      <w:r>
        <w:rPr>
          <w:rFonts w:hint="eastAsia"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4"/>
      <w:bookmarkEnd w:id="15"/>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77205"/>
      <w:bookmarkStart w:id="17"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6"/>
      <w:bookmarkEnd w:id="1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2025年度收入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w:t>
      </w:r>
      <w:r>
        <w:rPr>
          <w:rFonts w:hint="eastAsia" w:ascii="仿宋_GB2312" w:hAnsi="仿宋_GB2312"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12851.29</w:t>
      </w:r>
      <w:r>
        <w:rPr>
          <w:rFonts w:hint="eastAsia" w:ascii="仿宋_GB2312" w:hAnsi="仿宋_GB2312" w:eastAsia="仿宋_GB2312" w:cs="仿宋_GB2312"/>
          <w:color w:val="auto"/>
          <w:sz w:val="32"/>
          <w:szCs w:val="32"/>
          <w:highlight w:val="none"/>
        </w:rPr>
        <w:t>万元。与</w:t>
      </w:r>
      <w:r>
        <w:rPr>
          <w:rFonts w:hint="eastAsia" w:ascii="仿宋_GB2312" w:hAnsi="仿宋_GB2312" w:eastAsia="仿宋_GB2312" w:cs="仿宋_GB2312"/>
          <w:color w:val="auto"/>
          <w:sz w:val="32"/>
          <w:szCs w:val="32"/>
          <w:highlight w:val="none"/>
          <w:lang w:eastAsia="zh-CN"/>
        </w:rPr>
        <w:t>上</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度</w:t>
      </w:r>
      <w:r>
        <w:rPr>
          <w:rFonts w:hint="eastAsia" w:ascii="仿宋_GB2312" w:hAnsi="仿宋_GB2312" w:eastAsia="仿宋_GB2312" w:cs="仿宋_GB2312"/>
          <w:color w:val="auto"/>
          <w:sz w:val="32"/>
          <w:szCs w:val="32"/>
          <w:highlight w:val="none"/>
        </w:rPr>
        <w:t>相比，</w:t>
      </w:r>
      <w:r>
        <w:rPr>
          <w:rFonts w:hint="eastAsia" w:ascii="仿宋_GB2312" w:hAnsi="仿宋_GB2312" w:eastAsia="仿宋_GB2312" w:cs="仿宋_GB2312"/>
          <w:color w:val="auto"/>
          <w:sz w:val="32"/>
          <w:szCs w:val="32"/>
          <w:highlight w:val="none"/>
          <w:lang w:eastAsia="zh-CN"/>
        </w:rPr>
        <w:t>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总计各减少</w:t>
      </w:r>
      <w:r>
        <w:rPr>
          <w:rFonts w:hint="eastAsia" w:ascii="仿宋_GB2312" w:hAnsi="仿宋_GB2312" w:eastAsia="仿宋_GB2312" w:cs="仿宋_GB2312"/>
          <w:color w:val="auto"/>
          <w:sz w:val="32"/>
          <w:szCs w:val="32"/>
          <w:highlight w:val="none"/>
          <w:lang w:val="en-US" w:eastAsia="zh-CN"/>
        </w:rPr>
        <w:t>3540.34</w:t>
      </w:r>
      <w:r>
        <w:rPr>
          <w:rFonts w:hint="eastAsia" w:ascii="仿宋_GB2312" w:hAnsi="仿宋_GB2312" w:eastAsia="仿宋_GB2312" w:cs="仿宋_GB2312"/>
          <w:color w:val="auto"/>
          <w:sz w:val="32"/>
          <w:szCs w:val="32"/>
          <w:highlight w:val="none"/>
        </w:rPr>
        <w:t>万元，下降</w:t>
      </w:r>
      <w:r>
        <w:rPr>
          <w:rFonts w:hint="eastAsia" w:ascii="仿宋_GB2312" w:hAnsi="仿宋_GB2312" w:eastAsia="仿宋_GB2312" w:cs="仿宋_GB2312"/>
          <w:color w:val="auto"/>
          <w:sz w:val="32"/>
          <w:szCs w:val="32"/>
          <w:highlight w:val="none"/>
          <w:lang w:val="en-US" w:eastAsia="zh-CN"/>
        </w:rPr>
        <w:t>21.59</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val="en-US" w:eastAsia="zh-CN"/>
        </w:rPr>
        <w:t>机构改革，2025年5月体育局划转到州教体局，人员经费和项目经费一并划转；2025年预算项目及预算金额的减少。</w:t>
      </w:r>
      <w:r>
        <w:rPr>
          <w:rFonts w:hint="eastAsia" w:ascii="仿宋_GB2312" w:hAnsi="仿宋_GB2312" w:eastAsia="仿宋_GB2312" w:cs="仿宋_GB2312"/>
          <w:color w:val="auto"/>
          <w:sz w:val="32"/>
          <w:szCs w:val="32"/>
          <w:highlight w:val="none"/>
        </w:rPr>
        <w:t>（图1：</w:t>
      </w:r>
      <w:r>
        <w:rPr>
          <w:rFonts w:hint="eastAsia" w:ascii="仿宋_GB2312" w:hAnsi="仿宋_GB2312" w:eastAsia="仿宋_GB2312" w:cs="仿宋_GB2312"/>
          <w:color w:val="auto"/>
          <w:sz w:val="32"/>
          <w:szCs w:val="32"/>
          <w:highlight w:val="none"/>
          <w:lang w:eastAsia="zh-CN"/>
        </w:rPr>
        <w:t>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决算总计变动情况图）（柱状图）</w:t>
      </w:r>
      <w:bookmarkStart w:id="18" w:name="_Toc15377206"/>
      <w:bookmarkStart w:id="19" w:name="_Toc15396604"/>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1"/>
        <w:rPr>
          <w:rFonts w:hint="eastAsia" w:eastAsia="黑体"/>
          <w:color w:val="auto"/>
          <w:sz w:val="32"/>
          <w:szCs w:val="32"/>
          <w:highlight w:val="none"/>
          <w:lang w:val="en-US" w:eastAsia="zh-CN"/>
        </w:rPr>
      </w:pPr>
      <w:r>
        <w:rPr>
          <w:rFonts w:hint="eastAsia" w:eastAsia="黑体"/>
          <w:color w:val="auto"/>
          <w:sz w:val="32"/>
          <w:szCs w:val="32"/>
          <w:highlight w:val="none"/>
          <w:lang w:val="en-US" w:eastAsia="zh-CN"/>
        </w:rPr>
        <w:t xml:space="preserve">              </w:t>
      </w:r>
      <w:r>
        <w:rPr>
          <w:rFonts w:hint="eastAsia" w:eastAsia="黑体"/>
          <w:color w:val="auto"/>
          <w:sz w:val="32"/>
          <w:szCs w:val="32"/>
          <w:highlight w:val="none"/>
          <w:lang w:val="en-US" w:eastAsia="zh-CN"/>
        </w:rPr>
        <w:drawing>
          <wp:inline distT="0" distB="0" distL="114300" distR="114300">
            <wp:extent cx="2892425" cy="1739900"/>
            <wp:effectExtent l="0" t="0" r="3175" b="12700"/>
            <wp:docPr id="7" name="图片 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1"/>
                    <pic:cNvPicPr>
                      <a:picLocks noChangeAspect="1"/>
                    </pic:cNvPicPr>
                  </pic:nvPicPr>
                  <pic:blipFill>
                    <a:blip r:embed="rId9"/>
                    <a:stretch>
                      <a:fillRect/>
                    </a:stretch>
                  </pic:blipFill>
                  <pic:spPr>
                    <a:xfrm>
                      <a:off x="0" y="0"/>
                      <a:ext cx="2892425" cy="1739900"/>
                    </a:xfrm>
                    <a:prstGeom prst="rect">
                      <a:avLst/>
                    </a:prstGeom>
                  </pic:spPr>
                </pic:pic>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18"/>
      <w:bookmarkEnd w:id="19"/>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rPr>
        <w:t>12266.78</w:t>
      </w:r>
      <w:r>
        <w:rPr>
          <w:rFonts w:hint="eastAsia" w:ascii="仿宋_GB2312" w:hAnsi="仿宋_GB2312"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11997.25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97.8</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41.32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0.3</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228.21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1.86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bCs/>
          <w:color w:val="auto"/>
          <w:sz w:val="32"/>
          <w:szCs w:val="32"/>
          <w:highlight w:val="none"/>
          <w:lang w:eastAsia="zh-CN"/>
        </w:rPr>
        <w:t>（注：仅罗列本部门涉及的收入）</w:t>
      </w:r>
      <w:r>
        <w:rPr>
          <w:rFonts w:hint="eastAsia" w:ascii="Times New Roman" w:hAnsi="Times New Roman" w:eastAsia="仿宋_GB2312" w:cs="仿宋_GB2312"/>
          <w:color w:val="auto"/>
          <w:sz w:val="32"/>
          <w:szCs w:val="32"/>
          <w:highlight w:val="none"/>
          <w:lang w:eastAsia="zh-CN"/>
        </w:rPr>
        <w:t>（图2：收入决算结构图）（饼状图）</w:t>
      </w:r>
    </w:p>
    <w:p>
      <w:pPr>
        <w:rPr>
          <w:rFonts w:hint="eastAsia" w:eastAsia="仿宋_GB2312" w:cs="仿宋_GB2312"/>
          <w:color w:val="auto"/>
          <w:sz w:val="32"/>
          <w:szCs w:val="32"/>
          <w:highlight w:val="none"/>
          <w:lang w:val="en-US" w:eastAsia="zh-CN"/>
        </w:rPr>
      </w:pPr>
    </w:p>
    <w:p>
      <w:pPr>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t xml:space="preserve">         </w:t>
      </w:r>
      <w:r>
        <w:rPr>
          <w:rFonts w:hint="default" w:ascii="Times New Roman" w:hAnsi="Times New Roman" w:eastAsia="仿宋_GB2312" w:cs="仿宋_GB2312"/>
          <w:color w:val="auto"/>
          <w:sz w:val="32"/>
          <w:szCs w:val="32"/>
          <w:highlight w:val="none"/>
          <w:lang w:val="en-US" w:eastAsia="zh-CN"/>
        </w:rPr>
        <w:drawing>
          <wp:inline distT="0" distB="0" distL="114300" distR="114300">
            <wp:extent cx="3028950" cy="1762125"/>
            <wp:effectExtent l="0" t="0" r="0" b="9525"/>
            <wp:docPr id="8" name="图片 8" descr="1789461778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89461778817"/>
                    <pic:cNvPicPr>
                      <a:picLocks noChangeAspect="1"/>
                    </pic:cNvPicPr>
                  </pic:nvPicPr>
                  <pic:blipFill>
                    <a:blip r:embed="rId10"/>
                    <a:stretch>
                      <a:fillRect/>
                    </a:stretch>
                  </pic:blipFill>
                  <pic:spPr>
                    <a:xfrm>
                      <a:off x="0" y="0"/>
                      <a:ext cx="3028950" cy="1762125"/>
                    </a:xfrm>
                    <a:prstGeom prst="rect">
                      <a:avLst/>
                    </a:prstGeom>
                  </pic:spPr>
                </pic:pic>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96605"/>
      <w:bookmarkStart w:id="21"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0"/>
      <w:bookmarkEnd w:id="21"/>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rPr>
        <w:t>12277.68</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7586.4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61.79</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4691.28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38.2</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bCs/>
          <w:color w:val="auto"/>
          <w:sz w:val="32"/>
          <w:szCs w:val="32"/>
          <w:highlight w:val="none"/>
          <w:lang w:eastAsia="zh-CN"/>
        </w:rPr>
        <w:t>（注：仅罗列本部门涉及的支出）</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pStyle w:val="8"/>
        <w:ind w:left="0" w:leftChars="0" w:firstLine="0" w:firstLineChars="0"/>
        <w:rPr>
          <w:rFonts w:hint="eastAsia" w:ascii="Times New Roman" w:hAnsi="Times New Roman" w:eastAsia="仿宋_GB2312" w:cs="仿宋_GB2312"/>
          <w:color w:val="auto"/>
          <w:sz w:val="32"/>
          <w:szCs w:val="32"/>
          <w:highlight w:val="none"/>
          <w:lang w:eastAsia="zh-CN"/>
        </w:rPr>
      </w:pPr>
    </w:p>
    <w:p>
      <w:pPr>
        <w:pStyle w:val="8"/>
        <w:ind w:left="0" w:leftChars="0" w:firstLine="0" w:firstLineChars="0"/>
        <w:rPr>
          <w:rFonts w:hint="eastAsia" w:ascii="Times New Roman" w:hAnsi="Times New Roman" w:eastAsia="仿宋_GB2312" w:cs="仿宋_GB2312"/>
          <w:color w:val="auto"/>
          <w:sz w:val="32"/>
          <w:szCs w:val="32"/>
          <w:highlight w:val="none"/>
          <w:lang w:eastAsia="zh-CN"/>
        </w:rPr>
      </w:pPr>
      <w:r>
        <w:rPr>
          <w:rFonts w:hint="eastAsia" w:asci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eastAsia="zh-CN"/>
        </w:rPr>
        <w:drawing>
          <wp:inline distT="0" distB="0" distL="114300" distR="114300">
            <wp:extent cx="2628900" cy="1714500"/>
            <wp:effectExtent l="0" t="0" r="0" b="0"/>
            <wp:docPr id="9" name="图片 9" descr="1789463960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89463960731"/>
                    <pic:cNvPicPr>
                      <a:picLocks noChangeAspect="1"/>
                    </pic:cNvPicPr>
                  </pic:nvPicPr>
                  <pic:blipFill>
                    <a:blip r:embed="rId11"/>
                    <a:stretch>
                      <a:fillRect/>
                    </a:stretch>
                  </pic:blipFill>
                  <pic:spPr>
                    <a:xfrm>
                      <a:off x="0" y="0"/>
                      <a:ext cx="2628900" cy="1714500"/>
                    </a:xfrm>
                    <a:prstGeom prst="rect">
                      <a:avLst/>
                    </a:prstGeom>
                  </pic:spPr>
                </pic:pic>
              </a:graphicData>
            </a:graphic>
          </wp:inline>
        </w:drawing>
      </w:r>
    </w:p>
    <w:p>
      <w:pPr>
        <w:spacing w:line="600" w:lineRule="exact"/>
        <w:ind w:firstLine="640" w:firstLineChars="200"/>
        <w:outlineLvl w:val="1"/>
        <w:rPr>
          <w:rStyle w:val="29"/>
          <w:rFonts w:ascii="Times New Roman" w:hAnsi="Times New Roman" w:eastAsia="黑体"/>
          <w:b w:val="0"/>
          <w:color w:val="auto"/>
          <w:highlight w:val="none"/>
        </w:rPr>
      </w:pPr>
      <w:bookmarkStart w:id="22" w:name="_Toc15377208"/>
      <w:bookmarkStart w:id="23"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2"/>
      <w:bookmarkEnd w:id="23"/>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2025年度财政拨款收入、支出总计均为</w:t>
      </w:r>
      <w:r>
        <w:rPr>
          <w:rFonts w:hint="eastAsia" w:ascii="仿宋_GB2312" w:hAnsi="仿宋_GB2312" w:eastAsia="仿宋_GB2312" w:cs="仿宋_GB2312"/>
          <w:sz w:val="32"/>
          <w:szCs w:val="32"/>
        </w:rPr>
        <w:t>12038.57</w:t>
      </w:r>
      <w:r>
        <w:rPr>
          <w:rFonts w:hint="eastAsia" w:ascii="仿宋_GB2312" w:hAnsi="仿宋_GB2312" w:eastAsia="仿宋_GB2312" w:cs="仿宋_GB2312"/>
          <w:color w:val="auto"/>
          <w:kern w:val="2"/>
          <w:sz w:val="32"/>
          <w:szCs w:val="32"/>
          <w:highlight w:val="none"/>
          <w:lang w:val="en-US" w:eastAsia="zh-CN" w:bidi="ar-SA"/>
        </w:rPr>
        <w:t>万元。与上年度相比，财政拨款收入、支出总计各减少3612.49万元，下降23.08%。主要变动原因是</w:t>
      </w:r>
      <w:r>
        <w:rPr>
          <w:rFonts w:hint="eastAsia" w:ascii="仿宋_GB2312" w:hAnsi="仿宋_GB2312" w:eastAsia="仿宋_GB2312" w:cs="仿宋_GB2312"/>
          <w:color w:val="auto"/>
          <w:sz w:val="32"/>
          <w:szCs w:val="32"/>
          <w:highlight w:val="none"/>
          <w:lang w:val="en-US" w:eastAsia="zh-CN"/>
        </w:rPr>
        <w:t>机构改革，2025年5月体育局划转到州教体局，人员经费和项目经费一并划转；2025年预算项目及预算金额的减少。</w:t>
      </w:r>
      <w:r>
        <w:rPr>
          <w:rFonts w:hint="eastAsia" w:ascii="仿宋_GB2312" w:hAnsi="仿宋_GB2312" w:eastAsia="仿宋_GB2312" w:cs="仿宋_GB2312"/>
          <w:color w:val="auto"/>
          <w:kern w:val="2"/>
          <w:sz w:val="32"/>
          <w:szCs w:val="32"/>
          <w:highlight w:val="none"/>
          <w:lang w:val="en-US" w:eastAsia="zh-CN" w:bidi="ar-SA"/>
        </w:rPr>
        <w:t>（图4：财政拨款收、支决算总计变动情况）（柱状图）</w:t>
      </w:r>
    </w:p>
    <w:p>
      <w:pPr>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           </w:t>
      </w:r>
    </w:p>
    <w:p>
      <w:pPr>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2695575" cy="2028825"/>
            <wp:effectExtent l="0" t="0" r="9525" b="9525"/>
            <wp:docPr id="10" name="图片 10" descr="1789464872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789464872794"/>
                    <pic:cNvPicPr>
                      <a:picLocks noChangeAspect="1"/>
                    </pic:cNvPicPr>
                  </pic:nvPicPr>
                  <pic:blipFill>
                    <a:blip r:embed="rId12"/>
                    <a:stretch>
                      <a:fillRect/>
                    </a:stretch>
                  </pic:blipFill>
                  <pic:spPr>
                    <a:xfrm>
                      <a:off x="0" y="0"/>
                      <a:ext cx="2695575" cy="2028825"/>
                    </a:xfrm>
                    <a:prstGeom prst="rect">
                      <a:avLst/>
                    </a:prstGeom>
                  </pic:spPr>
                </pic:pic>
              </a:graphicData>
            </a:graphic>
          </wp:inline>
        </w:drawing>
      </w:r>
    </w:p>
    <w:p>
      <w:pPr>
        <w:spacing w:line="600" w:lineRule="exact"/>
        <w:ind w:firstLine="640" w:firstLineChars="200"/>
        <w:outlineLvl w:val="1"/>
        <w:rPr>
          <w:rStyle w:val="29"/>
          <w:rFonts w:ascii="Times New Roman" w:hAnsi="Times New Roman" w:eastAsia="黑体"/>
          <w:b w:val="0"/>
          <w:color w:val="auto"/>
          <w:highlight w:val="none"/>
        </w:rPr>
      </w:pPr>
      <w:bookmarkStart w:id="24" w:name="_Toc15377209"/>
      <w:bookmarkStart w:id="25"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4"/>
      <w:bookmarkEnd w:id="25"/>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6"/>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rPr>
        <w:t>11997.25</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97.71</w:t>
      </w:r>
      <w:r>
        <w:rPr>
          <w:rFonts w:hint="eastAsia" w:ascii="仿宋_GB2312" w:hAnsi="仿宋_GB2312" w:eastAsia="仿宋_GB2312" w:cs="仿宋_GB2312"/>
          <w:color w:val="auto"/>
          <w:kern w:val="2"/>
          <w:sz w:val="32"/>
          <w:szCs w:val="32"/>
          <w:highlight w:val="none"/>
          <w:lang w:val="en-US" w:eastAsia="zh-CN" w:bidi="ar-SA"/>
        </w:rPr>
        <w:t>%。与上年度相比，一般公共预算财政拨款支出减少3262.26万元，下降21.38%。主要变动原因是</w:t>
      </w:r>
      <w:r>
        <w:rPr>
          <w:rFonts w:hint="eastAsia" w:ascii="仿宋_GB2312" w:hAnsi="仿宋_GB2312" w:eastAsia="仿宋_GB2312" w:cs="仿宋_GB2312"/>
          <w:color w:val="auto"/>
          <w:sz w:val="32"/>
          <w:szCs w:val="32"/>
          <w:highlight w:val="none"/>
        </w:rPr>
        <w:t>是</w:t>
      </w:r>
      <w:r>
        <w:rPr>
          <w:rFonts w:hint="eastAsia" w:ascii="仿宋_GB2312" w:hAnsi="仿宋_GB2312" w:eastAsia="仿宋_GB2312" w:cs="仿宋_GB2312"/>
          <w:color w:val="auto"/>
          <w:sz w:val="32"/>
          <w:szCs w:val="32"/>
          <w:highlight w:val="none"/>
          <w:lang w:val="en-US" w:eastAsia="zh-CN"/>
        </w:rPr>
        <w:t>机构改革，2025年5月体育局划转到州教体局，人员经费和项目经费一并划转；2025年预算项目及预算金额的减少。</w:t>
      </w:r>
      <w:r>
        <w:rPr>
          <w:rFonts w:hint="eastAsia" w:ascii="仿宋_GB2312" w:hAnsi="仿宋_GB2312"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14"/>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2743200" cy="1885950"/>
            <wp:effectExtent l="0" t="0" r="0" b="0"/>
            <wp:docPr id="11" name="图片 11" descr="1789466102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89466102882"/>
                    <pic:cNvPicPr>
                      <a:picLocks noChangeAspect="1"/>
                    </pic:cNvPicPr>
                  </pic:nvPicPr>
                  <pic:blipFill>
                    <a:blip r:embed="rId13"/>
                    <a:stretch>
                      <a:fillRect/>
                    </a:stretch>
                  </pic:blipFill>
                  <pic:spPr>
                    <a:xfrm>
                      <a:off x="0" y="0"/>
                      <a:ext cx="2743200" cy="1885950"/>
                    </a:xfrm>
                    <a:prstGeom prst="rect">
                      <a:avLst/>
                    </a:prstGeom>
                  </pic:spPr>
                </pic:pic>
              </a:graphicData>
            </a:graphic>
          </wp:inline>
        </w:drawing>
      </w:r>
      <w:bookmarkStart w:id="27" w:name="_Toc15377211"/>
    </w:p>
    <w:p>
      <w:pPr>
        <w:pStyle w:val="8"/>
        <w:ind w:left="0" w:leftChars="0" w:firstLine="321" w:firstLineChars="100"/>
        <w:rPr>
          <w:rFonts w:hint="eastAsia" w:ascii="Times New Roman" w:hAnsi="Times New Roman" w:eastAsia="楷体_GB2312" w:cs="楷体_GB2312"/>
          <w:b/>
          <w:color w:val="000000" w:themeColor="text1"/>
          <w:sz w:val="32"/>
          <w:szCs w:val="32"/>
          <w:highlight w:val="none"/>
          <w14:textFill>
            <w14:solidFill>
              <w14:schemeClr w14:val="tx1"/>
            </w14:solidFill>
          </w14:textFill>
        </w:rPr>
      </w:pPr>
      <w:r>
        <w:rPr>
          <w:rFonts w:hint="eastAsia" w:ascii="Times New Roman" w:hAnsi="Times New Roman" w:eastAsia="楷体_GB2312" w:cs="楷体_GB2312"/>
          <w:b/>
          <w:color w:val="auto"/>
          <w:sz w:val="32"/>
          <w:szCs w:val="32"/>
          <w:highlight w:val="none"/>
        </w:rPr>
        <w:t>（二）</w:t>
      </w:r>
      <w:r>
        <w:rPr>
          <w:rFonts w:hint="eastAsia" w:ascii="Times New Roman" w:hAnsi="Times New Roman" w:eastAsia="楷体_GB2312" w:cs="楷体_GB2312"/>
          <w:b/>
          <w:color w:val="000000" w:themeColor="text1"/>
          <w:sz w:val="32"/>
          <w:szCs w:val="32"/>
          <w:highlight w:val="none"/>
          <w14:textFill>
            <w14:solidFill>
              <w14:schemeClr w14:val="tx1"/>
            </w14:solidFill>
          </w14:textFill>
        </w:rPr>
        <w:t>一般公共预算财政拨款支出决算结构情况</w:t>
      </w:r>
      <w:bookmarkEnd w:id="27"/>
    </w:p>
    <w:p>
      <w:pPr>
        <w:spacing w:line="600" w:lineRule="exact"/>
        <w:ind w:firstLine="640"/>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rPr>
        <w:t>11997.25</w:t>
      </w:r>
      <w:r>
        <w:rPr>
          <w:rFonts w:hint="eastAsia" w:ascii="仿宋_GB2312" w:hAnsi="仿宋_GB2312" w:eastAsia="仿宋_GB2312" w:cs="仿宋_GB2312"/>
          <w:color w:val="auto"/>
          <w:kern w:val="2"/>
          <w:sz w:val="32"/>
          <w:szCs w:val="32"/>
          <w:highlight w:val="none"/>
          <w:lang w:val="en-US" w:eastAsia="zh-CN" w:bidi="ar-SA"/>
        </w:rPr>
        <w:t>万元，主要用于以下方面：一般公共服务支出0万元，占0%；教育支出0万元，占0%；科学技术支出22.44万元，占0.19%；文化旅游体育与传媒支出10210.69万元，占85.11%；社会保障和就业支出943.03万元，占7.86%；卫生健康支出344.21万元，占2.87%；住房保障支出476.87万元，占3.97%。</w:t>
      </w:r>
      <w:r>
        <w:rPr>
          <w:rFonts w:hint="eastAsia" w:ascii="仿宋_GB2312" w:hAnsi="仿宋_GB2312" w:eastAsia="仿宋_GB2312" w:cs="仿宋_GB2312"/>
          <w:b/>
          <w:bCs/>
          <w:color w:val="auto"/>
          <w:kern w:val="2"/>
          <w:sz w:val="32"/>
          <w:szCs w:val="32"/>
          <w:highlight w:val="none"/>
          <w:lang w:val="en-US" w:eastAsia="zh-CN" w:bidi="ar-SA"/>
        </w:rPr>
        <w:t>（注：仅罗列本部门涉及的全部功能分类科目，至类级）</w: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pStyle w:val="14"/>
        <w:rPr>
          <w:rFonts w:hint="eastAsia"/>
          <w:lang w:val="en-US" w:eastAsia="zh-CN"/>
        </w:rPr>
      </w:pPr>
    </w:p>
    <w:p>
      <w:pPr>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3619500" cy="1990725"/>
            <wp:effectExtent l="0" t="0" r="0" b="9525"/>
            <wp:docPr id="1" name="图片 1" descr="1789524778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89524778171"/>
                    <pic:cNvPicPr>
                      <a:picLocks noChangeAspect="1"/>
                    </pic:cNvPicPr>
                  </pic:nvPicPr>
                  <pic:blipFill>
                    <a:blip r:embed="rId14"/>
                    <a:stretch>
                      <a:fillRect/>
                    </a:stretch>
                  </pic:blipFill>
                  <pic:spPr>
                    <a:xfrm>
                      <a:off x="0" y="0"/>
                      <a:ext cx="3619500" cy="1990725"/>
                    </a:xfrm>
                    <a:prstGeom prst="rect">
                      <a:avLst/>
                    </a:prstGeom>
                  </pic:spPr>
                </pic:pic>
              </a:graphicData>
            </a:graphic>
          </wp:inline>
        </w:drawing>
      </w:r>
    </w:p>
    <w:p>
      <w:pPr>
        <w:spacing w:line="600" w:lineRule="exact"/>
        <w:ind w:firstLine="643" w:firstLineChars="200"/>
        <w:outlineLvl w:val="2"/>
        <w:rPr>
          <w:rFonts w:hint="eastAsia" w:ascii="Times New Roman" w:hAnsi="Times New Roman" w:eastAsia="楷体_GB2312" w:cs="楷体_GB2312"/>
          <w:b/>
          <w:bCs w:val="0"/>
          <w:color w:val="auto"/>
          <w:sz w:val="32"/>
          <w:szCs w:val="32"/>
          <w:highlight w:val="none"/>
        </w:rPr>
      </w:pPr>
      <w:bookmarkStart w:id="28" w:name="_Toc15377212"/>
      <w:r>
        <w:rPr>
          <w:rFonts w:hint="eastAsia" w:ascii="Times New Roman" w:hAnsi="Times New Roman" w:eastAsia="楷体_GB2312" w:cs="楷体_GB2312"/>
          <w:b/>
          <w:bCs w:val="0"/>
          <w:color w:val="auto"/>
          <w:sz w:val="32"/>
          <w:szCs w:val="32"/>
          <w:highlight w:val="none"/>
        </w:rPr>
        <w:t>（三）一般公共预算财政拨款支出决算具体情况</w:t>
      </w:r>
      <w:bookmarkEnd w:id="28"/>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bookmarkStart w:id="29" w:name="_Toc15377213"/>
      <w:bookmarkStart w:id="30" w:name="_Toc15377444"/>
      <w:bookmarkStart w:id="31" w:name="_Toc15378460"/>
      <w:r>
        <w:rPr>
          <w:rFonts w:hint="eastAsia" w:ascii="仿宋_GB2312" w:hAnsi="仿宋_GB2312" w:eastAsia="仿宋_GB2312" w:cs="仿宋_GB2312"/>
          <w:color w:val="auto"/>
          <w:kern w:val="2"/>
          <w:sz w:val="32"/>
          <w:szCs w:val="32"/>
          <w:highlight w:val="none"/>
          <w:lang w:val="en-US" w:eastAsia="zh-CN" w:bidi="ar-SA"/>
        </w:rPr>
        <w:t>2025年度一般公共预算支出决算数为</w:t>
      </w:r>
      <w:r>
        <w:rPr>
          <w:rFonts w:hint="eastAsia" w:ascii="仿宋_GB2312" w:hAnsi="仿宋_GB2312" w:eastAsia="仿宋_GB2312" w:cs="仿宋_GB2312"/>
          <w:sz w:val="32"/>
          <w:szCs w:val="32"/>
        </w:rPr>
        <w:t>11997.25</w:t>
      </w:r>
      <w:r>
        <w:rPr>
          <w:rFonts w:hint="eastAsia" w:ascii="仿宋_GB2312" w:hAnsi="仿宋_GB2312" w:eastAsia="仿宋_GB2312" w:cs="仿宋_GB2312"/>
          <w:color w:val="auto"/>
          <w:kern w:val="2"/>
          <w:sz w:val="32"/>
          <w:szCs w:val="32"/>
          <w:highlight w:val="none"/>
          <w:lang w:val="en-US" w:eastAsia="zh-CN" w:bidi="ar-SA"/>
        </w:rPr>
        <w:t>，完成预算100%。其中：</w:t>
      </w:r>
      <w:bookmarkEnd w:id="29"/>
      <w:bookmarkEnd w:id="30"/>
      <w:bookmarkEnd w:id="31"/>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1.科学技术（类）其他科学技术支出（款）其他科学技术支出（项）：支出决算为22.44万元，完成预算100%，决算数等于预算数。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2.文化旅游体育与传媒（类）文化旅游（款）行政支出（项）：支出决算为1805.81万元，完成预算100%，决算数等于预算数。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3.文化旅游体育与传媒（类）文化旅游（款）一般行政管理事务（项）：支出决算为643.57万元，完成预算100%，决算数等于预算数。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4.文化旅游体育与传媒（类）文化旅游（款）图书馆（项）：支出决算为545.75万元，完成预算100%，决算数等于预算数。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5.文化旅游体育与传媒（类）文化旅游（款）艺术表演团体（项）：支出决算为2181.93万元，完成预算100%，决算数等于预算数。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6.文化旅游体育与传媒（类）文化旅游（款）群众文化（项）：支出决算为1484.17万元，完成预算100%，决算数等于预算数。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7.文化旅游体育与传媒（类）文化旅游（款）文化创作与保护（项）：支出决算为26.71万元，完成预算100%，决算数等于预算数。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8.文化旅游体育与传媒（类）文化旅游（款）文化和旅游市场管理（项）：支出决算为50万元，完成预算100%，决算数等于预算数。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9.文化旅游体育与传媒（类）文化旅游（款）旅游宣传（项）：支出决算为980.47万元，完成预算100%，决算数等于预算数。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10.文化旅游体育与传媒（类）文化旅游（款）文化和旅游管理事务（项）：支出决算为705.71万元，完成预算100%，决算数等于预算数。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11.文化旅游体育与传媒（类）文化旅游（款）其他文化和旅游支出（项）：支出决算为615.26万元，完成预算100%，决算数等于预算数。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12.文化旅游体育与传媒（类）文物（款）文物保护支出（项）：支出决算为711.82万元，完成预算100%，决算数等于预算数。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13.文化旅游体育与传媒（类）文物（款）博物馆（项）：支出决算为314.94万元，完成预算100%，决算数等于预算数。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14.文化旅游体育与传媒（类）体育（款）体育竞赛（项）：支出决算为99.87万元，完成预算100%，决算数等于预算数。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15.文化旅游体育与传媒（类）体育（款）体育场馆（项）：支出决算为0.25万元，完成预算100%，决算数等于预算数。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16.文化旅游体育与传媒（类）体育（款）其他体育支出（项）：支出决算为23.67万元，完成预算100%，决算数等于预算数。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17.文化旅游体育与传媒（类）广播电视（款）监测监管（项）：支出决算为20.78万元，完成预算100%，决算数等于预算数。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18.社会保障和就业（类）行政事业单位养老支出（款）机关事业单位基本养老保险缴费支出（项）：支出决算为603.99万元，完成预算100%，决算数等于预算数。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19.社会保障和就业（类）行政事业单位养老支出（款）机关事业单位职业年金缴费支出（项）：支出决算为290.00万元，完成预算100%，决算数等于预算数。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20.社会保障和就业（类）行政事业单位养老支出（款）其他行政事业单位养老支出（项）：支出决算为49.04万元，完成预算100%，决算数等于预算数。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21.卫生健康（类）行政事业单位医疗（款）行政单位医疗（项）：支出决算为65.47万元，完成预算100%，决算数等于预算数。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22.卫生健康（类）行政事业单位医疗（款）事业单位医疗（项）：支出决算为238.32万元，完成预算100%，决算数等于预算数。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23.卫生健康（类）行政事业单位医疗（款）公务员医疗补助（项）：支出决算为20.87万元，完成预算100%，决算数等于预算数。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24.卫生健康（类）行政事业单位医疗（款）其他行政事业单位医疗支出（项）：支出决算为19.55万元，完成预算100%，决算数等于预算数。</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25.住房保障（类）住房改革（款）住房公积金（项）：支出决算为473.27万元，完成预算100%，决算数等于预算数。</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26.住房保障（类）住房改革（款）购房补贴（项）：支出决算为3.6万元，完成预算100%，决算数等于预算数。</w:t>
      </w:r>
    </w:p>
    <w:p>
      <w:pPr>
        <w:spacing w:line="600" w:lineRule="exact"/>
        <w:ind w:firstLine="643" w:firstLineChars="20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pPr>
        <w:tabs>
          <w:tab w:val="right" w:pos="8306"/>
        </w:tabs>
        <w:spacing w:line="600" w:lineRule="exact"/>
        <w:ind w:firstLine="640" w:firstLineChars="200"/>
        <w:outlineLvl w:val="1"/>
        <w:rPr>
          <w:rStyle w:val="29"/>
          <w:rFonts w:ascii="Times New Roman" w:hAnsi="Times New Roman"/>
          <w:color w:val="auto"/>
          <w:highlight w:val="none"/>
        </w:rPr>
      </w:pPr>
      <w:bookmarkStart w:id="32" w:name="_Toc15396608"/>
      <w:bookmarkStart w:id="33" w:name="_Toc15377214"/>
      <w:r>
        <w:rPr>
          <w:rFonts w:hint="eastAsia" w:ascii="Times New Roman" w:hAnsi="Times New Roman" w:eastAsia="黑体"/>
          <w:b w:val="0"/>
          <w:bCs w:val="0"/>
          <w:color w:val="auto"/>
          <w:sz w:val="32"/>
          <w:szCs w:val="32"/>
          <w:highlight w:val="none"/>
        </w:rPr>
        <w:t>六、一</w:t>
      </w:r>
      <w:r>
        <w:rPr>
          <w:rStyle w:val="29"/>
          <w:rFonts w:hint="eastAsia" w:ascii="Times New Roman" w:hAnsi="Times New Roman" w:eastAsia="黑体"/>
          <w:b w:val="0"/>
          <w:bCs w:val="0"/>
          <w:color w:val="auto"/>
          <w:highlight w:val="none"/>
        </w:rPr>
        <w:t>般公共预算财政拨款基本支出决算情况说明</w:t>
      </w:r>
      <w:bookmarkEnd w:id="32"/>
      <w:bookmarkEnd w:id="33"/>
      <w:r>
        <w:rPr>
          <w:rStyle w:val="29"/>
          <w:rFonts w:ascii="Times New Roman" w:hAnsi="Times New Roman" w:eastAsia="黑体"/>
          <w:b w:val="0"/>
          <w:color w:val="auto"/>
          <w:highlight w:val="none"/>
        </w:rPr>
        <w:tab/>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2025年度一般公共预算财政拨款基本支出</w:t>
      </w:r>
      <w:r>
        <w:rPr>
          <w:rFonts w:hint="eastAsia" w:ascii="仿宋_GB2312" w:hAnsi="仿宋_GB2312" w:eastAsia="仿宋_GB2312" w:cs="仿宋_GB2312"/>
          <w:sz w:val="32"/>
          <w:szCs w:val="32"/>
        </w:rPr>
        <w:t>7586.4</w:t>
      </w:r>
      <w:r>
        <w:rPr>
          <w:rFonts w:hint="eastAsia" w:ascii="仿宋_GB2312" w:hAnsi="仿宋_GB2312"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6763.84</w:t>
      </w:r>
      <w:r>
        <w:rPr>
          <w:rFonts w:hint="eastAsia" w:ascii="仿宋_GB2312" w:hAnsi="仿宋_GB2312"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_GB2312" w:hAnsi="仿宋_GB2312" w:eastAsia="仿宋_GB2312" w:cs="仿宋_GB2312"/>
          <w:color w:val="auto"/>
          <w:kern w:val="2"/>
          <w:sz w:val="32"/>
          <w:szCs w:val="32"/>
          <w:highlight w:val="none"/>
          <w:lang w:val="en-US" w:eastAsia="zh-CN" w:bidi="ar-SA"/>
        </w:rPr>
        <w:br w:type="textWrapping"/>
      </w:r>
      <w:r>
        <w:rPr>
          <w:rFonts w:hint="eastAsia" w:ascii="仿宋_GB2312" w:hAnsi="仿宋_GB2312"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822.56</w:t>
      </w:r>
      <w:r>
        <w:rPr>
          <w:rFonts w:hint="eastAsia" w:ascii="仿宋_GB2312" w:hAnsi="仿宋_GB2312"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w:t>
      </w:r>
      <w:r>
        <w:rPr>
          <w:rFonts w:hint="eastAsia" w:ascii="Times New Roman" w:hAnsi="Times New Roman" w:eastAsia="仿宋_GB2312" w:cs="仿宋_GB2312"/>
          <w:color w:val="auto"/>
          <w:kern w:val="2"/>
          <w:sz w:val="32"/>
          <w:szCs w:val="32"/>
          <w:highlight w:val="none"/>
          <w:lang w:val="en-US" w:eastAsia="zh-CN" w:bidi="ar-SA"/>
        </w:rPr>
        <w:t>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pPr>
        <w:spacing w:line="600" w:lineRule="exact"/>
        <w:ind w:firstLine="640" w:firstLineChars="200"/>
        <w:outlineLvl w:val="1"/>
        <w:rPr>
          <w:rStyle w:val="29"/>
          <w:rFonts w:ascii="Times New Roman" w:hAnsi="Times New Roman" w:eastAsia="黑体"/>
          <w:b w:val="0"/>
          <w:color w:val="auto"/>
          <w:highlight w:val="none"/>
        </w:rPr>
      </w:pPr>
      <w:bookmarkStart w:id="34" w:name="_Toc15396609"/>
      <w:bookmarkStart w:id="35"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4"/>
      <w:bookmarkEnd w:id="35"/>
    </w:p>
    <w:p>
      <w:pPr>
        <w:spacing w:line="600" w:lineRule="exact"/>
        <w:ind w:firstLine="643" w:firstLineChars="200"/>
        <w:outlineLvl w:val="2"/>
        <w:rPr>
          <w:rFonts w:hint="eastAsia" w:ascii="Times New Roman" w:hAnsi="Times New Roman" w:eastAsia="楷体_GB2312" w:cs="楷体_GB2312"/>
          <w:b/>
          <w:bCs w:val="0"/>
          <w:color w:val="auto"/>
          <w:sz w:val="32"/>
          <w:szCs w:val="32"/>
          <w:highlight w:val="none"/>
        </w:rPr>
      </w:pPr>
      <w:bookmarkStart w:id="36" w:name="_Toc15377216"/>
      <w:r>
        <w:rPr>
          <w:rFonts w:hint="eastAsia" w:ascii="Times New Roman" w:hAnsi="Times New Roman" w:eastAsia="楷体_GB2312" w:cs="楷体_GB2312"/>
          <w:b/>
          <w:bCs w:val="0"/>
          <w:color w:val="auto"/>
          <w:sz w:val="32"/>
          <w:szCs w:val="32"/>
          <w:highlight w:val="none"/>
        </w:rPr>
        <w:t>（一）财政拨款“三公”经费支出决算总体情况说明</w:t>
      </w:r>
      <w:bookmarkEnd w:id="36"/>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2025年度财政拨款“三公”经费支出决算为</w:t>
      </w:r>
      <w:r>
        <w:rPr>
          <w:rFonts w:hint="eastAsia" w:ascii="仿宋_GB2312" w:hAnsi="仿宋_GB2312" w:eastAsia="仿宋_GB2312" w:cs="仿宋_GB2312"/>
          <w:sz w:val="32"/>
          <w:szCs w:val="32"/>
        </w:rPr>
        <w:t>284.94</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99.33</w:t>
      </w:r>
      <w:r>
        <w:rPr>
          <w:rFonts w:hint="eastAsia" w:ascii="仿宋_GB2312" w:hAnsi="仿宋_GB2312" w:eastAsia="仿宋_GB2312" w:cs="仿宋_GB2312"/>
          <w:color w:val="auto"/>
          <w:kern w:val="2"/>
          <w:sz w:val="32"/>
          <w:szCs w:val="32"/>
          <w:highlight w:val="none"/>
          <w:lang w:val="en-US" w:eastAsia="zh-CN" w:bidi="ar-SA"/>
        </w:rPr>
        <w:t>%，较上年度增加29.82万元，增长11.69%。有新购置公务用车，决算数小于预算数的主要原因是厉行节约，公务外出减少。</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7"/>
    </w:p>
    <w:p>
      <w:pPr>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2025年度财政拨款“三公”经费支出决算中，因公出国（境）费支出决算</w:t>
      </w:r>
      <w:r>
        <w:rPr>
          <w:rFonts w:hint="eastAsia" w:ascii="仿宋_GB2312" w:hAnsi="仿宋_GB2312" w:eastAsia="仿宋_GB2312" w:cs="仿宋_GB2312"/>
          <w:sz w:val="32"/>
          <w:szCs w:val="32"/>
        </w:rPr>
        <w:t>6.45</w:t>
      </w:r>
      <w:r>
        <w:rPr>
          <w:rFonts w:hint="eastAsia" w:ascii="仿宋_GB2312" w:hAnsi="仿宋_GB2312" w:eastAsia="仿宋_GB2312" w:cs="仿宋_GB2312"/>
          <w:color w:val="auto"/>
          <w:kern w:val="2"/>
          <w:sz w:val="32"/>
          <w:szCs w:val="32"/>
          <w:highlight w:val="none"/>
          <w:lang w:val="en-US" w:eastAsia="zh-CN" w:bidi="ar-SA"/>
        </w:rPr>
        <w:t>万元，占2.26%；公务用车购置及运行维护费支出决算</w:t>
      </w:r>
      <w:r>
        <w:rPr>
          <w:rFonts w:hint="eastAsia" w:ascii="仿宋_GB2312" w:hAnsi="仿宋_GB2312" w:eastAsia="仿宋_GB2312" w:cs="仿宋_GB2312"/>
          <w:sz w:val="32"/>
          <w:szCs w:val="32"/>
        </w:rPr>
        <w:t>277.41</w:t>
      </w:r>
      <w:r>
        <w:rPr>
          <w:rFonts w:hint="eastAsia" w:ascii="仿宋_GB2312" w:hAnsi="仿宋_GB2312" w:eastAsia="仿宋_GB2312" w:cs="仿宋_GB2312"/>
          <w:color w:val="auto"/>
          <w:kern w:val="2"/>
          <w:sz w:val="32"/>
          <w:szCs w:val="32"/>
          <w:highlight w:val="none"/>
          <w:lang w:val="en-US" w:eastAsia="zh-CN" w:bidi="ar-SA"/>
        </w:rPr>
        <w:t>万元，占97.36%；公务接待费支出决算</w:t>
      </w:r>
      <w:r>
        <w:rPr>
          <w:rFonts w:hint="eastAsia" w:ascii="仿宋_GB2312" w:hAnsi="仿宋_GB2312" w:eastAsia="仿宋_GB2312" w:cs="仿宋_GB2312"/>
          <w:sz w:val="32"/>
          <w:szCs w:val="32"/>
        </w:rPr>
        <w:t>1.08</w:t>
      </w:r>
      <w:r>
        <w:rPr>
          <w:rFonts w:hint="eastAsia" w:ascii="仿宋_GB2312" w:hAnsi="仿宋_GB2312" w:eastAsia="仿宋_GB2312" w:cs="仿宋_GB2312"/>
          <w:color w:val="auto"/>
          <w:kern w:val="2"/>
          <w:sz w:val="32"/>
          <w:szCs w:val="32"/>
          <w:highlight w:val="none"/>
          <w:lang w:val="en-US" w:eastAsia="zh-CN" w:bidi="ar-SA"/>
        </w:rPr>
        <w:t>万元，占0.38%。具体情况如下：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pStyle w:val="14"/>
        <w:rPr>
          <w:rFonts w:hint="eastAsia" w:eastAsia="仿宋_GB2312" w:cs="仿宋_GB2312"/>
          <w:b/>
          <w:bCs/>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 xml:space="preserve">      </w:t>
      </w:r>
    </w:p>
    <w:p>
      <w:pPr>
        <w:pStyle w:val="14"/>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 xml:space="preserve">           </w:t>
      </w:r>
      <w:r>
        <w:rPr>
          <w:rFonts w:hint="eastAsia" w:ascii="Times New Roman" w:hAnsi="Times New Roman" w:eastAsia="仿宋_GB2312" w:cs="仿宋_GB2312"/>
          <w:b/>
          <w:bCs/>
          <w:color w:val="auto"/>
          <w:kern w:val="2"/>
          <w:sz w:val="32"/>
          <w:szCs w:val="32"/>
          <w:highlight w:val="none"/>
          <w:lang w:val="en-US" w:eastAsia="zh-CN" w:bidi="ar-SA"/>
        </w:rPr>
        <w:drawing>
          <wp:inline distT="0" distB="0" distL="114300" distR="114300">
            <wp:extent cx="3171825" cy="1695450"/>
            <wp:effectExtent l="0" t="0" r="9525" b="0"/>
            <wp:docPr id="2" name="图片 2" descr="1789530824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89530824247"/>
                    <pic:cNvPicPr>
                      <a:picLocks noChangeAspect="1"/>
                    </pic:cNvPicPr>
                  </pic:nvPicPr>
                  <pic:blipFill>
                    <a:blip r:embed="rId15"/>
                    <a:stretch>
                      <a:fillRect/>
                    </a:stretch>
                  </pic:blipFill>
                  <pic:spPr>
                    <a:xfrm>
                      <a:off x="0" y="0"/>
                      <a:ext cx="3171825" cy="1695450"/>
                    </a:xfrm>
                    <a:prstGeom prst="rect">
                      <a:avLst/>
                    </a:prstGeom>
                  </pic:spPr>
                </pic:pic>
              </a:graphicData>
            </a:graphic>
          </wp:inline>
        </w:drawing>
      </w:r>
    </w:p>
    <w:p>
      <w:pPr>
        <w:pStyle w:val="8"/>
        <w:numPr>
          <w:ilvl w:val="0"/>
          <w:numId w:val="2"/>
        </w:numPr>
        <w:ind w:left="0" w:leftChars="0" w:firstLine="643"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b/>
          <w:bCs/>
          <w:sz w:val="32"/>
          <w:szCs w:val="32"/>
        </w:rPr>
        <w:t>6.45</w:t>
      </w:r>
      <w:r>
        <w:rPr>
          <w:rFonts w:hint="eastAsia" w:ascii="仿宋_GB2312" w:hAnsi="仿宋_GB2312" w:eastAsia="仿宋_GB2312" w:cs="仿宋_GB2312"/>
          <w:b/>
          <w:bCs/>
          <w:color w:val="auto"/>
          <w:kern w:val="2"/>
          <w:sz w:val="32"/>
          <w:szCs w:val="32"/>
          <w:highlight w:val="none"/>
          <w:lang w:val="en-US" w:eastAsia="zh-CN" w:bidi="ar-SA"/>
        </w:rPr>
        <w:t>万元，完成预算100%。</w:t>
      </w:r>
      <w:r>
        <w:rPr>
          <w:rFonts w:hint="eastAsia" w:ascii="仿宋_GB2312" w:hAnsi="仿宋_GB2312"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人。因公出国（境）支出决算比上年度增加6.45万元，增长100%。主要原因是全年安排因公出国（境）团组</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人。因公出国（境）支出决算比上年度增加6.45万元，增长100*%。主要原因是2025年有两次因公出国（境）支出。杨飞副局长6月30日-7月5日分别到泰国、马来西亚开展对外交流活动出访，出访费用3.7万元，组团单位中共阿坝州委宣传部，团组名称为中共阿坝州委宣传部关于赴马来西亚、泰国开展文旅交流合作出访团组，在泰国曼谷、马来西亚槟州各举办1场“天下九寨沟·大美阿坝州”优势资源推介会，发布一系列展示我州生态文化旅游优势的新型旅游线路产品，提升入境游。韩孝10月25日-10月28日到埃及开罗，出访费用2.75万元，组团单位阿坝州经济合作和外事局，团组名称阿坝州经济合作和外事局团组，开展文旅合作交流。通过以上两次出访文旅交流工作，外国旅行商到我州进行实地考察旅游线路，入境游客量显著提升。</w:t>
      </w:r>
    </w:p>
    <w:p>
      <w:pPr>
        <w:spacing w:line="600" w:lineRule="exact"/>
        <w:ind w:firstLine="643"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2.公务用车购置及运行维护费支出277.41万元，完成预算99.65%。</w:t>
      </w:r>
      <w:r>
        <w:rPr>
          <w:rFonts w:hint="eastAsia" w:ascii="仿宋_GB2312" w:hAnsi="仿宋_GB2312" w:eastAsia="仿宋_GB2312" w:cs="仿宋_GB2312"/>
          <w:color w:val="auto"/>
          <w:kern w:val="2"/>
          <w:sz w:val="32"/>
          <w:szCs w:val="32"/>
          <w:highlight w:val="none"/>
          <w:lang w:val="en-US" w:eastAsia="zh-CN" w:bidi="ar-SA"/>
        </w:rPr>
        <w:t>公务用车购置及运行维护费支出决算比上年度增加23.31万元，增长9.17%。主要原因是公务外出、公务用车维修及公务用车购置的增加。</w:t>
      </w:r>
    </w:p>
    <w:p>
      <w:pPr>
        <w:spacing w:line="600" w:lineRule="exact"/>
        <w:ind w:firstLine="640"/>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98.24</w:t>
      </w:r>
      <w:r>
        <w:rPr>
          <w:rFonts w:hint="eastAsia" w:ascii="仿宋_GB2312" w:hAnsi="仿宋_GB2312" w:eastAsia="仿宋_GB2312" w:cs="仿宋_GB2312"/>
          <w:color w:val="auto"/>
          <w:kern w:val="2"/>
          <w:sz w:val="32"/>
          <w:szCs w:val="32"/>
          <w:highlight w:val="none"/>
          <w:lang w:val="en-US" w:eastAsia="zh-CN" w:bidi="ar-SA"/>
        </w:rPr>
        <w:t>万元。全年按规定更新购置公务用车2辆，其中：轿车0辆、金额0万元，越野车2辆、金额98.24万元(州文广旅局1辆58.59万元、考古研究所1辆39.65万元)，载客汽车0辆、金额0万元，主要用于公务外出。截至2025年12月31日，我部门共有公务用车27辆，其</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中：轿车3辆、越野车23辆、载客汽车1辆。</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179.17</w:t>
      </w:r>
      <w:r>
        <w:rPr>
          <w:rFonts w:hint="eastAsia" w:ascii="仿宋_GB2312" w:hAnsi="仿宋_GB2312" w:eastAsia="仿宋_GB2312" w:cs="仿宋_GB2312"/>
          <w:color w:val="auto"/>
          <w:kern w:val="2"/>
          <w:sz w:val="32"/>
          <w:szCs w:val="32"/>
          <w:highlight w:val="none"/>
          <w:lang w:val="en-US" w:eastAsia="zh-CN" w:bidi="ar-SA"/>
        </w:rPr>
        <w:t>万元。主要用于公务外出所需的公务用车燃料费、维修费、过路过桥费、保险费等支出。</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3.公务接待费支出1.08万元，完成预算100%。</w:t>
      </w:r>
      <w:r>
        <w:rPr>
          <w:rFonts w:hint="eastAsia" w:ascii="仿宋_GB2312" w:hAnsi="仿宋_GB2312" w:eastAsia="仿宋_GB2312" w:cs="仿宋_GB2312"/>
          <w:color w:val="auto"/>
          <w:kern w:val="2"/>
          <w:sz w:val="32"/>
          <w:szCs w:val="32"/>
          <w:highlight w:val="none"/>
          <w:lang w:val="en-US" w:eastAsia="zh-CN" w:bidi="ar-SA"/>
        </w:rPr>
        <w:t>公务接待费支出决算比上年度增加0.06万元，增长5.89%。主要原因是2025年接待批次的增加。其中：</w:t>
      </w:r>
    </w:p>
    <w:p>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0.47</w:t>
      </w:r>
      <w:r>
        <w:rPr>
          <w:rFonts w:hint="eastAsia" w:ascii="仿宋_GB2312" w:hAnsi="仿宋_GB2312" w:eastAsia="仿宋_GB2312" w:cs="仿宋_GB2312"/>
          <w:color w:val="auto"/>
          <w:kern w:val="2"/>
          <w:sz w:val="32"/>
          <w:szCs w:val="32"/>
          <w:highlight w:val="none"/>
          <w:lang w:val="en-US" w:eastAsia="zh-CN" w:bidi="ar-SA"/>
        </w:rPr>
        <w:t>万元，主要用于接待西藏日喀则市南木林县考察团0.16万元、汶川县学习组赴马尔康考察阿来书屋0.07万元、省文旅厅财务处调研统计工作及开展专项预算绩效评价0.06万元、四川爱乐乐团开展音乐文化交流0.08万元、浙江美术馆等执行公务0.1万元、开展业务活动开支的用餐费。国内公务接待</w:t>
      </w:r>
      <w:r>
        <w:rPr>
          <w:rFonts w:hint="eastAsia" w:ascii="仿宋_GB2312" w:hAnsi="仿宋_GB2312" w:eastAsia="仿宋_GB2312" w:cs="仿宋_GB2312"/>
          <w:sz w:val="32"/>
          <w:szCs w:val="32"/>
        </w:rPr>
        <w:t>5</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57</w:t>
      </w:r>
      <w:r>
        <w:rPr>
          <w:rFonts w:hint="eastAsia" w:ascii="仿宋_GB2312" w:hAnsi="仿宋_GB2312" w:eastAsia="仿宋_GB2312" w:cs="仿宋_GB2312"/>
          <w:color w:val="auto"/>
          <w:kern w:val="2"/>
          <w:sz w:val="32"/>
          <w:szCs w:val="32"/>
          <w:highlight w:val="none"/>
          <w:lang w:val="en-US" w:eastAsia="zh-CN" w:bidi="ar-SA"/>
        </w:rPr>
        <w:t>人次（不包括陪同人员），共计支出0.47万元。国内公务接待支出</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color w:val="auto"/>
          <w:kern w:val="2"/>
          <w:sz w:val="32"/>
          <w:szCs w:val="32"/>
          <w:highlight w:val="none"/>
          <w:lang w:val="en-US" w:eastAsia="zh-CN" w:bidi="ar-SA"/>
        </w:rPr>
        <w:t>万元，主要用于执行公务、开展业务活动开支的交通费、住宿费、用餐费等。国内公务接待1批次，</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color w:val="auto"/>
          <w:kern w:val="2"/>
          <w:sz w:val="32"/>
          <w:szCs w:val="32"/>
          <w:highlight w:val="none"/>
          <w:lang w:val="en-US" w:eastAsia="zh-CN" w:bidi="ar-SA"/>
        </w:rPr>
        <w:t>人次（不包括陪同人员），考古研究所共计支出</w:t>
      </w:r>
      <w:r>
        <w:rPr>
          <w:rFonts w:hint="eastAsia" w:ascii="仿宋_GB2312" w:hAnsi="仿宋_GB2312" w:eastAsia="仿宋_GB2312" w:cs="仿宋_GB2312"/>
          <w:sz w:val="32"/>
          <w:szCs w:val="32"/>
          <w:lang w:val="en-US" w:eastAsia="zh-CN"/>
        </w:rPr>
        <w:t>0.14万元，</w:t>
      </w:r>
      <w:r>
        <w:rPr>
          <w:rFonts w:hint="eastAsia" w:ascii="仿宋_GB2312" w:hAnsi="仿宋_GB2312" w:eastAsia="仿宋_GB2312" w:cs="仿宋_GB2312"/>
          <w:color w:val="auto"/>
          <w:kern w:val="2"/>
          <w:sz w:val="32"/>
          <w:szCs w:val="32"/>
          <w:highlight w:val="none"/>
          <w:lang w:val="en-US" w:eastAsia="zh-CN" w:bidi="ar-SA"/>
        </w:rPr>
        <w:t>具体内容包括：接待吉林省磐石市红石砬子抗日根据地展览开幕接待</w:t>
      </w:r>
      <w:r>
        <w:rPr>
          <w:rFonts w:hint="eastAsia" w:ascii="仿宋_GB2312" w:hAnsi="仿宋_GB2312" w:eastAsia="仿宋_GB2312" w:cs="仿宋_GB2312"/>
          <w:sz w:val="32"/>
          <w:szCs w:val="32"/>
          <w:lang w:val="en-US" w:eastAsia="zh-CN"/>
        </w:rPr>
        <w:t>0.14</w:t>
      </w:r>
      <w:r>
        <w:rPr>
          <w:rFonts w:hint="eastAsia" w:ascii="仿宋_GB2312" w:hAnsi="仿宋_GB2312" w:eastAsia="仿宋_GB2312" w:cs="仿宋_GB2312"/>
          <w:color w:val="auto"/>
          <w:kern w:val="2"/>
          <w:sz w:val="32"/>
          <w:szCs w:val="32"/>
          <w:highlight w:val="none"/>
          <w:lang w:val="en-US" w:eastAsia="zh-CN" w:bidi="ar-SA"/>
        </w:rPr>
        <w:t>万元。图书馆：</w:t>
      </w:r>
      <w:r>
        <w:rPr>
          <w:rFonts w:hint="eastAsia" w:ascii="仿宋_GB2312" w:hAnsi="仿宋_GB2312" w:eastAsia="仿宋_GB2312" w:cs="仿宋_GB2312"/>
          <w:sz w:val="32"/>
          <w:szCs w:val="32"/>
        </w:rPr>
        <w:t>国内公务接待</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批次，</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人次（不包括陪同人员），共计支出</w:t>
      </w:r>
      <w:r>
        <w:rPr>
          <w:rFonts w:hint="eastAsia" w:ascii="仿宋_GB2312" w:hAnsi="仿宋_GB2312" w:eastAsia="仿宋_GB2312" w:cs="仿宋_GB2312"/>
          <w:sz w:val="32"/>
          <w:szCs w:val="32"/>
          <w:lang w:val="en-US" w:eastAsia="zh-CN"/>
        </w:rPr>
        <w:t>0.2</w:t>
      </w:r>
      <w:r>
        <w:rPr>
          <w:rFonts w:hint="eastAsia" w:ascii="仿宋_GB2312" w:hAnsi="仿宋_GB2312" w:eastAsia="仿宋_GB2312" w:cs="仿宋_GB2312"/>
          <w:sz w:val="32"/>
          <w:szCs w:val="32"/>
        </w:rPr>
        <w:t>万元，具体内容包括：</w:t>
      </w:r>
      <w:r>
        <w:rPr>
          <w:rFonts w:hint="eastAsia" w:ascii="仿宋_GB2312" w:hAnsi="仿宋_GB2312" w:eastAsia="仿宋_GB2312" w:cs="仿宋_GB2312"/>
          <w:sz w:val="32"/>
          <w:szCs w:val="32"/>
          <w:lang w:val="en-US" w:eastAsia="zh-CN"/>
        </w:rPr>
        <w:t>重阳节慰问老干部0.2万元</w:t>
      </w:r>
      <w:r>
        <w:rPr>
          <w:rFonts w:hint="eastAsia" w:ascii="仿宋_GB2312" w:hAnsi="仿宋_GB2312" w:eastAsia="仿宋_GB2312" w:cs="仿宋_GB2312"/>
          <w:sz w:val="32"/>
          <w:szCs w:val="32"/>
        </w:rPr>
        <w:t>。</w:t>
      </w:r>
    </w:p>
    <w:p>
      <w:pPr>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0.27</w:t>
      </w:r>
      <w:r>
        <w:rPr>
          <w:rFonts w:hint="eastAsia" w:ascii="仿宋_GB2312" w:hAnsi="仿宋_GB2312" w:eastAsia="仿宋_GB2312" w:cs="仿宋_GB2312"/>
          <w:color w:val="auto"/>
          <w:kern w:val="2"/>
          <w:sz w:val="32"/>
          <w:szCs w:val="32"/>
          <w:highlight w:val="none"/>
          <w:lang w:val="en-US" w:eastAsia="zh-CN" w:bidi="ar-SA"/>
        </w:rPr>
        <w:t>万元，共计支出0.27万元，具体内容邀请泰国、马来西亚、越南、新加坡旅行商开展业务活动开支的用餐费</w:t>
      </w:r>
      <w:r>
        <w:rPr>
          <w:rFonts w:hint="eastAsia" w:ascii="仿宋_GB2312" w:hAnsi="仿宋_GB2312" w:eastAsia="仿宋_GB2312" w:cs="仿宋_GB2312"/>
          <w:sz w:val="32"/>
          <w:szCs w:val="32"/>
        </w:rPr>
        <w:t>27</w:t>
      </w:r>
      <w:r>
        <w:rPr>
          <w:rFonts w:hint="eastAsia" w:ascii="仿宋_GB2312" w:hAnsi="仿宋_GB2312" w:eastAsia="仿宋_GB2312" w:cs="仿宋_GB2312"/>
          <w:color w:val="auto"/>
          <w:kern w:val="2"/>
          <w:sz w:val="32"/>
          <w:szCs w:val="32"/>
          <w:highlight w:val="none"/>
          <w:lang w:val="en-US" w:eastAsia="zh-CN" w:bidi="ar-SA"/>
        </w:rPr>
        <w:t>人次（不包括陪同人员），金额0.27万元。</w:t>
      </w:r>
    </w:p>
    <w:p>
      <w:pPr>
        <w:spacing w:line="600" w:lineRule="exact"/>
        <w:ind w:firstLine="640" w:firstLineChars="200"/>
        <w:outlineLvl w:val="1"/>
        <w:rPr>
          <w:rStyle w:val="29"/>
          <w:rFonts w:ascii="Times New Roman" w:hAnsi="Times New Roman" w:eastAsia="黑体"/>
          <w:color w:val="auto"/>
          <w:highlight w:val="none"/>
        </w:rPr>
      </w:pPr>
      <w:bookmarkStart w:id="38" w:name="_Toc15396610"/>
      <w:bookmarkStart w:id="39" w:name="_Toc15377218"/>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8"/>
      <w:bookmarkEnd w:id="39"/>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41.32</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0.33</w:t>
      </w:r>
      <w:r>
        <w:rPr>
          <w:rFonts w:hint="eastAsia" w:ascii="仿宋_GB2312" w:hAnsi="仿宋_GB2312" w:eastAsia="仿宋_GB2312" w:cs="仿宋_GB2312"/>
          <w:color w:val="auto"/>
          <w:kern w:val="2"/>
          <w:sz w:val="32"/>
          <w:szCs w:val="32"/>
          <w:highlight w:val="none"/>
          <w:lang w:val="en-US" w:eastAsia="zh-CN" w:bidi="ar-SA"/>
        </w:rPr>
        <w:t>%。与上年度相比，与上年度相比，政府性基金预算财政拨款支出减少350.22万元，下降89.45%。主要变动原因是机构改革，2025年5月体育局划转到州教体局，2025年体育彩票公益金指标财政下到州教体局，故同比下降较多。</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numPr>
          <w:ilvl w:val="0"/>
          <w:numId w:val="0"/>
        </w:numPr>
        <w:spacing w:line="600" w:lineRule="exact"/>
        <w:ind w:firstLine="640" w:firstLineChars="200"/>
        <w:outlineLvl w:val="1"/>
        <w:rPr>
          <w:rStyle w:val="29"/>
          <w:rFonts w:ascii="Times New Roman" w:hAnsi="Times New Roman" w:eastAsia="黑体"/>
          <w:b w:val="0"/>
          <w:color w:val="auto"/>
          <w:highlight w:val="none"/>
        </w:rPr>
      </w:pPr>
      <w:bookmarkStart w:id="40" w:name="_Toc15396611"/>
      <w:bookmarkStart w:id="41"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0"/>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%。与上年度相比，国有资本经营预算财政拨款支出增加/减少0万元，增长/下降0%。</w:t>
      </w:r>
      <w:r>
        <w:rPr>
          <w:rFonts w:hint="eastAsia" w:ascii="仿宋_GB2312" w:hAnsi="仿宋_GB2312" w:eastAsia="仿宋_GB2312" w:cs="仿宋_GB2312"/>
          <w:color w:val="auto"/>
          <w:sz w:val="32"/>
          <w:szCs w:val="32"/>
          <w:highlight w:val="none"/>
          <w:lang w:val="en-US" w:eastAsia="zh-CN"/>
        </w:rPr>
        <w:t>不涉及</w:t>
      </w:r>
      <w:r>
        <w:rPr>
          <w:rFonts w:hint="eastAsia" w:ascii="仿宋_GB2312" w:hAnsi="仿宋_GB2312" w:eastAsia="仿宋_GB2312" w:cs="仿宋_GB2312"/>
          <w:color w:val="auto"/>
          <w:sz w:val="32"/>
          <w:szCs w:val="32"/>
          <w:highlight w:val="none"/>
        </w:rPr>
        <w:t>国有资本经营预算</w:t>
      </w:r>
      <w:r>
        <w:rPr>
          <w:rFonts w:hint="eastAsia" w:ascii="仿宋_GB2312" w:hAnsi="仿宋_GB2312" w:eastAsia="仿宋_GB2312" w:cs="仿宋_GB2312"/>
          <w:color w:val="auto"/>
          <w:sz w:val="32"/>
          <w:szCs w:val="32"/>
          <w:highlight w:val="none"/>
          <w:lang w:eastAsia="zh-CN"/>
        </w:rPr>
        <w:t>财政</w:t>
      </w:r>
      <w:r>
        <w:rPr>
          <w:rFonts w:hint="eastAsia" w:ascii="仿宋_GB2312" w:hAnsi="仿宋_GB2312" w:eastAsia="仿宋_GB2312" w:cs="仿宋_GB2312"/>
          <w:color w:val="auto"/>
          <w:sz w:val="32"/>
          <w:szCs w:val="32"/>
          <w:highlight w:val="none"/>
        </w:rPr>
        <w:t>拨款</w:t>
      </w:r>
      <w:r>
        <w:rPr>
          <w:rFonts w:hint="eastAsia" w:ascii="仿宋_GB2312" w:hAnsi="仿宋_GB2312" w:eastAsia="仿宋_GB2312" w:cs="仿宋_GB2312"/>
          <w:color w:val="auto"/>
          <w:sz w:val="32"/>
          <w:szCs w:val="32"/>
          <w:highlight w:val="none"/>
          <w:lang w:val="en-US" w:eastAsia="zh-CN"/>
        </w:rPr>
        <w:t>支出。</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numPr>
          <w:ilvl w:val="0"/>
          <w:numId w:val="0"/>
        </w:numPr>
        <w:spacing w:line="600" w:lineRule="exact"/>
        <w:ind w:firstLine="640" w:firstLineChars="200"/>
        <w:outlineLvl w:val="1"/>
        <w:rPr>
          <w:rStyle w:val="29"/>
          <w:rFonts w:hint="eastAsia" w:ascii="Times New Roman" w:hAnsi="Times New Roman" w:eastAsia="黑体"/>
          <w:b w:val="0"/>
          <w:color w:val="auto"/>
          <w:highlight w:val="none"/>
        </w:rPr>
      </w:pPr>
      <w:bookmarkStart w:id="42" w:name="_Toc15377221"/>
      <w:bookmarkStart w:id="43"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2"/>
      <w:bookmarkEnd w:id="43"/>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22"/>
      <w:r>
        <w:rPr>
          <w:rFonts w:hint="eastAsia" w:ascii="Times New Roman" w:hAnsi="Times New Roman" w:eastAsia="楷体_GB2312" w:cs="楷体_GB2312"/>
          <w:b/>
          <w:bCs w:val="0"/>
          <w:color w:val="auto"/>
          <w:sz w:val="32"/>
          <w:szCs w:val="32"/>
          <w:highlight w:val="none"/>
        </w:rPr>
        <w:t>（一）机关运行经费支出情况</w:t>
      </w:r>
      <w:bookmarkEnd w:id="4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阿坝藏族羌族自治州文化广播电视和旅游局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413.27</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443.81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51.78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color w:val="auto"/>
          <w:sz w:val="32"/>
          <w:szCs w:val="32"/>
          <w:highlight w:val="none"/>
          <w:lang w:val="en-US" w:eastAsia="zh-CN"/>
        </w:rPr>
        <w:t>2025年5月体育局划转到州教体局，人员经费和项目经费一并划转；2025年预算资金的减少。</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23"/>
      <w:r>
        <w:rPr>
          <w:rFonts w:hint="eastAsia" w:ascii="Times New Roman" w:hAnsi="Times New Roman" w:eastAsia="楷体_GB2312" w:cs="楷体_GB2312"/>
          <w:b/>
          <w:color w:val="auto"/>
          <w:sz w:val="32"/>
          <w:szCs w:val="32"/>
          <w:highlight w:val="none"/>
        </w:rPr>
        <w:t>（二）政府采购支出情况</w:t>
      </w:r>
      <w:bookmarkEnd w:id="45"/>
    </w:p>
    <w:p>
      <w:pPr>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阿坝藏族羌族自治州文化广播电视和旅游局</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3103.34</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3.02</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3100.32</w:t>
      </w:r>
      <w:r>
        <w:rPr>
          <w:rFonts w:hint="eastAsia" w:ascii="仿宋_GB2312" w:hAnsi="仿宋_GB2312" w:eastAsia="仿宋_GB2312" w:cs="仿宋_GB2312"/>
          <w:color w:val="auto"/>
          <w:kern w:val="2"/>
          <w:sz w:val="32"/>
          <w:szCs w:val="32"/>
          <w:highlight w:val="none"/>
          <w:lang w:val="en-US" w:eastAsia="zh-CN" w:bidi="ar-SA"/>
        </w:rPr>
        <w:t>万元。主要用于阿坝州2025年冬季及2026年春季旅游宣传营销项目、“天下九寨沟 大美阿坝州”全国行广州站宣传推介活动、非遗与旅游深度融合暨非遗品牌建设系列活动项目、“天下九寨沟 大美阿坝州”全国行上海站系列宣传推介活动项目、高原粮仓·净土阿坝——2025年阿坝州农牧品牌之夜活动项目、阿坝藏族羌族自治州文化广播电视和旅游局上海旅游节花车巡展服务项目、2025年度至2026年度文化旅游新媒体宣传服务项目、“天下九寨沟 大美阿坝州”全国行活动浙江站宣传推广项目、阿坝州2025年'童话公路'自行车赛项目、“天下九寨沟 大美阿坝州”全国行北京站宣传推介活动、《阿坝州民宿产业发展规划》编制及相关标准起草、车辆维修、车辆保养。2025年浙江援建资金---“青春恰似火，我和我的祖国”浙川青少年文化交流活动项目采购工作、歌舞剧《云上的呼唤》打磨提升服装设计制作服务项目采购工作。</w:t>
      </w:r>
      <w:r>
        <w:rPr>
          <w:rFonts w:hint="eastAsia" w:ascii="仿宋_GB2312" w:hAnsi="仿宋_GB2312" w:eastAsia="仿宋_GB2312" w:cs="仿宋_GB2312"/>
          <w:sz w:val="32"/>
          <w:szCs w:val="32"/>
        </w:rPr>
        <w:t>信息网络软件购置更新</w:t>
      </w:r>
      <w:r>
        <w:rPr>
          <w:rFonts w:hint="eastAsia" w:ascii="仿宋_GB2312" w:hAnsi="仿宋_GB2312" w:eastAsia="仿宋_GB2312" w:cs="仿宋_GB2312"/>
          <w:color w:val="auto"/>
          <w:kern w:val="2"/>
          <w:sz w:val="32"/>
          <w:szCs w:val="32"/>
          <w:highlight w:val="none"/>
          <w:lang w:val="en-US" w:eastAsia="zh-CN" w:bidi="ar-SA"/>
        </w:rPr>
        <w:t>。用于购买打印复印机、24小时城市书屋项目、地方特色文献展陈项目、</w:t>
      </w:r>
      <w:r>
        <w:rPr>
          <w:rFonts w:hint="eastAsia" w:ascii="仿宋_GB2312" w:hAnsi="仿宋_GB2312" w:eastAsia="仿宋_GB2312" w:cs="仿宋_GB2312"/>
          <w:sz w:val="32"/>
          <w:szCs w:val="32"/>
        </w:rPr>
        <w:t>“天下九寨沟 大美阿坝州”2025年度浙阿非遗走亲——了不起的阿坝非遗展示展演展销活动、2025年省级非遗代表性传承人记录工作、《大熊猫百图唐卡长卷》展陈设计制作及 高清复制、用文艺装点生活——“净土阿坝2025阿坝州第四届群文新创文艺作品大赛、“天下九寨沟 大美阿坝州”2025年度浙阿非遗走亲——“匠心独具 阿坝手作”大赛、第四届川西行走之声·川西藏族山歌--非遗进景区音乐会</w:t>
      </w:r>
      <w:r>
        <w:rPr>
          <w:rFonts w:hint="eastAsia" w:ascii="仿宋_GB2312" w:hAnsi="仿宋_GB2312"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980.15</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31.58</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670.87</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21.61</w:t>
      </w:r>
      <w:r>
        <w:rPr>
          <w:rFonts w:hint="eastAsia" w:ascii="仿宋_GB2312" w:hAnsi="仿宋_GB2312"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4"/>
      <w:r>
        <w:rPr>
          <w:rFonts w:hint="eastAsia" w:ascii="Times New Roman" w:hAnsi="Times New Roman" w:eastAsia="楷体_GB2312" w:cs="楷体_GB2312"/>
          <w:b/>
          <w:color w:val="auto"/>
          <w:sz w:val="32"/>
          <w:szCs w:val="32"/>
          <w:highlight w:val="none"/>
        </w:rPr>
        <w:t>（三）国有资产占有使用情况</w:t>
      </w:r>
      <w:bookmarkEnd w:id="46"/>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阿坝藏族羌族自治州文化广播电视和旅游局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27</w:t>
      </w:r>
      <w:r>
        <w:rPr>
          <w:rFonts w:hint="eastAsia" w:ascii="仿宋_GB2312" w:hAnsi="仿宋_GB2312"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25</w:t>
      </w:r>
      <w:r>
        <w:rPr>
          <w:rFonts w:hint="eastAsia" w:ascii="仿宋_GB2312" w:hAnsi="仿宋_GB2312" w:eastAsia="仿宋_GB2312" w:cs="仿宋_GB2312"/>
          <w:color w:val="auto"/>
          <w:kern w:val="2"/>
          <w:sz w:val="32"/>
          <w:szCs w:val="32"/>
          <w:highlight w:val="none"/>
          <w:lang w:val="en-US" w:eastAsia="zh-CN" w:bidi="ar-SA"/>
        </w:rPr>
        <w:t>辆，其他用车主要是用于公务外出。单价100万元（含）以上设备（不含车辆）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根据预算绩效管理要求，阿坝州文化广播电视和旅游局在2025年度，组织对文化广播电视体育和旅游事业发展及宣传经费、2025年国家级羌族文化生态保护区建设补助资金、阿坝财教（2023）40号-2023年国家非物质文化遗产保护资金（羌文化生态保护区建设补助）、高原粮仓·净土阿坝——2025年阿坝州农牧品牌之夜活动项目等108个项目涉及金额5863万元开展了事前绩效评估，对108个项目编制了绩效目标，预算执行过程中，选取108个项目开展绩效监控。</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阿坝州文化广播电视和旅游局部门预算（含部门预算项目）整体绩效自评报告，绩效自评得分为92分。绩效自评报告详见附件。（注：如不涉及，可根据实际修改表述。）</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lang w:val="en-US" w:eastAsia="zh-CN"/>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7" w:name="_Toc15377225"/>
      <w:bookmarkStart w:id="48"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7"/>
      <w:bookmarkEnd w:id="48"/>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pPr>
        <w:spacing w:line="600" w:lineRule="exact"/>
        <w:jc w:val="center"/>
        <w:rPr>
          <w:rStyle w:val="28"/>
          <w:rFonts w:hint="eastAsia" w:ascii="Times New Roman" w:hAnsi="Times New Roman" w:eastAsia="黑体"/>
          <w:b w:val="0"/>
          <w:color w:val="auto"/>
          <w:highlight w:val="none"/>
          <w:lang w:eastAsia="zh-CN"/>
        </w:rPr>
      </w:pPr>
      <w:bookmarkStart w:id="49"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0"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0"/>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sz w:val="32"/>
          <w:szCs w:val="32"/>
        </w:rPr>
      </w:pPr>
      <w:r>
        <w:rPr>
          <w:rFonts w:eastAsia="黑体"/>
          <w:color w:val="000000"/>
          <w:kern w:val="0"/>
          <w:sz w:val="32"/>
          <w:szCs w:val="32"/>
          <w:shd w:val="clear" w:color="auto" w:fill="FFFFFF"/>
          <w:lang w:val="zh-CN"/>
        </w:rPr>
        <w:t>一、部门（单位）基本情况</w:t>
      </w:r>
    </w:p>
    <w:p>
      <w:pPr>
        <w:keepNext w:val="0"/>
        <w:keepLines w:val="0"/>
        <w:pageBreakBefore w:val="0"/>
        <w:kinsoku/>
        <w:wordWrap/>
        <w:overflowPunct/>
        <w:topLinePunct w:val="0"/>
        <w:autoSpaceDE/>
        <w:autoSpaceDN/>
        <w:bidi w:val="0"/>
        <w:spacing w:line="560" w:lineRule="exact"/>
        <w:ind w:right="506" w:firstLine="643" w:firstLineChars="200"/>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（一）机构组成</w:t>
      </w:r>
    </w:p>
    <w:p>
      <w:pPr>
        <w:keepNext w:val="0"/>
        <w:keepLines w:val="0"/>
        <w:pageBreakBefore w:val="0"/>
        <w:kinsoku/>
        <w:wordWrap/>
        <w:overflowPunct/>
        <w:topLinePunct w:val="0"/>
        <w:autoSpaceDE/>
        <w:autoSpaceDN/>
        <w:bidi w:val="0"/>
        <w:spacing w:line="560" w:lineRule="exact"/>
        <w:ind w:left="29" w:right="506" w:firstLine="63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5"/>
          <w:sz w:val="32"/>
          <w:szCs w:val="32"/>
        </w:rPr>
        <w:t>州文广旅局部门内设</w:t>
      </w:r>
      <w:r>
        <w:rPr>
          <w:rFonts w:hint="eastAsia" w:ascii="仿宋_GB2312" w:hAnsi="仿宋_GB2312" w:eastAsia="仿宋_GB2312" w:cs="仿宋_GB2312"/>
          <w:spacing w:val="-69"/>
          <w:sz w:val="32"/>
          <w:szCs w:val="32"/>
        </w:rPr>
        <w:t xml:space="preserve"> </w:t>
      </w:r>
      <w:r>
        <w:rPr>
          <w:rFonts w:hint="eastAsia" w:ascii="仿宋_GB2312" w:hAnsi="仿宋_GB2312" w:eastAsia="仿宋_GB2312" w:cs="仿宋_GB2312"/>
          <w:spacing w:val="-69"/>
          <w:sz w:val="32"/>
          <w:szCs w:val="32"/>
          <w:lang w:val="en-US" w:eastAsia="zh-CN"/>
        </w:rPr>
        <w:t>17</w:t>
      </w:r>
      <w:r>
        <w:rPr>
          <w:rFonts w:hint="eastAsia" w:ascii="仿宋_GB2312" w:hAnsi="仿宋_GB2312" w:eastAsia="仿宋_GB2312" w:cs="仿宋_GB2312"/>
          <w:spacing w:val="4"/>
          <w:sz w:val="32"/>
          <w:szCs w:val="32"/>
        </w:rPr>
        <w:t>个处室及</w:t>
      </w:r>
      <w:r>
        <w:rPr>
          <w:rFonts w:hint="eastAsia" w:ascii="仿宋_GB2312" w:hAnsi="仿宋_GB2312" w:eastAsia="仿宋_GB2312" w:cs="仿宋_GB2312"/>
          <w:spacing w:val="-36"/>
          <w:sz w:val="32"/>
          <w:szCs w:val="32"/>
        </w:rPr>
        <w:t xml:space="preserve"> </w:t>
      </w:r>
      <w:r>
        <w:rPr>
          <w:rFonts w:hint="eastAsia" w:ascii="仿宋_GB2312" w:hAnsi="仿宋_GB2312" w:eastAsia="仿宋_GB2312" w:cs="仿宋_GB2312"/>
          <w:spacing w:val="4"/>
          <w:sz w:val="32"/>
          <w:szCs w:val="32"/>
          <w:lang w:val="en-US" w:eastAsia="zh-CN"/>
        </w:rPr>
        <w:t>10</w:t>
      </w:r>
      <w:r>
        <w:rPr>
          <w:rFonts w:hint="eastAsia" w:ascii="仿宋_GB2312" w:hAnsi="仿宋_GB2312" w:eastAsia="仿宋_GB2312" w:cs="仿宋_GB2312"/>
          <w:spacing w:val="5"/>
          <w:sz w:val="32"/>
          <w:szCs w:val="32"/>
        </w:rPr>
        <w:t>个下属单位，其中独立预算单位</w:t>
      </w:r>
      <w:r>
        <w:rPr>
          <w:rFonts w:hint="eastAsia" w:ascii="仿宋_GB2312" w:hAnsi="仿宋_GB2312" w:eastAsia="仿宋_GB2312" w:cs="仿宋_GB2312"/>
          <w:spacing w:val="-56"/>
          <w:sz w:val="32"/>
          <w:szCs w:val="32"/>
        </w:rPr>
        <w:t xml:space="preserve"> </w:t>
      </w:r>
      <w:r>
        <w:rPr>
          <w:rFonts w:hint="eastAsia" w:ascii="仿宋_GB2312" w:hAnsi="仿宋_GB2312" w:eastAsia="仿宋_GB2312" w:cs="仿宋_GB2312"/>
          <w:spacing w:val="5"/>
          <w:sz w:val="32"/>
          <w:szCs w:val="32"/>
        </w:rPr>
        <w:t>6个，非独立预算单位</w:t>
      </w:r>
      <w:r>
        <w:rPr>
          <w:rFonts w:hint="eastAsia" w:ascii="仿宋_GB2312" w:hAnsi="仿宋_GB2312" w:eastAsia="仿宋_GB2312" w:cs="仿宋_GB2312"/>
          <w:spacing w:val="5"/>
          <w:sz w:val="32"/>
          <w:szCs w:val="32"/>
          <w:lang w:val="en-US" w:eastAsia="zh-CN"/>
        </w:rPr>
        <w:t>5</w:t>
      </w:r>
      <w:r>
        <w:rPr>
          <w:rFonts w:hint="eastAsia" w:ascii="仿宋_GB2312" w:hAnsi="仿宋_GB2312" w:eastAsia="仿宋_GB2312" w:cs="仿宋_GB2312"/>
          <w:spacing w:val="5"/>
          <w:sz w:val="32"/>
          <w:szCs w:val="32"/>
        </w:rPr>
        <w:t>个。</w:t>
      </w:r>
    </w:p>
    <w:p>
      <w:pPr>
        <w:keepNext w:val="0"/>
        <w:keepLines w:val="0"/>
        <w:pageBreakBefore w:val="0"/>
        <w:kinsoku/>
        <w:wordWrap/>
        <w:overflowPunct/>
        <w:topLinePunct w:val="0"/>
        <w:autoSpaceDE/>
        <w:autoSpaceDN/>
        <w:bidi w:val="0"/>
        <w:spacing w:line="560" w:lineRule="exact"/>
        <w:ind w:left="27" w:right="20" w:firstLine="641"/>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其中内设科室分别为：办公室、政策法规科（行政审批科）、</w:t>
      </w:r>
      <w:r>
        <w:rPr>
          <w:rFonts w:hint="eastAsia" w:ascii="仿宋_GB2312" w:hAnsi="仿宋_GB2312" w:eastAsia="仿宋_GB2312" w:cs="仿宋_GB2312"/>
          <w:spacing w:val="9"/>
          <w:sz w:val="32"/>
          <w:szCs w:val="32"/>
        </w:rPr>
        <w:t>规划指导科(科技教育科)</w:t>
      </w:r>
      <w:r>
        <w:rPr>
          <w:rFonts w:hint="eastAsia" w:ascii="仿宋_GB2312" w:hAnsi="仿宋_GB2312" w:eastAsia="仿宋_GB2312" w:cs="仿宋_GB2312"/>
          <w:spacing w:val="-40"/>
          <w:sz w:val="32"/>
          <w:szCs w:val="32"/>
        </w:rPr>
        <w:t xml:space="preserve"> </w:t>
      </w:r>
      <w:r>
        <w:rPr>
          <w:rFonts w:hint="eastAsia" w:ascii="仿宋_GB2312" w:hAnsi="仿宋_GB2312" w:eastAsia="仿宋_GB2312" w:cs="仿宋_GB2312"/>
          <w:spacing w:val="9"/>
          <w:sz w:val="32"/>
          <w:szCs w:val="32"/>
        </w:rPr>
        <w:t>、产业发展科、公共服务科</w:t>
      </w:r>
      <w:r>
        <w:rPr>
          <w:rFonts w:hint="eastAsia" w:ascii="仿宋_GB2312" w:hAnsi="仿宋_GB2312" w:eastAsia="仿宋_GB2312" w:cs="仿宋_GB2312"/>
          <w:spacing w:val="8"/>
          <w:sz w:val="32"/>
          <w:szCs w:val="32"/>
        </w:rPr>
        <w:t>、艺术科、</w:t>
      </w:r>
      <w:r>
        <w:rPr>
          <w:rFonts w:hint="eastAsia" w:ascii="仿宋_GB2312" w:hAnsi="仿宋_GB2312" w:eastAsia="仿宋_GB2312" w:cs="仿宋_GB2312"/>
          <w:spacing w:val="5"/>
          <w:sz w:val="32"/>
          <w:szCs w:val="32"/>
        </w:rPr>
        <w:t>非物质文化遗产科、文物科、传媒管理科、广电技术科、资源开</w:t>
      </w:r>
      <w:r>
        <w:rPr>
          <w:rFonts w:hint="eastAsia" w:ascii="仿宋_GB2312" w:hAnsi="仿宋_GB2312" w:eastAsia="仿宋_GB2312" w:cs="仿宋_GB2312"/>
          <w:spacing w:val="4"/>
          <w:sz w:val="32"/>
          <w:szCs w:val="32"/>
        </w:rPr>
        <w:t>发科、市场管理科(安全监管科)、综合执法监督科、宣传营销科、</w:t>
      </w:r>
      <w:r>
        <w:rPr>
          <w:rFonts w:hint="eastAsia" w:ascii="仿宋_GB2312" w:hAnsi="仿宋_GB2312" w:eastAsia="仿宋_GB2312" w:cs="仿宋_GB2312"/>
          <w:spacing w:val="7"/>
          <w:sz w:val="32"/>
          <w:szCs w:val="32"/>
        </w:rPr>
        <w:t>财务科、人事科、机</w:t>
      </w:r>
      <w:r>
        <w:rPr>
          <w:rFonts w:hint="eastAsia" w:ascii="仿宋_GB2312" w:hAnsi="仿宋_GB2312" w:eastAsia="仿宋_GB2312" w:cs="仿宋_GB2312"/>
          <w:spacing w:val="4"/>
          <w:sz w:val="32"/>
          <w:szCs w:val="32"/>
        </w:rPr>
        <w:t>关党委。</w:t>
      </w:r>
    </w:p>
    <w:p>
      <w:pPr>
        <w:keepNext w:val="0"/>
        <w:keepLines w:val="0"/>
        <w:pageBreakBefore w:val="0"/>
        <w:kinsoku/>
        <w:wordWrap/>
        <w:overflowPunct/>
        <w:topLinePunct w:val="0"/>
        <w:autoSpaceDE/>
        <w:autoSpaceDN/>
        <w:bidi w:val="0"/>
        <w:spacing w:line="560" w:lineRule="exact"/>
        <w:ind w:left="20" w:right="232" w:firstLine="662"/>
        <w:jc w:val="both"/>
        <w:textAlignment w:val="auto"/>
        <w:rPr>
          <w:rFonts w:hint="eastAsia" w:ascii="仿宋_GB2312" w:hAnsi="仿宋_GB2312" w:eastAsia="仿宋_GB2312" w:cs="仿宋_GB2312"/>
          <w:spacing w:val="9"/>
          <w:sz w:val="32"/>
          <w:szCs w:val="32"/>
        </w:rPr>
      </w:pPr>
      <w:r>
        <w:rPr>
          <w:rFonts w:hint="eastAsia" w:ascii="仿宋_GB2312" w:hAnsi="仿宋_GB2312" w:eastAsia="仿宋_GB2312" w:cs="仿宋_GB2312"/>
          <w:spacing w:val="2"/>
          <w:sz w:val="32"/>
          <w:szCs w:val="32"/>
        </w:rPr>
        <w:t>下属独立预算单位</w:t>
      </w:r>
      <w:r>
        <w:rPr>
          <w:rFonts w:hint="eastAsia" w:ascii="仿宋_GB2312" w:hAnsi="仿宋_GB2312" w:eastAsia="仿宋_GB2312" w:cs="仿宋_GB2312"/>
          <w:spacing w:val="-32"/>
          <w:sz w:val="32"/>
          <w:szCs w:val="32"/>
        </w:rPr>
        <w:t xml:space="preserve"> </w:t>
      </w:r>
      <w:r>
        <w:rPr>
          <w:rFonts w:hint="eastAsia" w:ascii="仿宋_GB2312" w:hAnsi="仿宋_GB2312" w:eastAsia="仿宋_GB2312" w:cs="仿宋_GB2312"/>
          <w:spacing w:val="-32"/>
          <w:sz w:val="32"/>
          <w:szCs w:val="32"/>
          <w:lang w:val="en-US" w:eastAsia="zh-CN"/>
        </w:rPr>
        <w:t>5</w:t>
      </w:r>
      <w:r>
        <w:rPr>
          <w:rFonts w:hint="eastAsia" w:ascii="仿宋_GB2312" w:hAnsi="仿宋_GB2312" w:eastAsia="仿宋_GB2312" w:cs="仿宋_GB2312"/>
          <w:spacing w:val="-59"/>
          <w:sz w:val="32"/>
          <w:szCs w:val="32"/>
        </w:rPr>
        <w:t xml:space="preserve"> </w:t>
      </w:r>
      <w:r>
        <w:rPr>
          <w:rFonts w:hint="eastAsia" w:ascii="仿宋_GB2312" w:hAnsi="仿宋_GB2312" w:eastAsia="仿宋_GB2312" w:cs="仿宋_GB2312"/>
          <w:spacing w:val="2"/>
          <w:sz w:val="32"/>
          <w:szCs w:val="32"/>
        </w:rPr>
        <w:t>个，分别为阿坝州歌舞团、阿坝州文化</w:t>
      </w:r>
      <w:r>
        <w:rPr>
          <w:rFonts w:hint="eastAsia" w:ascii="仿宋_GB2312" w:hAnsi="仿宋_GB2312" w:eastAsia="仿宋_GB2312" w:cs="仿宋_GB2312"/>
          <w:spacing w:val="6"/>
          <w:sz w:val="32"/>
          <w:szCs w:val="32"/>
        </w:rPr>
        <w:t>馆、阿坝州图书馆、阿坝州考古研究所（州</w:t>
      </w:r>
      <w:r>
        <w:rPr>
          <w:rFonts w:hint="eastAsia" w:ascii="仿宋_GB2312" w:hAnsi="仿宋_GB2312" w:eastAsia="仿宋_GB2312" w:cs="仿宋_GB2312"/>
          <w:spacing w:val="5"/>
          <w:sz w:val="32"/>
          <w:szCs w:val="32"/>
        </w:rPr>
        <w:t>博物馆）、阿坝州全</w:t>
      </w:r>
      <w:r>
        <w:rPr>
          <w:rFonts w:hint="eastAsia" w:ascii="仿宋_GB2312" w:hAnsi="仿宋_GB2312" w:eastAsia="仿宋_GB2312" w:cs="仿宋_GB2312"/>
          <w:spacing w:val="9"/>
          <w:sz w:val="32"/>
          <w:szCs w:val="32"/>
        </w:rPr>
        <w:t>域旅游研究所。</w:t>
      </w:r>
    </w:p>
    <w:p>
      <w:pPr>
        <w:keepNext w:val="0"/>
        <w:keepLines w:val="0"/>
        <w:pageBreakBefore w:val="0"/>
        <w:widowControl w:val="0"/>
        <w:kinsoku/>
        <w:wordWrap/>
        <w:overflowPunct/>
        <w:topLinePunct w:val="0"/>
        <w:autoSpaceDE/>
        <w:autoSpaceDN/>
        <w:bidi w:val="0"/>
        <w:adjustRightInd/>
        <w:snapToGrid/>
        <w:spacing w:line="560" w:lineRule="exact"/>
        <w:ind w:left="6" w:firstLine="656"/>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下属非独立核算事业单位</w:t>
      </w:r>
      <w:r>
        <w:rPr>
          <w:rFonts w:hint="eastAsia" w:ascii="仿宋_GB2312" w:hAnsi="仿宋_GB2312" w:eastAsia="仿宋_GB2312" w:cs="仿宋_GB2312"/>
          <w:spacing w:val="-31"/>
          <w:sz w:val="32"/>
          <w:szCs w:val="32"/>
        </w:rPr>
        <w:t xml:space="preserve"> </w:t>
      </w:r>
      <w:r>
        <w:rPr>
          <w:rFonts w:hint="eastAsia" w:ascii="仿宋_GB2312" w:hAnsi="仿宋_GB2312" w:eastAsia="仿宋_GB2312" w:cs="仿宋_GB2312"/>
          <w:spacing w:val="-31"/>
          <w:sz w:val="32"/>
          <w:szCs w:val="32"/>
          <w:lang w:val="en-US" w:eastAsia="zh-CN"/>
        </w:rPr>
        <w:t>5</w:t>
      </w:r>
      <w:r>
        <w:rPr>
          <w:rFonts w:hint="eastAsia" w:ascii="仿宋_GB2312" w:hAnsi="仿宋_GB2312" w:eastAsia="仿宋_GB2312" w:cs="仿宋_GB2312"/>
          <w:spacing w:val="-60"/>
          <w:sz w:val="32"/>
          <w:szCs w:val="32"/>
        </w:rPr>
        <w:t xml:space="preserve"> </w:t>
      </w:r>
      <w:r>
        <w:rPr>
          <w:rFonts w:hint="eastAsia" w:ascii="仿宋_GB2312" w:hAnsi="仿宋_GB2312" w:eastAsia="仿宋_GB2312" w:cs="仿宋_GB2312"/>
          <w:spacing w:val="4"/>
          <w:sz w:val="32"/>
          <w:szCs w:val="32"/>
        </w:rPr>
        <w:t>个，分别为</w:t>
      </w:r>
      <w:r>
        <w:rPr>
          <w:rFonts w:hint="eastAsia" w:ascii="仿宋_GB2312" w:hAnsi="仿宋_GB2312" w:eastAsia="仿宋_GB2312" w:cs="仿宋_GB2312"/>
          <w:spacing w:val="5"/>
          <w:sz w:val="32"/>
          <w:szCs w:val="32"/>
        </w:rPr>
        <w:t>全域旅游产业发展中心、全域旅游营销中心、州国家文化公园服</w:t>
      </w:r>
      <w:r>
        <w:rPr>
          <w:rFonts w:hint="eastAsia" w:ascii="仿宋_GB2312" w:hAnsi="仿宋_GB2312" w:eastAsia="仿宋_GB2312" w:cs="仿宋_GB2312"/>
          <w:spacing w:val="9"/>
          <w:sz w:val="32"/>
          <w:szCs w:val="32"/>
        </w:rPr>
        <w:t>务中心、州文化生态保护区服务中心、州旅游质量促进中心。</w:t>
      </w:r>
    </w:p>
    <w:p>
      <w:pPr>
        <w:keepNext w:val="0"/>
        <w:keepLines w:val="0"/>
        <w:pageBreakBefore w:val="0"/>
        <w:widowControl w:val="0"/>
        <w:kinsoku/>
        <w:wordWrap/>
        <w:overflowPunct/>
        <w:topLinePunct w:val="0"/>
        <w:autoSpaceDE/>
        <w:autoSpaceDN/>
        <w:bidi w:val="0"/>
        <w:adjustRightInd/>
        <w:snapToGrid/>
        <w:spacing w:line="560" w:lineRule="exact"/>
        <w:ind w:right="42" w:firstLine="643" w:firstLineChars="200"/>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（二）机构职能</w:t>
      </w:r>
    </w:p>
    <w:p>
      <w:pPr>
        <w:keepNext w:val="0"/>
        <w:keepLines w:val="0"/>
        <w:pageBreakBefore w:val="0"/>
        <w:widowControl w:val="0"/>
        <w:kinsoku/>
        <w:wordWrap/>
        <w:overflowPunct/>
        <w:topLinePunct w:val="0"/>
        <w:autoSpaceDE/>
        <w:autoSpaceDN/>
        <w:bidi w:val="0"/>
        <w:adjustRightInd/>
        <w:snapToGrid/>
        <w:spacing w:line="560" w:lineRule="exact"/>
        <w:ind w:right="42" w:firstLine="65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《中共阿坝州委办公室阿坝州人民政府办</w:t>
      </w:r>
      <w:r>
        <w:rPr>
          <w:rFonts w:hint="eastAsia" w:ascii="仿宋_GB2312" w:hAnsi="仿宋_GB2312" w:eastAsia="仿宋_GB2312" w:cs="仿宋_GB2312"/>
          <w:sz w:val="32"/>
          <w:szCs w:val="32"/>
        </w:rPr>
        <w:t>公室 关于印发&lt;阿坝州文化广播电视和旅游局 职能配置、内</w:t>
      </w:r>
      <w:r>
        <w:rPr>
          <w:rFonts w:hint="eastAsia" w:ascii="仿宋_GB2312" w:hAnsi="仿宋_GB2312" w:eastAsia="仿宋_GB2312" w:cs="仿宋_GB2312"/>
          <w:spacing w:val="-1"/>
          <w:sz w:val="32"/>
          <w:szCs w:val="32"/>
        </w:rPr>
        <w:t>设机构和人员编制规定&gt;的通知》（</w:t>
      </w:r>
      <w:r>
        <w:rPr>
          <w:rFonts w:hint="eastAsia" w:ascii="仿宋_GB2312" w:hAnsi="仿宋_GB2312" w:eastAsia="仿宋_GB2312" w:cs="仿宋_GB2312"/>
          <w:spacing w:val="-69"/>
          <w:sz w:val="32"/>
          <w:szCs w:val="32"/>
        </w:rPr>
        <w:t xml:space="preserve"> </w:t>
      </w:r>
      <w:r>
        <w:rPr>
          <w:rFonts w:hint="eastAsia" w:ascii="仿宋_GB2312" w:hAnsi="仿宋_GB2312" w:eastAsia="仿宋_GB2312" w:cs="仿宋_GB2312"/>
          <w:spacing w:val="-1"/>
          <w:sz w:val="32"/>
          <w:szCs w:val="32"/>
        </w:rPr>
        <w:t>阿委办发[2024]38</w:t>
      </w:r>
      <w:r>
        <w:rPr>
          <w:rFonts w:hint="eastAsia" w:ascii="仿宋_GB2312" w:hAnsi="仿宋_GB2312" w:eastAsia="仿宋_GB2312" w:cs="仿宋_GB2312"/>
          <w:spacing w:val="-46"/>
          <w:sz w:val="32"/>
          <w:szCs w:val="32"/>
        </w:rPr>
        <w:t xml:space="preserve"> </w:t>
      </w:r>
      <w:r>
        <w:rPr>
          <w:rFonts w:hint="eastAsia" w:ascii="仿宋_GB2312" w:hAnsi="仿宋_GB2312" w:eastAsia="仿宋_GB2312" w:cs="仿宋_GB2312"/>
          <w:spacing w:val="-1"/>
          <w:sz w:val="32"/>
          <w:szCs w:val="32"/>
        </w:rPr>
        <w:t>号）文</w:t>
      </w:r>
      <w:r>
        <w:rPr>
          <w:rFonts w:hint="eastAsia" w:ascii="仿宋_GB2312" w:hAnsi="仿宋_GB2312" w:eastAsia="仿宋_GB2312" w:cs="仿宋_GB2312"/>
          <w:spacing w:val="9"/>
          <w:sz w:val="32"/>
          <w:szCs w:val="32"/>
        </w:rPr>
        <w:t>件规定，州文广旅局负责贯彻落实党中央关于文化、广电、</w:t>
      </w:r>
      <w:r>
        <w:rPr>
          <w:rFonts w:hint="eastAsia" w:ascii="仿宋_GB2312" w:hAnsi="仿宋_GB2312" w:eastAsia="仿宋_GB2312" w:cs="仿宋_GB2312"/>
          <w:spacing w:val="11"/>
          <w:sz w:val="32"/>
          <w:szCs w:val="32"/>
        </w:rPr>
        <w:t>旅游工作的方针政策和省委、州委决策部署，把坚持和</w:t>
      </w:r>
      <w:r>
        <w:rPr>
          <w:rFonts w:hint="eastAsia" w:ascii="仿宋_GB2312" w:hAnsi="仿宋_GB2312" w:eastAsia="仿宋_GB2312" w:cs="仿宋_GB2312"/>
          <w:spacing w:val="6"/>
          <w:sz w:val="32"/>
          <w:szCs w:val="32"/>
        </w:rPr>
        <w:t>加强党中央对文化、广电、旅游工作的集中统一领导</w:t>
      </w:r>
      <w:r>
        <w:rPr>
          <w:rFonts w:hint="eastAsia" w:ascii="仿宋_GB2312" w:hAnsi="仿宋_GB2312" w:eastAsia="仿宋_GB2312" w:cs="仿宋_GB2312"/>
          <w:spacing w:val="5"/>
          <w:sz w:val="32"/>
          <w:szCs w:val="32"/>
        </w:rPr>
        <w:t>落实到履行职责过程中。主要职责是：</w:t>
      </w:r>
    </w:p>
    <w:p>
      <w:pPr>
        <w:keepNext w:val="0"/>
        <w:keepLines w:val="0"/>
        <w:pageBreakBefore w:val="0"/>
        <w:widowControl w:val="0"/>
        <w:kinsoku/>
        <w:wordWrap/>
        <w:overflowPunct/>
        <w:topLinePunct w:val="0"/>
        <w:autoSpaceDE/>
        <w:autoSpaceDN/>
        <w:bidi w:val="0"/>
        <w:adjustRightInd/>
        <w:snapToGrid/>
        <w:spacing w:line="560" w:lineRule="exact"/>
        <w:ind w:left="12" w:right="47" w:firstLine="648"/>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1.拟订文化、广电和旅游政策措施，拟订全州网 络</w:t>
      </w:r>
      <w:r>
        <w:rPr>
          <w:rFonts w:hint="eastAsia" w:ascii="仿宋_GB2312" w:hAnsi="仿宋_GB2312" w:eastAsia="仿宋_GB2312" w:cs="仿宋_GB2312"/>
          <w:spacing w:val="-3"/>
          <w:sz w:val="32"/>
          <w:szCs w:val="32"/>
        </w:rPr>
        <w:t>视听节目服务管理的政策措施。起草文化、广电和旅游自</w:t>
      </w:r>
      <w:r>
        <w:rPr>
          <w:rFonts w:hint="eastAsia" w:ascii="仿宋_GB2312" w:hAnsi="仿宋_GB2312" w:eastAsia="仿宋_GB2312" w:cs="仿宋_GB2312"/>
          <w:spacing w:val="5"/>
          <w:sz w:val="32"/>
          <w:szCs w:val="32"/>
        </w:rPr>
        <w:t>治法规、规范性文件草案，负责本部门依法行政工作。</w:t>
      </w:r>
    </w:p>
    <w:p>
      <w:pPr>
        <w:keepNext w:val="0"/>
        <w:keepLines w:val="0"/>
        <w:pageBreakBefore w:val="0"/>
        <w:widowControl w:val="0"/>
        <w:kinsoku/>
        <w:wordWrap/>
        <w:overflowPunct/>
        <w:topLinePunct w:val="0"/>
        <w:autoSpaceDE/>
        <w:autoSpaceDN/>
        <w:bidi w:val="0"/>
        <w:adjustRightInd/>
        <w:snapToGrid/>
        <w:spacing w:line="560" w:lineRule="exact"/>
        <w:ind w:left="4" w:right="47" w:firstLine="648"/>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2.加强广播电视阵地建设，把握正确的舆论导向和创作 导</w:t>
      </w:r>
      <w:r>
        <w:rPr>
          <w:rFonts w:hint="eastAsia" w:ascii="仿宋_GB2312" w:hAnsi="仿宋_GB2312" w:eastAsia="仿宋_GB2312" w:cs="仿宋_GB2312"/>
          <w:sz w:val="32"/>
          <w:szCs w:val="32"/>
        </w:rPr>
        <w:t>向。负责利用广播电视加强党和政府的声音传播力，抢占舆论 高</w:t>
      </w:r>
      <w:r>
        <w:rPr>
          <w:rFonts w:hint="eastAsia" w:ascii="仿宋_GB2312" w:hAnsi="仿宋_GB2312" w:eastAsia="仿宋_GB2312" w:cs="仿宋_GB2312"/>
          <w:spacing w:val="5"/>
          <w:sz w:val="32"/>
          <w:szCs w:val="32"/>
        </w:rPr>
        <w:t>地，强化舆论反制，巩固意识形态阵地。</w:t>
      </w:r>
    </w:p>
    <w:p>
      <w:pPr>
        <w:keepNext w:val="0"/>
        <w:keepLines w:val="0"/>
        <w:pageBreakBefore w:val="0"/>
        <w:widowControl w:val="0"/>
        <w:kinsoku/>
        <w:wordWrap/>
        <w:overflowPunct/>
        <w:topLinePunct w:val="0"/>
        <w:autoSpaceDE/>
        <w:autoSpaceDN/>
        <w:bidi w:val="0"/>
        <w:adjustRightInd/>
        <w:snapToGrid/>
        <w:spacing w:line="560" w:lineRule="exact"/>
        <w:ind w:left="6" w:right="47" w:firstLine="66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3.推进文化、广电、旅游体制机制改革。组织推动</w:t>
      </w:r>
      <w:r>
        <w:rPr>
          <w:rFonts w:hint="eastAsia" w:ascii="仿宋_GB2312" w:hAnsi="仿宋_GB2312" w:eastAsia="仿宋_GB2312" w:cs="仿宋_GB2312"/>
          <w:spacing w:val="-5"/>
          <w:sz w:val="32"/>
          <w:szCs w:val="32"/>
        </w:rPr>
        <w:t>全州文化、广电事业和旅游业发展，拟订发展规划并组</w:t>
      </w:r>
      <w:r>
        <w:rPr>
          <w:rFonts w:hint="eastAsia" w:ascii="仿宋_GB2312" w:hAnsi="仿宋_GB2312" w:eastAsia="仿宋_GB2312" w:cs="仿宋_GB2312"/>
          <w:spacing w:val="-6"/>
          <w:sz w:val="32"/>
          <w:szCs w:val="32"/>
        </w:rPr>
        <w:t xml:space="preserve"> 织</w:t>
      </w:r>
      <w:r>
        <w:rPr>
          <w:rFonts w:hint="eastAsia" w:ascii="仿宋_GB2312" w:hAnsi="仿宋_GB2312" w:eastAsia="仿宋_GB2312" w:cs="仿宋_GB2312"/>
          <w:spacing w:val="5"/>
          <w:sz w:val="32"/>
          <w:szCs w:val="32"/>
        </w:rPr>
        <w:t>实施。推进文化、广电和旅游产业融合发展，促进文化、广电和旅游与相关产业融合发展。</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4.组织实施全州文化、广电和旅游资源的普查</w:t>
      </w: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rPr>
        <w:t>保护与利用。管理全州性重大文化、广电和旅游活动，组织全州重点文化、广电和旅游设施建设。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5.组织实施全州文化、广电和旅游整体形象推广，促进文化、广电和旅游产业市场推广和对外合作交流。制定文化、广电和旅游市场开发战略并组织实施。负责管理文化、广电和旅游国内外交流合作与宣传推广工作，组织大型文化、广电和旅游对外及对港澳台交流活动。</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6.负责对全州各类广播电视机构进行业务指导和行业监管，会同有关部门对网络视听节目服务机构进行管理。组织实施广播电视节目评价工作，监督管理、审查广播电视和网络视听节目的内容和质量，指导、监管广播电视广告播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7.负责指导推进电视剧行业发展和创作生产。推进广播 电视与新媒体技术新业态融合发展、推进广电网与电信网、互联 网三网融合。负责广播电视节目传输覆盖、检测和安全播出的监 督管理，指导、推进应急广播体系建设。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8.弘扬优秀传统文化，推动阿坝本地特色文化传承发展。 指导管理文艺事业，把握正确的创作导向，推动文化艺术创作生产，扶持体现社会主义核心价值观、具有导向性代表性示范性的文化艺术作品，推动各门类艺术、各艺术品种发展。</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9.负责公共文化、广电事业发展，推进全州公共文化、广电服务体系建设和旅游公共服务建设，深入实施 惠民工程，统筹推进文化、广电和旅游基本公共服务标准化、均等化。</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10.负责文化、广电和旅游行业信息化、标准化建设，推进文化、广电和旅游科技创新。</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11.负责非物质文化遗产保护工作，推动非物质文化遗 产的传承、普及、弘扬和振兴。</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12.管理和指导全州文物保护、利用和考古工作，组织  开展文物资源调查工作。协调、指导和监督全州文物安全工作，履行文物行政督察职能。负责全州世界文化遗产保护和管理工作，协同相关部门开展世界文化与自然遗产、历史文化名城(镇、村)申报和管理工作。负责全州文物和博物馆公共服务体系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lang w:val="en-US" w:eastAsia="zh-CN"/>
        </w:rPr>
        <w:t>3</w:t>
      </w:r>
      <w:r>
        <w:rPr>
          <w:rFonts w:hint="eastAsia" w:ascii="仿宋_GB2312" w:hAnsi="仿宋_GB2312" w:eastAsia="仿宋_GB2312" w:cs="仿宋_GB2312"/>
          <w:spacing w:val="10"/>
          <w:sz w:val="32"/>
          <w:szCs w:val="32"/>
        </w:rPr>
        <w:t>.推动全州文化、广电和旅游市场发展，对全州文化、广电和旅游市场依法进行行业监管，依法规范文化、广电和旅游市场。推进文化、广电和旅游行业信用体系建设。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lang w:val="en-US" w:eastAsia="zh-CN"/>
        </w:rPr>
        <w:t>4</w:t>
      </w:r>
      <w:r>
        <w:rPr>
          <w:rFonts w:hint="eastAsia" w:ascii="仿宋_GB2312" w:hAnsi="仿宋_GB2312" w:eastAsia="仿宋_GB2312" w:cs="仿宋_GB2312"/>
          <w:spacing w:val="10"/>
          <w:sz w:val="32"/>
          <w:szCs w:val="32"/>
        </w:rPr>
        <w:t>.负责全州旅游景区管理机构、文旅企业的行业管理 和标准化建设。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lang w:val="en-US" w:eastAsia="zh-CN"/>
        </w:rPr>
        <w:t>5</w:t>
      </w:r>
      <w:r>
        <w:rPr>
          <w:rFonts w:hint="eastAsia" w:ascii="仿宋_GB2312" w:hAnsi="仿宋_GB2312" w:eastAsia="仿宋_GB2312" w:cs="仿宋_GB2312"/>
          <w:spacing w:val="10"/>
          <w:sz w:val="32"/>
          <w:szCs w:val="32"/>
        </w:rPr>
        <w:t>.统筹指导全州文化、广电、旅游市场综合行政执法，规范文化、广电、旅游行政执法，组织查处全州性、跨区域文化、文物、广电、旅游等违法行为，督查督办大案要案。</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lang w:val="en-US" w:eastAsia="zh-CN"/>
        </w:rPr>
        <w:t>6</w:t>
      </w:r>
      <w:r>
        <w:rPr>
          <w:rFonts w:hint="eastAsia" w:ascii="仿宋_GB2312" w:hAnsi="仿宋_GB2312" w:eastAsia="仿宋_GB2312" w:cs="仿宋_GB2312"/>
          <w:spacing w:val="10"/>
          <w:sz w:val="32"/>
          <w:szCs w:val="32"/>
        </w:rPr>
        <w:t>.负责文化、广电和旅游行业安全生产工作的综合协调与监督管理，制定职责范围内的安全生产年度监督检查 计划并组织实施。依法履行行业职业健康监管职责，承担职责范 围内生态环境保护、公共机构节能减排、审批服务便民化等工作。</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lang w:val="en-US" w:eastAsia="zh-CN"/>
        </w:rPr>
        <w:t>17</w:t>
      </w:r>
      <w:r>
        <w:rPr>
          <w:rFonts w:hint="eastAsia" w:ascii="仿宋_GB2312" w:hAnsi="仿宋_GB2312" w:eastAsia="仿宋_GB2312" w:cs="仿宋_GB2312"/>
          <w:spacing w:val="10"/>
          <w:sz w:val="32"/>
          <w:szCs w:val="32"/>
        </w:rPr>
        <w:t>.完成州委、州政府交办的其他任务。</w:t>
      </w:r>
    </w:p>
    <w:p>
      <w:pPr>
        <w:keepNext w:val="0"/>
        <w:keepLines w:val="0"/>
        <w:pageBreakBefore w:val="0"/>
        <w:widowControl w:val="0"/>
        <w:kinsoku/>
        <w:wordWrap/>
        <w:overflowPunct/>
        <w:topLinePunct w:val="0"/>
        <w:autoSpaceDE/>
        <w:autoSpaceDN/>
        <w:bidi w:val="0"/>
        <w:adjustRightInd/>
        <w:snapToGrid/>
        <w:spacing w:line="560" w:lineRule="exact"/>
        <w:ind w:right="47" w:firstLine="643" w:firstLineChars="200"/>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（三）人员概况</w:t>
      </w:r>
    </w:p>
    <w:p>
      <w:pPr>
        <w:keepNext w:val="0"/>
        <w:keepLines w:val="0"/>
        <w:pageBreakBefore w:val="0"/>
        <w:widowControl w:val="0"/>
        <w:kinsoku/>
        <w:wordWrap/>
        <w:overflowPunct/>
        <w:topLinePunct w:val="0"/>
        <w:autoSpaceDE/>
        <w:autoSpaceDN/>
        <w:bidi w:val="0"/>
        <w:adjustRightInd/>
        <w:snapToGrid/>
        <w:spacing w:line="560" w:lineRule="exact"/>
        <w:ind w:right="47" w:firstLine="68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napToGrid w:val="0"/>
          <w:color w:val="000000"/>
          <w:spacing w:val="11"/>
          <w:kern w:val="0"/>
          <w:sz w:val="32"/>
          <w:szCs w:val="32"/>
          <w:lang w:eastAsia="en-US"/>
        </w:rPr>
        <w:t>截至202</w:t>
      </w:r>
      <w:r>
        <w:rPr>
          <w:rFonts w:hint="eastAsia" w:ascii="仿宋_GB2312" w:hAnsi="仿宋_GB2312" w:eastAsia="仿宋_GB2312" w:cs="仿宋_GB2312"/>
          <w:snapToGrid w:val="0"/>
          <w:color w:val="000000"/>
          <w:spacing w:val="11"/>
          <w:kern w:val="0"/>
          <w:sz w:val="32"/>
          <w:szCs w:val="32"/>
          <w:lang w:val="en-US" w:eastAsia="zh-CN"/>
        </w:rPr>
        <w:t>5</w:t>
      </w:r>
      <w:r>
        <w:rPr>
          <w:rFonts w:hint="eastAsia" w:ascii="仿宋_GB2312" w:hAnsi="仿宋_GB2312" w:eastAsia="仿宋_GB2312" w:cs="仿宋_GB2312"/>
          <w:snapToGrid w:val="0"/>
          <w:color w:val="000000"/>
          <w:spacing w:val="11"/>
          <w:kern w:val="0"/>
          <w:sz w:val="32"/>
          <w:szCs w:val="32"/>
          <w:lang w:eastAsia="en-US"/>
        </w:rPr>
        <w:t>年末，州</w:t>
      </w:r>
      <w:r>
        <w:rPr>
          <w:rFonts w:hint="eastAsia" w:ascii="仿宋_GB2312" w:hAnsi="仿宋_GB2312" w:eastAsia="仿宋_GB2312" w:cs="仿宋_GB2312"/>
          <w:snapToGrid w:val="0"/>
          <w:color w:val="000000"/>
          <w:spacing w:val="10"/>
          <w:kern w:val="0"/>
          <w:sz w:val="32"/>
          <w:szCs w:val="32"/>
          <w:lang w:eastAsia="en-US"/>
        </w:rPr>
        <w:t>文广旅局部门（单</w:t>
      </w:r>
      <w:r>
        <w:rPr>
          <w:rFonts w:hint="eastAsia" w:ascii="仿宋_GB2312" w:hAnsi="仿宋_GB2312" w:eastAsia="仿宋_GB2312" w:cs="仿宋_GB2312"/>
          <w:snapToGrid w:val="0"/>
          <w:color w:val="000000"/>
          <w:spacing w:val="7"/>
          <w:kern w:val="0"/>
          <w:sz w:val="32"/>
          <w:szCs w:val="32"/>
          <w:lang w:eastAsia="en-US"/>
        </w:rPr>
        <w:t>位）及下属单位编制数</w:t>
      </w:r>
      <w:r>
        <w:rPr>
          <w:rFonts w:hint="eastAsia" w:ascii="仿宋_GB2312" w:hAnsi="仿宋_GB2312" w:eastAsia="仿宋_GB2312" w:cs="仿宋_GB2312"/>
          <w:snapToGrid w:val="0"/>
          <w:color w:val="000000"/>
          <w:spacing w:val="-59"/>
          <w:kern w:val="0"/>
          <w:sz w:val="32"/>
          <w:szCs w:val="32"/>
          <w:lang w:eastAsia="en-US"/>
        </w:rPr>
        <w:t xml:space="preserve"> </w:t>
      </w:r>
      <w:r>
        <w:rPr>
          <w:rFonts w:hint="eastAsia" w:ascii="仿宋_GB2312" w:hAnsi="仿宋_GB2312" w:eastAsia="仿宋_GB2312" w:cs="仿宋_GB2312"/>
          <w:snapToGrid w:val="0"/>
          <w:color w:val="000000"/>
          <w:spacing w:val="7"/>
          <w:kern w:val="0"/>
          <w:sz w:val="32"/>
          <w:szCs w:val="32"/>
          <w:lang w:eastAsia="en-US"/>
        </w:rPr>
        <w:t>299个</w:t>
      </w:r>
      <w:r>
        <w:rPr>
          <w:rFonts w:hint="eastAsia" w:ascii="仿宋_GB2312" w:hAnsi="仿宋_GB2312" w:eastAsia="仿宋_GB2312" w:cs="仿宋_GB2312"/>
          <w:snapToGrid w:val="0"/>
          <w:color w:val="000000"/>
          <w:spacing w:val="7"/>
          <w:kern w:val="0"/>
          <w:sz w:val="32"/>
          <w:szCs w:val="32"/>
          <w:lang w:val="en-US" w:eastAsia="zh-CN"/>
        </w:rPr>
        <w:t>,</w:t>
      </w:r>
      <w:r>
        <w:rPr>
          <w:rFonts w:hint="eastAsia" w:ascii="仿宋_GB2312" w:hAnsi="仿宋_GB2312" w:eastAsia="仿宋_GB2312" w:cs="仿宋_GB2312"/>
          <w:snapToGrid w:val="0"/>
          <w:color w:val="000000"/>
          <w:spacing w:val="7"/>
          <w:kern w:val="0"/>
          <w:sz w:val="32"/>
          <w:szCs w:val="32"/>
          <w:lang w:eastAsia="en-US"/>
        </w:rPr>
        <w:t>年末实有人数</w:t>
      </w:r>
      <w:r>
        <w:rPr>
          <w:rFonts w:hint="eastAsia" w:ascii="仿宋_GB2312" w:hAnsi="仿宋_GB2312" w:eastAsia="仿宋_GB2312" w:cs="仿宋_GB2312"/>
          <w:snapToGrid w:val="0"/>
          <w:color w:val="FF0000"/>
          <w:spacing w:val="-69"/>
          <w:kern w:val="0"/>
          <w:sz w:val="32"/>
          <w:szCs w:val="32"/>
          <w:lang w:eastAsia="en-US"/>
        </w:rPr>
        <w:t xml:space="preserve"> </w:t>
      </w:r>
      <w:r>
        <w:rPr>
          <w:rFonts w:hint="eastAsia" w:ascii="仿宋_GB2312" w:hAnsi="仿宋_GB2312" w:eastAsia="仿宋_GB2312" w:cs="仿宋_GB2312"/>
          <w:snapToGrid w:val="0"/>
          <w:color w:val="000000" w:themeColor="text1"/>
          <w:spacing w:val="7"/>
          <w:kern w:val="0"/>
          <w:sz w:val="32"/>
          <w:szCs w:val="32"/>
          <w:lang w:val="en-US" w:eastAsia="zh-CN"/>
          <w14:textFill>
            <w14:solidFill>
              <w14:schemeClr w14:val="tx1"/>
            </w14:solidFill>
          </w14:textFill>
        </w:rPr>
        <w:t>260</w:t>
      </w:r>
      <w:r>
        <w:rPr>
          <w:rFonts w:hint="eastAsia" w:ascii="仿宋_GB2312" w:hAnsi="仿宋_GB2312" w:eastAsia="仿宋_GB2312" w:cs="仿宋_GB2312"/>
          <w:snapToGrid w:val="0"/>
          <w:color w:val="000000"/>
          <w:spacing w:val="7"/>
          <w:kern w:val="0"/>
          <w:sz w:val="32"/>
          <w:szCs w:val="32"/>
          <w:lang w:eastAsia="en-US"/>
        </w:rPr>
        <w:t>人。</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eastAsia="黑体"/>
          <w:color w:val="000000"/>
          <w:kern w:val="0"/>
          <w:sz w:val="32"/>
          <w:szCs w:val="32"/>
          <w:shd w:val="clear" w:color="auto" w:fill="FFFFFF"/>
        </w:rPr>
      </w:pPr>
      <w:r>
        <w:rPr>
          <w:rFonts w:eastAsia="黑体"/>
          <w:color w:val="000000"/>
          <w:kern w:val="0"/>
          <w:sz w:val="32"/>
          <w:szCs w:val="32"/>
          <w:shd w:val="clear" w:color="auto" w:fill="FFFFFF"/>
        </w:rPr>
        <w:t>二、部门资金收支情况</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（一）收入情况</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themeColor="text1"/>
          <w:spacing w:val="7"/>
          <w:sz w:val="32"/>
          <w:szCs w:val="32"/>
          <w14:textFill>
            <w14:solidFill>
              <w14:schemeClr w14:val="tx1"/>
            </w14:solidFill>
          </w14:textFill>
        </w:rPr>
        <w:t>州文广旅局部门202</w:t>
      </w:r>
      <w:r>
        <w:rPr>
          <w:rFonts w:hint="eastAsia" w:ascii="仿宋_GB2312" w:hAnsi="仿宋_GB2312" w:eastAsia="仿宋_GB2312" w:cs="仿宋_GB2312"/>
          <w:color w:val="000000" w:themeColor="text1"/>
          <w:spacing w:val="7"/>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pacing w:val="7"/>
          <w:sz w:val="32"/>
          <w:szCs w:val="32"/>
          <w14:textFill>
            <w14:solidFill>
              <w14:schemeClr w14:val="tx1"/>
            </w14:solidFill>
          </w14:textFill>
        </w:rPr>
        <w:t>年年初预算收入</w:t>
      </w:r>
      <w:r>
        <w:rPr>
          <w:rFonts w:hint="eastAsia" w:ascii="仿宋_GB2312" w:hAnsi="仿宋_GB2312" w:eastAsia="仿宋_GB2312" w:cs="仿宋_GB2312"/>
          <w:color w:val="000000" w:themeColor="text1"/>
          <w:spacing w:val="2"/>
          <w:sz w:val="32"/>
          <w:szCs w:val="32"/>
          <w:lang w:val="en-US" w:eastAsia="zh-CN"/>
          <w14:textFill>
            <w14:solidFill>
              <w14:schemeClr w14:val="tx1"/>
            </w14:solidFill>
          </w14:textFill>
        </w:rPr>
        <w:t>8862.09</w:t>
      </w:r>
      <w:r>
        <w:rPr>
          <w:rFonts w:hint="eastAsia" w:ascii="仿宋_GB2312" w:hAnsi="仿宋_GB2312" w:eastAsia="仿宋_GB2312" w:cs="仿宋_GB2312"/>
          <w:color w:val="000000" w:themeColor="text1"/>
          <w:spacing w:val="2"/>
          <w:sz w:val="32"/>
          <w:szCs w:val="32"/>
          <w14:textFill>
            <w14:solidFill>
              <w14:schemeClr w14:val="tx1"/>
            </w14:solidFill>
          </w14:textFill>
        </w:rPr>
        <w:t>万元、决算报表收入</w:t>
      </w:r>
      <w:r>
        <w:rPr>
          <w:rFonts w:hint="eastAsia" w:ascii="仿宋_GB2312" w:hAnsi="仿宋_GB2312" w:eastAsia="仿宋_GB2312" w:cs="仿宋_GB2312"/>
          <w:color w:val="000000" w:themeColor="text1"/>
          <w:spacing w:val="-38"/>
          <w:sz w:val="32"/>
          <w:szCs w:val="32"/>
          <w14:textFill>
            <w14:solidFill>
              <w14:schemeClr w14:val="tx1"/>
            </w14:solidFill>
          </w14:textFill>
        </w:rPr>
        <w:t xml:space="preserve"> </w:t>
      </w:r>
      <w:r>
        <w:rPr>
          <w:rFonts w:hint="eastAsia" w:ascii="仿宋_GB2312" w:hAnsi="仿宋_GB2312" w:eastAsia="仿宋_GB2312" w:cs="仿宋_GB2312"/>
          <w:color w:val="000000" w:themeColor="text1"/>
          <w:spacing w:val="2"/>
          <w:sz w:val="32"/>
          <w:szCs w:val="32"/>
          <w:lang w:val="en-US" w:eastAsia="zh-CN"/>
          <w14:textFill>
            <w14:solidFill>
              <w14:schemeClr w14:val="tx1"/>
            </w14:solidFill>
          </w14:textFill>
        </w:rPr>
        <w:t>12851.29</w:t>
      </w:r>
      <w:r>
        <w:rPr>
          <w:rFonts w:hint="eastAsia" w:ascii="仿宋_GB2312" w:hAnsi="仿宋_GB2312" w:eastAsia="仿宋_GB2312" w:cs="仿宋_GB2312"/>
          <w:color w:val="000000" w:themeColor="text1"/>
          <w:spacing w:val="2"/>
          <w:sz w:val="32"/>
          <w:szCs w:val="32"/>
          <w14:textFill>
            <w14:solidFill>
              <w14:schemeClr w14:val="tx1"/>
            </w14:solidFill>
          </w14:textFill>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ascii="楷体" w:hAnsi="楷体" w:eastAsia="楷体" w:cs="楷体"/>
          <w:b/>
          <w:bCs/>
          <w:spacing w:val="-88"/>
          <w:sz w:val="32"/>
          <w:szCs w:val="32"/>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）支出情况</w:t>
      </w:r>
      <w:r>
        <w:rPr>
          <w:rFonts w:ascii="楷体" w:hAnsi="楷体" w:eastAsia="楷体" w:cs="楷体"/>
          <w:b/>
          <w:bCs/>
          <w:spacing w:val="-88"/>
          <w:sz w:val="32"/>
          <w:szCs w:val="32"/>
        </w:rPr>
        <w:t xml:space="preserve"> </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rPr>
      </w:pPr>
      <w:r>
        <w:rPr>
          <w:rFonts w:hint="eastAsia" w:ascii="仿宋_GB2312" w:hAnsi="仿宋_GB2312" w:eastAsia="仿宋_GB2312" w:cs="仿宋_GB2312"/>
          <w:spacing w:val="7"/>
          <w:sz w:val="32"/>
          <w:szCs w:val="32"/>
        </w:rPr>
        <w:t>州文广旅局部门202</w:t>
      </w:r>
      <w:r>
        <w:rPr>
          <w:rFonts w:hint="eastAsia" w:ascii="仿宋_GB2312" w:hAnsi="仿宋_GB2312" w:eastAsia="仿宋_GB2312" w:cs="仿宋_GB2312"/>
          <w:spacing w:val="7"/>
          <w:sz w:val="32"/>
          <w:szCs w:val="32"/>
          <w:lang w:val="en-US" w:eastAsia="zh-CN"/>
        </w:rPr>
        <w:t>5</w:t>
      </w:r>
      <w:r>
        <w:rPr>
          <w:rFonts w:hint="eastAsia" w:ascii="仿宋_GB2312" w:hAnsi="仿宋_GB2312" w:eastAsia="仿宋_GB2312" w:cs="仿宋_GB2312"/>
          <w:spacing w:val="7"/>
          <w:sz w:val="32"/>
          <w:szCs w:val="32"/>
        </w:rPr>
        <w:t>年年初预算支出</w:t>
      </w:r>
      <w:r>
        <w:rPr>
          <w:rFonts w:hint="eastAsia" w:ascii="仿宋_GB2312" w:hAnsi="仿宋_GB2312" w:eastAsia="仿宋_GB2312" w:cs="仿宋_GB2312"/>
          <w:spacing w:val="7"/>
          <w:sz w:val="32"/>
          <w:szCs w:val="32"/>
          <w:lang w:val="en-US" w:eastAsia="zh-CN"/>
        </w:rPr>
        <w:t>8862.09</w:t>
      </w:r>
      <w:r>
        <w:rPr>
          <w:rFonts w:hint="eastAsia" w:ascii="仿宋_GB2312" w:hAnsi="仿宋_GB2312" w:eastAsia="仿宋_GB2312" w:cs="仿宋_GB2312"/>
          <w:spacing w:val="7"/>
          <w:sz w:val="32"/>
          <w:szCs w:val="32"/>
        </w:rPr>
        <w:t>万元、决算报表支出收入</w:t>
      </w:r>
      <w:r>
        <w:rPr>
          <w:rFonts w:hint="eastAsia" w:ascii="仿宋_GB2312" w:hAnsi="仿宋_GB2312" w:eastAsia="仿宋_GB2312" w:cs="仿宋_GB2312"/>
          <w:spacing w:val="7"/>
          <w:sz w:val="32"/>
          <w:szCs w:val="32"/>
          <w:lang w:val="en-US" w:eastAsia="zh-CN"/>
        </w:rPr>
        <w:t>12851.29</w:t>
      </w:r>
      <w:r>
        <w:rPr>
          <w:rFonts w:hint="eastAsia" w:ascii="仿宋_GB2312" w:hAnsi="仿宋_GB2312" w:eastAsia="仿宋_GB2312" w:cs="仿宋_GB2312"/>
          <w:spacing w:val="7"/>
          <w:sz w:val="32"/>
          <w:szCs w:val="32"/>
        </w:rPr>
        <w:t>万元。主要工作成效如下</w:t>
      </w:r>
      <w:r>
        <w:rPr>
          <w:rFonts w:hint="eastAsia" w:ascii="仿宋_GB2312" w:hAnsi="仿宋_GB2312" w:eastAsia="仿宋_GB2312" w:cs="仿宋_GB2312"/>
          <w:spacing w:val="7"/>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71" w:firstLineChars="200"/>
        <w:contextualSpacing/>
        <w:jc w:val="left"/>
        <w:textAlignment w:val="auto"/>
        <w:rPr>
          <w:rFonts w:hint="eastAsia" w:ascii="CESI仿宋-GB2312" w:hAnsi="CESI仿宋-GB2312" w:eastAsia="CESI仿宋-GB2312" w:cs="CESI仿宋-GB2312"/>
          <w:b/>
          <w:bCs/>
          <w:spacing w:val="7"/>
          <w:sz w:val="32"/>
          <w:szCs w:val="32"/>
          <w:lang w:val="en-US" w:eastAsia="zh-CN"/>
        </w:rPr>
      </w:pPr>
      <w:r>
        <w:rPr>
          <w:rFonts w:hint="eastAsia" w:ascii="CESI仿宋-GB2312" w:hAnsi="CESI仿宋-GB2312" w:eastAsia="CESI仿宋-GB2312" w:cs="CESI仿宋-GB2312"/>
          <w:b/>
          <w:bCs/>
          <w:spacing w:val="7"/>
          <w:sz w:val="32"/>
          <w:szCs w:val="32"/>
          <w:lang w:val="en-US" w:eastAsia="zh-CN"/>
        </w:rPr>
        <w:t>1、淬炼“五个之州”新硬核，澎湃文旅发展强动能</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7"/>
          <w:sz w:val="32"/>
          <w:szCs w:val="32"/>
          <w:lang w:val="en-US" w:eastAsia="zh-CN"/>
        </w:rPr>
        <w:t>①“自驾之州”编织无缝畅游交通服务网络。理小路通行车辆超87万余辆次、接待游客213万余人次，九寨沟、红原、若尔盖3个县入选全国自驾游百强县榜单。大九寨旅游草原环线公路旅游化改造项目公路部分主体工程基本完工，黄龙马蹄海等3个高原旅游驿站试点建成，培育20家汽车租赁企业、投放车辆515台。高速公路运营里程突破450公里，进出州自驾车辆2850万辆次，进出港航班1198架次、输送游客66772人次，高铁输送游客807万余人次，客运班线及包车运输游客656万人次、川青铁路景区接驳257万人次，全州自驾游客达4500余万人次。实现“落地自驾、异地还车”，“快进慢游”全域立体旅游交通承载力突破历史新纪录，“童话公路”自驾品牌影响力与客流量同步跃升。</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7"/>
          <w:sz w:val="32"/>
          <w:szCs w:val="32"/>
          <w:lang w:val="en-US" w:eastAsia="zh-CN"/>
        </w:rPr>
        <w:t>②“研学之州”打造以旅育人深度融合样板。九寨华美胜地穹恰研学基地、阿坝县无形妙有非遗研学基地、汶川天地映秀培训中心3家单位荣获2025年“行读四川”研学旅游品牌授权，达古冰川、桃坪羌寨2家单位入选2025年全国研学旅游基地品质提升四川省试点单位。培育《金研学》《羌风·慧知》等26个研学产品和《映秀大爱之旅》《我和熊猫去研学》等24条研学线路。“阿坝州研学旅游中心”挂牌成立，与新华文轩等14家企业建立合作关系，构建全链条研学产业体系。全州接待研学游客50万人次，组织11976名学生开展“走出阿坝看世界”研学活动。研学品牌建设迈入新台阶，全域产品矩阵基本成型，产业发展动能加速集聚。</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7"/>
          <w:sz w:val="32"/>
          <w:szCs w:val="32"/>
          <w:lang w:val="en-US" w:eastAsia="zh-CN"/>
        </w:rPr>
        <w:t>③“民宿之州”树立高原旅居集群发展典范。编制《阿坝州旅游民宿产业发展规划（2025—2030 年）》，近两年拉动投资10亿元新建民宿298家、建成运营270家，全州民宿总量达2122 家。九寨沟县“林水间·轻奢美宿”以全省排名第一入选国家文旅部2025年全国甲级旅游民宿评定结果公示名单，筛选122家优质民宿在携程等平台开设“阿坝精品民宿”线上专区，塑造壤塘游牧体验、金川生态民宿、松潘心宿等差异化品牌，九寨沟甘海子村、马尔康嘉绒雅沁等一批民宿集群成势见效。相关县（市）出台《民宿管理办法》等制度，创新探索点状供地模式，推出“民宿贷”金融产品。民宿产业顶层设计与规模化建设取得实质性进展，产业内涵与地域特色深度融合发展态势日益巩固。</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7"/>
          <w:sz w:val="32"/>
          <w:szCs w:val="32"/>
          <w:lang w:val="en-US" w:eastAsia="zh-CN"/>
        </w:rPr>
        <w:t>④“网红之州”锻造多元文旅消费增长引擎。全州A级景区接待游客4549.6万人次、同比增长21.34%，占全省A级景区接待人次的5.47%。收费A级景区接待1957.85万人次、门票收入15.74亿元，同比分别增长21.63%和22.68%，二次业态消费收入16.94亿元、占比51.84%。四大景区共接待游客1368.42万人次、门票收入13.14亿元，同比分别增长14.98%和21.15%。全州门票收入占全省门票收入的25.16%。九寨沟接待游客744.24万人次、同比增长27%，相比去年同期净增超160万人，为开园以来历史首次。黄龙接待420万人次、连续3年创新突破，四姑娘山连续3年突破250万人次。达古冰川4860咖啡屋优化升级成为热门打卡地、仅3个月实现营收170万元，四姑娘山开通“秘境寻踪”等三大主题特色航线，漫泽塘引入热气球项目，“川超”带动赛事经济消费超1500万元，“大美文创”销售额突破400万元。“天下九寨沟·大美阿坝州”全国行走进北上广，首个海外文旅推广中心在曼谷挂牌，吸引300余家境外旅行商进州考察，拓展入境客源国至20余个。核心旅游产品集群形成强大市场吸引力，业态创新系统性地拓展文旅消费维度，形成“引进来”与“走出去”双向奔赴的文旅市场强磁场。</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7"/>
          <w:sz w:val="32"/>
          <w:szCs w:val="32"/>
          <w:lang w:val="en-US" w:eastAsia="zh-CN"/>
        </w:rPr>
        <w:t xml:space="preserve">⑤“好客之州”营造安心暖心全域服务生态。深化全民好客行动，组织好客系列大讲堂、涉旅服务专题讨论，覆盖从业人员线下3200人次，开展行业培训竞赛52场、覆盖4643人次。新增规上文体娱乐业企业7家，新引进注册旅行社16家。“一部手机游阿坝”上线运营，签约涉旅机构4000余家，交易总人次502.14万、交易额7.73亿元。开展“清雷”“净旅”等专项整治，检查旅游团队2004个、导游1982人次、立案办结80起，受理消费诉求11032件，为消费者挽回经济损失275.71万元。“信用阿坝”小程序优化上线，完成1026户涉旅经营主体信用建档评级、累计授信1.49亿元。市场整治与执法监管创新举措两次受邀在文旅部召开的会议上交流发言，形成具有示范效应的文旅市场治理阿坝模式。    </w:t>
      </w:r>
    </w:p>
    <w:p>
      <w:pPr>
        <w:keepNext w:val="0"/>
        <w:keepLines w:val="0"/>
        <w:pageBreakBefore w:val="0"/>
        <w:widowControl/>
        <w:kinsoku/>
        <w:wordWrap/>
        <w:overflowPunct/>
        <w:topLinePunct w:val="0"/>
        <w:autoSpaceDE/>
        <w:autoSpaceDN/>
        <w:bidi w:val="0"/>
        <w:adjustRightInd w:val="0"/>
        <w:snapToGrid w:val="0"/>
        <w:spacing w:line="560" w:lineRule="exact"/>
        <w:ind w:firstLine="671"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b/>
          <w:bCs/>
          <w:spacing w:val="7"/>
          <w:sz w:val="32"/>
          <w:szCs w:val="32"/>
          <w:lang w:val="en-US" w:eastAsia="zh-CN"/>
        </w:rPr>
        <w:t>2、筑牢“六大旅游”支撑极，撬动文旅融合牵引力</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7"/>
          <w:sz w:val="32"/>
          <w:szCs w:val="32"/>
          <w:lang w:val="en-US" w:eastAsia="zh-CN"/>
        </w:rPr>
        <w:t>①生态旅游构建人与自然共生范式。甲勿海·熊猫园晋级4A景区，毕棚沟连续三年稳居“百万级”旅游景区、接待量突破120万人次，莲宝叶则加快创建5A景区，接待游客43.22万人次、同比增长33.65%，黄河九曲第一湾接待游客91.38万人次、同比增长33.32%，花湖接待游客84.62万人次、同比增长47.88%，均为历史最高纪录，四姑娘山申创世界地质公园全票通过审议。达古冰川入境游占比17.8%、同比增长85.71%，成为东南亚等小众爆款研学入境游目的地，卧龙熊猫研学基地接待研学游客5500人、直接营业收入200万元。优势景区品牌能级高速攀升，生态研学创造文旅消费新亮点，生态旅游实现高质量发展与高水平保护有机统一。</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7"/>
          <w:sz w:val="32"/>
          <w:szCs w:val="32"/>
          <w:lang w:val="en-US" w:eastAsia="zh-CN"/>
        </w:rPr>
        <w:t>②运动旅游谱写高原户外活力篇章。阿尔沟登山游客突破10万人次，三奥雪山4月开山以来接待游客10.9万人次、直接经济收入4854.36万元，红原“骑着骏马游草原”系列产品接待游客22万人次、实现旅游收入2.185亿元，若尔盖全国首个高高原低空载客航线完成历史性首飞，安全飞行258架次、实现营收40万元，牟尼沟漂流景区运营仅1个月实现营收156万元，2024-2025雪季全州滑雪场接待游客35.8万人次、同比增长70.4%，直接带动旅游收入3.2亿元，接待登山徒步游客50余万人次、实现营收4.5亿余元。多业态、全季节、全龄段户外产品和产业体系日益健全，体旅融合经济引擎作用强劲，“户外运动第一山”品牌形象深入人心。</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7"/>
          <w:sz w:val="32"/>
          <w:szCs w:val="32"/>
          <w:lang w:val="en-US" w:eastAsia="zh-CN"/>
        </w:rPr>
        <w:t>③康养旅游开创度假旅居美好生活。桃坪羌寨推进“世界最佳旅游乡村”提质升级，茂县推广“苹果+蔬菜+粮食”立体复种模式5000亩，金山玫瑰基地总营收3200万元。羊茸村民宿集群接待游客6.5万人次、实现收入520万元，沙卡民宿村营收突破900万元，金川县加快打造牧马山“业态互补型”民宿集群，建成民宿7家、滑翔基地等特色业态10余个。茂县高原病防治基地超额完成年度建设任务，九寨华美胜地接待游客43.22万人次、营业收入2.90亿元，三江水磨接待避暑康养游客200万余人次、实现旅游收入3.6亿元。康养旅游有效促进生态价值转化、健康服务提质及文旅深度融合，以乡村旅游为底色、民宿产业为支柱、康养度假为引领的高质量旅居产业生态逐渐形成。</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7"/>
          <w:sz w:val="32"/>
          <w:szCs w:val="32"/>
          <w:lang w:val="en-US" w:eastAsia="zh-CN"/>
        </w:rPr>
        <w:t>④红色旅游激活长征精神传承脉络。统筹推进长征国家文化公园（阿坝段）建设，完成巴西会议会址保护修缮、沙窝会议会址陈列馆提升等工程，《牦牛革命》走进北京大学，在“长征路上看四川”大型宣传教育活动上发布“雪山草地·长征丰碑之旅”和“家国情怀·红色燎原之旅”2条红色旅游线路，推出《赓续红色血脉·走进雪山草地》等研学线路，长征干部学院阿坝雪山草地分院举办党性教育培训93期、培训人数4845人。全州红色旅游接待584.38万人次、同比增长26.43%。特色化、精品化红色旅游产品体系加速成型，品牌辐射力与市场吸引力持续增强，红色基因在新时代赓续传承、焕发新生。</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7"/>
          <w:sz w:val="32"/>
          <w:szCs w:val="32"/>
          <w:lang w:val="en-US" w:eastAsia="zh-CN"/>
        </w:rPr>
        <w:t>⑤文博旅游重塑文化遗产现代表达。壤塘觉囊唐卡入选第二批全国非遗工坊典型案例，省级优秀非遗工坊数量全省第一，新增9名国家级非遗传承人、入选率全省第一，全州非遗衍生产品及文创种类达220余种。2镇3村创建为第六批省级历史文化名镇名村，第四次全国文物普查上报新发现文物334处，全州博物馆（纪念馆）接待观众超254万人次、同比增长10.43%。首届村晚吸引游客5.65万人次，《火塘炊烟》《爱润阿坝》等歌曲全网点赞量突破100亿次，全州节会活动接待游客727.43万人次、旅游收入65.03亿元。文化资源与旅游产业深度嫁接，文化遗产从 “静态保护” 迈向 “活态传承”，文博旅游吸引力、感染力与影响力全面提升。</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CESI仿宋-GB2312" w:hAnsi="CESI仿宋-GB2312" w:eastAsia="CESI仿宋-GB2312" w:cs="CESI仿宋-GB2312"/>
          <w:spacing w:val="7"/>
          <w:sz w:val="32"/>
          <w:szCs w:val="32"/>
          <w:lang w:val="en-US" w:eastAsia="zh-CN"/>
        </w:rPr>
      </w:pPr>
      <w:r>
        <w:rPr>
          <w:rFonts w:hint="eastAsia" w:ascii="仿宋_GB2312" w:hAnsi="仿宋_GB2312" w:eastAsia="仿宋_GB2312" w:cs="仿宋_GB2312"/>
          <w:spacing w:val="7"/>
          <w:sz w:val="32"/>
          <w:szCs w:val="32"/>
          <w:lang w:val="en-US" w:eastAsia="zh-CN"/>
        </w:rPr>
        <w:t>⑥全域旅游引领产业协同升级路径。实施完成“精城优镇·美村靓户”项目70个，马尔康、汶川等地掀起城市更新和适旅化改造高潮，唐克镇总投资3.93亿元系统推进16个“精城优镇”建设项目，映秀镇汶川天地映秀培训中心接待研学游客1.8万人次、实现营收682万元，四姑娘山镇384家住宿场所、超1.6万张床位构建“住宿即体验”文旅场景，芦花镇德石窝村超200名村民转型为高山向导，旺季人均月收入可达7000-8000元，被授予 “四川省高山向导第一村”称号。1-11月，全州规上文化和娱乐业企业实现营业收入29265.4万元、同比增长38.5%。大九旅链主企业实现营业收入12.16亿元、同比增长15.48%，涉旅招商引资签约项目17个、投资总额17.554亿元。城乡景地一体适旅化改造全面提速，全域旅游实现产业振兴、服务跃升、消费扩容、民生改善的同频共振。</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640" w:leftChars="0"/>
        <w:contextualSpacing/>
        <w:jc w:val="left"/>
        <w:textAlignment w:val="auto"/>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kern w:val="0"/>
          <w:sz w:val="32"/>
          <w:szCs w:val="32"/>
          <w:shd w:val="clear" w:color="auto" w:fill="FFFFFF"/>
          <w:lang w:val="zh-CN"/>
        </w:rPr>
        <w:t>（三）</w:t>
      </w:r>
      <w:r>
        <w:rPr>
          <w:rFonts w:hint="eastAsia" w:ascii="仿宋_GB2312" w:hAnsi="仿宋_GB2312" w:eastAsia="仿宋_GB2312" w:cs="仿宋_GB2312"/>
          <w:b/>
          <w:color w:val="000000" w:themeColor="text1"/>
          <w:sz w:val="32"/>
          <w:szCs w:val="32"/>
          <w14:textFill>
            <w14:solidFill>
              <w14:schemeClr w14:val="tx1"/>
            </w14:solidFill>
          </w14:textFill>
        </w:rPr>
        <w:t>结余分配和结转结余情况</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color w:val="FF0000"/>
          <w:kern w:val="0"/>
          <w:sz w:val="32"/>
          <w:szCs w:val="32"/>
          <w:shd w:val="clear" w:color="auto" w:fill="FFFFFF"/>
          <w:lang w:val="zh-CN"/>
        </w:rPr>
      </w:pPr>
      <w:r>
        <w:rPr>
          <w:rFonts w:hint="eastAsia" w:ascii="仿宋_GB2312" w:hAnsi="仿宋_GB2312" w:eastAsia="仿宋_GB2312" w:cs="仿宋_GB2312"/>
          <w:spacing w:val="7"/>
          <w:sz w:val="32"/>
          <w:szCs w:val="32"/>
          <w:lang w:val="en-US" w:eastAsia="zh-CN"/>
        </w:rPr>
        <w:t>2025年决算报表结转结余573.61万元，为非财政拨款项目资金。</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eastAsia="黑体"/>
          <w:color w:val="000000" w:themeColor="text1"/>
          <w:kern w:val="0"/>
          <w:sz w:val="32"/>
          <w:szCs w:val="32"/>
          <w:shd w:val="clear" w:color="auto" w:fill="FFFFFF"/>
          <w14:textFill>
            <w14:solidFill>
              <w14:schemeClr w14:val="tx1"/>
            </w14:solidFill>
          </w14:textFill>
        </w:rPr>
      </w:pPr>
      <w:r>
        <w:rPr>
          <w:rFonts w:eastAsia="黑体"/>
          <w:color w:val="000000"/>
          <w:kern w:val="0"/>
          <w:sz w:val="32"/>
          <w:szCs w:val="32"/>
          <w:shd w:val="clear" w:color="auto" w:fill="FFFFFF"/>
        </w:rPr>
        <w:t>三、部门预算绩效分析</w:t>
      </w:r>
    </w:p>
    <w:p>
      <w:pPr>
        <w:keepNext w:val="0"/>
        <w:keepLines w:val="0"/>
        <w:pageBreakBefore w:val="0"/>
        <w:kinsoku/>
        <w:wordWrap/>
        <w:overflowPunct/>
        <w:topLinePunct w:val="0"/>
        <w:autoSpaceDE/>
        <w:autoSpaceDN/>
        <w:bidi w:val="0"/>
        <w:adjustRightInd w:val="0"/>
        <w:snapToGrid w:val="0"/>
        <w:spacing w:line="560" w:lineRule="exact"/>
        <w:ind w:firstLine="643" w:firstLineChars="200"/>
        <w:contextualSpacing/>
        <w:jc w:val="left"/>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（一）部门预算总体绩效分析。</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zh-CN" w:eastAsia="zh-CN"/>
        </w:rPr>
      </w:pPr>
      <w:r>
        <w:rPr>
          <w:rFonts w:hint="eastAsia" w:ascii="仿宋_GB2312" w:hAnsi="仿宋_GB2312" w:eastAsia="仿宋_GB2312" w:cs="仿宋_GB2312"/>
          <w:spacing w:val="7"/>
          <w:sz w:val="32"/>
          <w:szCs w:val="32"/>
          <w:lang w:val="zh-CN" w:eastAsia="zh-CN"/>
        </w:rPr>
        <w:t>根据部门预算绩效评价指标体系“总体绩效”涉及二、三级指标进行逐项绩效分析并评分，依次包括履职效能、预算管理、财务管理、资产管理、采购管理等情况。</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color w:val="000000" w:themeColor="text1"/>
          <w:spacing w:val="7"/>
          <w:sz w:val="32"/>
          <w:szCs w:val="32"/>
          <w:lang w:val="en-US" w:eastAsia="zh-CN"/>
          <w14:textFill>
            <w14:solidFill>
              <w14:schemeClr w14:val="tx1"/>
            </w14:solidFill>
          </w14:textFill>
        </w:rPr>
        <w:t>目标1：全年实现游客接待量及旅游收入</w:t>
      </w:r>
      <w:r>
        <w:rPr>
          <w:rFonts w:hint="eastAsia" w:ascii="仿宋_GB2312" w:hAnsi="仿宋_GB2312" w:eastAsia="仿宋_GB2312" w:cs="仿宋_GB2312"/>
          <w:spacing w:val="7"/>
          <w:sz w:val="32"/>
          <w:szCs w:val="32"/>
          <w:lang w:val="en-US" w:eastAsia="zh-CN"/>
        </w:rPr>
        <w:t>。全州A级景区接待游客4549.6万人次、同比增长21.34%，占全省A级景区接待人次的5.47%。收费A级景区接待1957.85万人次、门票收入15.74亿元，同比分别增长21.63%和22.68%，二次业态消费收入16.94亿元、占比51.84%。四大景区共接待游客1368.42万人次、门票收入13.14亿元，同比分别增长14.98%和21.15%。全州门票收入占全省门票收入的25.16%。九寨沟接待游客744.24万人次、同比增长27%，相比去年同期净增超160万人，为开园以来历史首次。黄龙接待420万人次、连续3年创新突破，四姑娘山连续3年突破250万人次。达古冰川4860咖啡屋优化升级成为热门打卡地、仅3个月实现营收170万元，四姑娘山开通“秘境寻踪”等三大主题特色航线，漫泽塘引入热气球项目，“川超”带动赛事经济消费超1500万元，“大美文创”销售额突破400万元。“天下九寨沟·大美阿坝州”全国行走进北上广，首个海外文旅推广中心在曼谷挂牌，吸引300余家境外旅行商进州考察，拓展入境客源国至20余个。核心旅游产品集群形成强大市场吸引力，业态创新系统性地拓展文旅消费维度，形成“引进来”与“走出去”双向奔赴的文旅市场强磁场。</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color w:val="000000" w:themeColor="text1"/>
          <w:spacing w:val="7"/>
          <w:sz w:val="32"/>
          <w:szCs w:val="32"/>
          <w:lang w:val="en-US" w:eastAsia="zh-CN"/>
          <w14:textFill>
            <w14:solidFill>
              <w14:schemeClr w14:val="tx1"/>
            </w14:solidFill>
          </w14:textFill>
        </w:rPr>
        <w:t>目标2：</w:t>
      </w:r>
      <w:r>
        <w:rPr>
          <w:rFonts w:hint="eastAsia" w:ascii="仿宋_GB2312" w:hAnsi="仿宋_GB2312" w:eastAsia="仿宋_GB2312" w:cs="仿宋_GB2312"/>
          <w:spacing w:val="7"/>
          <w:sz w:val="32"/>
          <w:szCs w:val="32"/>
          <w:lang w:val="en-US" w:eastAsia="zh-CN"/>
        </w:rPr>
        <w:t>运动旅游谱写高原户外活力篇章，阿尔沟登山游客突破10万人次，三奥雪山4月开山以来接待游客10.9万人次、直接经济收入4854.36万元，红原“骑着骏马游草原”系列产品接待游客22万人次、实现旅游收入2.185亿元，若尔盖全国首个高高原低空载客航线完成历史性首飞，安全飞行258架次、实现营收40万元，牟尼沟漂流景区运营仅1个月实现营收156万元，2024-2025雪季全州滑雪场接待游客35.8万人次、同比增长70.4%，直接带动旅游收入3.2亿元，接待登山徒步游客50余万人次、实现营收4.5亿余元。多业态、全季节、全龄段户外产品和产业体系日益健全，体旅融合经济引擎作用强劲，“户外运动第一山”品牌形象深入人心。</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color w:val="000000" w:themeColor="text1"/>
          <w:spacing w:val="7"/>
          <w:sz w:val="32"/>
          <w:szCs w:val="32"/>
          <w:lang w:val="en-US" w:eastAsia="zh-CN"/>
          <w14:textFill>
            <w14:solidFill>
              <w14:schemeClr w14:val="tx1"/>
            </w14:solidFill>
          </w14:textFill>
        </w:rPr>
        <w:t>目标3：全州新增文体娱、旅游服务型规上企业。</w:t>
      </w:r>
      <w:r>
        <w:rPr>
          <w:rFonts w:hint="eastAsia" w:ascii="仿宋_GB2312" w:hAnsi="仿宋_GB2312" w:eastAsia="仿宋_GB2312" w:cs="仿宋_GB2312"/>
          <w:spacing w:val="7"/>
          <w:sz w:val="32"/>
          <w:szCs w:val="32"/>
          <w:lang w:val="en-US" w:eastAsia="zh-CN"/>
        </w:rPr>
        <w:t xml:space="preserve">深化全民好客行动，组织好客系列大讲堂、涉旅服务专题讨论，覆盖从业人员线下3200人次，开展行业培训竞赛52场、覆盖4643人次。新增规上文体娱乐业企业7家，新引进注册旅行社16家。“一部手机游阿坝”上线运营，签约涉旅机构4000余家，交易总人次502.14万、交易额7.73亿元。开展“清雷”“净旅”等专项整治，检查旅游团队2004个、导游1982人次、立案办结80起，受理消费诉求11032件，为消费者挽回经济损失275.71万元。“信用阿坝”小程序优化上线，完成1026户涉旅经营主体信用建档评级、累计授信1.49亿元。市场整治与执法监管创新举措两次受邀在文旅部召开的会议上交流发言，形成具有示范效应的文旅市场治理阿坝模式。    </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color w:val="000000" w:themeColor="text1"/>
          <w:spacing w:val="7"/>
          <w:sz w:val="32"/>
          <w:szCs w:val="32"/>
          <w:lang w:val="en-US" w:eastAsia="zh-CN"/>
          <w14:textFill>
            <w14:solidFill>
              <w14:schemeClr w14:val="tx1"/>
            </w14:solidFill>
          </w14:textFill>
        </w:rPr>
        <w:t>目标4：文旅服务水平提升及文旅市场投诉处置。</w:t>
      </w:r>
      <w:r>
        <w:rPr>
          <w:rFonts w:hint="eastAsia" w:ascii="仿宋_GB2312" w:hAnsi="仿宋_GB2312" w:eastAsia="仿宋_GB2312" w:cs="仿宋_GB2312"/>
          <w:spacing w:val="7"/>
          <w:sz w:val="32"/>
          <w:szCs w:val="32"/>
          <w:lang w:val="en-US" w:eastAsia="zh-CN"/>
        </w:rPr>
        <w:t xml:space="preserve">营造安心暖心全域服务生态，深化全民好客行动，组织好客系列大讲堂、涉旅服务专题讨论，覆盖从业人员线下3200人次，开展行业培训竞赛52场、覆盖4643人次。新增规上文体娱乐业企业7家，新引进注册旅行社16家。“一部手机游阿坝”上线运营，签约涉旅机构4000余家，交易总人次502.14万、交易额7.73亿元。开展“清雷”“净旅”等专项整治，检查旅游团队2004个、导游1982人次、立案办结80起，受理消费诉求11032件，为消费者挽回经济损失275.71万元。“信用阿坝”小程序优化上线，完成1026户涉旅经营主体信用建档评级、累计授信1.49亿元。市场整治与执法监管创新举措两次受邀在文旅部召开的会议上交流发言，形成具有示范效应的文旅市场治理阿坝模式。    </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7"/>
          <w:sz w:val="32"/>
          <w:szCs w:val="32"/>
          <w:lang w:val="en-US" w:eastAsia="zh-CN"/>
        </w:rPr>
        <w:t>2.</w:t>
      </w:r>
      <w:r>
        <w:rPr>
          <w:rFonts w:hint="eastAsia" w:ascii="仿宋_GB2312" w:hAnsi="仿宋_GB2312" w:eastAsia="仿宋_GB2312" w:cs="仿宋_GB2312"/>
          <w:spacing w:val="7"/>
          <w:sz w:val="32"/>
          <w:szCs w:val="32"/>
          <w:lang w:val="zh-CN" w:eastAsia="zh-CN"/>
        </w:rPr>
        <w:t>预算管理。</w:t>
      </w:r>
      <w:r>
        <w:rPr>
          <w:rFonts w:hint="eastAsia" w:ascii="仿宋_GB2312" w:hAnsi="仿宋_GB2312" w:eastAsia="仿宋_GB2312" w:cs="仿宋_GB2312"/>
          <w:spacing w:val="7"/>
          <w:sz w:val="32"/>
          <w:szCs w:val="32"/>
          <w:lang w:val="en-US" w:eastAsia="zh-CN"/>
        </w:rPr>
        <w:t>2025年我部门严格按照预算管理相关规定对资金支付纳入预算范围，根据《预算法实施条例》《阿坝州财政局关于编制州级部门2025-2027年支出规划和2025年部门预算的通知》（阿州财预[2024]24号）要求，编制了2025年部门预算，并设立了部门绩效总体目标。不存在无预算、超预算、超标准列支经费。因部门无预算外固定收入，故无单位收入预算。支出进度严格按照项目进度拨付款项，保障了预算资金安全。年度资金无结转结余金额。严格按照局机关印发《过紧日子的具体措施》，有效控制一般性支出。</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7"/>
          <w:sz w:val="32"/>
          <w:szCs w:val="32"/>
          <w:lang w:val="en-US" w:eastAsia="zh-CN"/>
        </w:rPr>
        <w:t>3.</w:t>
      </w:r>
      <w:r>
        <w:rPr>
          <w:rFonts w:hint="eastAsia" w:ascii="仿宋_GB2312" w:hAnsi="仿宋_GB2312" w:eastAsia="仿宋_GB2312" w:cs="仿宋_GB2312"/>
          <w:spacing w:val="7"/>
          <w:sz w:val="32"/>
          <w:szCs w:val="32"/>
          <w:lang w:val="zh-CN" w:eastAsia="zh-CN"/>
        </w:rPr>
        <w:t>财务管理。</w:t>
      </w:r>
      <w:r>
        <w:rPr>
          <w:rFonts w:hint="eastAsia" w:ascii="仿宋_GB2312" w:hAnsi="仿宋_GB2312" w:eastAsia="仿宋_GB2312" w:cs="仿宋_GB2312"/>
          <w:spacing w:val="7"/>
          <w:sz w:val="32"/>
          <w:szCs w:val="32"/>
          <w:lang w:val="en-US" w:eastAsia="zh-CN"/>
        </w:rPr>
        <w:t>为有效提高财务管理，局机关制定了《财务管理制度》《政府采购内控管理制度》《独立核算直属事业单位财务管理办法》《推进项目资金进度方案》《过紧日子的具体措施》《大额资金管理办法》等财务制度，有效规范了部门财务管理。在财务人员岗位设置上，严格执行不相容岗位相分离等规定，合理设置财务人员权限，并对长期从事财务工作人员进行不定期轮岗，有效实现了财务管理高效运转，有力保障了资金使用规范。</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7"/>
          <w:sz w:val="32"/>
          <w:szCs w:val="32"/>
          <w:lang w:val="en-US" w:eastAsia="zh-CN"/>
        </w:rPr>
        <w:t>4.</w:t>
      </w:r>
      <w:r>
        <w:rPr>
          <w:rFonts w:hint="eastAsia" w:ascii="仿宋_GB2312" w:hAnsi="仿宋_GB2312" w:eastAsia="仿宋_GB2312" w:cs="仿宋_GB2312"/>
          <w:spacing w:val="7"/>
          <w:sz w:val="32"/>
          <w:szCs w:val="32"/>
          <w:lang w:val="zh-CN" w:eastAsia="zh-CN"/>
        </w:rPr>
        <w:t>资产管理。</w:t>
      </w:r>
      <w:r>
        <w:rPr>
          <w:rFonts w:hint="eastAsia" w:ascii="仿宋_GB2312" w:hAnsi="仿宋_GB2312" w:eastAsia="仿宋_GB2312" w:cs="仿宋_GB2312"/>
          <w:spacing w:val="7"/>
          <w:sz w:val="32"/>
          <w:szCs w:val="32"/>
          <w:lang w:val="en-US" w:eastAsia="zh-CN"/>
        </w:rPr>
        <w:t>根据《行政单位国有资产管理暂行办法》（财政部令第35号）《事业单位国有资产管理暂行办法》（财政部令第36号）和《行政事业单位国有资产报告制度》等有关规定对单位资产进行配置、使用等管理。新购置、划转资产及时录入资产管理系统，资产处置和划转的按时下账；按时计提固定资产折旧费用和无形资产摊销费用。资产管理系统和会计核算系统做到账账相符、账表相符、账实相符。资产利用率：100%。</w:t>
      </w:r>
    </w:p>
    <w:p>
      <w:pPr>
        <w:keepNext w:val="0"/>
        <w:keepLines w:val="0"/>
        <w:pageBreakBefore w:val="0"/>
        <w:widowControl/>
        <w:kinsoku/>
        <w:wordWrap/>
        <w:overflowPunct/>
        <w:topLinePunct w:val="0"/>
        <w:autoSpaceDE/>
        <w:autoSpaceDN/>
        <w:bidi w:val="0"/>
        <w:adjustRightInd w:val="0"/>
        <w:snapToGrid w:val="0"/>
        <w:spacing w:line="560" w:lineRule="exact"/>
        <w:ind w:firstLine="668" w:firstLineChars="200"/>
        <w:contextualSpacing/>
        <w:jc w:val="left"/>
        <w:textAlignment w:val="auto"/>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7"/>
          <w:sz w:val="32"/>
          <w:szCs w:val="32"/>
          <w:lang w:val="en-US" w:eastAsia="zh-CN"/>
        </w:rPr>
        <w:t>5.</w:t>
      </w:r>
      <w:r>
        <w:rPr>
          <w:rFonts w:hint="eastAsia" w:ascii="仿宋_GB2312" w:hAnsi="仿宋_GB2312" w:eastAsia="仿宋_GB2312" w:cs="仿宋_GB2312"/>
          <w:spacing w:val="7"/>
          <w:sz w:val="32"/>
          <w:szCs w:val="32"/>
          <w:lang w:val="zh-CN" w:eastAsia="zh-CN"/>
        </w:rPr>
        <w:t>采购管理。</w:t>
      </w:r>
      <w:r>
        <w:rPr>
          <w:rFonts w:hint="eastAsia" w:ascii="仿宋_GB2312" w:hAnsi="仿宋_GB2312" w:eastAsia="仿宋_GB2312" w:cs="仿宋_GB2312"/>
          <w:spacing w:val="7"/>
          <w:sz w:val="32"/>
          <w:szCs w:val="32"/>
          <w:lang w:val="en-US" w:eastAsia="zh-CN"/>
        </w:rPr>
        <w:t>2025年我部门在财政局等部门的领导下，积极支持中小企业发展，在政府采购活动中，能让中小企业参与的采购的项目一律为中小企业打开竞争通道，为中小企业能够积极参与采购提供了机会。采购执行率上，我部门严格按照采购合同进度约定进行资金支付，有效保障了政府采购资金支付合规性。</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（二）部门预算项目绩效分析。</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val="zh-CN"/>
        </w:rPr>
        <w:t>填报以下数据，并根据部门预算绩效评价指标体系“项目绩效”涉及二、三级指标进行逐项绩效分析并评分，依次包括项目</w:t>
      </w:r>
      <w:r>
        <w:rPr>
          <w:rFonts w:hint="eastAsia" w:ascii="仿宋_GB2312" w:hAnsi="仿宋_GB2312" w:eastAsia="仿宋_GB2312" w:cs="仿宋_GB2312"/>
          <w:color w:val="000000"/>
          <w:kern w:val="0"/>
          <w:sz w:val="32"/>
          <w:szCs w:val="32"/>
          <w:shd w:val="clear" w:color="auto" w:fill="FFFFFF"/>
        </w:rPr>
        <w:t>决策、项目执行、目标实现等情况。</w:t>
      </w:r>
    </w:p>
    <w:p>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color w:val="000000" w:themeColor="text1"/>
          <w:kern w:val="0"/>
          <w:sz w:val="32"/>
          <w:szCs w:val="32"/>
          <w:shd w:val="clear" w:color="auto" w:fill="FFFFFF"/>
          <w:lang w:val="zh-CN"/>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常年项目绩效分析。</w:t>
      </w:r>
      <w:r>
        <w:rPr>
          <w:rFonts w:hint="eastAsia" w:ascii="仿宋_GB2312" w:hAnsi="仿宋_GB2312" w:eastAsia="仿宋_GB2312" w:cs="仿宋_GB2312"/>
          <w:color w:val="000000" w:themeColor="text1"/>
          <w:kern w:val="0"/>
          <w:sz w:val="32"/>
          <w:szCs w:val="32"/>
          <w:shd w:val="clear" w:color="auto" w:fill="FFFFFF"/>
          <w:lang w:val="zh-CN"/>
          <w14:textFill>
            <w14:solidFill>
              <w14:schemeClr w14:val="tx1"/>
            </w14:solidFill>
          </w14:textFill>
        </w:rPr>
        <w:t>该类项目总数</w:t>
      </w:r>
      <w:r>
        <w:rPr>
          <w:rFonts w:hint="eastAsia" w:ascii="仿宋_GB2312" w:hAnsi="仿宋_GB2312" w:eastAsia="仿宋_GB2312" w:cs="仿宋_GB2312"/>
          <w:color w:val="000000" w:themeColor="text1"/>
          <w:kern w:val="0"/>
          <w:sz w:val="32"/>
          <w:szCs w:val="32"/>
          <w:shd w:val="clear" w:color="auto" w:fill="FFFFFF"/>
          <w:lang w:val="en-US" w:eastAsia="zh-CN"/>
          <w14:textFill>
            <w14:solidFill>
              <w14:schemeClr w14:val="tx1"/>
            </w14:solidFill>
          </w14:textFill>
        </w:rPr>
        <w:t>31</w:t>
      </w:r>
      <w:r>
        <w:rPr>
          <w:rFonts w:hint="eastAsia" w:ascii="仿宋_GB2312" w:hAnsi="仿宋_GB2312" w:eastAsia="仿宋_GB2312" w:cs="仿宋_GB2312"/>
          <w:color w:val="000000" w:themeColor="text1"/>
          <w:kern w:val="0"/>
          <w:sz w:val="32"/>
          <w:szCs w:val="32"/>
          <w:shd w:val="clear" w:color="auto" w:fill="FFFFFF"/>
          <w:lang w:val="zh-CN"/>
          <w14:textFill>
            <w14:solidFill>
              <w14:schemeClr w14:val="tx1"/>
            </w14:solidFill>
          </w14:textFill>
        </w:rPr>
        <w:t>个，涉及预算总金额</w:t>
      </w:r>
      <w:r>
        <w:rPr>
          <w:rFonts w:hint="eastAsia" w:ascii="仿宋_GB2312" w:hAnsi="仿宋_GB2312" w:eastAsia="仿宋_GB2312" w:cs="仿宋_GB2312"/>
          <w:color w:val="000000" w:themeColor="text1"/>
          <w:kern w:val="0"/>
          <w:sz w:val="32"/>
          <w:szCs w:val="32"/>
          <w:shd w:val="clear" w:color="auto" w:fill="FFFFFF"/>
          <w:lang w:val="en-US" w:eastAsia="zh-CN"/>
          <w14:textFill>
            <w14:solidFill>
              <w14:schemeClr w14:val="tx1"/>
            </w14:solidFill>
          </w14:textFill>
        </w:rPr>
        <w:t>1839.79</w:t>
      </w:r>
      <w:r>
        <w:rPr>
          <w:rFonts w:hint="eastAsia" w:ascii="仿宋_GB2312" w:hAnsi="仿宋_GB2312" w:eastAsia="仿宋_GB2312" w:cs="仿宋_GB2312"/>
          <w:color w:val="000000" w:themeColor="text1"/>
          <w:kern w:val="0"/>
          <w:sz w:val="32"/>
          <w:szCs w:val="32"/>
          <w:shd w:val="clear" w:color="auto" w:fill="FFFFFF"/>
          <w:lang w:val="zh-CN"/>
          <w14:textFill>
            <w14:solidFill>
              <w14:schemeClr w14:val="tx1"/>
            </w14:solidFill>
          </w14:textFill>
        </w:rPr>
        <w:t>万元，1—1</w:t>
      </w: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2</w:t>
      </w:r>
      <w:r>
        <w:rPr>
          <w:rFonts w:hint="eastAsia" w:ascii="仿宋_GB2312" w:hAnsi="仿宋_GB2312" w:eastAsia="仿宋_GB2312" w:cs="仿宋_GB2312"/>
          <w:color w:val="000000" w:themeColor="text1"/>
          <w:kern w:val="0"/>
          <w:sz w:val="32"/>
          <w:szCs w:val="32"/>
          <w:shd w:val="clear" w:color="auto" w:fill="FFFFFF"/>
          <w:lang w:val="zh-CN"/>
          <w14:textFill>
            <w14:solidFill>
              <w14:schemeClr w14:val="tx1"/>
            </w14:solidFill>
          </w14:textFill>
        </w:rPr>
        <w:t>月预算执行总体进度为</w:t>
      </w:r>
      <w:r>
        <w:rPr>
          <w:rFonts w:hint="eastAsia" w:ascii="仿宋_GB2312" w:hAnsi="仿宋_GB2312" w:eastAsia="仿宋_GB2312" w:cs="仿宋_GB2312"/>
          <w:color w:val="000000" w:themeColor="text1"/>
          <w:kern w:val="0"/>
          <w:sz w:val="32"/>
          <w:szCs w:val="32"/>
          <w:shd w:val="clear" w:color="auto" w:fill="FFFFFF"/>
          <w:lang w:val="en-US" w:eastAsia="zh-CN"/>
          <w14:textFill>
            <w14:solidFill>
              <w14:schemeClr w14:val="tx1"/>
            </w14:solidFill>
          </w14:textFill>
        </w:rPr>
        <w:t>97.36</w:t>
      </w:r>
      <w:r>
        <w:rPr>
          <w:rFonts w:hint="eastAsia" w:ascii="仿宋_GB2312" w:hAnsi="仿宋_GB2312" w:eastAsia="仿宋_GB2312" w:cs="仿宋_GB2312"/>
          <w:color w:val="000000" w:themeColor="text1"/>
          <w:kern w:val="0"/>
          <w:sz w:val="32"/>
          <w:szCs w:val="32"/>
          <w:shd w:val="clear" w:color="auto" w:fill="FFFFFF"/>
          <w:lang w:val="zh-CN"/>
          <w14:textFill>
            <w14:solidFill>
              <w14:schemeClr w14:val="tx1"/>
            </w14:solidFill>
          </w14:textFill>
        </w:rPr>
        <w:t>%，其中：预算结余率大于</w:t>
      </w: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10%</w:t>
      </w:r>
      <w:r>
        <w:rPr>
          <w:rFonts w:hint="eastAsia" w:ascii="仿宋_GB2312" w:hAnsi="仿宋_GB2312" w:eastAsia="仿宋_GB2312" w:cs="仿宋_GB2312"/>
          <w:color w:val="000000" w:themeColor="text1"/>
          <w:kern w:val="0"/>
          <w:sz w:val="32"/>
          <w:szCs w:val="32"/>
          <w:shd w:val="clear" w:color="auto" w:fill="FFFFFF"/>
          <w:lang w:val="zh-CN"/>
          <w14:textFill>
            <w14:solidFill>
              <w14:schemeClr w14:val="tx1"/>
            </w14:solidFill>
          </w14:textFill>
        </w:rPr>
        <w:t>的项目共计</w:t>
      </w:r>
      <w:r>
        <w:rPr>
          <w:rFonts w:hint="eastAsia" w:ascii="仿宋_GB2312" w:hAnsi="仿宋_GB2312" w:eastAsia="仿宋_GB2312" w:cs="仿宋_GB2312"/>
          <w:color w:val="000000" w:themeColor="text1"/>
          <w:kern w:val="0"/>
          <w:sz w:val="32"/>
          <w:szCs w:val="32"/>
          <w:shd w:val="clear" w:color="auto" w:fill="FFFFFF"/>
          <w:lang w:val="en-US" w:eastAsia="zh-CN"/>
          <w14:textFill>
            <w14:solidFill>
              <w14:schemeClr w14:val="tx1"/>
            </w14:solidFill>
          </w14:textFill>
        </w:rPr>
        <w:t>0</w:t>
      </w:r>
      <w:r>
        <w:rPr>
          <w:rFonts w:hint="eastAsia" w:ascii="仿宋_GB2312" w:hAnsi="仿宋_GB2312" w:eastAsia="仿宋_GB2312" w:cs="仿宋_GB2312"/>
          <w:color w:val="000000" w:themeColor="text1"/>
          <w:kern w:val="0"/>
          <w:sz w:val="32"/>
          <w:szCs w:val="32"/>
          <w:shd w:val="clear" w:color="auto" w:fill="FFFFFF"/>
          <w:lang w:val="zh-CN"/>
          <w14:textFill>
            <w14:solidFill>
              <w14:schemeClr w14:val="tx1"/>
            </w14:solidFill>
          </w14:textFill>
        </w:rPr>
        <w:t>个。</w:t>
      </w:r>
    </w:p>
    <w:p>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color w:val="000000" w:themeColor="text1"/>
          <w:kern w:val="0"/>
          <w:sz w:val="32"/>
          <w:szCs w:val="32"/>
          <w:shd w:val="clear" w:color="auto" w:fill="FFFFFF"/>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阶段（含一次性）项目绩效分析。</w:t>
      </w:r>
      <w:r>
        <w:rPr>
          <w:rFonts w:hint="eastAsia" w:ascii="仿宋_GB2312" w:hAnsi="仿宋_GB2312" w:eastAsia="仿宋_GB2312" w:cs="仿宋_GB2312"/>
          <w:color w:val="000000" w:themeColor="text1"/>
          <w:kern w:val="0"/>
          <w:sz w:val="32"/>
          <w:szCs w:val="32"/>
          <w:shd w:val="clear" w:color="auto" w:fill="FFFFFF"/>
          <w:lang w:val="zh-CN"/>
          <w14:textFill>
            <w14:solidFill>
              <w14:schemeClr w14:val="tx1"/>
            </w14:solidFill>
          </w14:textFill>
        </w:rPr>
        <w:t>该类项目总</w:t>
      </w:r>
      <w:r>
        <w:rPr>
          <w:rFonts w:hint="eastAsia" w:ascii="仿宋_GB2312" w:hAnsi="仿宋_GB2312" w:eastAsia="仿宋_GB2312" w:cs="仿宋_GB2312"/>
          <w:color w:val="000000" w:themeColor="text1"/>
          <w:kern w:val="0"/>
          <w:sz w:val="32"/>
          <w:szCs w:val="32"/>
          <w:shd w:val="clear" w:color="auto" w:fill="FFFFFF"/>
          <w:lang w:val="en-US" w:eastAsia="zh-CN"/>
          <w14:textFill>
            <w14:solidFill>
              <w14:schemeClr w14:val="tx1"/>
            </w14:solidFill>
          </w14:textFill>
        </w:rPr>
        <w:t>108</w:t>
      </w:r>
      <w:r>
        <w:rPr>
          <w:rFonts w:hint="eastAsia" w:ascii="仿宋_GB2312" w:hAnsi="仿宋_GB2312" w:eastAsia="仿宋_GB2312" w:cs="仿宋_GB2312"/>
          <w:color w:val="000000" w:themeColor="text1"/>
          <w:kern w:val="0"/>
          <w:sz w:val="32"/>
          <w:szCs w:val="32"/>
          <w:shd w:val="clear" w:color="auto" w:fill="FFFFFF"/>
          <w:lang w:val="zh-CN"/>
          <w14:textFill>
            <w14:solidFill>
              <w14:schemeClr w14:val="tx1"/>
            </w14:solidFill>
          </w14:textFill>
        </w:rPr>
        <w:t>个，涉及预算总金额</w:t>
      </w:r>
      <w:r>
        <w:rPr>
          <w:rFonts w:hint="eastAsia" w:ascii="仿宋_GB2312" w:hAnsi="仿宋_GB2312" w:eastAsia="仿宋_GB2312" w:cs="仿宋_GB2312"/>
          <w:color w:val="000000" w:themeColor="text1"/>
          <w:kern w:val="0"/>
          <w:sz w:val="32"/>
          <w:szCs w:val="32"/>
          <w:shd w:val="clear" w:color="auto" w:fill="FFFFFF"/>
          <w:lang w:val="en-US" w:eastAsia="zh-CN"/>
          <w14:textFill>
            <w14:solidFill>
              <w14:schemeClr w14:val="tx1"/>
            </w14:solidFill>
          </w14:textFill>
        </w:rPr>
        <w:t>5863.05</w:t>
      </w:r>
      <w:r>
        <w:rPr>
          <w:rFonts w:hint="eastAsia" w:ascii="仿宋_GB2312" w:hAnsi="仿宋_GB2312" w:eastAsia="仿宋_GB2312" w:cs="仿宋_GB2312"/>
          <w:color w:val="000000" w:themeColor="text1"/>
          <w:kern w:val="0"/>
          <w:sz w:val="32"/>
          <w:szCs w:val="32"/>
          <w:shd w:val="clear" w:color="auto" w:fill="FFFFFF"/>
          <w:lang w:val="zh-CN"/>
          <w14:textFill>
            <w14:solidFill>
              <w14:schemeClr w14:val="tx1"/>
            </w14:solidFill>
          </w14:textFill>
        </w:rPr>
        <w:t>万元，1—1</w:t>
      </w: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2</w:t>
      </w:r>
      <w:r>
        <w:rPr>
          <w:rFonts w:hint="eastAsia" w:ascii="仿宋_GB2312" w:hAnsi="仿宋_GB2312" w:eastAsia="仿宋_GB2312" w:cs="仿宋_GB2312"/>
          <w:color w:val="000000" w:themeColor="text1"/>
          <w:kern w:val="0"/>
          <w:sz w:val="32"/>
          <w:szCs w:val="32"/>
          <w:shd w:val="clear" w:color="auto" w:fill="FFFFFF"/>
          <w:lang w:val="zh-CN"/>
          <w14:textFill>
            <w14:solidFill>
              <w14:schemeClr w14:val="tx1"/>
            </w14:solidFill>
          </w14:textFill>
        </w:rPr>
        <w:t>月预算执行总体进度为</w:t>
      </w:r>
      <w:r>
        <w:rPr>
          <w:rFonts w:hint="eastAsia" w:ascii="仿宋_GB2312" w:hAnsi="仿宋_GB2312" w:eastAsia="仿宋_GB2312" w:cs="仿宋_GB2312"/>
          <w:color w:val="000000" w:themeColor="text1"/>
          <w:kern w:val="0"/>
          <w:sz w:val="32"/>
          <w:szCs w:val="32"/>
          <w:shd w:val="clear" w:color="auto" w:fill="FFFFFF"/>
          <w:lang w:val="en-US" w:eastAsia="zh-CN"/>
          <w14:textFill>
            <w14:solidFill>
              <w14:schemeClr w14:val="tx1"/>
            </w14:solidFill>
          </w14:textFill>
        </w:rPr>
        <w:t>97.86</w:t>
      </w:r>
      <w:r>
        <w:rPr>
          <w:rFonts w:hint="eastAsia" w:ascii="仿宋_GB2312" w:hAnsi="仿宋_GB2312" w:eastAsia="仿宋_GB2312" w:cs="仿宋_GB2312"/>
          <w:color w:val="000000" w:themeColor="text1"/>
          <w:kern w:val="0"/>
          <w:sz w:val="32"/>
          <w:szCs w:val="32"/>
          <w:shd w:val="clear" w:color="auto" w:fill="FFFFFF"/>
          <w:lang w:val="zh-CN"/>
          <w14:textFill>
            <w14:solidFill>
              <w14:schemeClr w14:val="tx1"/>
            </w14:solidFill>
          </w14:textFill>
        </w:rPr>
        <w:t>%，其中：预算结余率大于</w:t>
      </w: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10%</w:t>
      </w:r>
      <w:r>
        <w:rPr>
          <w:rFonts w:hint="eastAsia" w:ascii="仿宋_GB2312" w:hAnsi="仿宋_GB2312" w:eastAsia="仿宋_GB2312" w:cs="仿宋_GB2312"/>
          <w:color w:val="000000" w:themeColor="text1"/>
          <w:kern w:val="0"/>
          <w:sz w:val="32"/>
          <w:szCs w:val="32"/>
          <w:shd w:val="clear" w:color="auto" w:fill="FFFFFF"/>
          <w:lang w:val="zh-CN"/>
          <w14:textFill>
            <w14:solidFill>
              <w14:schemeClr w14:val="tx1"/>
            </w14:solidFill>
          </w14:textFill>
        </w:rPr>
        <w:t>的项目共计</w:t>
      </w:r>
      <w:r>
        <w:rPr>
          <w:rFonts w:hint="eastAsia" w:ascii="仿宋_GB2312" w:hAnsi="仿宋_GB2312" w:eastAsia="仿宋_GB2312" w:cs="仿宋_GB2312"/>
          <w:color w:val="000000" w:themeColor="text1"/>
          <w:kern w:val="0"/>
          <w:sz w:val="32"/>
          <w:szCs w:val="32"/>
          <w:shd w:val="clear" w:color="auto" w:fill="FFFFFF"/>
          <w:lang w:val="en-US" w:eastAsia="zh-CN"/>
          <w14:textFill>
            <w14:solidFill>
              <w14:schemeClr w14:val="tx1"/>
            </w14:solidFill>
          </w14:textFill>
        </w:rPr>
        <w:t>13</w:t>
      </w:r>
      <w:r>
        <w:rPr>
          <w:rFonts w:hint="eastAsia" w:ascii="仿宋_GB2312" w:hAnsi="仿宋_GB2312" w:eastAsia="仿宋_GB2312" w:cs="仿宋_GB2312"/>
          <w:color w:val="000000" w:themeColor="text1"/>
          <w:kern w:val="0"/>
          <w:sz w:val="32"/>
          <w:szCs w:val="32"/>
          <w:shd w:val="clear" w:color="auto" w:fill="FFFFFF"/>
          <w:lang w:val="zh-CN"/>
          <w14:textFill>
            <w14:solidFill>
              <w14:schemeClr w14:val="tx1"/>
            </w14:solidFill>
          </w14:textFill>
        </w:rPr>
        <w:t>个。</w:t>
      </w:r>
    </w:p>
    <w:p>
      <w:pPr>
        <w:keepNext w:val="0"/>
        <w:keepLines w:val="0"/>
        <w:pageBreakBefore w:val="0"/>
        <w:kinsoku/>
        <w:wordWrap/>
        <w:overflowPunct/>
        <w:topLinePunct w:val="0"/>
        <w:autoSpaceDE/>
        <w:autoSpaceDN/>
        <w:bidi w:val="0"/>
        <w:spacing w:line="560" w:lineRule="exact"/>
        <w:ind w:left="2" w:right="134" w:firstLine="664"/>
        <w:jc w:val="both"/>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b/>
          <w:bCs/>
          <w:spacing w:val="4"/>
          <w:sz w:val="32"/>
          <w:szCs w:val="32"/>
        </w:rPr>
        <w:t>1.</w:t>
      </w:r>
      <w:r>
        <w:rPr>
          <w:rFonts w:hint="eastAsia" w:ascii="仿宋_GB2312" w:hAnsi="仿宋_GB2312" w:eastAsia="仿宋_GB2312" w:cs="仿宋_GB2312"/>
          <w:b/>
          <w:bCs/>
          <w:spacing w:val="4"/>
          <w:sz w:val="32"/>
          <w:szCs w:val="32"/>
          <w:lang w:val="zh-CN"/>
        </w:rPr>
        <w:t>项目决策。</w:t>
      </w:r>
      <w:r>
        <w:rPr>
          <w:rFonts w:hint="eastAsia" w:ascii="仿宋_GB2312" w:hAnsi="仿宋_GB2312" w:eastAsia="仿宋_GB2312" w:cs="仿宋_GB2312"/>
          <w:spacing w:val="4"/>
          <w:sz w:val="32"/>
          <w:szCs w:val="32"/>
        </w:rPr>
        <w:t>本部门项目在编制预算时，均按照预算绩效管理设立预算绩效总体目标及细化目标，绩效目标设置科学合理，项目申报程序合规，项目及时入库。</w:t>
      </w:r>
    </w:p>
    <w:p>
      <w:pPr>
        <w:keepNext w:val="0"/>
        <w:keepLines w:val="0"/>
        <w:pageBreakBefore w:val="0"/>
        <w:kinsoku/>
        <w:wordWrap/>
        <w:overflowPunct/>
        <w:topLinePunct w:val="0"/>
        <w:autoSpaceDE/>
        <w:autoSpaceDN/>
        <w:bidi w:val="0"/>
        <w:spacing w:line="560" w:lineRule="exact"/>
        <w:ind w:left="2" w:right="134" w:firstLine="664"/>
        <w:jc w:val="both"/>
        <w:textAlignment w:val="auto"/>
        <w:rPr>
          <w:rFonts w:hint="eastAsia" w:ascii="仿宋_GB2312" w:hAnsi="仿宋_GB2312" w:eastAsia="仿宋_GB2312" w:cs="仿宋_GB2312"/>
          <w:color w:val="000000" w:themeColor="text1"/>
          <w:spacing w:val="4"/>
          <w:sz w:val="32"/>
          <w:szCs w:val="32"/>
          <w14:textFill>
            <w14:solidFill>
              <w14:schemeClr w14:val="tx1"/>
            </w14:solidFill>
          </w14:textFill>
        </w:rPr>
      </w:pPr>
      <w:r>
        <w:rPr>
          <w:rFonts w:hint="eastAsia" w:ascii="仿宋_GB2312" w:hAnsi="仿宋_GB2312" w:eastAsia="仿宋_GB2312" w:cs="仿宋_GB2312"/>
          <w:b/>
          <w:bCs/>
          <w:color w:val="000000" w:themeColor="text1"/>
          <w:spacing w:val="4"/>
          <w:sz w:val="32"/>
          <w:szCs w:val="32"/>
          <w14:textFill>
            <w14:solidFill>
              <w14:schemeClr w14:val="tx1"/>
            </w14:solidFill>
          </w14:textFill>
        </w:rPr>
        <w:t>2.项目执行</w:t>
      </w:r>
      <w:r>
        <w:rPr>
          <w:rFonts w:hint="eastAsia" w:ascii="仿宋_GB2312" w:hAnsi="仿宋_GB2312" w:eastAsia="仿宋_GB2312" w:cs="仿宋_GB2312"/>
          <w:b/>
          <w:bCs/>
          <w:color w:val="000000" w:themeColor="text1"/>
          <w:spacing w:val="4"/>
          <w:sz w:val="32"/>
          <w:szCs w:val="32"/>
          <w:lang w:val="zh-CN"/>
          <w14:textFill>
            <w14:solidFill>
              <w14:schemeClr w14:val="tx1"/>
            </w14:solidFill>
          </w14:textFill>
        </w:rPr>
        <w:t>。</w:t>
      </w:r>
      <w:r>
        <w:rPr>
          <w:rFonts w:hint="eastAsia" w:ascii="仿宋_GB2312" w:hAnsi="仿宋_GB2312" w:eastAsia="仿宋_GB2312" w:cs="仿宋_GB2312"/>
          <w:color w:val="000000" w:themeColor="text1"/>
          <w:spacing w:val="4"/>
          <w:sz w:val="32"/>
          <w:szCs w:val="32"/>
          <w14:textFill>
            <w14:solidFill>
              <w14:schemeClr w14:val="tx1"/>
            </w14:solidFill>
          </w14:textFill>
        </w:rPr>
        <w:t xml:space="preserve">本部门预算项目实际支付内容与绩效目标设置方向相符，部门整体预算项目执行 </w:t>
      </w:r>
      <w:r>
        <w:rPr>
          <w:rFonts w:hint="eastAsia" w:ascii="仿宋_GB2312" w:hAnsi="仿宋_GB2312" w:eastAsia="仿宋_GB2312" w:cs="仿宋_GB2312"/>
          <w:color w:val="000000" w:themeColor="text1"/>
          <w:spacing w:val="4"/>
          <w:sz w:val="32"/>
          <w:szCs w:val="32"/>
          <w:lang w:val="en-US" w:eastAsia="zh-CN"/>
          <w14:textFill>
            <w14:solidFill>
              <w14:schemeClr w14:val="tx1"/>
            </w14:solidFill>
          </w14:textFill>
        </w:rPr>
        <w:t>5863.05</w:t>
      </w:r>
      <w:r>
        <w:rPr>
          <w:rFonts w:hint="eastAsia" w:ascii="仿宋_GB2312" w:hAnsi="仿宋_GB2312" w:eastAsia="仿宋_GB2312" w:cs="仿宋_GB2312"/>
          <w:color w:val="000000" w:themeColor="text1"/>
          <w:spacing w:val="4"/>
          <w:sz w:val="32"/>
          <w:szCs w:val="32"/>
          <w14:textFill>
            <w14:solidFill>
              <w14:schemeClr w14:val="tx1"/>
            </w14:solidFill>
          </w14:textFill>
        </w:rPr>
        <w:t xml:space="preserve"> 万元，总体进度达 </w:t>
      </w:r>
      <w:r>
        <w:rPr>
          <w:rFonts w:hint="eastAsia" w:ascii="仿宋_GB2312" w:hAnsi="仿宋_GB2312" w:eastAsia="仿宋_GB2312" w:cs="仿宋_GB2312"/>
          <w:color w:val="000000" w:themeColor="text1"/>
          <w:spacing w:val="4"/>
          <w:sz w:val="32"/>
          <w:szCs w:val="32"/>
          <w:lang w:val="en-US" w:eastAsia="zh-CN"/>
          <w14:textFill>
            <w14:solidFill>
              <w14:schemeClr w14:val="tx1"/>
            </w14:solidFill>
          </w14:textFill>
        </w:rPr>
        <w:t>97.1</w:t>
      </w:r>
      <w:r>
        <w:rPr>
          <w:rFonts w:hint="eastAsia" w:ascii="仿宋_GB2312" w:hAnsi="仿宋_GB2312" w:eastAsia="仿宋_GB2312" w:cs="仿宋_GB2312"/>
          <w:color w:val="000000" w:themeColor="text1"/>
          <w:spacing w:val="4"/>
          <w:sz w:val="32"/>
          <w:szCs w:val="32"/>
          <w14:textFill>
            <w14:solidFill>
              <w14:schemeClr w14:val="tx1"/>
            </w14:solidFill>
          </w14:textFill>
        </w:rPr>
        <w:t>% ，未能达到 100%的主要原因一是因厉行节约等原因部分项目在执行过程中压减支出，项目经费有结余金额。二是部分项目因项目周期原因需要跨年支付。</w:t>
      </w:r>
    </w:p>
    <w:p>
      <w:pPr>
        <w:keepNext w:val="0"/>
        <w:keepLines w:val="0"/>
        <w:pageBreakBefore w:val="0"/>
        <w:kinsoku/>
        <w:wordWrap/>
        <w:overflowPunct/>
        <w:topLinePunct w:val="0"/>
        <w:autoSpaceDE/>
        <w:autoSpaceDN/>
        <w:bidi w:val="0"/>
        <w:spacing w:line="560" w:lineRule="exact"/>
        <w:ind w:left="2" w:right="134" w:firstLine="664"/>
        <w:jc w:val="both"/>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b/>
          <w:bCs/>
          <w:spacing w:val="4"/>
          <w:sz w:val="32"/>
          <w:szCs w:val="32"/>
        </w:rPr>
        <w:t>3.</w:t>
      </w:r>
      <w:r>
        <w:rPr>
          <w:rFonts w:hint="eastAsia" w:ascii="仿宋_GB2312" w:hAnsi="仿宋_GB2312" w:eastAsia="仿宋_GB2312" w:cs="仿宋_GB2312"/>
          <w:b/>
          <w:bCs/>
          <w:spacing w:val="4"/>
          <w:sz w:val="32"/>
          <w:szCs w:val="32"/>
          <w:lang w:val="zh-CN"/>
        </w:rPr>
        <w:t>目标实现。</w:t>
      </w:r>
      <w:r>
        <w:rPr>
          <w:rFonts w:hint="eastAsia" w:ascii="仿宋_GB2312" w:hAnsi="仿宋_GB2312" w:eastAsia="仿宋_GB2312" w:cs="仿宋_GB2312"/>
          <w:spacing w:val="4"/>
          <w:sz w:val="32"/>
          <w:szCs w:val="32"/>
        </w:rPr>
        <w:t>本部门编制的预算项目和预算项目绩效目标数量指标完成率高，预算项目绩效目标数量与实现程度与预期目标的偏离度低，预算项目实施效果较好。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color w:val="000000"/>
          <w:kern w:val="0"/>
          <w:sz w:val="32"/>
          <w:szCs w:val="32"/>
          <w:shd w:val="clear" w:color="auto" w:fill="FFFFFF"/>
          <w:lang w:val="zh-CN" w:eastAsia="zh-CN"/>
        </w:rPr>
      </w:pPr>
      <w:r>
        <w:rPr>
          <w:rFonts w:hint="eastAsia" w:ascii="楷体_GB2312" w:hAnsi="楷体_GB2312" w:eastAsia="楷体_GB2312" w:cs="楷体_GB2312"/>
          <w:b/>
          <w:bCs/>
          <w:color w:val="000000"/>
          <w:kern w:val="0"/>
          <w:sz w:val="32"/>
          <w:szCs w:val="32"/>
          <w:shd w:val="clear" w:color="auto" w:fill="FFFFFF"/>
          <w:lang w:val="zh-CN" w:eastAsia="zh-CN"/>
        </w:rPr>
        <w:t>（三）绩效结果应用情况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shd w:val="clear" w:color="auto" w:fill="FFFFFF"/>
          <w:lang w:val="zh-CN" w:eastAsia="zh-CN"/>
        </w:rPr>
      </w:pPr>
      <w:r>
        <w:rPr>
          <w:rFonts w:hint="eastAsia" w:ascii="仿宋_GB2312" w:hAnsi="仿宋_GB2312" w:eastAsia="仿宋_GB2312" w:cs="仿宋_GB2312"/>
          <w:b w:val="0"/>
          <w:bCs w:val="0"/>
          <w:color w:val="000000"/>
          <w:kern w:val="0"/>
          <w:sz w:val="32"/>
          <w:szCs w:val="32"/>
          <w:shd w:val="clear" w:color="auto" w:fill="FFFFFF"/>
          <w:lang w:val="zh-CN" w:eastAsia="zh-CN"/>
        </w:rPr>
        <w:t>本部门将所有项目纳入绩效运行监控范围，按照要求</w:t>
      </w:r>
      <w:r>
        <w:rPr>
          <w:rFonts w:hint="eastAsia" w:ascii="仿宋_GB2312" w:hAnsi="仿宋_GB2312" w:eastAsia="仿宋_GB2312" w:cs="仿宋_GB2312"/>
          <w:b w:val="0"/>
          <w:bCs w:val="0"/>
          <w:color w:val="000000"/>
          <w:kern w:val="0"/>
          <w:sz w:val="32"/>
          <w:szCs w:val="32"/>
          <w:shd w:val="clear" w:color="auto" w:fill="FFFFFF"/>
          <w:lang w:val="en-US" w:eastAsia="zh-CN"/>
        </w:rPr>
        <w:t>及时</w:t>
      </w:r>
      <w:r>
        <w:rPr>
          <w:rFonts w:hint="eastAsia" w:ascii="仿宋_GB2312" w:hAnsi="仿宋_GB2312" w:eastAsia="仿宋_GB2312" w:cs="仿宋_GB2312"/>
          <w:b w:val="0"/>
          <w:bCs w:val="0"/>
          <w:color w:val="000000"/>
          <w:kern w:val="0"/>
          <w:sz w:val="32"/>
          <w:szCs w:val="32"/>
          <w:shd w:val="clear" w:color="auto" w:fill="FFFFFF"/>
          <w:lang w:val="zh-CN" w:eastAsia="zh-CN"/>
        </w:rPr>
        <w:t>对预算情况，决算情况、绩效评价等情况在门户网站进行公开，做到了公开内容完整，数据准确。对于相关部门提出的绩效整改要求，本部门</w:t>
      </w:r>
      <w:r>
        <w:rPr>
          <w:rFonts w:hint="eastAsia" w:ascii="仿宋_GB2312" w:hAnsi="仿宋_GB2312" w:eastAsia="仿宋_GB2312" w:cs="仿宋_GB2312"/>
          <w:b w:val="0"/>
          <w:bCs w:val="0"/>
          <w:color w:val="000000"/>
          <w:kern w:val="0"/>
          <w:sz w:val="32"/>
          <w:szCs w:val="32"/>
          <w:shd w:val="clear" w:color="auto" w:fill="FFFFFF"/>
          <w:lang w:val="en-US" w:eastAsia="zh-CN"/>
        </w:rPr>
        <w:t>及时</w:t>
      </w:r>
      <w:r>
        <w:rPr>
          <w:rFonts w:hint="eastAsia" w:ascii="仿宋_GB2312" w:hAnsi="仿宋_GB2312" w:eastAsia="仿宋_GB2312" w:cs="仿宋_GB2312"/>
          <w:b w:val="0"/>
          <w:bCs w:val="0"/>
          <w:color w:val="000000"/>
          <w:kern w:val="0"/>
          <w:sz w:val="32"/>
          <w:szCs w:val="32"/>
          <w:shd w:val="clear" w:color="auto" w:fill="FFFFFF"/>
          <w:lang w:val="zh-CN" w:eastAsia="zh-CN"/>
        </w:rPr>
        <w:t>完成整改工作并报送整改材料。</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黑体" w:hAnsi="黑体" w:eastAsia="黑体" w:cs="黑体"/>
          <w:color w:val="000000"/>
          <w:kern w:val="0"/>
          <w:sz w:val="32"/>
          <w:szCs w:val="32"/>
          <w:shd w:val="clear" w:color="auto" w:fill="FFFFFF"/>
        </w:rPr>
      </w:pPr>
      <w:r>
        <w:rPr>
          <w:rFonts w:hint="eastAsia" w:ascii="黑体" w:hAnsi="黑体" w:eastAsia="黑体" w:cs="黑体"/>
          <w:color w:val="000000"/>
          <w:kern w:val="0"/>
          <w:sz w:val="32"/>
          <w:szCs w:val="32"/>
          <w:shd w:val="clear" w:color="auto" w:fill="FFFFFF"/>
        </w:rPr>
        <w:t>四、评价结论及建议</w:t>
      </w:r>
    </w:p>
    <w:p>
      <w:pPr>
        <w:keepNext w:val="0"/>
        <w:keepLines w:val="0"/>
        <w:pageBreakBefore w:val="0"/>
        <w:kinsoku/>
        <w:wordWrap/>
        <w:overflowPunct/>
        <w:topLinePunct w:val="0"/>
        <w:autoSpaceDE/>
        <w:autoSpaceDN/>
        <w:bidi w:val="0"/>
        <w:spacing w:line="560" w:lineRule="exact"/>
        <w:ind w:left="2" w:right="20" w:firstLine="635"/>
        <w:textAlignment w:val="auto"/>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（一）评价结论</w:t>
      </w:r>
    </w:p>
    <w:p>
      <w:pPr>
        <w:keepNext w:val="0"/>
        <w:keepLines w:val="0"/>
        <w:pageBreakBefore w:val="0"/>
        <w:kinsoku/>
        <w:wordWrap/>
        <w:overflowPunct/>
        <w:topLinePunct w:val="0"/>
        <w:autoSpaceDE/>
        <w:autoSpaceDN/>
        <w:bidi w:val="0"/>
        <w:spacing w:line="560" w:lineRule="exact"/>
        <w:ind w:left="2" w:right="20" w:firstLine="635"/>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spacing w:val="-4"/>
          <w:sz w:val="32"/>
          <w:szCs w:val="32"/>
        </w:rPr>
        <w:t>202</w:t>
      </w:r>
      <w:r>
        <w:rPr>
          <w:rFonts w:hint="eastAsia" w:ascii="仿宋_GB2312" w:hAnsi="仿宋_GB2312" w:eastAsia="仿宋_GB2312" w:cs="仿宋_GB2312"/>
          <w:spacing w:val="-4"/>
          <w:sz w:val="32"/>
          <w:szCs w:val="32"/>
          <w:lang w:val="en-US" w:eastAsia="zh-CN"/>
        </w:rPr>
        <w:t>5</w:t>
      </w:r>
      <w:r>
        <w:rPr>
          <w:rFonts w:hint="eastAsia" w:ascii="仿宋_GB2312" w:hAnsi="仿宋_GB2312" w:eastAsia="仿宋_GB2312" w:cs="仿宋_GB2312"/>
          <w:spacing w:val="-4"/>
          <w:sz w:val="32"/>
          <w:szCs w:val="32"/>
        </w:rPr>
        <w:t>年，本部门在财政部门的领</w:t>
      </w:r>
      <w:r>
        <w:rPr>
          <w:rFonts w:hint="eastAsia" w:ascii="仿宋_GB2312" w:hAnsi="仿宋_GB2312" w:eastAsia="仿宋_GB2312" w:cs="仿宋_GB2312"/>
          <w:spacing w:val="-5"/>
          <w:sz w:val="32"/>
          <w:szCs w:val="32"/>
        </w:rPr>
        <w:t>导下，积</w:t>
      </w:r>
      <w:r>
        <w:rPr>
          <w:rFonts w:hint="eastAsia" w:ascii="仿宋_GB2312" w:hAnsi="仿宋_GB2312" w:eastAsia="仿宋_GB2312" w:cs="仿宋_GB2312"/>
          <w:spacing w:val="-8"/>
          <w:sz w:val="32"/>
          <w:szCs w:val="32"/>
        </w:rPr>
        <w:t>极开展预算绩效管理工作，将预算绩效管理纳入单位预算申报、项目实施、项目评价全流程，有效规范了项目绩效管理工作，合理提</w:t>
      </w:r>
      <w:r>
        <w:rPr>
          <w:rFonts w:hint="eastAsia" w:ascii="仿宋_GB2312" w:hAnsi="仿宋_GB2312" w:eastAsia="仿宋_GB2312" w:cs="仿宋_GB2312"/>
          <w:spacing w:val="-7"/>
          <w:sz w:val="32"/>
          <w:szCs w:val="32"/>
        </w:rPr>
        <w:t>升了预算资金绩效效益，</w:t>
      </w:r>
      <w:r>
        <w:rPr>
          <w:rFonts w:hint="eastAsia" w:ascii="仿宋_GB2312" w:hAnsi="仿宋_GB2312" w:eastAsia="仿宋_GB2312" w:cs="仿宋_GB2312"/>
          <w:b w:val="0"/>
          <w:bCs w:val="0"/>
          <w:spacing w:val="-7"/>
          <w:sz w:val="32"/>
          <w:szCs w:val="32"/>
        </w:rPr>
        <w:t>202</w:t>
      </w:r>
      <w:r>
        <w:rPr>
          <w:rFonts w:hint="eastAsia" w:ascii="仿宋_GB2312" w:hAnsi="仿宋_GB2312" w:eastAsia="仿宋_GB2312" w:cs="仿宋_GB2312"/>
          <w:b w:val="0"/>
          <w:bCs w:val="0"/>
          <w:spacing w:val="-7"/>
          <w:sz w:val="32"/>
          <w:szCs w:val="32"/>
          <w:lang w:val="en-US" w:eastAsia="zh-CN"/>
        </w:rPr>
        <w:t>5</w:t>
      </w:r>
      <w:r>
        <w:rPr>
          <w:rFonts w:hint="eastAsia" w:ascii="仿宋_GB2312" w:hAnsi="仿宋_GB2312" w:eastAsia="仿宋_GB2312" w:cs="仿宋_GB2312"/>
          <w:b w:val="0"/>
          <w:bCs w:val="0"/>
          <w:spacing w:val="-8"/>
          <w:sz w:val="32"/>
          <w:szCs w:val="32"/>
        </w:rPr>
        <w:t xml:space="preserve"> 年部门整体绩效自评得分</w:t>
      </w:r>
      <w:r>
        <w:rPr>
          <w:rFonts w:hint="eastAsia" w:ascii="仿宋_GB2312" w:hAnsi="仿宋_GB2312" w:eastAsia="仿宋_GB2312" w:cs="仿宋_GB2312"/>
          <w:b w:val="0"/>
          <w:bCs w:val="0"/>
          <w:spacing w:val="-12"/>
          <w:sz w:val="32"/>
          <w:szCs w:val="32"/>
        </w:rPr>
        <w:t>为</w:t>
      </w:r>
      <w:r>
        <w:rPr>
          <w:rFonts w:hint="eastAsia" w:ascii="仿宋_GB2312" w:hAnsi="仿宋_GB2312" w:eastAsia="仿宋_GB2312" w:cs="仿宋_GB2312"/>
          <w:b w:val="0"/>
          <w:bCs w:val="0"/>
          <w:color w:val="FF0000"/>
          <w:spacing w:val="-66"/>
          <w:sz w:val="32"/>
          <w:szCs w:val="32"/>
        </w:rPr>
        <w:t xml:space="preserve"> </w:t>
      </w:r>
      <w:r>
        <w:rPr>
          <w:rFonts w:hint="eastAsia" w:ascii="仿宋_GB2312" w:hAnsi="仿宋_GB2312" w:eastAsia="仿宋_GB2312" w:cs="仿宋_GB2312"/>
          <w:b w:val="0"/>
          <w:bCs w:val="0"/>
          <w:color w:val="000000" w:themeColor="text1"/>
          <w:spacing w:val="-12"/>
          <w:sz w:val="32"/>
          <w:szCs w:val="32"/>
          <w:lang w:val="en-US" w:eastAsia="zh-CN"/>
          <w14:textFill>
            <w14:solidFill>
              <w14:schemeClr w14:val="tx1"/>
            </w14:solidFill>
          </w14:textFill>
        </w:rPr>
        <w:t>92</w:t>
      </w:r>
      <w:r>
        <w:rPr>
          <w:rFonts w:hint="eastAsia" w:ascii="仿宋_GB2312" w:hAnsi="仿宋_GB2312" w:eastAsia="仿宋_GB2312" w:cs="仿宋_GB2312"/>
          <w:b w:val="0"/>
          <w:bCs w:val="0"/>
          <w:spacing w:val="-12"/>
          <w:sz w:val="32"/>
          <w:szCs w:val="32"/>
        </w:rPr>
        <w:t>分。</w:t>
      </w:r>
    </w:p>
    <w:p>
      <w:pPr>
        <w:keepNext w:val="0"/>
        <w:keepLines w:val="0"/>
        <w:pageBreakBefore w:val="0"/>
        <w:numPr>
          <w:ilvl w:val="0"/>
          <w:numId w:val="0"/>
        </w:numPr>
        <w:kinsoku/>
        <w:wordWrap/>
        <w:overflowPunct/>
        <w:topLinePunct w:val="0"/>
        <w:autoSpaceDE/>
        <w:autoSpaceDN/>
        <w:bidi w:val="0"/>
        <w:spacing w:line="560" w:lineRule="exact"/>
        <w:ind w:firstLine="643" w:firstLineChars="200"/>
        <w:textAlignment w:val="auto"/>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（二）存在问题</w:t>
      </w:r>
    </w:p>
    <w:p>
      <w:pPr>
        <w:keepNext w:val="0"/>
        <w:keepLines w:val="0"/>
        <w:pageBreakBefore w:val="0"/>
        <w:widowControl/>
        <w:kinsoku/>
        <w:wordWrap/>
        <w:overflowPunct/>
        <w:topLinePunct w:val="0"/>
        <w:autoSpaceDE/>
        <w:autoSpaceDN/>
        <w:bidi w:val="0"/>
        <w:adjustRightInd w:val="0"/>
        <w:snapToGrid w:val="0"/>
        <w:spacing w:line="560" w:lineRule="exact"/>
        <w:ind w:firstLine="672" w:firstLineChars="200"/>
        <w:contextualSpacing/>
        <w:jc w:val="left"/>
        <w:textAlignment w:val="auto"/>
        <w:rPr>
          <w:rFonts w:hint="default" w:ascii="Times New Roman" w:hAnsi="Times New Roman" w:eastAsia="仿宋_GB2312" w:cs="Times New Roman"/>
          <w:sz w:val="32"/>
          <w:szCs w:val="32"/>
          <w:lang w:val="zh-CN"/>
        </w:rPr>
      </w:pPr>
      <w:r>
        <w:rPr>
          <w:rFonts w:hint="eastAsia" w:ascii="仿宋_GB2312" w:hAnsi="仿宋_GB2312" w:eastAsia="仿宋_GB2312" w:cs="仿宋_GB2312"/>
          <w:spacing w:val="8"/>
          <w:sz w:val="32"/>
          <w:szCs w:val="32"/>
          <w:lang w:val="en-US" w:eastAsia="zh-CN"/>
        </w:rPr>
        <w:t>需进一步加快上半年预算执行进度，</w:t>
      </w:r>
      <w:r>
        <w:rPr>
          <w:rFonts w:hint="eastAsia" w:ascii="仿宋_GB2312" w:hAnsi="仿宋_GB2312" w:eastAsia="仿宋_GB2312" w:cs="仿宋_GB2312"/>
          <w:sz w:val="32"/>
          <w:szCs w:val="32"/>
          <w:lang w:val="zh-CN"/>
        </w:rPr>
        <w:t>预算执行的均衡性有待加强。</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（三）改进建议</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加强预算执行过程管理，确保资金在年度内更均衡、高效地使用。</w:t>
      </w:r>
    </w:p>
    <w:p>
      <w:pPr>
        <w:spacing w:before="202" w:line="283" w:lineRule="auto"/>
        <w:ind w:left="4" w:right="19" w:firstLine="633"/>
        <w:rPr>
          <w:rFonts w:ascii="仿宋" w:hAnsi="仿宋" w:eastAsia="仿宋" w:cs="仿宋"/>
          <w:spacing w:val="8"/>
          <w:sz w:val="32"/>
          <w:szCs w:val="32"/>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rPr>
          <w:rFonts w:hint="eastAsia" w:ascii="Times New Roman" w:hAnsi="Times New Roman" w:eastAsia="仿宋_GB2312" w:cs="Times New Roman"/>
          <w:kern w:val="2"/>
          <w:sz w:val="32"/>
          <w:szCs w:val="32"/>
          <w:u w:val="none"/>
          <w:lang w:val="zh-CN" w:eastAsia="zh-CN" w:bidi="ar"/>
        </w:rPr>
      </w:pPr>
    </w:p>
    <w:p>
      <w:pPr>
        <w:pStyle w:val="2"/>
        <w:rPr>
          <w:rFonts w:hint="eastAsia" w:ascii="Times New Roman" w:hAnsi="Times New Roman" w:eastAsia="仿宋_GB2312" w:cs="Times New Roman"/>
          <w:kern w:val="2"/>
          <w:sz w:val="32"/>
          <w:szCs w:val="32"/>
          <w:u w:val="none"/>
          <w:lang w:val="zh-CN" w:eastAsia="zh-CN" w:bidi="ar"/>
        </w:rPr>
      </w:pPr>
    </w:p>
    <w:p>
      <w:pPr>
        <w:rPr>
          <w:rFonts w:hint="eastAsia" w:ascii="Times New Roman" w:hAnsi="Times New Roman" w:eastAsia="仿宋_GB2312" w:cs="Times New Roman"/>
          <w:kern w:val="2"/>
          <w:sz w:val="32"/>
          <w:szCs w:val="32"/>
          <w:u w:val="none"/>
          <w:lang w:val="zh-CN" w:eastAsia="zh-CN" w:bidi="ar"/>
        </w:rPr>
      </w:pPr>
    </w:p>
    <w:p>
      <w:pPr>
        <w:pStyle w:val="2"/>
        <w:rPr>
          <w:rFonts w:hint="eastAsia" w:ascii="Times New Roman" w:hAnsi="Times New Roman" w:eastAsia="仿宋_GB2312" w:cs="Times New Roman"/>
          <w:kern w:val="2"/>
          <w:sz w:val="32"/>
          <w:szCs w:val="32"/>
          <w:u w:val="none"/>
          <w:lang w:val="zh-CN" w:eastAsia="zh-CN" w:bidi="ar"/>
        </w:rPr>
      </w:pPr>
    </w:p>
    <w:p>
      <w:pPr>
        <w:rPr>
          <w:rFonts w:hint="eastAsia" w:ascii="Times New Roman" w:hAnsi="Times New Roman" w:eastAsia="仿宋_GB2312" w:cs="Times New Roman"/>
          <w:kern w:val="2"/>
          <w:sz w:val="32"/>
          <w:szCs w:val="32"/>
          <w:u w:val="none"/>
          <w:lang w:val="zh-CN" w:eastAsia="zh-CN" w:bidi="ar"/>
        </w:rPr>
      </w:pPr>
    </w:p>
    <w:p>
      <w:pPr>
        <w:pStyle w:val="2"/>
        <w:rPr>
          <w:rFonts w:hint="eastAsia" w:ascii="Times New Roman" w:hAnsi="Times New Roman" w:eastAsia="仿宋_GB2312" w:cs="Times New Roman"/>
          <w:kern w:val="2"/>
          <w:sz w:val="32"/>
          <w:szCs w:val="32"/>
          <w:u w:val="none"/>
          <w:lang w:val="zh-CN" w:eastAsia="zh-CN" w:bidi="ar"/>
        </w:rPr>
      </w:pPr>
    </w:p>
    <w:p>
      <w:pPr>
        <w:rPr>
          <w:rFonts w:hint="eastAsia" w:ascii="Times New Roman" w:hAnsi="Times New Roman" w:eastAsia="仿宋_GB2312" w:cs="Times New Roman"/>
          <w:kern w:val="2"/>
          <w:sz w:val="32"/>
          <w:szCs w:val="32"/>
          <w:u w:val="none"/>
          <w:lang w:val="zh-CN" w:eastAsia="zh-CN" w:bidi="ar"/>
        </w:rPr>
      </w:pPr>
    </w:p>
    <w:p>
      <w:pPr>
        <w:pStyle w:val="2"/>
        <w:rPr>
          <w:rFonts w:hint="eastAsia" w:ascii="Times New Roman" w:hAnsi="Times New Roman" w:eastAsia="仿宋_GB2312" w:cs="Times New Roman"/>
          <w:kern w:val="2"/>
          <w:sz w:val="32"/>
          <w:szCs w:val="32"/>
          <w:u w:val="none"/>
          <w:lang w:val="zh-CN" w:eastAsia="zh-CN" w:bidi="ar"/>
        </w:rPr>
      </w:pPr>
    </w:p>
    <w:p>
      <w:pPr>
        <w:rPr>
          <w:rFonts w:hint="eastAsia" w:ascii="Times New Roman" w:hAnsi="Times New Roman" w:eastAsia="仿宋_GB2312" w:cs="Times New Roman"/>
          <w:kern w:val="2"/>
          <w:sz w:val="32"/>
          <w:szCs w:val="32"/>
          <w:u w:val="none"/>
          <w:lang w:val="zh-CN" w:eastAsia="zh-CN" w:bidi="ar"/>
        </w:rPr>
      </w:pPr>
    </w:p>
    <w:p>
      <w:pPr>
        <w:pStyle w:val="2"/>
        <w:rPr>
          <w:rFonts w:hint="eastAsia" w:ascii="Times New Roman" w:hAnsi="Times New Roman" w:eastAsia="仿宋_GB2312" w:cs="Times New Roman"/>
          <w:kern w:val="2"/>
          <w:sz w:val="32"/>
          <w:szCs w:val="32"/>
          <w:u w:val="none"/>
          <w:lang w:val="zh-CN" w:eastAsia="zh-CN" w:bidi="ar"/>
        </w:rPr>
      </w:pPr>
    </w:p>
    <w:p>
      <w:pPr>
        <w:rPr>
          <w:rFonts w:hint="eastAsia" w:ascii="Times New Roman" w:hAnsi="Times New Roman" w:eastAsia="仿宋_GB2312" w:cs="Times New Roman"/>
          <w:kern w:val="2"/>
          <w:sz w:val="32"/>
          <w:szCs w:val="32"/>
          <w:u w:val="none"/>
          <w:lang w:val="zh-CN" w:eastAsia="zh-CN" w:bidi="ar"/>
        </w:rPr>
      </w:pPr>
    </w:p>
    <w:p>
      <w:pPr>
        <w:widowControl/>
        <w:spacing w:line="600" w:lineRule="exact"/>
        <w:jc w:val="center"/>
        <w:textAlignment w:val="center"/>
        <w:rPr>
          <w:rFonts w:hint="eastAsia" w:eastAsia="方正小标宋简体"/>
          <w:color w:val="000000"/>
          <w:kern w:val="0"/>
          <w:sz w:val="44"/>
          <w:szCs w:val="44"/>
        </w:rPr>
      </w:pPr>
    </w:p>
    <w:p>
      <w:pPr>
        <w:widowControl/>
        <w:spacing w:line="600" w:lineRule="exact"/>
        <w:jc w:val="center"/>
        <w:textAlignment w:val="center"/>
        <w:rPr>
          <w:rFonts w:hint="eastAsia" w:eastAsia="方正小标宋简体"/>
          <w:color w:val="000000"/>
          <w:kern w:val="0"/>
          <w:sz w:val="44"/>
          <w:szCs w:val="44"/>
        </w:rPr>
      </w:pPr>
    </w:p>
    <w:p>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6"/>
        <w:tblpPr w:leftFromText="180" w:rightFromText="180" w:vertAnchor="text" w:horzAnchor="page" w:tblpX="895" w:tblpY="198"/>
        <w:tblOverlap w:val="never"/>
        <w:tblW w:w="10138" w:type="dxa"/>
        <w:tblInd w:w="0" w:type="dxa"/>
        <w:tblLayout w:type="fixed"/>
        <w:tblCellMar>
          <w:top w:w="0" w:type="dxa"/>
          <w:left w:w="108" w:type="dxa"/>
          <w:bottom w:w="0" w:type="dxa"/>
          <w:right w:w="108" w:type="dxa"/>
        </w:tblCellMar>
      </w:tblPr>
      <w:tblGrid>
        <w:gridCol w:w="758"/>
        <w:gridCol w:w="1166"/>
        <w:gridCol w:w="1873"/>
        <w:gridCol w:w="699"/>
        <w:gridCol w:w="4622"/>
        <w:gridCol w:w="708"/>
        <w:gridCol w:w="312"/>
      </w:tblGrid>
      <w:tr>
        <w:tblPrEx>
          <w:tblCellMar>
            <w:top w:w="0" w:type="dxa"/>
            <w:left w:w="108" w:type="dxa"/>
            <w:bottom w:w="0" w:type="dxa"/>
            <w:right w:w="108" w:type="dxa"/>
          </w:tblCellMar>
        </w:tblPrEx>
        <w:trPr>
          <w:trHeight w:val="247" w:hRule="atLeast"/>
        </w:trPr>
        <w:tc>
          <w:tcPr>
            <w:tcW w:w="44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6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08"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312"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blPrEx>
          <w:tblCellMar>
            <w:top w:w="0" w:type="dxa"/>
            <w:left w:w="108" w:type="dxa"/>
            <w:bottom w:w="0" w:type="dxa"/>
            <w:right w:w="108" w:type="dxa"/>
          </w:tblCellMar>
        </w:tblPrEx>
        <w:trPr>
          <w:trHeight w:val="476" w:hRule="atLeast"/>
        </w:trPr>
        <w:tc>
          <w:tcPr>
            <w:tcW w:w="75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6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708"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312"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476" w:hRule="atLeast"/>
        </w:trPr>
        <w:tc>
          <w:tcPr>
            <w:tcW w:w="758"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XX履职效果</w:t>
            </w:r>
          </w:p>
        </w:tc>
        <w:tc>
          <w:tcPr>
            <w:tcW w:w="699"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76" w:hRule="atLeast"/>
        </w:trPr>
        <w:tc>
          <w:tcPr>
            <w:tcW w:w="758"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47" w:hRule="atLeast"/>
        </w:trPr>
        <w:tc>
          <w:tcPr>
            <w:tcW w:w="758"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47" w:hRule="atLeast"/>
        </w:trPr>
        <w:tc>
          <w:tcPr>
            <w:tcW w:w="758"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47" w:hRule="atLeast"/>
        </w:trPr>
        <w:tc>
          <w:tcPr>
            <w:tcW w:w="758"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42" w:hRule="atLeast"/>
        </w:trPr>
        <w:tc>
          <w:tcPr>
            <w:tcW w:w="758"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47" w:hRule="atLeast"/>
        </w:trPr>
        <w:tc>
          <w:tcPr>
            <w:tcW w:w="758"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76" w:hRule="atLeast"/>
        </w:trPr>
        <w:tc>
          <w:tcPr>
            <w:tcW w:w="758"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76" w:hRule="atLeast"/>
        </w:trPr>
        <w:tc>
          <w:tcPr>
            <w:tcW w:w="758"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47" w:hRule="atLeast"/>
        </w:trPr>
        <w:tc>
          <w:tcPr>
            <w:tcW w:w="758"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47" w:hRule="atLeast"/>
        </w:trPr>
        <w:tc>
          <w:tcPr>
            <w:tcW w:w="758"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76" w:hRule="atLeast"/>
        </w:trPr>
        <w:tc>
          <w:tcPr>
            <w:tcW w:w="758"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76" w:hRule="atLeast"/>
        </w:trPr>
        <w:tc>
          <w:tcPr>
            <w:tcW w:w="758"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47" w:hRule="atLeast"/>
        </w:trPr>
        <w:tc>
          <w:tcPr>
            <w:tcW w:w="758"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76" w:hRule="atLeast"/>
        </w:trPr>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166"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42" w:hRule="atLeast"/>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76" w:hRule="atLeast"/>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76" w:hRule="atLeast"/>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47" w:hRule="atLeast"/>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873" w:type="dxa"/>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47" w:hRule="atLeast"/>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47" w:hRule="atLeast"/>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76" w:hRule="atLeast"/>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47" w:hRule="atLeast"/>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42"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65"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b/>
                <w:color w:val="000000"/>
                <w:kern w:val="0"/>
                <w:sz w:val="24"/>
              </w:rPr>
            </w:pPr>
          </w:p>
        </w:tc>
        <w:tc>
          <w:tcPr>
            <w:tcW w:w="3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rPr>
            </w:pPr>
          </w:p>
        </w:tc>
        <w:tc>
          <w:tcPr>
            <w:tcW w:w="4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default" w:ascii="宋体" w:hAnsi="宋体" w:eastAsia="宋体" w:cs="宋体"/>
                <w:b/>
                <w:bCs/>
                <w:color w:val="000000"/>
                <w:kern w:val="0"/>
                <w:sz w:val="24"/>
                <w:lang w:val="en-US" w:eastAsia="zh-CN"/>
              </w:rPr>
            </w:pPr>
            <w:r>
              <w:rPr>
                <w:rFonts w:hint="eastAsia" w:ascii="宋体" w:hAnsi="宋体" w:eastAsia="宋体" w:cs="宋体"/>
                <w:b/>
                <w:bCs/>
                <w:color w:val="000000"/>
                <w:kern w:val="0"/>
                <w:sz w:val="24"/>
                <w:lang w:val="en-US" w:eastAsia="zh-CN"/>
              </w:rPr>
              <w:t>92</w:t>
            </w:r>
          </w:p>
        </w:tc>
        <w:tc>
          <w:tcPr>
            <w:tcW w:w="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bl>
    <w:p>
      <w:pPr>
        <w:widowControl/>
        <w:spacing w:line="578" w:lineRule="exact"/>
        <w:jc w:val="center"/>
        <w:textAlignment w:val="center"/>
        <w:rPr>
          <w:rFonts w:eastAsia="方正小标宋简体"/>
          <w:color w:val="000000"/>
          <w:kern w:val="0"/>
          <w:sz w:val="44"/>
          <w:szCs w:val="44"/>
        </w:rPr>
      </w:pPr>
    </w:p>
    <w:p>
      <w:pPr>
        <w:widowControl/>
        <w:spacing w:line="578" w:lineRule="exact"/>
        <w:ind w:firstLine="440" w:firstLineChars="100"/>
        <w:jc w:val="both"/>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6"/>
        <w:tblW w:w="9979" w:type="dxa"/>
        <w:jc w:val="center"/>
        <w:tblLayout w:type="fixed"/>
        <w:tblCellMar>
          <w:top w:w="0" w:type="dxa"/>
          <w:left w:w="108" w:type="dxa"/>
          <w:bottom w:w="0" w:type="dxa"/>
          <w:right w:w="108" w:type="dxa"/>
        </w:tblCellMar>
      </w:tblPr>
      <w:tblGrid>
        <w:gridCol w:w="487"/>
        <w:gridCol w:w="808"/>
        <w:gridCol w:w="933"/>
        <w:gridCol w:w="1193"/>
        <w:gridCol w:w="787"/>
        <w:gridCol w:w="762"/>
        <w:gridCol w:w="999"/>
        <w:gridCol w:w="1025"/>
        <w:gridCol w:w="1090"/>
        <w:gridCol w:w="1895"/>
      </w:tblGrid>
      <w:tr>
        <w:tblPrEx>
          <w:tblCellMar>
            <w:top w:w="0" w:type="dxa"/>
            <w:left w:w="108" w:type="dxa"/>
            <w:bottom w:w="0" w:type="dxa"/>
            <w:right w:w="108" w:type="dxa"/>
          </w:tblCellMar>
        </w:tblPrEx>
        <w:trPr>
          <w:trHeight w:val="472" w:hRule="atLeast"/>
          <w:jc w:val="center"/>
        </w:trPr>
        <w:tc>
          <w:tcPr>
            <w:tcW w:w="2228" w:type="dxa"/>
            <w:gridSpan w:val="3"/>
            <w:tcBorders>
              <w:top w:val="single" w:color="000000" w:sz="4" w:space="0"/>
              <w:left w:val="single" w:color="000000" w:sz="4" w:space="0"/>
              <w:bottom w:val="single" w:color="auto" w:sz="4" w:space="0"/>
              <w:right w:val="single" w:color="000000" w:sz="4" w:space="0"/>
            </w:tcBorders>
            <w:noWrap/>
            <w:vAlign w:val="center"/>
          </w:tcPr>
          <w:p>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75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州文广旅局部门</w:t>
            </w:r>
          </w:p>
        </w:tc>
      </w:tr>
      <w:tr>
        <w:tblPrEx>
          <w:tblCellMar>
            <w:top w:w="0" w:type="dxa"/>
            <w:left w:w="108" w:type="dxa"/>
            <w:bottom w:w="0" w:type="dxa"/>
            <w:right w:w="108" w:type="dxa"/>
          </w:tblCellMar>
        </w:tblPrEx>
        <w:trPr>
          <w:trHeight w:val="388" w:hRule="atLeast"/>
          <w:jc w:val="center"/>
        </w:trPr>
        <w:tc>
          <w:tcPr>
            <w:tcW w:w="2228"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1980"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761"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010"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tblPrEx>
          <w:tblCellMar>
            <w:top w:w="0" w:type="dxa"/>
            <w:left w:w="108" w:type="dxa"/>
            <w:bottom w:w="0" w:type="dxa"/>
            <w:right w:w="108" w:type="dxa"/>
          </w:tblCellMar>
        </w:tblPrEx>
        <w:trPr>
          <w:trHeight w:val="320" w:hRule="atLeast"/>
          <w:jc w:val="center"/>
        </w:trPr>
        <w:tc>
          <w:tcPr>
            <w:tcW w:w="2228"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1980" w:type="dxa"/>
            <w:gridSpan w:val="2"/>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8,862.09</w:t>
            </w:r>
          </w:p>
        </w:tc>
        <w:tc>
          <w:tcPr>
            <w:tcW w:w="1761"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8,862.09</w:t>
            </w:r>
          </w:p>
        </w:tc>
        <w:tc>
          <w:tcPr>
            <w:tcW w:w="4010"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320" w:hRule="atLeast"/>
          <w:jc w:val="center"/>
        </w:trPr>
        <w:tc>
          <w:tcPr>
            <w:tcW w:w="2228"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1980" w:type="dxa"/>
            <w:gridSpan w:val="2"/>
            <w:tcBorders>
              <w:top w:val="single" w:color="000000" w:sz="4" w:space="0"/>
              <w:left w:val="single" w:color="auto"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8,862.09</w:t>
            </w:r>
          </w:p>
        </w:tc>
        <w:tc>
          <w:tcPr>
            <w:tcW w:w="1761" w:type="dxa"/>
            <w:gridSpan w:val="2"/>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8,862.09</w:t>
            </w:r>
          </w:p>
        </w:tc>
        <w:tc>
          <w:tcPr>
            <w:tcW w:w="4010" w:type="dxa"/>
            <w:gridSpan w:val="3"/>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1202" w:hRule="atLeast"/>
          <w:jc w:val="center"/>
        </w:trPr>
        <w:tc>
          <w:tcPr>
            <w:tcW w:w="2228"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75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2025年，我局将紧扣州委十二届五次、六次全会精神，以群众工作为牵引，切实做好依法治旅和文广旅产业发展，推进全域旅游示范引领，做强高质量发展最大优势，通过抓经济、育产业、塑品牌、扩影响，做深做实生态文化旅游大文章，深入推进国际生态文化旅游目的地建设，全力提升经济指标，重点抓好“十二项重点工程”。</w:t>
            </w:r>
          </w:p>
        </w:tc>
      </w:tr>
      <w:tr>
        <w:tblPrEx>
          <w:tblCellMar>
            <w:top w:w="0" w:type="dxa"/>
            <w:left w:w="108" w:type="dxa"/>
            <w:bottom w:w="0" w:type="dxa"/>
            <w:right w:w="108" w:type="dxa"/>
          </w:tblCellMar>
        </w:tblPrEx>
        <w:trPr>
          <w:trHeight w:val="304" w:hRule="atLeast"/>
          <w:jc w:val="center"/>
        </w:trPr>
        <w:tc>
          <w:tcPr>
            <w:tcW w:w="487"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808"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93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1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787"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876"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895"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tblPrEx>
          <w:tblCellMar>
            <w:top w:w="0" w:type="dxa"/>
            <w:left w:w="108" w:type="dxa"/>
            <w:bottom w:w="0" w:type="dxa"/>
            <w:right w:w="108" w:type="dxa"/>
          </w:tblCellMar>
        </w:tblPrEx>
        <w:trPr>
          <w:trHeight w:val="487" w:hRule="atLeast"/>
          <w:jc w:val="center"/>
        </w:trPr>
        <w:tc>
          <w:tcPr>
            <w:tcW w:w="487"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8"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93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1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762" w:type="dxa"/>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99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2</w:t>
            </w:r>
            <w:r>
              <w:rPr>
                <w:rFonts w:ascii="宋体" w:hAnsi="宋体" w:eastAsia="宋体" w:cs="宋体"/>
                <w:color w:val="000000"/>
                <w:kern w:val="0"/>
                <w:sz w:val="24"/>
              </w:rPr>
              <w:t>年</w:t>
            </w:r>
          </w:p>
        </w:tc>
        <w:tc>
          <w:tcPr>
            <w:tcW w:w="10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9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895"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726" w:hRule="atLeast"/>
          <w:jc w:val="center"/>
        </w:trPr>
        <w:tc>
          <w:tcPr>
            <w:tcW w:w="487"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8"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93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预算管理</w:t>
            </w:r>
          </w:p>
        </w:tc>
        <w:tc>
          <w:tcPr>
            <w:tcW w:w="11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财政拨款</w:t>
            </w:r>
            <w:r>
              <w:rPr>
                <w:rFonts w:ascii="宋体" w:hAnsi="宋体" w:eastAsia="宋体" w:cs="宋体"/>
                <w:color w:val="000000"/>
                <w:kern w:val="0"/>
                <w:sz w:val="18"/>
                <w:szCs w:val="18"/>
              </w:rPr>
              <w:t>预算编制偏离度</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51.02%</w:t>
            </w:r>
          </w:p>
        </w:tc>
        <w:tc>
          <w:tcPr>
            <w:tcW w:w="76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51.02%</w:t>
            </w:r>
          </w:p>
        </w:tc>
        <w:tc>
          <w:tcPr>
            <w:tcW w:w="99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30.28%</w:t>
            </w:r>
          </w:p>
        </w:tc>
        <w:tc>
          <w:tcPr>
            <w:tcW w:w="10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36.3%</w:t>
            </w:r>
          </w:p>
        </w:tc>
        <w:tc>
          <w:tcPr>
            <w:tcW w:w="10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86.49%</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58.82%</w:t>
            </w:r>
          </w:p>
        </w:tc>
      </w:tr>
      <w:tr>
        <w:tblPrEx>
          <w:tblCellMar>
            <w:top w:w="0" w:type="dxa"/>
            <w:left w:w="108" w:type="dxa"/>
            <w:bottom w:w="0" w:type="dxa"/>
            <w:right w:w="108" w:type="dxa"/>
          </w:tblCellMar>
        </w:tblPrEx>
        <w:trPr>
          <w:trHeight w:val="487" w:hRule="atLeast"/>
          <w:jc w:val="center"/>
        </w:trPr>
        <w:tc>
          <w:tcPr>
            <w:tcW w:w="487"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8"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93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p>
        </w:tc>
        <w:tc>
          <w:tcPr>
            <w:tcW w:w="11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单位收入统筹度</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0%</w:t>
            </w:r>
          </w:p>
        </w:tc>
        <w:tc>
          <w:tcPr>
            <w:tcW w:w="76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right"/>
              <w:rPr>
                <w:rFonts w:ascii="宋体" w:hAnsi="宋体" w:eastAsia="宋体" w:cs="宋体"/>
                <w:color w:val="000000"/>
                <w:kern w:val="0"/>
                <w:sz w:val="20"/>
                <w:szCs w:val="20"/>
              </w:rPr>
            </w:pPr>
          </w:p>
        </w:tc>
        <w:tc>
          <w:tcPr>
            <w:tcW w:w="99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0%</w:t>
            </w:r>
          </w:p>
        </w:tc>
        <w:tc>
          <w:tcPr>
            <w:tcW w:w="10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0%</w:t>
            </w:r>
          </w:p>
        </w:tc>
        <w:tc>
          <w:tcPr>
            <w:tcW w:w="10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0%</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0%</w:t>
            </w:r>
          </w:p>
        </w:tc>
      </w:tr>
      <w:tr>
        <w:tblPrEx>
          <w:tblCellMar>
            <w:top w:w="0" w:type="dxa"/>
            <w:left w:w="108" w:type="dxa"/>
            <w:bottom w:w="0" w:type="dxa"/>
            <w:right w:w="108" w:type="dxa"/>
          </w:tblCellMar>
        </w:tblPrEx>
        <w:trPr>
          <w:trHeight w:val="487" w:hRule="atLeast"/>
          <w:jc w:val="center"/>
        </w:trPr>
        <w:tc>
          <w:tcPr>
            <w:tcW w:w="487"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8"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93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p>
        </w:tc>
        <w:tc>
          <w:tcPr>
            <w:tcW w:w="11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预算年终结余</w:t>
            </w:r>
            <w:r>
              <w:rPr>
                <w:rFonts w:ascii="宋体" w:hAnsi="宋体" w:eastAsia="宋体" w:cs="宋体"/>
                <w:color w:val="000000"/>
                <w:kern w:val="0"/>
                <w:sz w:val="18"/>
                <w:szCs w:val="18"/>
              </w:rPr>
              <w:t>率</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9.68%</w:t>
            </w:r>
          </w:p>
        </w:tc>
        <w:tc>
          <w:tcPr>
            <w:tcW w:w="76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9.69%</w:t>
            </w:r>
          </w:p>
        </w:tc>
        <w:tc>
          <w:tcPr>
            <w:tcW w:w="99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15.92%</w:t>
            </w:r>
          </w:p>
        </w:tc>
        <w:tc>
          <w:tcPr>
            <w:tcW w:w="10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4.49%</w:t>
            </w:r>
          </w:p>
        </w:tc>
        <w:tc>
          <w:tcPr>
            <w:tcW w:w="10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8.65%</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19.92%</w:t>
            </w:r>
          </w:p>
        </w:tc>
      </w:tr>
      <w:tr>
        <w:tblPrEx>
          <w:tblCellMar>
            <w:top w:w="0" w:type="dxa"/>
            <w:left w:w="108" w:type="dxa"/>
            <w:bottom w:w="0" w:type="dxa"/>
            <w:right w:w="108" w:type="dxa"/>
          </w:tblCellMar>
        </w:tblPrEx>
        <w:trPr>
          <w:trHeight w:val="487" w:hRule="atLeast"/>
          <w:jc w:val="center"/>
        </w:trPr>
        <w:tc>
          <w:tcPr>
            <w:tcW w:w="487"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8"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93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p>
        </w:tc>
        <w:tc>
          <w:tcPr>
            <w:tcW w:w="11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一般性支出</w:t>
            </w:r>
            <w:r>
              <w:rPr>
                <w:rFonts w:ascii="宋体" w:hAnsi="宋体" w:eastAsia="宋体" w:cs="宋体"/>
                <w:color w:val="000000"/>
                <w:kern w:val="0"/>
                <w:sz w:val="18"/>
                <w:szCs w:val="18"/>
              </w:rPr>
              <w:t>金额</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4182.28万元</w:t>
            </w:r>
          </w:p>
        </w:tc>
        <w:tc>
          <w:tcPr>
            <w:tcW w:w="76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4182.28万元</w:t>
            </w:r>
          </w:p>
        </w:tc>
        <w:tc>
          <w:tcPr>
            <w:tcW w:w="99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right"/>
              <w:rPr>
                <w:sz w:val="18"/>
                <w:szCs w:val="18"/>
              </w:rPr>
            </w:pPr>
          </w:p>
        </w:tc>
        <w:tc>
          <w:tcPr>
            <w:tcW w:w="10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right"/>
              <w:rPr>
                <w:sz w:val="18"/>
                <w:szCs w:val="18"/>
              </w:rPr>
            </w:pPr>
          </w:p>
        </w:tc>
        <w:tc>
          <w:tcPr>
            <w:tcW w:w="10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sz w:val="20"/>
                <w:szCs w:val="20"/>
              </w:rPr>
            </w:pPr>
            <w:r>
              <w:rPr>
                <w:rFonts w:hint="eastAsia" w:ascii="宋体" w:hAnsi="宋体" w:eastAsia="宋体" w:cs="宋体"/>
                <w:i w:val="0"/>
                <w:iCs w:val="0"/>
                <w:color w:val="000000"/>
                <w:kern w:val="0"/>
                <w:sz w:val="20"/>
                <w:szCs w:val="20"/>
                <w:u w:val="none"/>
                <w:lang w:val="en-US" w:eastAsia="zh-CN" w:bidi="ar"/>
              </w:rPr>
              <w:t>4182.28万元</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782.16万元</w:t>
            </w:r>
          </w:p>
        </w:tc>
      </w:tr>
      <w:tr>
        <w:tblPrEx>
          <w:tblCellMar>
            <w:top w:w="0" w:type="dxa"/>
            <w:left w:w="108" w:type="dxa"/>
            <w:bottom w:w="0" w:type="dxa"/>
            <w:right w:w="108" w:type="dxa"/>
          </w:tblCellMar>
        </w:tblPrEx>
        <w:trPr>
          <w:trHeight w:val="487" w:hRule="atLeast"/>
          <w:jc w:val="center"/>
        </w:trPr>
        <w:tc>
          <w:tcPr>
            <w:tcW w:w="487"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8"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93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财务管理</w:t>
            </w:r>
          </w:p>
        </w:tc>
        <w:tc>
          <w:tcPr>
            <w:tcW w:w="11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财务管理规范</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优</w:t>
            </w:r>
          </w:p>
        </w:tc>
        <w:tc>
          <w:tcPr>
            <w:tcW w:w="76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right"/>
              <w:rPr>
                <w:rFonts w:ascii="宋体" w:hAnsi="宋体" w:eastAsia="宋体" w:cs="宋体"/>
                <w:color w:val="000000"/>
                <w:kern w:val="0"/>
                <w:sz w:val="20"/>
                <w:szCs w:val="20"/>
              </w:rPr>
            </w:pPr>
          </w:p>
        </w:tc>
        <w:tc>
          <w:tcPr>
            <w:tcW w:w="99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right"/>
              <w:rPr>
                <w:sz w:val="20"/>
                <w:szCs w:val="20"/>
              </w:rPr>
            </w:pPr>
          </w:p>
        </w:tc>
        <w:tc>
          <w:tcPr>
            <w:tcW w:w="10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right"/>
              <w:rPr>
                <w:sz w:val="20"/>
                <w:szCs w:val="20"/>
              </w:rPr>
            </w:pPr>
          </w:p>
        </w:tc>
        <w:tc>
          <w:tcPr>
            <w:tcW w:w="10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right"/>
              <w:rPr>
                <w:sz w:val="20"/>
                <w:szCs w:val="20"/>
              </w:rPr>
            </w:pP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优</w:t>
            </w:r>
          </w:p>
        </w:tc>
      </w:tr>
      <w:tr>
        <w:tblPrEx>
          <w:tblCellMar>
            <w:top w:w="0" w:type="dxa"/>
            <w:left w:w="108" w:type="dxa"/>
            <w:bottom w:w="0" w:type="dxa"/>
            <w:right w:w="108" w:type="dxa"/>
          </w:tblCellMar>
        </w:tblPrEx>
        <w:trPr>
          <w:trHeight w:val="487" w:hRule="atLeast"/>
          <w:jc w:val="center"/>
        </w:trPr>
        <w:tc>
          <w:tcPr>
            <w:tcW w:w="487"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8"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93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资产管理</w:t>
            </w:r>
          </w:p>
        </w:tc>
        <w:tc>
          <w:tcPr>
            <w:tcW w:w="11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资产配置预算偏离度</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10256.4%</w:t>
            </w:r>
          </w:p>
        </w:tc>
        <w:tc>
          <w:tcPr>
            <w:tcW w:w="76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10256.4%</w:t>
            </w:r>
          </w:p>
        </w:tc>
        <w:tc>
          <w:tcPr>
            <w:tcW w:w="99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5071.77%</w:t>
            </w:r>
          </w:p>
        </w:tc>
        <w:tc>
          <w:tcPr>
            <w:tcW w:w="10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24167.33%</w:t>
            </w:r>
          </w:p>
        </w:tc>
        <w:tc>
          <w:tcPr>
            <w:tcW w:w="10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1530.09%</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0</w:t>
            </w:r>
          </w:p>
        </w:tc>
      </w:tr>
      <w:tr>
        <w:tblPrEx>
          <w:tblCellMar>
            <w:top w:w="0" w:type="dxa"/>
            <w:left w:w="108" w:type="dxa"/>
            <w:bottom w:w="0" w:type="dxa"/>
            <w:right w:w="108" w:type="dxa"/>
          </w:tblCellMar>
        </w:tblPrEx>
        <w:trPr>
          <w:trHeight w:val="249" w:hRule="atLeast"/>
          <w:jc w:val="center"/>
        </w:trPr>
        <w:tc>
          <w:tcPr>
            <w:tcW w:w="487"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8"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93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采购管理</w:t>
            </w:r>
          </w:p>
        </w:tc>
        <w:tc>
          <w:tcPr>
            <w:tcW w:w="11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采购执行率</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46%</w:t>
            </w:r>
          </w:p>
        </w:tc>
        <w:tc>
          <w:tcPr>
            <w:tcW w:w="76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46%</w:t>
            </w:r>
          </w:p>
        </w:tc>
        <w:tc>
          <w:tcPr>
            <w:tcW w:w="99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40.17%</w:t>
            </w:r>
          </w:p>
        </w:tc>
        <w:tc>
          <w:tcPr>
            <w:tcW w:w="10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56.42%</w:t>
            </w:r>
          </w:p>
        </w:tc>
        <w:tc>
          <w:tcPr>
            <w:tcW w:w="10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color w:val="000000"/>
                <w:kern w:val="0"/>
                <w:sz w:val="20"/>
                <w:szCs w:val="20"/>
              </w:rPr>
            </w:pPr>
            <w:r>
              <w:rPr>
                <w:rFonts w:hint="eastAsia" w:ascii="宋体" w:hAnsi="宋体" w:eastAsia="宋体" w:cs="宋体"/>
                <w:i w:val="0"/>
                <w:iCs w:val="0"/>
                <w:color w:val="000000"/>
                <w:kern w:val="0"/>
                <w:sz w:val="20"/>
                <w:szCs w:val="20"/>
                <w:u w:val="none"/>
                <w:lang w:val="en-US" w:eastAsia="zh-CN" w:bidi="ar"/>
              </w:rPr>
              <w:t>41.42%</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47.95%</w:t>
            </w:r>
          </w:p>
        </w:tc>
      </w:tr>
      <w:tr>
        <w:tblPrEx>
          <w:tblCellMar>
            <w:top w:w="0" w:type="dxa"/>
            <w:left w:w="108" w:type="dxa"/>
            <w:bottom w:w="0" w:type="dxa"/>
            <w:right w:w="108" w:type="dxa"/>
          </w:tblCellMar>
        </w:tblPrEx>
        <w:trPr>
          <w:trHeight w:val="616" w:hRule="atLeast"/>
          <w:jc w:val="center"/>
        </w:trPr>
        <w:tc>
          <w:tcPr>
            <w:tcW w:w="487"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80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一</w:t>
            </w:r>
            <w:r>
              <w:rPr>
                <w:rFonts w:hint="eastAsia" w:ascii="宋体" w:hAnsi="宋体" w:eastAsia="宋体" w:cs="宋体"/>
                <w:color w:val="000000"/>
                <w:kern w:val="0"/>
                <w:sz w:val="24"/>
              </w:rPr>
              <w:t>级指标</w:t>
            </w:r>
          </w:p>
        </w:tc>
        <w:tc>
          <w:tcPr>
            <w:tcW w:w="93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2742"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3114"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4"/>
              </w:rPr>
              <w:t>指标实际完成值</w:t>
            </w:r>
          </w:p>
        </w:tc>
      </w:tr>
      <w:tr>
        <w:tblPrEx>
          <w:tblCellMar>
            <w:top w:w="0" w:type="dxa"/>
            <w:left w:w="108" w:type="dxa"/>
            <w:bottom w:w="0" w:type="dxa"/>
            <w:right w:w="108" w:type="dxa"/>
          </w:tblCellMar>
        </w:tblPrEx>
        <w:trPr>
          <w:trHeight w:val="543" w:hRule="atLeast"/>
          <w:jc w:val="center"/>
        </w:trPr>
        <w:tc>
          <w:tcPr>
            <w:tcW w:w="487"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8"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9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color w:val="000000"/>
                <w:kern w:val="0"/>
                <w:sz w:val="24"/>
              </w:rPr>
            </w:pPr>
            <w:r>
              <w:rPr>
                <w:rFonts w:ascii="宋体" w:hAnsi="宋体" w:eastAsia="宋体" w:cs="宋体"/>
                <w:i w:val="0"/>
                <w:iCs w:val="0"/>
                <w:color w:val="000000"/>
                <w:kern w:val="0"/>
                <w:sz w:val="18"/>
                <w:szCs w:val="18"/>
                <w:u w:val="none"/>
                <w:lang w:val="en-US" w:eastAsia="zh-CN" w:bidi="ar"/>
              </w:rPr>
              <w:t>时效指标</w:t>
            </w:r>
          </w:p>
        </w:tc>
        <w:tc>
          <w:tcPr>
            <w:tcW w:w="2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color w:val="000000"/>
                <w:kern w:val="0"/>
                <w:sz w:val="24"/>
              </w:rPr>
            </w:pPr>
            <w:r>
              <w:rPr>
                <w:rFonts w:ascii="宋体" w:hAnsi="宋体" w:eastAsia="宋体" w:cs="宋体"/>
                <w:i w:val="0"/>
                <w:iCs w:val="0"/>
                <w:color w:val="000000"/>
                <w:kern w:val="0"/>
                <w:sz w:val="18"/>
                <w:szCs w:val="18"/>
                <w:u w:val="none"/>
                <w:lang w:val="en-US" w:eastAsia="zh-CN" w:bidi="ar"/>
              </w:rPr>
              <w:t>完成时间限制</w:t>
            </w:r>
          </w:p>
        </w:tc>
        <w:tc>
          <w:tcPr>
            <w:tcW w:w="3114"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color w:val="000000"/>
                <w:kern w:val="0"/>
                <w:sz w:val="24"/>
              </w:rPr>
            </w:pPr>
            <w:r>
              <w:rPr>
                <w:rFonts w:ascii="宋体" w:hAnsi="宋体" w:eastAsia="宋体" w:cs="宋体"/>
                <w:i w:val="0"/>
                <w:iCs w:val="0"/>
                <w:color w:val="000000"/>
                <w:kern w:val="0"/>
                <w:sz w:val="18"/>
                <w:szCs w:val="18"/>
                <w:u w:val="none"/>
                <w:lang w:val="en-US" w:eastAsia="zh-CN" w:bidi="ar"/>
              </w:rPr>
              <w:t>2025-12-31</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2025年12月31日前</w:t>
            </w:r>
          </w:p>
        </w:tc>
      </w:tr>
      <w:tr>
        <w:tblPrEx>
          <w:tblCellMar>
            <w:top w:w="0" w:type="dxa"/>
            <w:left w:w="108" w:type="dxa"/>
            <w:bottom w:w="0" w:type="dxa"/>
            <w:right w:w="108" w:type="dxa"/>
          </w:tblCellMar>
        </w:tblPrEx>
        <w:trPr>
          <w:trHeight w:val="487" w:hRule="atLeast"/>
          <w:jc w:val="center"/>
        </w:trPr>
        <w:tc>
          <w:tcPr>
            <w:tcW w:w="487"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8"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9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color w:val="000000"/>
                <w:kern w:val="0"/>
                <w:sz w:val="24"/>
              </w:rPr>
            </w:pPr>
            <w:r>
              <w:rPr>
                <w:rFonts w:ascii="宋体" w:hAnsi="宋体" w:eastAsia="宋体" w:cs="宋体"/>
                <w:i w:val="0"/>
                <w:iCs w:val="0"/>
                <w:color w:val="000000"/>
                <w:kern w:val="0"/>
                <w:sz w:val="18"/>
                <w:szCs w:val="18"/>
                <w:u w:val="none"/>
                <w:lang w:val="en-US" w:eastAsia="zh-CN" w:bidi="ar"/>
              </w:rPr>
              <w:t>数量指标</w:t>
            </w:r>
          </w:p>
        </w:tc>
        <w:tc>
          <w:tcPr>
            <w:tcW w:w="2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color w:val="000000"/>
                <w:kern w:val="0"/>
                <w:sz w:val="24"/>
              </w:rPr>
            </w:pPr>
            <w:r>
              <w:rPr>
                <w:rFonts w:ascii="宋体" w:hAnsi="宋体" w:eastAsia="宋体" w:cs="宋体"/>
                <w:i w:val="0"/>
                <w:iCs w:val="0"/>
                <w:color w:val="000000"/>
                <w:kern w:val="0"/>
                <w:sz w:val="18"/>
                <w:szCs w:val="18"/>
                <w:u w:val="none"/>
                <w:lang w:val="en-US" w:eastAsia="zh-CN" w:bidi="ar"/>
              </w:rPr>
              <w:t>全州新增文体娱、旅游服务型规上企业数量</w:t>
            </w:r>
          </w:p>
        </w:tc>
        <w:tc>
          <w:tcPr>
            <w:tcW w:w="3114"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color w:val="000000"/>
                <w:kern w:val="0"/>
                <w:sz w:val="24"/>
              </w:rPr>
            </w:pPr>
            <w:r>
              <w:rPr>
                <w:rFonts w:ascii="宋体" w:hAnsi="宋体" w:eastAsia="宋体" w:cs="宋体"/>
                <w:i w:val="0"/>
                <w:iCs w:val="0"/>
                <w:color w:val="000000"/>
                <w:kern w:val="0"/>
                <w:sz w:val="18"/>
                <w:szCs w:val="18"/>
                <w:u w:val="none"/>
                <w:lang w:val="en-US" w:eastAsia="zh-CN" w:bidi="ar"/>
              </w:rPr>
              <w:t>≥5家</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5家</w:t>
            </w:r>
          </w:p>
        </w:tc>
      </w:tr>
      <w:tr>
        <w:tblPrEx>
          <w:tblCellMar>
            <w:top w:w="0" w:type="dxa"/>
            <w:left w:w="108" w:type="dxa"/>
            <w:bottom w:w="0" w:type="dxa"/>
            <w:right w:w="108" w:type="dxa"/>
          </w:tblCellMar>
        </w:tblPrEx>
        <w:trPr>
          <w:trHeight w:val="304" w:hRule="atLeast"/>
          <w:jc w:val="center"/>
        </w:trPr>
        <w:tc>
          <w:tcPr>
            <w:tcW w:w="487"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8"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9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color w:val="000000"/>
                <w:kern w:val="0"/>
                <w:sz w:val="24"/>
              </w:rPr>
            </w:pPr>
            <w:r>
              <w:rPr>
                <w:rFonts w:ascii="宋体" w:hAnsi="宋体" w:eastAsia="宋体" w:cs="宋体"/>
                <w:i w:val="0"/>
                <w:iCs w:val="0"/>
                <w:color w:val="000000"/>
                <w:kern w:val="0"/>
                <w:sz w:val="18"/>
                <w:szCs w:val="18"/>
                <w:u w:val="none"/>
                <w:lang w:val="en-US" w:eastAsia="zh-CN" w:bidi="ar"/>
              </w:rPr>
              <w:t>数量指标</w:t>
            </w:r>
          </w:p>
        </w:tc>
        <w:tc>
          <w:tcPr>
            <w:tcW w:w="2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color w:val="000000"/>
                <w:kern w:val="0"/>
                <w:sz w:val="24"/>
              </w:rPr>
            </w:pPr>
            <w:r>
              <w:rPr>
                <w:rFonts w:ascii="宋体" w:hAnsi="宋体" w:eastAsia="宋体" w:cs="宋体"/>
                <w:i w:val="0"/>
                <w:iCs w:val="0"/>
                <w:color w:val="000000"/>
                <w:kern w:val="0"/>
                <w:sz w:val="18"/>
                <w:szCs w:val="18"/>
                <w:u w:val="none"/>
                <w:lang w:val="en-US" w:eastAsia="zh-CN" w:bidi="ar"/>
              </w:rPr>
              <w:t>创作舞台文艺作品数量</w:t>
            </w:r>
          </w:p>
        </w:tc>
        <w:tc>
          <w:tcPr>
            <w:tcW w:w="3114"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color w:val="000000"/>
                <w:kern w:val="0"/>
                <w:sz w:val="24"/>
              </w:rPr>
            </w:pPr>
            <w:r>
              <w:rPr>
                <w:rFonts w:ascii="宋体" w:hAnsi="宋体" w:eastAsia="宋体" w:cs="宋体"/>
                <w:i w:val="0"/>
                <w:iCs w:val="0"/>
                <w:color w:val="000000"/>
                <w:kern w:val="0"/>
                <w:sz w:val="18"/>
                <w:szCs w:val="18"/>
                <w:u w:val="none"/>
                <w:lang w:val="en-US" w:eastAsia="zh-CN" w:bidi="ar"/>
              </w:rPr>
              <w:t>≥1部</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1部</w:t>
            </w:r>
          </w:p>
        </w:tc>
      </w:tr>
      <w:tr>
        <w:tblPrEx>
          <w:tblCellMar>
            <w:top w:w="0" w:type="dxa"/>
            <w:left w:w="108" w:type="dxa"/>
            <w:bottom w:w="0" w:type="dxa"/>
            <w:right w:w="108" w:type="dxa"/>
          </w:tblCellMar>
        </w:tblPrEx>
        <w:trPr>
          <w:trHeight w:val="304" w:hRule="atLeast"/>
          <w:jc w:val="center"/>
        </w:trPr>
        <w:tc>
          <w:tcPr>
            <w:tcW w:w="487"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8"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9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2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文化馆（站）评估定级达标率</w:t>
            </w:r>
          </w:p>
        </w:tc>
        <w:tc>
          <w:tcPr>
            <w:tcW w:w="3114"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100%</w:t>
            </w:r>
          </w:p>
        </w:tc>
      </w:tr>
      <w:tr>
        <w:tblPrEx>
          <w:tblCellMar>
            <w:top w:w="0" w:type="dxa"/>
            <w:left w:w="108" w:type="dxa"/>
            <w:bottom w:w="0" w:type="dxa"/>
            <w:right w:w="108" w:type="dxa"/>
          </w:tblCellMar>
        </w:tblPrEx>
        <w:trPr>
          <w:trHeight w:val="304" w:hRule="atLeast"/>
          <w:jc w:val="center"/>
        </w:trPr>
        <w:tc>
          <w:tcPr>
            <w:tcW w:w="487"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8" w:type="dxa"/>
            <w:vMerge w:val="continue"/>
            <w:tcBorders>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9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2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阿坝州文旅市场投诉处置率</w:t>
            </w:r>
          </w:p>
        </w:tc>
        <w:tc>
          <w:tcPr>
            <w:tcW w:w="3114"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00%</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100%</w:t>
            </w:r>
          </w:p>
        </w:tc>
      </w:tr>
      <w:tr>
        <w:tblPrEx>
          <w:tblCellMar>
            <w:top w:w="0" w:type="dxa"/>
            <w:left w:w="108" w:type="dxa"/>
            <w:bottom w:w="0" w:type="dxa"/>
            <w:right w:w="108" w:type="dxa"/>
          </w:tblCellMar>
        </w:tblPrEx>
        <w:trPr>
          <w:trHeight w:val="487" w:hRule="atLeast"/>
          <w:jc w:val="center"/>
        </w:trPr>
        <w:tc>
          <w:tcPr>
            <w:tcW w:w="487"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8"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效益指标</w:t>
            </w:r>
          </w:p>
          <w:p>
            <w:pPr>
              <w:widowControl/>
              <w:spacing w:line="240" w:lineRule="exact"/>
              <w:jc w:val="center"/>
              <w:textAlignment w:val="center"/>
              <w:rPr>
                <w:rFonts w:ascii="宋体" w:hAnsi="宋体" w:eastAsia="宋体" w:cs="宋体"/>
                <w:color w:val="000000"/>
                <w:kern w:val="0"/>
                <w:sz w:val="24"/>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color w:val="000000"/>
                <w:kern w:val="0"/>
                <w:sz w:val="24"/>
                <w:szCs w:val="24"/>
                <w:lang w:val="en-US" w:eastAsia="zh-CN" w:bidi="ar-SA"/>
              </w:rPr>
            </w:pPr>
            <w:r>
              <w:rPr>
                <w:rFonts w:ascii="宋体" w:hAnsi="宋体" w:eastAsia="宋体" w:cs="宋体"/>
                <w:i w:val="0"/>
                <w:iCs w:val="0"/>
                <w:color w:val="000000"/>
                <w:kern w:val="0"/>
                <w:sz w:val="18"/>
                <w:szCs w:val="18"/>
                <w:u w:val="none"/>
                <w:lang w:val="en-US" w:eastAsia="zh-CN" w:bidi="ar"/>
              </w:rPr>
              <w:t>经济效益指标</w:t>
            </w:r>
          </w:p>
        </w:tc>
        <w:tc>
          <w:tcPr>
            <w:tcW w:w="27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color w:val="000000"/>
                <w:kern w:val="0"/>
                <w:sz w:val="24"/>
                <w:szCs w:val="24"/>
                <w:lang w:val="en-US" w:eastAsia="zh-CN" w:bidi="ar-SA"/>
              </w:rPr>
            </w:pPr>
            <w:r>
              <w:rPr>
                <w:rFonts w:ascii="宋体" w:hAnsi="宋体" w:eastAsia="宋体" w:cs="宋体"/>
                <w:i w:val="0"/>
                <w:iCs w:val="0"/>
                <w:color w:val="000000"/>
                <w:kern w:val="0"/>
                <w:sz w:val="18"/>
                <w:szCs w:val="18"/>
                <w:u w:val="none"/>
                <w:lang w:val="en-US" w:eastAsia="zh-CN" w:bidi="ar"/>
              </w:rPr>
              <w:t>2025年实现旅游收入金额</w:t>
            </w:r>
          </w:p>
        </w:tc>
        <w:tc>
          <w:tcPr>
            <w:tcW w:w="311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color w:val="000000"/>
                <w:kern w:val="0"/>
                <w:sz w:val="24"/>
                <w:szCs w:val="24"/>
                <w:lang w:val="en-US" w:eastAsia="zh-CN" w:bidi="ar-SA"/>
              </w:rPr>
            </w:pPr>
            <w:r>
              <w:rPr>
                <w:rFonts w:ascii="宋体" w:hAnsi="宋体" w:eastAsia="宋体" w:cs="宋体"/>
                <w:i w:val="0"/>
                <w:iCs w:val="0"/>
                <w:color w:val="000000"/>
                <w:kern w:val="0"/>
                <w:sz w:val="18"/>
                <w:szCs w:val="18"/>
                <w:u w:val="none"/>
                <w:lang w:val="en-US" w:eastAsia="zh-CN" w:bidi="ar"/>
              </w:rPr>
              <w:t>≥560亿元</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实现旅游总花费2157.38亿元</w:t>
            </w:r>
          </w:p>
        </w:tc>
      </w:tr>
      <w:tr>
        <w:tblPrEx>
          <w:tblCellMar>
            <w:top w:w="0" w:type="dxa"/>
            <w:left w:w="108" w:type="dxa"/>
            <w:bottom w:w="0" w:type="dxa"/>
            <w:right w:w="108" w:type="dxa"/>
          </w:tblCellMar>
        </w:tblPrEx>
        <w:trPr>
          <w:trHeight w:val="487" w:hRule="atLeast"/>
          <w:jc w:val="center"/>
        </w:trPr>
        <w:tc>
          <w:tcPr>
            <w:tcW w:w="487"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8"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9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000000"/>
                <w:kern w:val="0"/>
                <w:sz w:val="24"/>
              </w:rPr>
            </w:pPr>
            <w:r>
              <w:rPr>
                <w:rFonts w:ascii="宋体" w:hAnsi="宋体" w:eastAsia="宋体" w:cs="宋体"/>
                <w:i w:val="0"/>
                <w:iCs w:val="0"/>
                <w:color w:val="000000"/>
                <w:kern w:val="0"/>
                <w:sz w:val="18"/>
                <w:szCs w:val="18"/>
                <w:u w:val="none"/>
                <w:lang w:val="en-US" w:eastAsia="zh-CN" w:bidi="ar"/>
              </w:rPr>
              <w:t>社会效益指标</w:t>
            </w:r>
          </w:p>
        </w:tc>
        <w:tc>
          <w:tcPr>
            <w:tcW w:w="2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000000"/>
                <w:kern w:val="0"/>
                <w:sz w:val="24"/>
              </w:rPr>
            </w:pPr>
            <w:r>
              <w:rPr>
                <w:rFonts w:ascii="宋体" w:hAnsi="宋体" w:eastAsia="宋体" w:cs="宋体"/>
                <w:i w:val="0"/>
                <w:iCs w:val="0"/>
                <w:color w:val="000000"/>
                <w:kern w:val="0"/>
                <w:sz w:val="18"/>
                <w:szCs w:val="18"/>
                <w:u w:val="none"/>
                <w:lang w:val="en-US" w:eastAsia="zh-CN" w:bidi="ar"/>
              </w:rPr>
              <w:t>2025年全年力争接待游客数量</w:t>
            </w:r>
          </w:p>
        </w:tc>
        <w:tc>
          <w:tcPr>
            <w:tcW w:w="3114"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color w:val="000000"/>
                <w:kern w:val="0"/>
                <w:sz w:val="24"/>
              </w:rPr>
            </w:pPr>
            <w:r>
              <w:rPr>
                <w:rFonts w:ascii="宋体" w:hAnsi="宋体" w:eastAsia="宋体" w:cs="宋体"/>
                <w:i w:val="0"/>
                <w:iCs w:val="0"/>
                <w:color w:val="000000"/>
                <w:kern w:val="0"/>
                <w:sz w:val="18"/>
                <w:szCs w:val="18"/>
                <w:u w:val="none"/>
                <w:lang w:val="en-US" w:eastAsia="zh-CN" w:bidi="ar"/>
              </w:rPr>
              <w:t>≥6300万人次</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7220.44万人次</w:t>
            </w:r>
          </w:p>
        </w:tc>
      </w:tr>
      <w:tr>
        <w:tblPrEx>
          <w:tblCellMar>
            <w:top w:w="0" w:type="dxa"/>
            <w:left w:w="108" w:type="dxa"/>
            <w:bottom w:w="0" w:type="dxa"/>
            <w:right w:w="108" w:type="dxa"/>
          </w:tblCellMar>
        </w:tblPrEx>
        <w:trPr>
          <w:trHeight w:val="497" w:hRule="atLeast"/>
          <w:jc w:val="center"/>
        </w:trPr>
        <w:tc>
          <w:tcPr>
            <w:tcW w:w="487" w:type="dxa"/>
            <w:vMerge w:val="continue"/>
            <w:tcBorders>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8" w:type="dxa"/>
            <w:vMerge w:val="continue"/>
            <w:tcBorders>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9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000000"/>
                <w:kern w:val="0"/>
                <w:sz w:val="24"/>
              </w:rPr>
            </w:pPr>
            <w:r>
              <w:rPr>
                <w:rFonts w:ascii="宋体" w:hAnsi="宋体" w:eastAsia="宋体" w:cs="宋体"/>
                <w:i w:val="0"/>
                <w:iCs w:val="0"/>
                <w:color w:val="000000"/>
                <w:kern w:val="0"/>
                <w:sz w:val="18"/>
                <w:szCs w:val="18"/>
                <w:u w:val="none"/>
                <w:lang w:val="en-US" w:eastAsia="zh-CN" w:bidi="ar"/>
              </w:rPr>
              <w:t>社会效益指标</w:t>
            </w:r>
          </w:p>
        </w:tc>
        <w:tc>
          <w:tcPr>
            <w:tcW w:w="2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000000"/>
                <w:kern w:val="0"/>
                <w:sz w:val="24"/>
              </w:rPr>
            </w:pPr>
            <w:r>
              <w:rPr>
                <w:rFonts w:ascii="宋体" w:hAnsi="宋体" w:eastAsia="宋体" w:cs="宋体"/>
                <w:i w:val="0"/>
                <w:iCs w:val="0"/>
                <w:color w:val="000000"/>
                <w:kern w:val="0"/>
                <w:sz w:val="18"/>
                <w:szCs w:val="18"/>
                <w:u w:val="none"/>
                <w:lang w:val="en-US" w:eastAsia="zh-CN" w:bidi="ar"/>
              </w:rPr>
              <w:t>全方位、多层次推进全州文广体旅服务整体水平提升</w:t>
            </w:r>
          </w:p>
        </w:tc>
        <w:tc>
          <w:tcPr>
            <w:tcW w:w="3114"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color w:val="000000"/>
                <w:kern w:val="0"/>
                <w:sz w:val="24"/>
              </w:rPr>
            </w:pPr>
            <w:r>
              <w:rPr>
                <w:rFonts w:ascii="宋体" w:hAnsi="宋体" w:eastAsia="宋体" w:cs="宋体"/>
                <w:i w:val="0"/>
                <w:iCs w:val="0"/>
                <w:color w:val="000000"/>
                <w:kern w:val="0"/>
                <w:sz w:val="18"/>
                <w:szCs w:val="18"/>
                <w:u w:val="none"/>
                <w:lang w:val="en-US" w:eastAsia="zh-CN" w:bidi="ar"/>
              </w:rPr>
              <w:t>高效完成</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基本达成</w:t>
            </w:r>
          </w:p>
        </w:tc>
      </w:tr>
    </w:tbl>
    <w:p>
      <w:pPr>
        <w:pStyle w:val="2"/>
        <w:rPr>
          <w:rFonts w:hint="eastAsia" w:ascii="Times New Roman" w:hAnsi="Times New Roman" w:eastAsia="仿宋_GB2312" w:cs="Times New Roman"/>
          <w:kern w:val="2"/>
          <w:sz w:val="32"/>
          <w:szCs w:val="32"/>
          <w:u w:val="none"/>
          <w:lang w:val="zh-CN" w:eastAsia="zh-CN" w:bidi="ar"/>
        </w:rPr>
      </w:pPr>
    </w:p>
    <w:p>
      <w:pPr>
        <w:rPr>
          <w:rFonts w:hint="eastAsia" w:ascii="Times New Roman" w:hAnsi="Times New Roman" w:eastAsia="仿宋_GB2312" w:cs="Times New Roman"/>
          <w:kern w:val="2"/>
          <w:sz w:val="32"/>
          <w:szCs w:val="32"/>
          <w:u w:val="none"/>
          <w:lang w:val="zh-CN" w:eastAsia="zh-CN" w:bidi="ar"/>
        </w:rPr>
      </w:pPr>
    </w:p>
    <w:p>
      <w:pPr>
        <w:pStyle w:val="2"/>
        <w:rPr>
          <w:rFonts w:hint="eastAsia"/>
          <w:lang w:val="zh-CN" w:eastAsia="zh-CN"/>
        </w:rPr>
      </w:pPr>
    </w:p>
    <w:p>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部门需公开部门预算绩效自评报告和部门预算项目支出绩效自评表（2025年度），各下属单位需公开部门预算项目支出绩效自评表（2025年度）。</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6"/>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项目设立原因及背景，</w:t>
      </w:r>
      <w:r>
        <w:rPr>
          <w:rFonts w:hint="eastAsia" w:ascii="Times New Roman" w:hAnsi="Times New Roman" w:eastAsia="仿宋_GB2312" w:cs="仿宋_GB2312"/>
          <w:b w:val="0"/>
          <w:bCs w:val="0"/>
          <w:kern w:val="0"/>
          <w:position w:val="0"/>
          <w:sz w:val="32"/>
          <w:szCs w:val="32"/>
          <w:highlight w:val="none"/>
          <w:lang w:val="zh-CN" w:eastAsia="zh-CN" w:bidi="ar-SA"/>
        </w:rPr>
        <w:t>项目立项、资金申报的依据，项目主要内容</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主管部门职能</w:t>
      </w:r>
      <w:r>
        <w:rPr>
          <w:rFonts w:hint="eastAsia" w:ascii="Times New Roman" w:hAnsi="Times New Roman" w:eastAsia="仿宋_GB2312" w:cs="仿宋_GB2312"/>
          <w:color w:val="auto"/>
          <w:kern w:val="0"/>
          <w:sz w:val="32"/>
          <w:szCs w:val="32"/>
          <w:highlight w:val="none"/>
          <w:u w:val="none"/>
          <w:shd w:val="clear" w:color="auto" w:fill="FFFFFF"/>
          <w:lang w:val="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管理办法制定情况，项目实施目的和主要工作任务，项目支持方向。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项目预算安排情况，项目资金分配原则及考虑因素，项目资金分配情况。</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根据项目情况和评价重点，用来收集相关材料和开展具体评价的方法。包括：采用成本效益分析法、标杆管理法、案卷研究法、单位自评法、实地勘察法、问卷调查法、座谈调研法等多种方法。</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项目决策。围绕决策程序、规划论证、资金投向进行绩效分析。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围绕预算执行、资金使用进行绩效分析。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4.项目结果。围绕</w:t>
      </w:r>
      <w:r>
        <w:rPr>
          <w:rFonts w:hint="eastAsia" w:ascii="Times New Roman" w:hAnsi="Times New Roman" w:eastAsia="仿宋_GB2312" w:cs="仿宋_GB2312"/>
          <w:b w:val="0"/>
          <w:bCs w:val="0"/>
          <w:kern w:val="0"/>
          <w:position w:val="0"/>
          <w:sz w:val="32"/>
          <w:szCs w:val="32"/>
          <w:highlight w:val="none"/>
          <w:lang w:val="zh-CN" w:eastAsia="zh-CN" w:bidi="ar-SA"/>
        </w:rPr>
        <w:t>目标完成、完成时效进行绩效分析。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1.产业发展。围绕符合性、成长性、经济性进行绩效分析。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3.基础设施。在建项目围绕工程进度和资金拨付进行绩效分析；建成项目围绕项目验收、功能实现、后续管护进行</w:t>
      </w:r>
      <w:r>
        <w:rPr>
          <w:rFonts w:hint="eastAsia" w:ascii="Times New Roman" w:hAnsi="Times New Roman" w:eastAsia="仿宋_GB2312" w:cs="仿宋_GB2312"/>
          <w:b w:val="0"/>
          <w:bCs w:val="0"/>
          <w:kern w:val="0"/>
          <w:position w:val="0"/>
          <w:sz w:val="32"/>
          <w:szCs w:val="32"/>
          <w:highlight w:val="none"/>
          <w:lang w:val="zh-CN" w:eastAsia="zh-CN" w:bidi="ar-SA"/>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简要阐述专项预算项目绩效自评总体结论，包含评价总分、</w:t>
      </w:r>
      <w:r>
        <w:rPr>
          <w:rFonts w:hint="eastAsia" w:ascii="Times New Roman" w:hAnsi="Times New Roman" w:eastAsia="仿宋_GB2312" w:cs="仿宋_GB2312"/>
          <w:b w:val="0"/>
          <w:bCs w:val="0"/>
          <w:kern w:val="0"/>
          <w:position w:val="0"/>
          <w:sz w:val="32"/>
          <w:szCs w:val="32"/>
          <w:highlight w:val="none"/>
          <w:lang w:val="zh-CN" w:eastAsia="zh-CN" w:bidi="ar-SA"/>
        </w:rPr>
        <w:t>项目实施情况。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简要阐述专项预算项目绩效自评发现的主要问题。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简要阐述专项预算项目在</w:t>
      </w:r>
      <w:r>
        <w:rPr>
          <w:rFonts w:hint="eastAsia" w:ascii="Times New Roman" w:hAnsi="Times New Roman" w:eastAsia="仿宋_GB2312" w:cs="仿宋_GB2312"/>
          <w:b w:val="0"/>
          <w:bCs w:val="0"/>
          <w:kern w:val="0"/>
          <w:position w:val="0"/>
          <w:sz w:val="32"/>
          <w:szCs w:val="32"/>
          <w:highlight w:val="none"/>
          <w:lang w:val="en" w:eastAsia="zh-CN" w:bidi="ar-SA"/>
        </w:rPr>
        <w:t>预算安排、完善政策、改进管理等方面的</w:t>
      </w:r>
      <w:r>
        <w:rPr>
          <w:rFonts w:hint="eastAsia" w:ascii="Times New Roman" w:hAnsi="Times New Roman" w:eastAsia="仿宋_GB2312" w:cs="仿宋_GB2312"/>
          <w:b w:val="0"/>
          <w:bCs w:val="0"/>
          <w:kern w:val="0"/>
          <w:position w:val="0"/>
          <w:sz w:val="32"/>
          <w:szCs w:val="32"/>
          <w:highlight w:val="none"/>
          <w:lang w:val="en-US" w:eastAsia="zh-CN" w:bidi="ar-SA"/>
        </w:rPr>
        <w:t>措施</w:t>
      </w:r>
      <w:r>
        <w:rPr>
          <w:rFonts w:hint="eastAsia" w:ascii="Times New Roman" w:hAnsi="Times New Roman" w:eastAsia="仿宋_GB2312" w:cs="仿宋_GB2312"/>
          <w:b w:val="0"/>
          <w:bCs w:val="0"/>
          <w:kern w:val="0"/>
          <w:position w:val="0"/>
          <w:sz w:val="32"/>
          <w:szCs w:val="32"/>
          <w:highlight w:val="none"/>
          <w:lang w:val="en" w:eastAsia="zh-CN" w:bidi="ar-SA"/>
        </w:rPr>
        <w:t>建议，其中</w:t>
      </w:r>
      <w:r>
        <w:rPr>
          <w:rFonts w:hint="eastAsia" w:ascii="Times New Roman" w:hAnsi="Times New Roman" w:eastAsia="仿宋_GB2312" w:cs="仿宋_GB2312"/>
          <w:b w:val="0"/>
          <w:bCs w:val="0"/>
          <w:kern w:val="0"/>
          <w:position w:val="0"/>
          <w:sz w:val="32"/>
          <w:szCs w:val="32"/>
          <w:highlight w:val="none"/>
          <w:lang w:val="en-US" w:eastAsia="zh-CN" w:bidi="ar-SA"/>
        </w:rPr>
        <w:t>必须对应评价发现的主要问题一一提出措施建议。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1"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9"/>
      <w:bookmarkEnd w:id="51"/>
      <w:bookmarkStart w:id="52"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0"/>
      <w:r>
        <w:rPr>
          <w:rFonts w:hint="eastAsia" w:ascii="Times New Roman" w:hAnsi="Times New Roman" w:eastAsia="仿宋_GB2312" w:cs="仿宋_GB2312"/>
          <w:color w:val="auto"/>
          <w:sz w:val="32"/>
          <w:szCs w:val="32"/>
          <w:highlight w:val="none"/>
        </w:rPr>
        <w:t>二、收入决算表</w:t>
      </w:r>
      <w:bookmarkEnd w:id="5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1"/>
      <w:r>
        <w:rPr>
          <w:rFonts w:hint="eastAsia" w:ascii="Times New Roman" w:hAnsi="Times New Roman" w:eastAsia="仿宋_GB2312" w:cs="仿宋_GB2312"/>
          <w:color w:val="auto"/>
          <w:sz w:val="32"/>
          <w:szCs w:val="32"/>
          <w:highlight w:val="none"/>
        </w:rPr>
        <w:t>三、支出决算表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2"/>
      <w:r>
        <w:rPr>
          <w:rFonts w:hint="eastAsia" w:ascii="Times New Roman" w:hAnsi="Times New Roman" w:eastAsia="仿宋_GB2312" w:cs="仿宋_GB2312"/>
          <w:color w:val="auto"/>
          <w:sz w:val="32"/>
          <w:szCs w:val="32"/>
          <w:highlight w:val="none"/>
        </w:rPr>
        <w:t>四、财政拨款收入支出决算总表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3"/>
      <w:r>
        <w:rPr>
          <w:rFonts w:hint="eastAsia" w:ascii="Times New Roman" w:hAnsi="Times New Roman" w:eastAsia="仿宋_GB2312" w:cs="仿宋_GB2312"/>
          <w:color w:val="auto"/>
          <w:sz w:val="32"/>
          <w:szCs w:val="32"/>
          <w:highlight w:val="none"/>
        </w:rPr>
        <w:t>五、财政拨款支出决算明细表</w:t>
      </w:r>
      <w:bookmarkEnd w:id="56"/>
      <w:bookmarkStart w:id="57"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5"/>
      <w:r>
        <w:rPr>
          <w:rFonts w:hint="eastAsia" w:ascii="Times New Roman" w:hAnsi="Times New Roman" w:eastAsia="仿宋_GB2312" w:cs="仿宋_GB2312"/>
          <w:color w:val="auto"/>
          <w:sz w:val="32"/>
          <w:szCs w:val="32"/>
          <w:highlight w:val="none"/>
        </w:rPr>
        <w:t>七、一般公共预算财政拨款支出决算明细表</w:t>
      </w:r>
      <w:bookmarkEnd w:id="5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6"/>
      <w:r>
        <w:rPr>
          <w:rFonts w:hint="eastAsia" w:ascii="Times New Roman" w:hAnsi="Times New Roman" w:eastAsia="仿宋_GB2312" w:cs="仿宋_GB2312"/>
          <w:color w:val="auto"/>
          <w:sz w:val="32"/>
          <w:szCs w:val="32"/>
          <w:highlight w:val="none"/>
        </w:rPr>
        <w:t>八、一般公共预算财政拨款基本支出决算表</w:t>
      </w:r>
      <w:bookmarkEnd w:id="5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7"/>
      <w:r>
        <w:rPr>
          <w:rFonts w:hint="eastAsia" w:ascii="Times New Roman" w:hAnsi="Times New Roman" w:eastAsia="仿宋_GB2312" w:cs="仿宋_GB2312"/>
          <w:color w:val="auto"/>
          <w:sz w:val="32"/>
          <w:szCs w:val="32"/>
          <w:highlight w:val="none"/>
        </w:rPr>
        <w:t>九、一般公共预算财政拨款项目支出决算表</w:t>
      </w:r>
      <w:bookmarkEnd w:id="6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8"/>
      <w:r>
        <w:rPr>
          <w:rFonts w:hint="eastAsia" w:ascii="Times New Roman" w:hAnsi="Times New Roman" w:eastAsia="仿宋_GB2312" w:cs="仿宋_GB2312"/>
          <w:color w:val="auto"/>
          <w:sz w:val="32"/>
          <w:szCs w:val="32"/>
          <w:highlight w:val="none"/>
        </w:rPr>
        <w:t>十、</w:t>
      </w:r>
      <w:bookmarkEnd w:id="61"/>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9"/>
      <w:r>
        <w:rPr>
          <w:rFonts w:hint="eastAsia" w:ascii="Times New Roman" w:hAnsi="Times New Roman" w:eastAsia="仿宋_GB2312" w:cs="仿宋_GB2312"/>
          <w:color w:val="auto"/>
          <w:sz w:val="32"/>
          <w:szCs w:val="32"/>
          <w:highlight w:val="none"/>
        </w:rPr>
        <w:t>十一、</w:t>
      </w:r>
      <w:bookmarkEnd w:id="6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30"/>
      <w:r>
        <w:rPr>
          <w:rFonts w:hint="eastAsia" w:ascii="Times New Roman" w:hAnsi="Times New Roman" w:eastAsia="仿宋_GB2312" w:cs="仿宋_GB2312"/>
          <w:color w:val="auto"/>
          <w:sz w:val="32"/>
          <w:szCs w:val="32"/>
          <w:highlight w:val="none"/>
        </w:rPr>
        <w:t>十二、</w:t>
      </w:r>
      <w:bookmarkEnd w:id="63"/>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4" w:name="_Toc15396631"/>
      <w:r>
        <w:rPr>
          <w:rFonts w:hint="eastAsia" w:ascii="Times New Roman" w:hAnsi="Times New Roman" w:eastAsia="仿宋_GB2312" w:cs="仿宋_GB2312"/>
          <w:color w:val="auto"/>
          <w:sz w:val="32"/>
          <w:szCs w:val="32"/>
          <w:highlight w:val="none"/>
        </w:rPr>
        <w:t>十三、</w:t>
      </w:r>
      <w:bookmarkEnd w:id="64"/>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简体">
    <w:panose1 w:val="03000509000000000000"/>
    <w:charset w:val="86"/>
    <w:family w:val="script"/>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DFE90A3"/>
    <w:multiLevelType w:val="singleLevel"/>
    <w:tmpl w:val="9DFE90A3"/>
    <w:lvl w:ilvl="0" w:tentative="0">
      <w:start w:val="1"/>
      <w:numFmt w:val="decimal"/>
      <w:lvlText w:val="%1."/>
      <w:lvlJc w:val="left"/>
      <w:pPr>
        <w:tabs>
          <w:tab w:val="left" w:pos="312"/>
        </w:tabs>
      </w:p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8A38EA"/>
    <w:rsid w:val="01A23516"/>
    <w:rsid w:val="01C2701B"/>
    <w:rsid w:val="01D850EC"/>
    <w:rsid w:val="02317B1B"/>
    <w:rsid w:val="0274146F"/>
    <w:rsid w:val="028C1731"/>
    <w:rsid w:val="02FEBE30"/>
    <w:rsid w:val="036833F1"/>
    <w:rsid w:val="03E80636"/>
    <w:rsid w:val="03F40BDC"/>
    <w:rsid w:val="04281528"/>
    <w:rsid w:val="04593842"/>
    <w:rsid w:val="056B1273"/>
    <w:rsid w:val="056C5B08"/>
    <w:rsid w:val="05D71DBA"/>
    <w:rsid w:val="061E35DE"/>
    <w:rsid w:val="066E0107"/>
    <w:rsid w:val="07750B38"/>
    <w:rsid w:val="07996F6E"/>
    <w:rsid w:val="07DFD8BA"/>
    <w:rsid w:val="07EE3099"/>
    <w:rsid w:val="07F15C89"/>
    <w:rsid w:val="089B0F65"/>
    <w:rsid w:val="08DB07E4"/>
    <w:rsid w:val="09867E8F"/>
    <w:rsid w:val="09F45359"/>
    <w:rsid w:val="0A2032A3"/>
    <w:rsid w:val="0C4A4F37"/>
    <w:rsid w:val="0C6C4794"/>
    <w:rsid w:val="0CA8290A"/>
    <w:rsid w:val="0D35B1ED"/>
    <w:rsid w:val="0D6A1A32"/>
    <w:rsid w:val="0DE07E2B"/>
    <w:rsid w:val="0EBD2342"/>
    <w:rsid w:val="0F6E57DB"/>
    <w:rsid w:val="0F98263C"/>
    <w:rsid w:val="10180C8B"/>
    <w:rsid w:val="101860EC"/>
    <w:rsid w:val="10574322"/>
    <w:rsid w:val="10C055FF"/>
    <w:rsid w:val="11772AA4"/>
    <w:rsid w:val="118107EC"/>
    <w:rsid w:val="11D252D7"/>
    <w:rsid w:val="11D51BA2"/>
    <w:rsid w:val="123F1C65"/>
    <w:rsid w:val="12954E45"/>
    <w:rsid w:val="13500CA1"/>
    <w:rsid w:val="136F73E6"/>
    <w:rsid w:val="13957196"/>
    <w:rsid w:val="13D50BC4"/>
    <w:rsid w:val="14022904"/>
    <w:rsid w:val="148D5E2F"/>
    <w:rsid w:val="14CB58C6"/>
    <w:rsid w:val="14D14D09"/>
    <w:rsid w:val="14DA4072"/>
    <w:rsid w:val="152F2A07"/>
    <w:rsid w:val="153A18C5"/>
    <w:rsid w:val="16087CE3"/>
    <w:rsid w:val="165E0673"/>
    <w:rsid w:val="16BB723D"/>
    <w:rsid w:val="16E14291"/>
    <w:rsid w:val="16F13FCB"/>
    <w:rsid w:val="16F655BC"/>
    <w:rsid w:val="17EC1C97"/>
    <w:rsid w:val="186504BB"/>
    <w:rsid w:val="1938089F"/>
    <w:rsid w:val="19A041A9"/>
    <w:rsid w:val="19A445FC"/>
    <w:rsid w:val="1A4C2D16"/>
    <w:rsid w:val="1A845C98"/>
    <w:rsid w:val="1B3E7CCF"/>
    <w:rsid w:val="1B6B3258"/>
    <w:rsid w:val="1B7D550C"/>
    <w:rsid w:val="1BBD24F4"/>
    <w:rsid w:val="1BE8440E"/>
    <w:rsid w:val="1C07136A"/>
    <w:rsid w:val="1C5A2483"/>
    <w:rsid w:val="1CEC4937"/>
    <w:rsid w:val="1D155CEE"/>
    <w:rsid w:val="1D6C77E1"/>
    <w:rsid w:val="1DE178F3"/>
    <w:rsid w:val="1E740ACF"/>
    <w:rsid w:val="1ECD5144"/>
    <w:rsid w:val="1FD5447C"/>
    <w:rsid w:val="1FF35744"/>
    <w:rsid w:val="1FF6BC77"/>
    <w:rsid w:val="20D7086D"/>
    <w:rsid w:val="21601325"/>
    <w:rsid w:val="21962A9E"/>
    <w:rsid w:val="21AE7C77"/>
    <w:rsid w:val="221A54AA"/>
    <w:rsid w:val="227B26FA"/>
    <w:rsid w:val="227E7FF1"/>
    <w:rsid w:val="22BC3C41"/>
    <w:rsid w:val="23045289"/>
    <w:rsid w:val="23860B96"/>
    <w:rsid w:val="240371BF"/>
    <w:rsid w:val="247E173A"/>
    <w:rsid w:val="24A4602D"/>
    <w:rsid w:val="259D0C4C"/>
    <w:rsid w:val="25DC706C"/>
    <w:rsid w:val="25F34B38"/>
    <w:rsid w:val="260F557C"/>
    <w:rsid w:val="26412FE5"/>
    <w:rsid w:val="2680038A"/>
    <w:rsid w:val="26BF1957"/>
    <w:rsid w:val="2799350C"/>
    <w:rsid w:val="27A3523E"/>
    <w:rsid w:val="281408E2"/>
    <w:rsid w:val="2815047C"/>
    <w:rsid w:val="2867430B"/>
    <w:rsid w:val="290D2D75"/>
    <w:rsid w:val="291B76C4"/>
    <w:rsid w:val="299D16CB"/>
    <w:rsid w:val="29FD04D3"/>
    <w:rsid w:val="2B576FEB"/>
    <w:rsid w:val="2BE83467"/>
    <w:rsid w:val="2BFF7BC6"/>
    <w:rsid w:val="2C660A50"/>
    <w:rsid w:val="2C8A61B5"/>
    <w:rsid w:val="2C92082B"/>
    <w:rsid w:val="2D2E01CF"/>
    <w:rsid w:val="2DE75EEF"/>
    <w:rsid w:val="2DF04E50"/>
    <w:rsid w:val="2E9545B0"/>
    <w:rsid w:val="2F040D46"/>
    <w:rsid w:val="2FAE5751"/>
    <w:rsid w:val="2FB1A395"/>
    <w:rsid w:val="2FD9A7D8"/>
    <w:rsid w:val="300F6565"/>
    <w:rsid w:val="31416BB7"/>
    <w:rsid w:val="319F7F4E"/>
    <w:rsid w:val="31AB3301"/>
    <w:rsid w:val="321B2544"/>
    <w:rsid w:val="321F20B6"/>
    <w:rsid w:val="324F28A9"/>
    <w:rsid w:val="326B7066"/>
    <w:rsid w:val="32883F38"/>
    <w:rsid w:val="3304709D"/>
    <w:rsid w:val="332B2477"/>
    <w:rsid w:val="335E5A94"/>
    <w:rsid w:val="33737980"/>
    <w:rsid w:val="33844C7A"/>
    <w:rsid w:val="34281836"/>
    <w:rsid w:val="345F6268"/>
    <w:rsid w:val="3485615F"/>
    <w:rsid w:val="349D6851"/>
    <w:rsid w:val="34A87416"/>
    <w:rsid w:val="35BA6CAF"/>
    <w:rsid w:val="35D3587B"/>
    <w:rsid w:val="35D37231"/>
    <w:rsid w:val="364D14C1"/>
    <w:rsid w:val="36AA5135"/>
    <w:rsid w:val="36BE0DA7"/>
    <w:rsid w:val="36D57E2A"/>
    <w:rsid w:val="376B6AA6"/>
    <w:rsid w:val="376D39B2"/>
    <w:rsid w:val="37E16F03"/>
    <w:rsid w:val="37F53A3B"/>
    <w:rsid w:val="38495AFF"/>
    <w:rsid w:val="387C2C46"/>
    <w:rsid w:val="38835E21"/>
    <w:rsid w:val="389B6C89"/>
    <w:rsid w:val="38D469F0"/>
    <w:rsid w:val="38D90954"/>
    <w:rsid w:val="390446D9"/>
    <w:rsid w:val="39627CCD"/>
    <w:rsid w:val="397BAF1F"/>
    <w:rsid w:val="3A8A2891"/>
    <w:rsid w:val="3AB79AF3"/>
    <w:rsid w:val="3B7EF35A"/>
    <w:rsid w:val="3B9FDB6C"/>
    <w:rsid w:val="3BF5BC2F"/>
    <w:rsid w:val="3CEBA265"/>
    <w:rsid w:val="3D4C66CF"/>
    <w:rsid w:val="3D66282C"/>
    <w:rsid w:val="3D737988"/>
    <w:rsid w:val="3D89685C"/>
    <w:rsid w:val="3D98207C"/>
    <w:rsid w:val="3D9B0D99"/>
    <w:rsid w:val="3DEE7CF3"/>
    <w:rsid w:val="3DF02244"/>
    <w:rsid w:val="3E78745D"/>
    <w:rsid w:val="3EF40CFF"/>
    <w:rsid w:val="3FE734AD"/>
    <w:rsid w:val="3FF4CAE0"/>
    <w:rsid w:val="3FF7B227"/>
    <w:rsid w:val="40E54C45"/>
    <w:rsid w:val="410C6AD6"/>
    <w:rsid w:val="41100488"/>
    <w:rsid w:val="41313393"/>
    <w:rsid w:val="41DF31A6"/>
    <w:rsid w:val="42DD135C"/>
    <w:rsid w:val="43A407DF"/>
    <w:rsid w:val="44515BEA"/>
    <w:rsid w:val="44E24C28"/>
    <w:rsid w:val="44E268DA"/>
    <w:rsid w:val="453F7E5B"/>
    <w:rsid w:val="46645646"/>
    <w:rsid w:val="47D61D55"/>
    <w:rsid w:val="48365F96"/>
    <w:rsid w:val="486A6C7A"/>
    <w:rsid w:val="48E8278F"/>
    <w:rsid w:val="49176D9B"/>
    <w:rsid w:val="494006BD"/>
    <w:rsid w:val="498A6790"/>
    <w:rsid w:val="49C757B4"/>
    <w:rsid w:val="49EC385F"/>
    <w:rsid w:val="4A12114B"/>
    <w:rsid w:val="4A627F82"/>
    <w:rsid w:val="4AF77237"/>
    <w:rsid w:val="4B0E749A"/>
    <w:rsid w:val="4B4F25DA"/>
    <w:rsid w:val="4B85736B"/>
    <w:rsid w:val="4BD25552"/>
    <w:rsid w:val="4BDA0CFB"/>
    <w:rsid w:val="4BE068DB"/>
    <w:rsid w:val="4D3C0CCC"/>
    <w:rsid w:val="4D463663"/>
    <w:rsid w:val="4D577224"/>
    <w:rsid w:val="4D8F2BEC"/>
    <w:rsid w:val="4DBF1CEB"/>
    <w:rsid w:val="4DEB2E5A"/>
    <w:rsid w:val="4E30054D"/>
    <w:rsid w:val="4EAB630A"/>
    <w:rsid w:val="4ECE2238"/>
    <w:rsid w:val="4F833267"/>
    <w:rsid w:val="4FE9BD67"/>
    <w:rsid w:val="4FFB052F"/>
    <w:rsid w:val="50144D2D"/>
    <w:rsid w:val="505B2D6C"/>
    <w:rsid w:val="519C3E55"/>
    <w:rsid w:val="52092E0F"/>
    <w:rsid w:val="528D11C9"/>
    <w:rsid w:val="52D37438"/>
    <w:rsid w:val="53083A92"/>
    <w:rsid w:val="53091287"/>
    <w:rsid w:val="534E3E00"/>
    <w:rsid w:val="537E6D0A"/>
    <w:rsid w:val="53AF27A2"/>
    <w:rsid w:val="53F74C96"/>
    <w:rsid w:val="54E80C75"/>
    <w:rsid w:val="56E47B74"/>
    <w:rsid w:val="57BD3DD4"/>
    <w:rsid w:val="59B80743"/>
    <w:rsid w:val="59E86F2B"/>
    <w:rsid w:val="5A3362DB"/>
    <w:rsid w:val="5A370433"/>
    <w:rsid w:val="5A561CC9"/>
    <w:rsid w:val="5AF92295"/>
    <w:rsid w:val="5B114636"/>
    <w:rsid w:val="5B93423E"/>
    <w:rsid w:val="5BBC188F"/>
    <w:rsid w:val="5BC2722F"/>
    <w:rsid w:val="5BDD79E6"/>
    <w:rsid w:val="5BF561CA"/>
    <w:rsid w:val="5BFF5DFC"/>
    <w:rsid w:val="5C4B28CC"/>
    <w:rsid w:val="5C7A2F97"/>
    <w:rsid w:val="5CD71FC4"/>
    <w:rsid w:val="5CFF09C2"/>
    <w:rsid w:val="5D1F11B5"/>
    <w:rsid w:val="5DAE1B18"/>
    <w:rsid w:val="5DE7D9E5"/>
    <w:rsid w:val="5E785372"/>
    <w:rsid w:val="5ECEC941"/>
    <w:rsid w:val="5F08289D"/>
    <w:rsid w:val="5F27602D"/>
    <w:rsid w:val="5F493CB7"/>
    <w:rsid w:val="5F796232"/>
    <w:rsid w:val="5FBF9FF3"/>
    <w:rsid w:val="5FCD4E2C"/>
    <w:rsid w:val="5FD15F49"/>
    <w:rsid w:val="5FEF394A"/>
    <w:rsid w:val="5FF67715"/>
    <w:rsid w:val="60417BBC"/>
    <w:rsid w:val="6059422B"/>
    <w:rsid w:val="60F04AA6"/>
    <w:rsid w:val="61BB7F97"/>
    <w:rsid w:val="61BF0A3B"/>
    <w:rsid w:val="625F7F85"/>
    <w:rsid w:val="627059FC"/>
    <w:rsid w:val="62BF3928"/>
    <w:rsid w:val="62C572F5"/>
    <w:rsid w:val="62F362BD"/>
    <w:rsid w:val="63311918"/>
    <w:rsid w:val="63AA66B4"/>
    <w:rsid w:val="63BC7A08"/>
    <w:rsid w:val="63C92BF9"/>
    <w:rsid w:val="647F5392"/>
    <w:rsid w:val="65546586"/>
    <w:rsid w:val="656A6C1B"/>
    <w:rsid w:val="65A55D62"/>
    <w:rsid w:val="65D56A04"/>
    <w:rsid w:val="65EC3C34"/>
    <w:rsid w:val="664B1D71"/>
    <w:rsid w:val="66A95A0F"/>
    <w:rsid w:val="67634DAF"/>
    <w:rsid w:val="67AA3209"/>
    <w:rsid w:val="681C4F0D"/>
    <w:rsid w:val="686A6038"/>
    <w:rsid w:val="68E53FE0"/>
    <w:rsid w:val="68FC1F1C"/>
    <w:rsid w:val="69046D0F"/>
    <w:rsid w:val="698D0931"/>
    <w:rsid w:val="69B22DC3"/>
    <w:rsid w:val="6A993CED"/>
    <w:rsid w:val="6ACC7C89"/>
    <w:rsid w:val="6AD5355A"/>
    <w:rsid w:val="6B053271"/>
    <w:rsid w:val="6BCE6674"/>
    <w:rsid w:val="6BE4198F"/>
    <w:rsid w:val="6C4A05C8"/>
    <w:rsid w:val="6C8742B8"/>
    <w:rsid w:val="6C8A170F"/>
    <w:rsid w:val="6CB54609"/>
    <w:rsid w:val="6CDB180C"/>
    <w:rsid w:val="6D977B24"/>
    <w:rsid w:val="6DBF5E93"/>
    <w:rsid w:val="6DD70233"/>
    <w:rsid w:val="6DFF077E"/>
    <w:rsid w:val="6E7E3605"/>
    <w:rsid w:val="6E7FDCC7"/>
    <w:rsid w:val="6ED6A62E"/>
    <w:rsid w:val="6EE00B15"/>
    <w:rsid w:val="6F090E76"/>
    <w:rsid w:val="6F544B20"/>
    <w:rsid w:val="6F6FB3EB"/>
    <w:rsid w:val="6F784160"/>
    <w:rsid w:val="6F8731EA"/>
    <w:rsid w:val="6FCE6052"/>
    <w:rsid w:val="6FD57C00"/>
    <w:rsid w:val="6FEFFFD8"/>
    <w:rsid w:val="6FF5CC65"/>
    <w:rsid w:val="6FFB47EC"/>
    <w:rsid w:val="6FFF034A"/>
    <w:rsid w:val="703742ED"/>
    <w:rsid w:val="7046121D"/>
    <w:rsid w:val="70496804"/>
    <w:rsid w:val="712A28F1"/>
    <w:rsid w:val="715C0E4B"/>
    <w:rsid w:val="71E25A0A"/>
    <w:rsid w:val="72202B1F"/>
    <w:rsid w:val="72211C3F"/>
    <w:rsid w:val="72233669"/>
    <w:rsid w:val="726D666B"/>
    <w:rsid w:val="72734D90"/>
    <w:rsid w:val="72FC1564"/>
    <w:rsid w:val="7332FE48"/>
    <w:rsid w:val="73AB61DA"/>
    <w:rsid w:val="73AD73D5"/>
    <w:rsid w:val="73B6EB34"/>
    <w:rsid w:val="73FA497D"/>
    <w:rsid w:val="744731E5"/>
    <w:rsid w:val="74527205"/>
    <w:rsid w:val="74556C3D"/>
    <w:rsid w:val="74BBD01D"/>
    <w:rsid w:val="74ED5379"/>
    <w:rsid w:val="74FC2395"/>
    <w:rsid w:val="75153F14"/>
    <w:rsid w:val="75DEEEC2"/>
    <w:rsid w:val="7614574D"/>
    <w:rsid w:val="764E6A4A"/>
    <w:rsid w:val="76E3355F"/>
    <w:rsid w:val="76FF5125"/>
    <w:rsid w:val="77250117"/>
    <w:rsid w:val="77460320"/>
    <w:rsid w:val="7767711D"/>
    <w:rsid w:val="776F6FFA"/>
    <w:rsid w:val="777155E5"/>
    <w:rsid w:val="777C5F95"/>
    <w:rsid w:val="778769C8"/>
    <w:rsid w:val="77DC22F5"/>
    <w:rsid w:val="7809438E"/>
    <w:rsid w:val="783519C4"/>
    <w:rsid w:val="79086DAD"/>
    <w:rsid w:val="796710E1"/>
    <w:rsid w:val="79974F09"/>
    <w:rsid w:val="79C94063"/>
    <w:rsid w:val="79D7FD79"/>
    <w:rsid w:val="79E04BC1"/>
    <w:rsid w:val="79EE5BA4"/>
    <w:rsid w:val="79F74133"/>
    <w:rsid w:val="7A894339"/>
    <w:rsid w:val="7AFF7572"/>
    <w:rsid w:val="7B342FB6"/>
    <w:rsid w:val="7B6C7DFB"/>
    <w:rsid w:val="7BA579DF"/>
    <w:rsid w:val="7BBFBED0"/>
    <w:rsid w:val="7BC3E394"/>
    <w:rsid w:val="7BE043EF"/>
    <w:rsid w:val="7C1F3737"/>
    <w:rsid w:val="7CBFC87B"/>
    <w:rsid w:val="7CF0769F"/>
    <w:rsid w:val="7CFE0F48"/>
    <w:rsid w:val="7D4E5D46"/>
    <w:rsid w:val="7D7EC23E"/>
    <w:rsid w:val="7D916348"/>
    <w:rsid w:val="7E8ADEBF"/>
    <w:rsid w:val="7EEF11D3"/>
    <w:rsid w:val="7F0971A6"/>
    <w:rsid w:val="7F14243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0">
    <w:name w:val="Header Char"/>
    <w:basedOn w:val="17"/>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7"/>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7"/>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文档正文"/>
    <w:basedOn w:val="1"/>
    <w:qFormat/>
    <w:uiPriority w:val="0"/>
    <w:pPr>
      <w:spacing w:line="480" w:lineRule="atLeast"/>
    </w:pPr>
    <w:rPr>
      <w:rFonts w:ascii="Arial" w:hAnsi="Arial" w:eastAsia="Arial Unicode MS"/>
      <w:color w:val="000000"/>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12</TotalTime>
  <ScaleCrop>false</ScaleCrop>
  <LinksUpToDate>false</LinksUpToDate>
  <CharactersWithSpaces>8692</CharactersWithSpaces>
  <Application>WPS Office_..._F1E327BC-269C-435d-A152-05C5408002CA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China</cp:lastModifiedBy>
  <cp:lastPrinted>2026-08-03T09:27:00Z</cp:lastPrinted>
  <dcterms:modified xsi:type="dcterms:W3CDTF">2026-09-17T02:49:34Z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vt:lpwstr>
  </property>
  <property fmtid="{D5CDD505-2E9C-101B-9397-08002B2CF9AE}" pid="3" name="ICV">
    <vt:lpwstr>400D301575C74348A5277D00A7902E06</vt:lpwstr>
  </property>
</Properties>
</file>