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colors5.xml" ContentType="application/vnd.ms-office.chartcolorstyle+xml"/>
  <Override PartName="/word/charts/colors6.xml" ContentType="application/vnd.ms-office.chartcolorstyle+xml"/>
  <Override PartName="/word/charts/colors7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charts/style5.xml" ContentType="application/vnd.ms-office.chartstyle+xml"/>
  <Override PartName="/word/charts/style6.xml" ContentType="application/vnd.ms-office.chartstyle+xml"/>
  <Override PartName="/word/charts/style7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3BF53">
      <w:pPr>
        <w:jc w:val="center"/>
        <w:rPr>
          <w:rFonts w:hint="default" w:ascii="Times New Roman" w:hAnsi="Times New Roman" w:eastAsia="黑体" w:cs="Times New Roman"/>
          <w:sz w:val="44"/>
          <w:szCs w:val="44"/>
        </w:rPr>
      </w:pPr>
      <w:bookmarkStart w:id="32" w:name="_GoBack"/>
    </w:p>
    <w:p w14:paraId="788F3BAD">
      <w:pPr>
        <w:jc w:val="center"/>
        <w:rPr>
          <w:rFonts w:hint="default" w:ascii="Times New Roman" w:hAnsi="Times New Roman" w:eastAsia="黑体" w:cs="Times New Roman"/>
          <w:sz w:val="44"/>
          <w:szCs w:val="44"/>
        </w:rPr>
      </w:pPr>
    </w:p>
    <w:p w14:paraId="4BB344EB">
      <w:pPr>
        <w:jc w:val="center"/>
        <w:rPr>
          <w:rFonts w:hint="default" w:ascii="Times New Roman" w:hAnsi="Times New Roman" w:eastAsia="黑体" w:cs="Times New Roman"/>
          <w:sz w:val="44"/>
          <w:szCs w:val="44"/>
        </w:rPr>
      </w:pPr>
    </w:p>
    <w:p w14:paraId="7A7D1DD3">
      <w:pPr>
        <w:jc w:val="center"/>
        <w:rPr>
          <w:rFonts w:hint="default" w:ascii="Times New Roman" w:hAnsi="Times New Roman" w:eastAsia="黑体" w:cs="Times New Roman"/>
          <w:sz w:val="44"/>
          <w:szCs w:val="44"/>
        </w:rPr>
      </w:pPr>
    </w:p>
    <w:p w14:paraId="031DAEDA">
      <w:pPr>
        <w:jc w:val="center"/>
        <w:rPr>
          <w:rFonts w:hint="default" w:ascii="Times New Roman" w:hAnsi="Times New Roman" w:eastAsia="黑体" w:cs="Times New Roman"/>
          <w:sz w:val="44"/>
          <w:szCs w:val="44"/>
        </w:rPr>
      </w:pPr>
    </w:p>
    <w:p w14:paraId="7C410E84">
      <w:pPr>
        <w:jc w:val="center"/>
        <w:rPr>
          <w:rFonts w:hint="default" w:ascii="Times New Roman" w:hAnsi="Times New Roman" w:eastAsia="黑体" w:cs="Times New Roman"/>
          <w:sz w:val="44"/>
          <w:szCs w:val="44"/>
        </w:rPr>
      </w:pPr>
    </w:p>
    <w:p w14:paraId="3CD107C6">
      <w:pPr>
        <w:ind w:left="0" w:leftChars="0" w:right="0" w:rightChars="0" w:firstLine="0" w:firstLineChars="0"/>
        <w:jc w:val="center"/>
        <w:rPr>
          <w:rFonts w:hint="default" w:ascii="Times New Roman" w:hAnsi="Times New Roman" w:eastAsia="黑体" w:cs="Times New Roman"/>
          <w:sz w:val="44"/>
          <w:szCs w:val="44"/>
        </w:rPr>
      </w:pPr>
    </w:p>
    <w:p w14:paraId="514C431F">
      <w:pPr>
        <w:ind w:left="0" w:leftChars="0" w:right="0" w:rightChars="0" w:firstLine="0" w:firstLineChars="0"/>
        <w:jc w:val="center"/>
        <w:rPr>
          <w:rFonts w:hint="default" w:ascii="Times New Roman" w:hAnsi="Times New Roman" w:eastAsia="黑体" w:cs="Times New Roman"/>
          <w:sz w:val="44"/>
          <w:szCs w:val="44"/>
        </w:rPr>
      </w:pPr>
    </w:p>
    <w:p w14:paraId="1E16FE41">
      <w:pPr>
        <w:ind w:left="0" w:leftChars="0" w:right="0" w:rightChars="0" w:firstLine="0" w:firstLineChars="0"/>
        <w:jc w:val="center"/>
        <w:rPr>
          <w:rFonts w:hint="default" w:ascii="Times New Roman" w:hAnsi="Times New Roman" w:eastAsia="黑体" w:cs="Times New Roman"/>
          <w:sz w:val="44"/>
          <w:szCs w:val="44"/>
        </w:rPr>
      </w:pPr>
    </w:p>
    <w:p w14:paraId="21BB5327">
      <w:pPr>
        <w:ind w:left="0" w:leftChars="0" w:right="0" w:rightChars="0" w:firstLine="0" w:firstLineChars="0"/>
        <w:jc w:val="center"/>
        <w:rPr>
          <w:rFonts w:hint="default" w:ascii="Times New Roman" w:hAnsi="Times New Roman" w:eastAsia="黑体" w:cs="Times New Roman"/>
          <w:sz w:val="44"/>
          <w:szCs w:val="44"/>
        </w:rPr>
      </w:pPr>
      <w:r>
        <w:rPr>
          <w:rFonts w:hint="default" w:ascii="Times New Roman" w:hAnsi="Times New Roman" w:eastAsia="黑体" w:cs="Times New Roman"/>
          <w:sz w:val="44"/>
          <w:szCs w:val="44"/>
        </w:rPr>
        <w:t>2025年度阿坝藏族羌族自治州</w:t>
      </w:r>
    </w:p>
    <w:p w14:paraId="6D13014B">
      <w:pPr>
        <w:ind w:left="0" w:leftChars="0" w:right="0" w:rightChars="0" w:firstLine="0" w:firstLineChars="0"/>
        <w:jc w:val="center"/>
        <w:rPr>
          <w:rFonts w:hint="default" w:ascii="Times New Roman" w:hAnsi="Times New Roman" w:eastAsia="黑体" w:cs="Times New Roman"/>
          <w:sz w:val="44"/>
          <w:szCs w:val="44"/>
        </w:rPr>
      </w:pPr>
      <w:r>
        <w:rPr>
          <w:rFonts w:hint="default" w:ascii="Times New Roman" w:hAnsi="Times New Roman" w:eastAsia="黑体" w:cs="Times New Roman"/>
          <w:sz w:val="44"/>
          <w:szCs w:val="44"/>
        </w:rPr>
        <w:t>全域旅游研究所部门决算</w:t>
      </w:r>
    </w:p>
    <w:p w14:paraId="6E649BD1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31EA878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1C21A114">
      <w:pPr>
        <w:ind w:left="0" w:leftChars="0" w:right="0" w:rightChars="0" w:firstLine="0" w:firstLineChars="0"/>
        <w:jc w:val="center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公开时间：2026年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 xml:space="preserve"> 月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日</w:t>
      </w:r>
    </w:p>
    <w:p w14:paraId="6F6A3E41">
      <w:pPr>
        <w:spacing w:after="240" w:line="720" w:lineRule="exact"/>
        <w:jc w:val="center"/>
        <w:rPr>
          <w:rFonts w:hint="default" w:ascii="Times New Roman" w:hAnsi="Times New Roman" w:eastAsia="黑体" w:cs="Times New Roman"/>
          <w:b/>
          <w:sz w:val="32"/>
        </w:rPr>
      </w:pPr>
    </w:p>
    <w:p w14:paraId="039773E6">
      <w:pPr>
        <w:spacing w:after="240" w:line="720" w:lineRule="exact"/>
        <w:jc w:val="both"/>
        <w:rPr>
          <w:rFonts w:hint="default" w:ascii="Times New Roman" w:hAnsi="Times New Roman" w:eastAsia="黑体" w:cs="Times New Roman"/>
          <w:b/>
          <w:sz w:val="32"/>
        </w:rPr>
      </w:pPr>
    </w:p>
    <w:p w14:paraId="52C3D82E">
      <w:p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br w:type="page"/>
      </w:r>
    </w:p>
    <w:sdt>
      <w:sdt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id w:val="67558383"/>
        <w15:color w:val="DBDBDB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方正仿宋_GB2312" w:cs="Times New Roman"/>
          <w:b/>
          <w:kern w:val="2"/>
          <w:sz w:val="24"/>
          <w:szCs w:val="24"/>
          <w:lang w:val="en-US" w:eastAsia="zh-CN" w:bidi="ar-SA"/>
        </w:rPr>
      </w:sdtEndPr>
      <w:sdtContent>
        <w:p w14:paraId="0F78E850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" w:hAnsi="Times New Roman" w:eastAsia="黑体" w:cs="Times New Roman"/>
              <w:kern w:val="2"/>
              <w:sz w:val="28"/>
              <w:szCs w:val="28"/>
              <w:lang w:val="en-US" w:eastAsia="zh-CN" w:bidi="ar-SA"/>
            </w:rPr>
          </w:pPr>
          <w:r>
            <w:rPr>
              <w:rFonts w:hint="default" w:ascii="Times New Roman" w:hAnsi="Times New Roman" w:eastAsia="黑体" w:cs="Times New Roman"/>
              <w:kern w:val="2"/>
              <w:sz w:val="28"/>
              <w:szCs w:val="28"/>
              <w:lang w:val="en-US" w:eastAsia="zh-CN" w:bidi="ar-SA"/>
            </w:rPr>
            <w:t>目</w:t>
          </w:r>
          <w:r>
            <w:rPr>
              <w:rFonts w:hint="default" w:ascii="Times New Roman" w:hAnsi="Times New Roman" w:eastAsia="黑体" w:cs="Times New Roman"/>
              <w:kern w:val="2"/>
              <w:sz w:val="28"/>
              <w:szCs w:val="28"/>
              <w:lang w:val="en-US" w:eastAsia="zh-CN" w:bidi="ar-SA"/>
            </w:rPr>
            <w:t xml:space="preserve">  </w:t>
          </w:r>
          <w:r>
            <w:rPr>
              <w:rFonts w:hint="default" w:ascii="Times New Roman" w:hAnsi="Times New Roman" w:eastAsia="黑体" w:cs="Times New Roman"/>
              <w:kern w:val="2"/>
              <w:sz w:val="28"/>
              <w:szCs w:val="28"/>
              <w:lang w:val="en-US" w:eastAsia="zh-CN" w:bidi="ar-SA"/>
            </w:rPr>
            <w:t>录</w:t>
          </w:r>
        </w:p>
        <w:p w14:paraId="4FFCFBA1">
          <w:pPr>
            <w:pStyle w:val="4"/>
            <w:tabs>
              <w:tab w:val="right" w:leader="dot" w:pos="8845"/>
            </w:tabs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instrText xml:space="preserve">TOC \o "1-2" \h \u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separate"/>
          </w:r>
          <w:r>
            <w:rPr>
              <w:rFonts w:hint="default" w:ascii="Times New Roman" w:hAnsi="Times New Roman" w:eastAsia="方正仿宋_GB2312" w:cs="Times New Roman"/>
              <w:kern w:val="2"/>
              <w:sz w:val="28"/>
              <w:szCs w:val="28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8"/>
              <w:szCs w:val="28"/>
              <w:lang w:eastAsia="zh-CN"/>
            </w:rPr>
            <w:instrText xml:space="preserve"> HYPERLINK \l _Toc305770072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8"/>
              <w:szCs w:val="28"/>
              <w:lang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t>第一部分 部门概况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_Toc305770072 \h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4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方正仿宋_GB2312" w:cs="Times New Roman"/>
              <w:kern w:val="2"/>
              <w:sz w:val="28"/>
              <w:szCs w:val="28"/>
              <w:lang w:eastAsia="zh-CN"/>
            </w:rPr>
            <w:fldChar w:fldCharType="end"/>
          </w:r>
        </w:p>
        <w:p w14:paraId="079650E4">
          <w:pPr>
            <w:pStyle w:val="5"/>
            <w:tabs>
              <w:tab w:val="right" w:leader="dot" w:pos="8845"/>
            </w:tabs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instrText xml:space="preserve"> HYPERLINK \l _Toc1383215771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一、部门职责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PAGEREF _Toc1383215771 \h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</w:rPr>
            <w:t>4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end"/>
          </w:r>
        </w:p>
        <w:p w14:paraId="1A1E0E36">
          <w:pPr>
            <w:pStyle w:val="5"/>
            <w:tabs>
              <w:tab w:val="right" w:leader="dot" w:pos="8845"/>
            </w:tabs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instrText xml:space="preserve"> HYPERLINK \l _Toc1861049670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二、机构设置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PAGEREF _Toc1861049670 \h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</w:rPr>
            <w:t>4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end"/>
          </w:r>
        </w:p>
        <w:p w14:paraId="6F416DC7">
          <w:pPr>
            <w:pStyle w:val="4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instrText xml:space="preserve"> HYPERLINK \l _Toc1763979881 </w:instrTex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t>第二部分 2025年度部门决算情况说明</w: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instrText xml:space="preserve"> PAGEREF _Toc1763979881 \h </w:instrTex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t>5</w: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end"/>
          </w:r>
        </w:p>
        <w:p w14:paraId="2D35632A">
          <w:pPr>
            <w:pStyle w:val="5"/>
            <w:tabs>
              <w:tab w:val="right" w:leader="dot" w:pos="8845"/>
            </w:tabs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instrText xml:space="preserve"> HYPERLINK \l _Toc1646949990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一、收入支出决算总体情况说明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PAGEREF _Toc1646949990 \h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</w:rPr>
            <w:t>5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end"/>
          </w:r>
        </w:p>
        <w:p w14:paraId="68368AFB">
          <w:pPr>
            <w:pStyle w:val="5"/>
            <w:tabs>
              <w:tab w:val="right" w:leader="dot" w:pos="8845"/>
            </w:tabs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instrText xml:space="preserve"> HYPERLINK \l _Toc1491029210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二、收入决算情况说明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PAGEREF _Toc1491029210 \h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</w:rPr>
            <w:t>5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end"/>
          </w:r>
        </w:p>
        <w:p w14:paraId="26E62B52">
          <w:pPr>
            <w:pStyle w:val="5"/>
            <w:tabs>
              <w:tab w:val="right" w:leader="dot" w:pos="8845"/>
            </w:tabs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instrText xml:space="preserve"> HYPERLINK \l _Toc136487915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三、支出决算情况说明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PAGEREF _Toc136487915 \h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</w:rPr>
            <w:t>6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end"/>
          </w:r>
        </w:p>
        <w:p w14:paraId="6306E9ED">
          <w:pPr>
            <w:pStyle w:val="5"/>
            <w:tabs>
              <w:tab w:val="right" w:leader="dot" w:pos="8845"/>
            </w:tabs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instrText xml:space="preserve"> HYPERLINK \l _Toc964146586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四、财政拨款收入支出决算总体情况说明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PAGEREF _Toc964146586 \h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</w:rPr>
            <w:t>7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end"/>
          </w:r>
        </w:p>
        <w:p w14:paraId="2A4F5ED6">
          <w:pPr>
            <w:pStyle w:val="5"/>
            <w:tabs>
              <w:tab w:val="right" w:leader="dot" w:pos="8845"/>
            </w:tabs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instrText xml:space="preserve"> HYPERLINK \l _Toc1466537841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五、一般公共预算财政拨款支出决算情况说明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PAGEREF _Toc1466537841 \h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</w:rPr>
            <w:t>7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end"/>
          </w:r>
        </w:p>
        <w:p w14:paraId="123C63BC">
          <w:pPr>
            <w:pStyle w:val="5"/>
            <w:tabs>
              <w:tab w:val="right" w:leader="dot" w:pos="8845"/>
            </w:tabs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instrText xml:space="preserve"> HYPERLINK \l _Toc169021122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六、一般公共预算财政拨款基本支出决算情况说明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PAGEREF _Toc169021122 \h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</w:rPr>
            <w:t>9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end"/>
          </w:r>
        </w:p>
        <w:p w14:paraId="04B9E6E8">
          <w:pPr>
            <w:pStyle w:val="5"/>
            <w:tabs>
              <w:tab w:val="right" w:leader="dot" w:pos="8845"/>
            </w:tabs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instrText xml:space="preserve"> HYPERLINK \l _Toc103909466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七、财政拨款“三公”经费支出决算情况说明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PAGEREF _Toc103909466 \h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</w:rPr>
            <w:t>10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end"/>
          </w:r>
        </w:p>
        <w:p w14:paraId="42CD9254">
          <w:pPr>
            <w:pStyle w:val="5"/>
            <w:tabs>
              <w:tab w:val="right" w:leader="dot" w:pos="8845"/>
            </w:tabs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instrText xml:space="preserve"> HYPERLINK \l _Toc382805435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八、政府性基金预算支出决算情况说明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PAGEREF _Toc382805435 \h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</w:rPr>
            <w:t>11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end"/>
          </w:r>
        </w:p>
        <w:p w14:paraId="17BCFB43">
          <w:pPr>
            <w:pStyle w:val="5"/>
            <w:tabs>
              <w:tab w:val="right" w:leader="dot" w:pos="8845"/>
            </w:tabs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instrText xml:space="preserve"> HYPERLINK \l _Toc1572461388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九、国有资本经营预算支出决算情况说明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PAGEREF _Toc1572461388 \h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</w:rPr>
            <w:t>11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end"/>
          </w:r>
        </w:p>
        <w:p w14:paraId="1F6453BF">
          <w:pPr>
            <w:pStyle w:val="5"/>
            <w:tabs>
              <w:tab w:val="right" w:leader="dot" w:pos="8845"/>
            </w:tabs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begin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instrText xml:space="preserve"> HYPERLINK \l _Toc1220681609 </w:instrText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十、其他重要事项的情况说明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PAGEREF _Toc1220681609 \h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</w:rPr>
            <w:t>11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end"/>
          </w:r>
        </w:p>
        <w:p w14:paraId="365130DA">
          <w:pPr>
            <w:pStyle w:val="4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instrText xml:space="preserve"> HYPERLINK \l _Toc2049934333 </w:instrTex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t>第三部分 名词解释</w: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instrText xml:space="preserve"> PAGEREF _Toc2049934333 \h </w:instrTex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t>12</w: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end"/>
          </w:r>
        </w:p>
        <w:p w14:paraId="15C7DAD5">
          <w:pPr>
            <w:pStyle w:val="4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instrText xml:space="preserve"> HYPERLINK \l _Toc2100806452 </w:instrTex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t>第四部分 附件</w: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instrText xml:space="preserve"> PAGEREF _Toc2100806452 \h </w:instrTex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t>14</w: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end"/>
          </w:r>
        </w:p>
        <w:p w14:paraId="6BBA7957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_Toc1746762558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附件1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：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2025年度部门预算绩效评价报告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_Toc1746762558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14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07D2C07E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_Toc323687577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附件2：项目绩效自评表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_Toc323687577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18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635F0DC0">
          <w:pPr>
            <w:pStyle w:val="4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instrText xml:space="preserve"> HYPERLINK \l _Toc1038948700 </w:instrTex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zh-CN" w:eastAsia="zh-CN"/>
            </w:rPr>
            <w:t>第五部分 附表</w: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instrText xml:space="preserve"> PAGEREF _Toc1038948700 \h </w:instrTex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8"/>
              <w:szCs w:val="28"/>
              <w:lang w:val="en-US" w:eastAsia="zh-CN"/>
            </w:rPr>
            <w:fldChar w:fldCharType="end"/>
          </w:r>
        </w:p>
        <w:p w14:paraId="2276287E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_Toc1832149840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1.收入支出决算总表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_Toc1832149840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423CBCAE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_Toc1472788261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2.收入决算表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_Toc1472788261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00FB9311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_Toc247037117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3.支出决算表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_Toc247037117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0414DDD1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_Toc1655668294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4.财政拨款收入支出决算总表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_Toc1655668294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2EA8B27B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_Toc915230031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5.财政拨款支出决算明细表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_Toc915230031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41F180FA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_Toc1547024271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6.一般公共预算财政拨款支出决算表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_Toc1547024271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70584C75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_Toc2120245262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7.一般公共预算财政拨款支出决算明细表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_Toc2120245262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4AC6D14C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_Toc627265820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8.一般公共预算财政拨款基本支出决算明细表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_Toc627265820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573C1BBE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_Toc644470144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9.一般公共预算财政拨款项目支出决算表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_Toc644470144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7EA8390B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_Toc1112190656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10.政府性基金预算财政拨款收入支出决算表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_Toc1112190656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0A7E22DE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_Toc648955578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11.国有资本经营预算财政拨款收入支出决算表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_Toc648955578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19B559FE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_Toc1262352051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12.国有资本经营预算财政拨款支出决算表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_Toc1262352051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341A651D">
          <w:pPr>
            <w:pStyle w:val="5"/>
            <w:tabs>
              <w:tab w:val="right" w:leader="dot" w:pos="8845"/>
            </w:tabs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</w:pP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HYPERLINK \l _Toc1417960728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13.财政拨款“三公”经费支出决算表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ab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instrText xml:space="preserve"> PAGEREF _Toc1417960728 \h </w:instrTex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t>19</w:t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  <w:r>
            <w:rPr>
              <w:rFonts w:hint="default" w:ascii="Times New Roman" w:hAnsi="Times New Roman" w:eastAsia="黑体" w:cs="Times New Roman"/>
              <w:sz w:val="24"/>
              <w:szCs w:val="24"/>
              <w:lang w:val="en-US" w:eastAsia="zh-CN"/>
            </w:rPr>
            <w:fldChar w:fldCharType="end"/>
          </w:r>
        </w:p>
        <w:p w14:paraId="4487F5F5">
          <w:pPr>
            <w:widowControl w:val="0"/>
            <w:spacing w:after="120" w:line="360" w:lineRule="auto"/>
            <w:jc w:val="both"/>
            <w:rPr>
              <w:rFonts w:hint="default" w:ascii="Times New Roman" w:hAnsi="Times New Roman" w:eastAsia="方正仿宋_GB2312" w:cs="Times New Roman"/>
              <w:sz w:val="32"/>
              <w:szCs w:val="32"/>
            </w:rPr>
          </w:pPr>
          <w:r>
            <w:rPr>
              <w:rFonts w:hint="default" w:ascii="Times New Roman" w:hAnsi="Times New Roman" w:eastAsia="方正仿宋_GB2312" w:cs="Times New Roman"/>
              <w:kern w:val="2"/>
              <w:sz w:val="24"/>
              <w:szCs w:val="24"/>
              <w:lang w:eastAsia="zh-CN"/>
            </w:rPr>
            <w:fldChar w:fldCharType="end"/>
          </w:r>
        </w:p>
      </w:sdtContent>
    </w:sdt>
    <w:p w14:paraId="27839E2E">
      <w:pPr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br w:type="page"/>
      </w:r>
    </w:p>
    <w:p w14:paraId="6C3BD1F6">
      <w:pPr>
        <w:numPr>
          <w:ilvl w:val="0"/>
          <w:numId w:val="0"/>
        </w:numPr>
        <w:suppressAutoHyphens/>
        <w:bidi w:val="0"/>
        <w:ind w:left="0" w:leftChars="0" w:right="0" w:rightChars="0" w:firstLine="0" w:firstLineChars="0"/>
        <w:jc w:val="center"/>
        <w:outlineLvl w:val="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Toc305770072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第一部分 部门概况</w:t>
      </w:r>
      <w:bookmarkEnd w:id="0"/>
    </w:p>
    <w:p w14:paraId="7A133CE2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outlineLvl w:val="1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1" w:name="_Toc1383215771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一、部门职责</w:t>
      </w:r>
      <w:bookmarkEnd w:id="1"/>
    </w:p>
    <w:p w14:paraId="6BA441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阿坝藏族羌族自治州全域旅游研究所为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州文化广播电视和旅游局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公益一类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事业单位，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以“为阿坝州旅游业发展、旅游质量提升服务”为根本宗旨，主要职责包括：聚焦全州旅游发展重点难点开展政策研究与决策咨询，为旅游发展提供政策建议和咨询意见；负责旅游专题研究项目的选题申报、科研攻关及成果转化推广，多渠道争取资金形成科研成果；承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州委、州政府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和举办单位下达的科研项目，为旅游项目提供科技支撑；参与旅游产业、旅游景区、乡村旅游等规划设计与项目策划，参与旅游产品和商品研发；开展旅游培训工作；并在规划评审、景区评定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/复核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等方面履行技术咨询专家职责，同时完成上级交办的其他工作。</w:t>
      </w:r>
    </w:p>
    <w:p w14:paraId="53248B6C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outlineLvl w:val="1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2" w:name="_Toc186104967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二、机构设置</w:t>
      </w:r>
      <w:bookmarkEnd w:id="2"/>
    </w:p>
    <w:p w14:paraId="4D664F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本单位为独立核算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公益一类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事业单位，纳入2025年度决算编制机构共1个，无下属二级预算单位。截至2025年12月31日，在职专业技术人员8人，退休人员1人。</w:t>
      </w:r>
    </w:p>
    <w:p w14:paraId="10EB6E7C">
      <w:pP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br w:type="page"/>
      </w:r>
    </w:p>
    <w:p w14:paraId="4245DE93">
      <w:pPr>
        <w:numPr>
          <w:ilvl w:val="0"/>
          <w:numId w:val="0"/>
        </w:numPr>
        <w:suppressAutoHyphens/>
        <w:bidi w:val="0"/>
        <w:ind w:left="0" w:leftChars="0" w:right="0" w:rightChars="0" w:firstLine="0" w:firstLineChars="0"/>
        <w:jc w:val="center"/>
        <w:outlineLvl w:val="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3" w:name="_Toc1763979881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第二部分 2025年度部门决算情况说明</w:t>
      </w:r>
      <w:bookmarkEnd w:id="3"/>
    </w:p>
    <w:p w14:paraId="501729B1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outlineLvl w:val="1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4" w:name="_Toc164694999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一、收入支出决算总体情况说明</w:t>
      </w:r>
      <w:bookmarkEnd w:id="4"/>
    </w:p>
    <w:p w14:paraId="3EC755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2025年度本年收入合计296.61万元，本年支出合计285.47万元；年初结转结余0万元，年末结转结余11.14万元。</w:t>
      </w:r>
    </w:p>
    <w:p w14:paraId="30615B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与2024年度对比：2024年收入合计229.61万元，支出合计229.61万元。本年收入较上年增加67.00万元，增长29.18%；本年支出较上年增加55.86万元，增长24.33%。</w:t>
      </w:r>
    </w:p>
    <w:p w14:paraId="02D8E2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311785</wp:posOffset>
            </wp:positionH>
            <wp:positionV relativeFrom="paragraph">
              <wp:posOffset>130175</wp:posOffset>
            </wp:positionV>
            <wp:extent cx="5274310" cy="2352675"/>
            <wp:effectExtent l="0" t="0" r="2540" b="9525"/>
            <wp:wrapTopAndBottom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t>主要变动原因：一是人员经费标准调整增加人员相关支出；二是增加办公室维修相关公用经费；三是新增2个非部门预算项目，增加项目资金19万元。</w:t>
      </w:r>
    </w:p>
    <w:p w14:paraId="2BEDE4F6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outlineLvl w:val="1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5" w:name="_Toc149102921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二、收入决算情况说明</w:t>
      </w:r>
      <w:bookmarkEnd w:id="5"/>
    </w:p>
    <w:p w14:paraId="541B8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2025年度本年收入合计296.61万元。其中：一般公共预算财政拨款收入276.01万元，占93.05%；其他收入20.60万元，占6.95%；无政府性基金预算拨款、国有资本经营预算拨款、上级补助、事业、经营、附属单位上缴收入。</w:t>
      </w:r>
    </w:p>
    <w:p w14:paraId="6CA1C1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189865</wp:posOffset>
            </wp:positionH>
            <wp:positionV relativeFrom="paragraph">
              <wp:posOffset>884555</wp:posOffset>
            </wp:positionV>
            <wp:extent cx="5274310" cy="2247900"/>
            <wp:effectExtent l="0" t="0" r="2540" b="0"/>
            <wp:wrapTopAndBottom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t>其他收入20.60万元，主要为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州文化广播电视和旅游局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下拨项目资金20万元，合作社咨询费0.60万元。</w:t>
      </w:r>
    </w:p>
    <w:p w14:paraId="2ECB4AF9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outlineLvl w:val="1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6" w:name="_Toc136487915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三、支出决算情况说明</w:t>
      </w:r>
      <w:bookmarkEnd w:id="6"/>
    </w:p>
    <w:p w14:paraId="1993F4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2025年度本年支出合计285.47万元。其中：基本支出238.96万元，占83.71%；项目支出46.51万元，占16.29%；无上缴上级、经营支出、对附属单位补助支出。</w:t>
      </w:r>
    </w:p>
    <w:p w14:paraId="26988F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297180</wp:posOffset>
            </wp:positionH>
            <wp:positionV relativeFrom="paragraph">
              <wp:posOffset>215265</wp:posOffset>
            </wp:positionV>
            <wp:extent cx="5274310" cy="1886585"/>
            <wp:effectExtent l="4445" t="4445" r="17145" b="13970"/>
            <wp:wrapTopAndBottom/>
            <wp:docPr id="4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t>与2024年对比：2024年基本支出207.68万元，项目支出21.92万元。基本支出增加31.28万元，项目支出增加24.59万元。主要为人员经费上涨，新增业务科研项目。</w:t>
      </w:r>
    </w:p>
    <w:p w14:paraId="5B0B44BA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outlineLvl w:val="1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7" w:name="_Toc964146586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四、财政拨款收入支出决算总体情况说明</w:t>
      </w:r>
      <w:bookmarkEnd w:id="7"/>
    </w:p>
    <w:p w14:paraId="568679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2025年度财政拨款收入合计276.01万元，财政拨款支出合计276.01万元，年初财政拨款结转结余0万元，年末财政拨款结转结余0万元。</w:t>
      </w:r>
    </w:p>
    <w:p w14:paraId="7340A1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137795</wp:posOffset>
            </wp:positionH>
            <wp:positionV relativeFrom="paragraph">
              <wp:posOffset>31750</wp:posOffset>
            </wp:positionV>
            <wp:extent cx="5274310" cy="2000250"/>
            <wp:effectExtent l="5080" t="4445" r="16510" b="14605"/>
            <wp:wrapTopAndBottom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t>与2024年度对比：2024年财政拨款收入228.21万元，财政拨款支出228.21万元。财政拨款收、支较上年各增加47.80万元，增长20.95%。主要变动原因：人员经费增加，业务科研项目经费增加。</w:t>
      </w:r>
    </w:p>
    <w:p w14:paraId="35F35C0F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outlineLvl w:val="1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8" w:name="_Toc1466537841"/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164465</wp:posOffset>
            </wp:positionH>
            <wp:positionV relativeFrom="paragraph">
              <wp:posOffset>1232535</wp:posOffset>
            </wp:positionV>
            <wp:extent cx="5274310" cy="1914525"/>
            <wp:effectExtent l="4445" t="4445" r="17145" b="5080"/>
            <wp:wrapTopAndBottom/>
            <wp:docPr id="6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五、一般公共预算财政拨款支出决算情况说明</w:t>
      </w:r>
      <w:bookmarkEnd w:id="8"/>
    </w:p>
    <w:p w14:paraId="3176D0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（一）总体情况</w:t>
      </w:r>
    </w:p>
    <w:p w14:paraId="14259B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2025年度一般公共预算财政拨款支出276.01万元，占本年支出合计96.69%；较2024年228.21万元增加47.80万元，增长20.95%。主要为人员经费、科研业务项目经费增加。</w:t>
      </w:r>
    </w:p>
    <w:p w14:paraId="5B6A05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（二）结构情况</w:t>
      </w:r>
    </w:p>
    <w:p w14:paraId="20F001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2025年一般公共预算财政拨款支出276.01万元：</w:t>
      </w:r>
    </w:p>
    <w:p w14:paraId="1CCE10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科学技术（类）支出22.44万元，占8.13%；</w:t>
      </w:r>
    </w:p>
    <w:p w14:paraId="68DD2D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文化旅游体育与传媒（类）支出192.65万元，占69.80%；</w:t>
      </w:r>
    </w:p>
    <w:p w14:paraId="55CDC3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社会保障和就业（类）支出31.80万元，占11.52%；</w:t>
      </w:r>
    </w:p>
    <w:p w14:paraId="0014E0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卫生健康（类）支出11.64万元，占4.22%；</w:t>
      </w:r>
    </w:p>
    <w:p w14:paraId="12E38E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255905</wp:posOffset>
            </wp:positionH>
            <wp:positionV relativeFrom="paragraph">
              <wp:posOffset>478790</wp:posOffset>
            </wp:positionV>
            <wp:extent cx="5274310" cy="2286000"/>
            <wp:effectExtent l="0" t="0" r="2540" b="0"/>
            <wp:wrapTopAndBottom/>
            <wp:docPr id="7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t>住房保障（类）支出17.47万元，占6.33%。</w:t>
      </w:r>
    </w:p>
    <w:p w14:paraId="30DA8D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（三）分项级科目明细</w:t>
      </w:r>
    </w:p>
    <w:p w14:paraId="7F401A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2069999其他科学技术支出：决算22.44万元，预算23.04万元，完成预算97.40%。决算小于预算，项目资金结余0.60万元。主要用于文旅科研课题研究、设备购置、系统部署等。</w:t>
      </w:r>
    </w:p>
    <w:p w14:paraId="4FADED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2070114文化和旅游管理事务：决算188.35万元，预算208.35万元，完成预算90.40%。差额11.12万元，为非部门预算项目资金结转。用于单位人员保障、日常运行、文旅课题、景区复核、业务咨询等。</w:t>
      </w:r>
    </w:p>
    <w:p w14:paraId="413469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2070199其他文化和旅游支出：决算4.30万元，预算4.30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万元，完成预算100%，为追加项目资金，用于文旅相关专项业务。</w:t>
      </w:r>
    </w:p>
    <w:p w14:paraId="74CF52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2080505机关事业单位基本养老保险缴费支出：决算21.20万元，预算21.20万元，完成预算100%，用于单位职工养老保险缴费。</w:t>
      </w:r>
    </w:p>
    <w:p w14:paraId="745687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2080506机关事业单位职业年金缴费支出：决算10.60万元，预算10.60万元，完成预算100%，用于单位职工职业年金缴费。</w:t>
      </w:r>
    </w:p>
    <w:p w14:paraId="76B5D2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2101102事业单位医疗：决算10.01万元，预算10.00万元，完成预算100.10%，用于职工医疗保险缴费。</w:t>
      </w:r>
    </w:p>
    <w:p w14:paraId="5AF6F9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2101199其他行政事业单位医疗支出：决算1.62万元，预算1.62万元，完成预算100%。</w:t>
      </w:r>
    </w:p>
    <w:p w14:paraId="4F28A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2210201住房公积金：决算17.47万元，预算17.47万元，完成预算100%，用于职工住房公积金缴纳。</w:t>
      </w:r>
    </w:p>
    <w:p w14:paraId="2CE6FE6C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outlineLvl w:val="1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9" w:name="_Toc169021122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六、一般公共预算财政拨款基本支出决算情况说明</w:t>
      </w:r>
      <w:bookmarkEnd w:id="9"/>
    </w:p>
    <w:p w14:paraId="761ACF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2025年度一般公共预算财政拨款基本支出238.96万元。</w:t>
      </w:r>
    </w:p>
    <w:p w14:paraId="71A82B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人员经费221.26万元：基本工资55.48万元，津贴补贴16.09万元，奖金30.60万元，绩效工资50.35万元，机关事业单位基本养老保险缴费21.20万元，职业年金缴费10.60万元，职工基本医疗保险缴费10.01万元，其他社会保障缴费2.67万元，住房公积金17.47万元，其他工资福利支出2.88万元，生活补助3.89万元，奖励金0.02万元。</w:t>
      </w:r>
    </w:p>
    <w:p w14:paraId="329DA8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公用经费17.70万元：办公费0.38万元，印刷费0.08万元，手续费0.24万元，电费1.30万元，邮电费1.43万元，差旅费4.88万元，维修费0.10万元，培训费1.55万元，劳务费0.55万元，委托业务费1.20万元，福利费3.61万元，其他交通费用0.67万元，其他商品和服务支出1.71万元。</w:t>
      </w:r>
    </w:p>
    <w:p w14:paraId="3489E697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outlineLvl w:val="1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10" w:name="_Toc103909466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七、财政拨款“三公”经费支出决算情况说明</w:t>
      </w:r>
      <w:bookmarkEnd w:id="10"/>
    </w:p>
    <w:p w14:paraId="522244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（一）总体情况</w:t>
      </w:r>
    </w:p>
    <w:p w14:paraId="7BB4F7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2025年度财政拨款“三公”经费支出决算0.00万元；全年预算0万元。较2024年决算0万元持平。</w:t>
      </w:r>
    </w:p>
    <w:p w14:paraId="3858BB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294640</wp:posOffset>
            </wp:positionH>
            <wp:positionV relativeFrom="paragraph">
              <wp:posOffset>221615</wp:posOffset>
            </wp:positionV>
            <wp:extent cx="5274310" cy="2124075"/>
            <wp:effectExtent l="0" t="0" r="2540" b="9525"/>
            <wp:wrapTopAndBottom/>
            <wp:docPr id="8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（二）分项情况</w:t>
      </w:r>
    </w:p>
    <w:p w14:paraId="65D3ED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因公出国（境）费：0万元，无出国出境团组及人次。</w:t>
      </w:r>
    </w:p>
    <w:p w14:paraId="533346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公务用车购置及运行维护费：0万元。本单位无公务用车，未发生车辆购置、燃料维修保险等支出。</w:t>
      </w:r>
    </w:p>
    <w:p w14:paraId="3D7F91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公务接待费：0万元，未发生公务接待支出。</w:t>
      </w:r>
    </w:p>
    <w:p w14:paraId="29AAB2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补充：2024年会议费支出0.24万元，2025年会议费0万元，同比下降100%；2024年培训费支出2.64万元，2025年培训费支出2.55万元，减少主要为外出培训任务减少。</w:t>
      </w:r>
    </w:p>
    <w:p w14:paraId="76D60497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outlineLvl w:val="1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11" w:name="_Toc382805435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八、政府性基金预算支出决算情况说明</w:t>
      </w:r>
      <w:bookmarkEnd w:id="11"/>
    </w:p>
    <w:p w14:paraId="3229EE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2025年度本单位无政府性基金预算财政拨款，无政府性基金预算支出。</w:t>
      </w:r>
    </w:p>
    <w:p w14:paraId="1ED77145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outlineLvl w:val="1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12" w:name="_Toc1572461388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九、国有资本经营预算支出决算情况说明</w:t>
      </w:r>
      <w:bookmarkEnd w:id="12"/>
    </w:p>
    <w:p w14:paraId="28A0F5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2025年度本单位无国有资本经营预算财政拨款，无国有资本经营预算支出。</w:t>
      </w:r>
    </w:p>
    <w:p w14:paraId="287B89B8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outlineLvl w:val="1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13" w:name="_Toc1220681609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十、其他重要事项的情况说明</w:t>
      </w:r>
      <w:bookmarkEnd w:id="13"/>
    </w:p>
    <w:p w14:paraId="393661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（一）机关运行经费</w:t>
      </w:r>
    </w:p>
    <w:p w14:paraId="013943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本单位属于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公益一类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事业单位，无机关运行经费。</w:t>
      </w:r>
    </w:p>
    <w:p w14:paraId="1CB465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（二）政府采购支出情况</w:t>
      </w:r>
    </w:p>
    <w:p w14:paraId="660CF4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2025年度政府采购支出总额2.26万元，全部为政府采购货物支出（信息网络软件购置更新），无工程及服务采购。授予中小企业合同金额2.26万元，占政府采购总支出100%；其中授予小微企业合同金额2.26万元，占100%。</w:t>
      </w:r>
    </w:p>
    <w:p w14:paraId="5F3B62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（三）国有资产占有使用情况</w:t>
      </w:r>
    </w:p>
    <w:p w14:paraId="625910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截至2025年12月31日：车辆：本单位公务用车0辆。单位价值100万元（含）以上专用设备：0台（套）。</w:t>
      </w:r>
    </w:p>
    <w:p w14:paraId="5D70E0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本年新增固定资产2.26万元，为信息网络软件购置。</w:t>
      </w:r>
    </w:p>
    <w:p w14:paraId="60C681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（四）预算绩效管理情况</w:t>
      </w:r>
    </w:p>
    <w:p w14:paraId="194514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绩效管理开展情况：按照预算绩效管理相关要求，2025年对单位基本科研业务费等全部项目编制绩效目标，开展绩效运行监控，完成绩效自评。</w:t>
      </w:r>
    </w:p>
    <w:p w14:paraId="3B3479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主要项目绩效概况：基本科研业务费项目，围绕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“国际生态文化旅游目的地建设”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战略部署，支持科研预研、自由探索课题研究，发挥公益科研机构职能，开展文旅调查研究。全年申报课题6项，立项3项；完成多项课题结题、景区复核、规划评审、调研宣讲等工作，整体绩效目标完成情况较好。</w:t>
      </w:r>
    </w:p>
    <w:p w14:paraId="64D833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存在主要问题：部分项目预算编制精细化有待提升；个别非部门预算项目执行周期跨年度，形成年末结转资金。</w:t>
      </w:r>
    </w:p>
    <w:p w14:paraId="569564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改进措施：一是提高预算编制质量，科学测算事业运行、项目经费需求；二是强化预算执行过程管控，加快项目实施进度；三是加强预算执行分析，为下一年度预算编制提供依据。</w:t>
      </w:r>
    </w:p>
    <w:p w14:paraId="6E668B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绩效自评报告及项目绩效自评表详见附件。</w:t>
      </w:r>
    </w:p>
    <w:p w14:paraId="2368B8B3">
      <w:pPr>
        <w:numPr>
          <w:ilvl w:val="0"/>
          <w:numId w:val="0"/>
        </w:numPr>
        <w:suppressAutoHyphens/>
        <w:bidi w:val="0"/>
        <w:ind w:left="0" w:leftChars="0" w:right="0" w:rightChars="0" w:firstLine="0" w:firstLineChars="0"/>
        <w:jc w:val="center"/>
        <w:outlineLvl w:val="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14" w:name="_Toc2049934333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第三部分 名词解释</w:t>
      </w:r>
      <w:bookmarkEnd w:id="14"/>
    </w:p>
    <w:p w14:paraId="232E9B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财政拨款收入：指从同级财政部门取得的财政预算资金。</w:t>
      </w:r>
    </w:p>
    <w:p w14:paraId="435456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其他收入：除财政拨款收入、事业收入、上级补助收入以外的收入，主要为本单位取得的项目合作、专项补助等收入。</w:t>
      </w:r>
    </w:p>
    <w:p w14:paraId="1AF5DC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基本支出：保障机构正常运转、完成日常工作任务的人员经费和公用经费。</w:t>
      </w:r>
    </w:p>
    <w:p w14:paraId="2C1FCD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项目支出：在基本支出之外，为完成特定工作任务、事业发展目标发生的支出。</w:t>
      </w:r>
    </w:p>
    <w:p w14:paraId="46715D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年末结转和结余：本年度预算已执行但尚未完成，或因故未执行，下一年度需要按原用途继续使用的资金。</w:t>
      </w:r>
    </w:p>
    <w:p w14:paraId="2D594D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“三公”经费：财政拨款安排的因公出国（境）费、公务用车购置及运行维护费、公务接待费。</w:t>
      </w:r>
    </w:p>
    <w:p w14:paraId="37A558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机关运行经费：指行政单位（含参公事业单位）用于购买货物和服务的各项公用经费。本单位为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公益一类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事业单位，无机关运行经费。</w:t>
      </w:r>
    </w:p>
    <w:p w14:paraId="629AA9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社会保障和就业支出：单位养老保险、职业年金等社会保障缴费支出。</w:t>
      </w:r>
    </w:p>
    <w:p w14:paraId="0F0B89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住房保障支出：用于职工住房公积金缴纳的支出。</w:t>
      </w:r>
    </w:p>
    <w:p w14:paraId="4AA292EF">
      <w:pP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br w:type="page"/>
      </w:r>
    </w:p>
    <w:p w14:paraId="5CEB44DC">
      <w:pPr>
        <w:numPr>
          <w:ilvl w:val="0"/>
          <w:numId w:val="0"/>
        </w:numPr>
        <w:suppressAutoHyphens/>
        <w:bidi w:val="0"/>
        <w:ind w:left="0" w:leftChars="0" w:right="0" w:rightChars="0" w:firstLine="0" w:firstLineChars="0"/>
        <w:jc w:val="center"/>
        <w:outlineLvl w:val="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15" w:name="_Toc2100806452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第四部分 附件</w:t>
      </w:r>
      <w:bookmarkEnd w:id="15"/>
    </w:p>
    <w:p w14:paraId="4DAEAD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16" w:name="_Toc1746762558"/>
      <w:r>
        <w:rPr>
          <w:rFonts w:hint="default" w:ascii="Times New Roman" w:hAnsi="Times New Roman" w:eastAsia="仿宋_GB2312" w:cs="Times New Roman"/>
          <w:sz w:val="32"/>
          <w:szCs w:val="32"/>
        </w:rPr>
        <w:t>附件1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2025年度部门预算绩效评价报告</w:t>
      </w:r>
      <w:bookmarkEnd w:id="16"/>
    </w:p>
    <w:p w14:paraId="36CB9DC2">
      <w:pPr>
        <w:numPr>
          <w:ilvl w:val="0"/>
          <w:numId w:val="0"/>
        </w:numPr>
        <w:suppressAutoHyphens/>
        <w:bidi w:val="0"/>
        <w:ind w:left="0" w:leftChars="0" w:right="0" w:rightChars="0" w:firstLine="0" w:firstLineChars="0"/>
        <w:jc w:val="center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 w14:paraId="0BBBDB93">
      <w:pPr>
        <w:numPr>
          <w:ilvl w:val="0"/>
          <w:numId w:val="0"/>
        </w:numPr>
        <w:suppressAutoHyphens/>
        <w:bidi w:val="0"/>
        <w:ind w:left="0" w:leftChars="0" w:right="0" w:rightChars="0"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阿坝州全域旅游研究所预算绩效自评报告</w:t>
      </w:r>
    </w:p>
    <w:p w14:paraId="704B00B8">
      <w:pPr>
        <w:numPr>
          <w:ilvl w:val="0"/>
          <w:numId w:val="0"/>
        </w:numPr>
        <w:suppressAutoHyphens/>
        <w:bidi w:val="0"/>
        <w:ind w:left="0" w:leftChars="0" w:right="0" w:rightChars="0" w:firstLine="0" w:firstLineChars="0"/>
        <w:jc w:val="center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 w14:paraId="1F6AB74B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zh-CN" w:eastAsia="zh-CN"/>
        </w:rPr>
        <w:t>一、单位基本情况</w:t>
      </w:r>
    </w:p>
    <w:p w14:paraId="238939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  <w:t>（一）机构组成。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阿坝州全域旅游研究所是阿坝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州文化广播电视和旅游局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主管的二级独立核算单位，属于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公益一类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事业单位。</w:t>
      </w:r>
    </w:p>
    <w:p w14:paraId="1D1AD3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  <w:t>（二）机构职能。</w:t>
      </w:r>
    </w:p>
    <w:p w14:paraId="219149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（1）紧紧围绕阿坝旅游发展所需，针对旅游发展重点和难点展开研究，为旅游决策提供政策建议和咨询意见；</w:t>
      </w:r>
    </w:p>
    <w:p w14:paraId="33DAEE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（2）负责旅游专题研究项目的选题和申报工作，多渠道争取资金，完成项目研究工作，形成科研成果，做好成果转化和推广工作；</w:t>
      </w:r>
    </w:p>
    <w:p w14:paraId="57C251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（3）承担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州委、州政府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和州旅发委下达的科研项目，为我州旅游重大项目提供科技支撑；</w:t>
      </w:r>
    </w:p>
    <w:p w14:paraId="2B5441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（4）参与或承担旅游产业、旅游景区、乡村旅游等规划设计与项目策划；</w:t>
      </w:r>
    </w:p>
    <w:p w14:paraId="6DAD29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（5）参与或承担旅游产品、旅游商品研发等工作；</w:t>
      </w:r>
    </w:p>
    <w:p w14:paraId="456CC4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（6）参与或承担旅游培训工作；</w:t>
      </w:r>
    </w:p>
    <w:p w14:paraId="0CA2FE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（7）参与规划评审、景区评定等方面工作，履行专家职责；</w:t>
      </w:r>
    </w:p>
    <w:p w14:paraId="31EFC8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（8）完成上级交办的其他工作。</w:t>
      </w:r>
    </w:p>
    <w:p w14:paraId="2A8D79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  <w:t>（三）人员概况。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截至2025年末，我单位编制人数8人，较上年度增加0人，年末实有人数8人，较上年度增加0人。</w:t>
      </w:r>
    </w:p>
    <w:p w14:paraId="24272490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二、单位资金收支情况</w:t>
      </w:r>
    </w:p>
    <w:p w14:paraId="466E69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  <w:t>（一）收入情况。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2025年年初预算收入260.18万元，决算报表收入296.61万元。</w:t>
      </w:r>
    </w:p>
    <w:p w14:paraId="397FC9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  <w:t>（二）支出情况。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支出总计285.47万元，比上年增加55.86万元，增长24.33%。其中，财政拨款收入、支出年初预算安排数276.01万元，比上年增加47.8万元，其他收入20.6万元，比上年增加19.2万元；支出9.46万元，比上年增加8.06万元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254650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  <w:t>（三）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结余分配和结转结余情况。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2025年决算报表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  <w:t>结转结余11.14万元，为非财政拨款项目资金。</w:t>
      </w:r>
    </w:p>
    <w:p w14:paraId="4556C568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三、单位预算绩效分析</w:t>
      </w:r>
    </w:p>
    <w:p w14:paraId="691F90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  <w:t>（一）单位预算总体绩效分析。</w:t>
      </w:r>
    </w:p>
    <w:p w14:paraId="4EA695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</w:rPr>
        <w:t>1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）履职效能 （自评得分：13.5/15分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）</w:t>
      </w:r>
    </w:p>
    <w:p w14:paraId="24A94C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  <w:t>2025年，阿坝州全域旅游研究所坚持政治引领与科研赋能并重，全年申报文旅科研项目6项、立项3项、合作1项，完成州科技局重点项目结题验收并获专利授权6项、软著1项，出版专著及发表论文各1项（部），指导若尔盖巴西镇成功入选省级文旅融合新场景项目并获1200万元资金支持；同时高效承接州局交办的A级景区复核检查、“五个之州”巡回宣讲培训、政协课题调研、景区创建辅导及低空经济方案编制等多项任务，切实为全州旅游决策咨询、资源普查、提能培训及品牌传播提供了有力的技术支撑和智力服务，综合履职效能显著。</w:t>
      </w:r>
    </w:p>
    <w:p w14:paraId="4D3BC5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</w:rPr>
        <w:t>2）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预算管理 （自评得分：23/25分）</w:t>
      </w:r>
    </w:p>
    <w:p w14:paraId="46620D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预算编制质量：较好，基本做到科学、准确，与职能匹配。</w:t>
      </w:r>
    </w:p>
    <w:p w14:paraId="60EAFB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6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pacing w:val="-6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val="zh-CN"/>
        </w:rPr>
        <w:t>单位收入统筹：收入全部为财政拨款，统筹自有收入空间有限。</w:t>
      </w:r>
    </w:p>
    <w:p w14:paraId="592FFA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支出执行管理：全年支出预算执行率为100%，但商品和服务支出预算执行进度偏慢（85.3%），年中存在优化调整。</w:t>
      </w:r>
    </w:p>
    <w:p w14:paraId="37AA7F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预算年终结余：全年收支平衡，无结余，符合财政管理要求。</w:t>
      </w:r>
    </w:p>
    <w:p w14:paraId="7057A4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严控一般性支出：严格控制“三公”经费、会议、差旅等一般性支出，支出总额在预算控制范围内。</w:t>
      </w:r>
    </w:p>
    <w:p w14:paraId="1C4879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</w:rPr>
        <w:t>3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）财务管理 （自评得分：9/10分）</w:t>
      </w:r>
    </w:p>
    <w:p w14:paraId="5AA3BC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财务管理制度：制度健全，执行良好。</w:t>
      </w:r>
    </w:p>
    <w:p w14:paraId="1278C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财务岗位设置：岗位设置合理，符合规定。</w:t>
      </w:r>
    </w:p>
    <w:p w14:paraId="1E1315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资金使用规范：资金使用严格遵守财经法规和财务制度，支出合规有效。</w:t>
      </w:r>
    </w:p>
    <w:p w14:paraId="368CF3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</w:rPr>
        <w:t>4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）资产管理（自评得分：8/9分）</w:t>
      </w:r>
    </w:p>
    <w:p w14:paraId="7B067A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人均资产变化率：稳定，新增部分为办公设备更新，符合实际需求。</w:t>
      </w:r>
    </w:p>
    <w:p w14:paraId="4A5C51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资产利用率：现有资产均在使用状态，无闲置浪费。</w:t>
      </w:r>
    </w:p>
    <w:p w14:paraId="32B9CD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资产盘活率：本年度无闲置一年以上需盘活资产。</w:t>
      </w:r>
    </w:p>
    <w:p w14:paraId="4459B7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（5）采购管理（自评得分：6/6分）</w:t>
      </w:r>
    </w:p>
    <w:p w14:paraId="7AA598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支持中小企业发展：严格执行政府采购政策，支持中小企业参与。</w:t>
      </w:r>
    </w:p>
    <w:p w14:paraId="1C88D6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采购执行率：政府采购项目资金支付及时，执行率达到100%。</w:t>
      </w:r>
    </w:p>
    <w:p w14:paraId="55B464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  <w:t>（二）单位预算项目绩效分析。</w:t>
      </w:r>
    </w:p>
    <w:p w14:paraId="2EB10A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</w:rPr>
        <w:t>1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）项目决策（自评得分：12/12分）</w:t>
      </w:r>
    </w:p>
    <w:p w14:paraId="646455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项目设立均经过论证和申报程序，绩效目标设置与预算资金、年度任务匹配，并按时完成项目入库。</w:t>
      </w:r>
    </w:p>
    <w:p w14:paraId="3C425A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</w:rPr>
        <w:t>2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）项目执行（自评得分：12/12分）</w:t>
      </w:r>
    </w:p>
    <w:p w14:paraId="0D2756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项目实际支出内容与绩效目标方向一致。在执行过程中根据实际情况对部分非必要开支进行了优化调整。项目预算执行率为100%。</w:t>
      </w:r>
    </w:p>
    <w:p w14:paraId="2A49F2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</w:rPr>
        <w:t>3）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目标实现（自评得分：10/11分）</w:t>
      </w:r>
    </w:p>
    <w:p w14:paraId="3AE8EF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项目设定的数量指标（如完成研究报告数量、参加评审次数等）均已按计划完成。预期效益（如为决策提供支持、服务项目规划等）基本达成，但部分长期效益的显现有待时间检验。</w:t>
      </w:r>
    </w:p>
    <w:p w14:paraId="10F566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  <w:t>（三）绩效结果应用情况。</w:t>
      </w:r>
    </w:p>
    <w:p w14:paraId="1A52FE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</w:rPr>
        <w:t>1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）内部应用：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绩效评价结果已作为下一年度预算编制、资金安排和内部管理优化的重要依据。</w:t>
      </w:r>
    </w:p>
    <w:p w14:paraId="063D99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</w:rPr>
        <w:t>2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）信息公开：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按规定将通过审核的决算和绩效信息予以公开。</w:t>
      </w:r>
    </w:p>
    <w:p w14:paraId="0148F3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</w:rPr>
        <w:t>3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）整改反馈：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针对本次自评发现的一般性支出执行进度偏慢等问题，已制定改进措施，将在下一年度加强预算执行的均衡性和计划性。</w:t>
      </w:r>
    </w:p>
    <w:p w14:paraId="05396EE3">
      <w:pPr>
        <w:numPr>
          <w:ilvl w:val="0"/>
          <w:numId w:val="0"/>
        </w:numPr>
        <w:suppressAutoHyphens/>
        <w:bidi w:val="0"/>
        <w:ind w:left="0" w:leftChars="0" w:right="0" w:rightChars="0" w:firstLine="640" w:firstLineChars="200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zh-CN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zh-CN" w:eastAsia="zh-CN"/>
        </w:rPr>
        <w:t>四、评价结论及建议</w:t>
      </w:r>
    </w:p>
    <w:p w14:paraId="71C1BB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  <w:t>（一）评价结论。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本单位2025年度预算绩效管理工作整体规范有效，在保障单位正常运行的基础上，较好地履行了单位核心职能，资金使用效益良好，预算执行到位。本次自评综合得分为：93.5分（满分100分）。</w:t>
      </w:r>
    </w:p>
    <w:p w14:paraId="1E2C16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  <w:t>（二）存在问题。</w:t>
      </w:r>
    </w:p>
    <w:p w14:paraId="129432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预算执行的均衡性有待加强：商品和服务支出等科目预算执行进度存在前慢后快现象，需提高支出的计划性和时效性。</w:t>
      </w:r>
    </w:p>
    <w:p w14:paraId="61827B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成果转化效益量化不足：对研究成果（如研究报告、政策建议）所产生的社会效益、经济效益的量化评估和跟踪反馈机制有待完善。</w:t>
      </w:r>
    </w:p>
    <w:p w14:paraId="652CDF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zh-CN"/>
        </w:rPr>
        <w:t>（三）改进建议。</w:t>
      </w:r>
    </w:p>
    <w:p w14:paraId="1BE36B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对应问题1：加强预算执行过程管理，细化支出计划，建立月度或季度支出进度监控机制，确保资金在年度内更均衡、高效地使用。</w:t>
      </w:r>
    </w:p>
    <w:p w14:paraId="4A931C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对应问题2：建立健全科研成果绩效评估体系，在设定项目目标时，增加可量化的效益指标（如政策采纳率、规划成果应用率等），并尝试开展研究成果的后评估，以更准确地衡量资金投入的实际效果。</w:t>
      </w:r>
    </w:p>
    <w:p w14:paraId="1FFB40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17" w:name="_Toc323687577"/>
      <w:r>
        <w:rPr>
          <w:rFonts w:hint="default" w:ascii="Times New Roman" w:hAnsi="Times New Roman" w:eastAsia="仿宋_GB2312" w:cs="Times New Roman"/>
          <w:sz w:val="32"/>
          <w:szCs w:val="32"/>
        </w:rPr>
        <w:t>附件2：项目绩效自评表</w:t>
      </w:r>
      <w:bookmarkEnd w:id="17"/>
    </w:p>
    <w:p w14:paraId="08AE4AB3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</w:p>
    <w:p w14:paraId="4F4ABE60">
      <w:pPr>
        <w:numPr>
          <w:ilvl w:val="0"/>
          <w:numId w:val="0"/>
        </w:numPr>
        <w:suppressAutoHyphens/>
        <w:bidi w:val="0"/>
        <w:ind w:left="0" w:leftChars="0" w:right="0" w:rightChars="0" w:firstLine="0" w:firstLineChars="0"/>
        <w:jc w:val="center"/>
        <w:outlineLvl w:val="0"/>
        <w:rPr>
          <w:rFonts w:hint="default" w:ascii="Times New Roman" w:hAnsi="Times New Roman" w:eastAsia="黑体" w:cs="Times New Roman"/>
          <w:color w:val="auto"/>
          <w:sz w:val="32"/>
          <w:szCs w:val="32"/>
          <w:lang w:val="zh-CN" w:eastAsia="zh-CN"/>
        </w:rPr>
      </w:pPr>
      <w:bookmarkStart w:id="18" w:name="_Toc103894870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zh-CN" w:eastAsia="zh-CN"/>
        </w:rPr>
        <w:t>第五部分 附表</w:t>
      </w:r>
      <w:bookmarkEnd w:id="18"/>
    </w:p>
    <w:p w14:paraId="38BB38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19" w:name="_Toc1832149840"/>
      <w:r>
        <w:rPr>
          <w:rFonts w:hint="default" w:ascii="Times New Roman" w:hAnsi="Times New Roman" w:eastAsia="仿宋_GB2312" w:cs="Times New Roman"/>
          <w:sz w:val="32"/>
          <w:szCs w:val="32"/>
        </w:rPr>
        <w:t>1.收入支出决算总表</w:t>
      </w:r>
      <w:bookmarkEnd w:id="19"/>
    </w:p>
    <w:p w14:paraId="74CEE1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20" w:name="_Toc1472788261"/>
      <w:r>
        <w:rPr>
          <w:rFonts w:hint="default" w:ascii="Times New Roman" w:hAnsi="Times New Roman" w:eastAsia="仿宋_GB2312" w:cs="Times New Roman"/>
          <w:sz w:val="32"/>
          <w:szCs w:val="32"/>
        </w:rPr>
        <w:t>2.收入决算表</w:t>
      </w:r>
      <w:bookmarkEnd w:id="20"/>
    </w:p>
    <w:p w14:paraId="7349A6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21" w:name="_Toc247037117"/>
      <w:r>
        <w:rPr>
          <w:rFonts w:hint="default" w:ascii="Times New Roman" w:hAnsi="Times New Roman" w:eastAsia="仿宋_GB2312" w:cs="Times New Roman"/>
          <w:sz w:val="32"/>
          <w:szCs w:val="32"/>
        </w:rPr>
        <w:t>3.支出决算表</w:t>
      </w:r>
      <w:bookmarkEnd w:id="21"/>
    </w:p>
    <w:p w14:paraId="2AA839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22" w:name="_Toc1655668294"/>
      <w:r>
        <w:rPr>
          <w:rFonts w:hint="default" w:ascii="Times New Roman" w:hAnsi="Times New Roman" w:eastAsia="仿宋_GB2312" w:cs="Times New Roman"/>
          <w:sz w:val="32"/>
          <w:szCs w:val="32"/>
        </w:rPr>
        <w:t>4.财政拨款收入支出决算总表</w:t>
      </w:r>
      <w:bookmarkEnd w:id="22"/>
    </w:p>
    <w:p w14:paraId="380C27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23" w:name="_Toc915230031"/>
      <w:r>
        <w:rPr>
          <w:rFonts w:hint="default" w:ascii="Times New Roman" w:hAnsi="Times New Roman" w:eastAsia="仿宋_GB2312" w:cs="Times New Roman"/>
          <w:sz w:val="32"/>
          <w:szCs w:val="32"/>
        </w:rPr>
        <w:t>5.财政拨款支出决算明细表</w:t>
      </w:r>
      <w:bookmarkEnd w:id="23"/>
    </w:p>
    <w:p w14:paraId="47D367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24" w:name="_Toc1547024271"/>
      <w:r>
        <w:rPr>
          <w:rFonts w:hint="default" w:ascii="Times New Roman" w:hAnsi="Times New Roman" w:eastAsia="仿宋_GB2312" w:cs="Times New Roman"/>
          <w:sz w:val="32"/>
          <w:szCs w:val="32"/>
        </w:rPr>
        <w:t>6.一般公共预算财政拨款支出决算表</w:t>
      </w:r>
      <w:bookmarkEnd w:id="24"/>
    </w:p>
    <w:p w14:paraId="00CFCB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25" w:name="_Toc2120245262"/>
      <w:r>
        <w:rPr>
          <w:rFonts w:hint="default" w:ascii="Times New Roman" w:hAnsi="Times New Roman" w:eastAsia="仿宋_GB2312" w:cs="Times New Roman"/>
          <w:sz w:val="32"/>
          <w:szCs w:val="32"/>
        </w:rPr>
        <w:t>7.一般公共预算财政拨款支出决算明细表</w:t>
      </w:r>
      <w:bookmarkEnd w:id="25"/>
    </w:p>
    <w:p w14:paraId="565559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26" w:name="_Toc627265820"/>
      <w:r>
        <w:rPr>
          <w:rFonts w:hint="default" w:ascii="Times New Roman" w:hAnsi="Times New Roman" w:eastAsia="仿宋_GB2312" w:cs="Times New Roman"/>
          <w:sz w:val="32"/>
          <w:szCs w:val="32"/>
        </w:rPr>
        <w:t>8.一般公共预算财政拨款基本支出决算明细表</w:t>
      </w:r>
      <w:bookmarkEnd w:id="26"/>
    </w:p>
    <w:p w14:paraId="499596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27" w:name="_Toc644470144"/>
      <w:r>
        <w:rPr>
          <w:rFonts w:hint="default" w:ascii="Times New Roman" w:hAnsi="Times New Roman" w:eastAsia="仿宋_GB2312" w:cs="Times New Roman"/>
          <w:sz w:val="32"/>
          <w:szCs w:val="32"/>
        </w:rPr>
        <w:t>9.一般公共预算财政拨款项目支出决算表</w:t>
      </w:r>
      <w:bookmarkEnd w:id="27"/>
    </w:p>
    <w:p w14:paraId="105CCA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28" w:name="_Toc1112190656"/>
      <w:r>
        <w:rPr>
          <w:rFonts w:hint="default" w:ascii="Times New Roman" w:hAnsi="Times New Roman" w:eastAsia="仿宋_GB2312" w:cs="Times New Roman"/>
          <w:sz w:val="32"/>
          <w:szCs w:val="32"/>
        </w:rPr>
        <w:t>10.政府性基金预算财政拨款收入支出决算表</w:t>
      </w:r>
      <w:bookmarkEnd w:id="28"/>
    </w:p>
    <w:p w14:paraId="02A24F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29" w:name="_Toc648955578"/>
      <w:r>
        <w:rPr>
          <w:rFonts w:hint="default" w:ascii="Times New Roman" w:hAnsi="Times New Roman" w:eastAsia="仿宋_GB2312" w:cs="Times New Roman"/>
          <w:sz w:val="32"/>
          <w:szCs w:val="32"/>
        </w:rPr>
        <w:t>11.国有资本经营预算财政拨款收入支出决算表</w:t>
      </w:r>
      <w:bookmarkEnd w:id="29"/>
    </w:p>
    <w:p w14:paraId="1511FB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30" w:name="_Toc1262352051"/>
      <w:r>
        <w:rPr>
          <w:rFonts w:hint="default" w:ascii="Times New Roman" w:hAnsi="Times New Roman" w:eastAsia="仿宋_GB2312" w:cs="Times New Roman"/>
          <w:sz w:val="32"/>
          <w:szCs w:val="32"/>
        </w:rPr>
        <w:t>12.国有资本经营预算财政拨款支出决算表</w:t>
      </w:r>
      <w:bookmarkEnd w:id="30"/>
    </w:p>
    <w:p w14:paraId="5C8C47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31" w:name="_Toc1417960728"/>
      <w:r>
        <w:rPr>
          <w:rFonts w:hint="default" w:ascii="Times New Roman" w:hAnsi="Times New Roman" w:eastAsia="仿宋_GB2312" w:cs="Times New Roman"/>
          <w:sz w:val="32"/>
          <w:szCs w:val="32"/>
        </w:rPr>
        <w:t>13.财政拨款“三公”经费支出决算表</w:t>
      </w:r>
      <w:bookmarkEnd w:id="31"/>
    </w:p>
    <w:bookmarkEnd w:id="3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字由点字刻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由点字刻宋">
    <w:panose1 w:val="00020600040101010101"/>
    <w:charset w:val="86"/>
    <w:family w:val="auto"/>
    <w:pitch w:val="default"/>
    <w:sig w:usb0="80000003" w:usb1="0A010000" w:usb2="00000012" w:usb3="00000000" w:csb0="0004009F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1A11B6"/>
    <w:rsid w:val="001D1474"/>
    <w:rsid w:val="002F18DE"/>
    <w:rsid w:val="00421F02"/>
    <w:rsid w:val="007C4E2D"/>
    <w:rsid w:val="00DC6951"/>
    <w:rsid w:val="07CD206E"/>
    <w:rsid w:val="19FD8288"/>
    <w:rsid w:val="2C1A11B6"/>
    <w:rsid w:val="3471744A"/>
    <w:rsid w:val="697FFE9B"/>
    <w:rsid w:val="69E13245"/>
    <w:rsid w:val="6E9E00A4"/>
    <w:rsid w:val="6FBF0F5B"/>
    <w:rsid w:val="77FF6981"/>
    <w:rsid w:val="7BFA7955"/>
    <w:rsid w:val="7FE59AEF"/>
    <w:rsid w:val="7FFC60D0"/>
    <w:rsid w:val="BE3F9580"/>
    <w:rsid w:val="D2EA1F3B"/>
    <w:rsid w:val="D5BB41A2"/>
    <w:rsid w:val="DDE7B5F6"/>
    <w:rsid w:val="E5A74850"/>
    <w:rsid w:val="EBFD403F"/>
    <w:rsid w:val="F37D41C3"/>
    <w:rsid w:val="FDE911B3"/>
    <w:rsid w:val="FDF6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uiPriority w:val="0"/>
  </w:style>
  <w:style w:type="paragraph" w:styleId="5">
    <w:name w:val="toc 2"/>
    <w:basedOn w:val="1"/>
    <w:next w:val="1"/>
    <w:uiPriority w:val="0"/>
    <w:pPr>
      <w:ind w:left="420" w:leftChars="200"/>
    </w:pPr>
  </w:style>
  <w:style w:type="paragraph" w:customStyle="1" w:styleId="8">
    <w:name w:val="WPSOffice手动目录 1"/>
    <w:uiPriority w:val="0"/>
    <w:pPr>
      <w:ind w:leftChars="0"/>
    </w:pPr>
    <w:rPr>
      <w:sz w:val="20"/>
      <w:szCs w:val="20"/>
    </w:rPr>
  </w:style>
  <w:style w:type="paragraph" w:customStyle="1" w:styleId="9">
    <w:name w:val="WPSOffice手动目录 2"/>
    <w:uiPriority w:val="0"/>
    <w:pPr>
      <w:ind w:leftChars="20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6.xml"/><Relationship Id="rId8" Type="http://schemas.openxmlformats.org/officeDocument/2006/relationships/chart" Target="charts/chart5.xml"/><Relationship Id="rId7" Type="http://schemas.openxmlformats.org/officeDocument/2006/relationships/chart" Target="charts/chart4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hart" Target="charts/chart7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package" Target="../embeddings/Workbook2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5.xml"/><Relationship Id="rId2" Type="http://schemas.microsoft.com/office/2011/relationships/chartStyle" Target="style5.xml"/><Relationship Id="rId1" Type="http://schemas.openxmlformats.org/officeDocument/2006/relationships/package" Target="../embeddings/Workbook5.xlsx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package" Target="../embeddings/Workbook4.xlsx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package" Target="../embeddings/Workbook3.xlsx"/></Relationships>
</file>

<file path=word/charts/_rels/chart6.xml.rels><?xml version="1.0" encoding="UTF-8" standalone="yes"?>
<Relationships xmlns="http://schemas.openxmlformats.org/package/2006/relationships"><Relationship Id="rId3" Type="http://schemas.microsoft.com/office/2011/relationships/chartColorStyle" Target="colors6.xml"/><Relationship Id="rId2" Type="http://schemas.microsoft.com/office/2011/relationships/chartStyle" Target="style6.xml"/><Relationship Id="rId1" Type="http://schemas.openxmlformats.org/officeDocument/2006/relationships/package" Target="../embeddings/Workbook6.xlsx"/></Relationships>
</file>

<file path=word/charts/_rels/chart7.xml.rels><?xml version="1.0" encoding="UTF-8" standalone="yes"?>
<Relationships xmlns="http://schemas.openxmlformats.org/package/2006/relationships"><Relationship Id="rId3" Type="http://schemas.microsoft.com/office/2011/relationships/chartColorStyle" Target="colors7.xml"/><Relationship Id="rId2" Type="http://schemas.microsoft.com/office/2011/relationships/chartStyle" Target="style7.xml"/><Relationship Id="rId1" Type="http://schemas.openxmlformats.org/officeDocument/2006/relationships/package" Target="../embeddings/Workbook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/>
              <a:t>图</a:t>
            </a:r>
            <a:r>
              <a:rPr lang="en-US" altLang="zh-CN"/>
              <a:t>1</a:t>
            </a:r>
            <a:r>
              <a:rPr lang="zh-CN" altLang="en-US"/>
              <a:t>：</a:t>
            </a:r>
            <a:r>
              <a:rPr lang="zh-CN" altLang="zh-CN" sz="1400" b="0" i="0" u="none" strike="noStrike" baseline="0">
                <a:effectLst/>
              </a:rPr>
              <a:t>收入、支出决算总计变动情况</a:t>
            </a:r>
            <a:endParaRPr lang="zh-CN" altLang="en-US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本年收入合计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Sheet1!$A$2:$A$3</c:f>
              <c:numCache>
                <c:formatCode>General</c:formatCode>
                <c:ptCount val="2"/>
                <c:pt idx="0">
                  <c:v>2024</c:v>
                </c:pt>
                <c:pt idx="1">
                  <c:v>2025</c:v>
                </c:pt>
              </c:numCache>
            </c:numRef>
          </c:cat>
          <c:val>
            <c:numRef>
              <c:f>Sheet1!$B$2:$B$3</c:f>
              <c:numCache>
                <c:formatCode>General</c:formatCode>
                <c:ptCount val="2"/>
                <c:pt idx="0">
                  <c:v>229.61</c:v>
                </c:pt>
                <c:pt idx="1">
                  <c:v>296.61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本年支出合计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Sheet1!$A$2:$A$3</c:f>
              <c:numCache>
                <c:formatCode>General</c:formatCode>
                <c:ptCount val="2"/>
                <c:pt idx="0">
                  <c:v>2024</c:v>
                </c:pt>
                <c:pt idx="1">
                  <c:v>2025</c:v>
                </c:pt>
              </c:numCache>
            </c:numRef>
          </c:cat>
          <c:val>
            <c:numRef>
              <c:f>Sheet1!$C$2:$C$3</c:f>
              <c:numCache>
                <c:formatCode>General</c:formatCode>
                <c:ptCount val="2"/>
                <c:pt idx="0">
                  <c:v>229.61</c:v>
                </c:pt>
                <c:pt idx="1">
                  <c:v>285.47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19782416"/>
        <c:axId val="619782744"/>
      </c:barChart>
      <c:catAx>
        <c:axId val="619782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19782744"/>
        <c:crosses val="autoZero"/>
        <c:auto val="1"/>
        <c:lblAlgn val="ctr"/>
        <c:lblOffset val="100"/>
        <c:noMultiLvlLbl val="0"/>
      </c:catAx>
      <c:valAx>
        <c:axId val="619782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19782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f914c5a-6f07-458b-a1df-c83e02e6c11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zh-CN" sz="1400" b="0" i="0" u="none" strike="noStrike" baseline="0">
                <a:effectLst/>
              </a:rPr>
              <a:t>图</a:t>
            </a:r>
            <a:r>
              <a:rPr lang="en-US" altLang="zh-CN" sz="1400" b="0" i="0" u="none" strike="noStrike" baseline="0">
                <a:effectLst/>
              </a:rPr>
              <a:t>2</a:t>
            </a:r>
            <a:r>
              <a:rPr lang="zh-CN" altLang="en-US" sz="1400" b="0" i="0" u="none" strike="noStrike" baseline="0">
                <a:effectLst/>
              </a:rPr>
              <a:t>：</a:t>
            </a:r>
            <a:r>
              <a:rPr lang="en-US" altLang="zh-CN" sz="1400" b="0" i="0" u="none" strike="noStrike" baseline="0">
                <a:effectLst/>
              </a:rPr>
              <a:t> 2025</a:t>
            </a:r>
            <a:r>
              <a:rPr lang="zh-CN" altLang="zh-CN" sz="1400" b="0" i="0" u="none" strike="noStrike" baseline="0">
                <a:effectLst/>
              </a:rPr>
              <a:t>年收入决算结构</a:t>
            </a:r>
            <a:endParaRPr lang="zh-CN" altLang="en-US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金额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elete val="1"/>
          </c:dLbls>
          <c:cat>
            <c:strRef>
              <c:f>Sheet1!$A$2:$A$3</c:f>
              <c:strCache>
                <c:ptCount val="2"/>
                <c:pt idx="0">
                  <c:v>一般公共预算财政拨款收入</c:v>
                </c:pt>
                <c:pt idx="1">
                  <c:v>其他收入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276.01</c:v>
                </c:pt>
                <c:pt idx="1">
                  <c:v>20.6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占总收入比重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elete val="1"/>
          </c:dLbls>
          <c:cat>
            <c:strRef>
              <c:f>Sheet1!$A$2:$A$3</c:f>
              <c:strCache>
                <c:ptCount val="2"/>
                <c:pt idx="0">
                  <c:v>一般公共预算财政拨款收入</c:v>
                </c:pt>
                <c:pt idx="1">
                  <c:v>其他收入</c:v>
                </c:pt>
              </c:strCache>
            </c:strRef>
          </c:cat>
          <c:val>
            <c:numRef>
              <c:f>Sheet1!$C$2:$C$3</c:f>
              <c:numCache>
                <c:formatCode>0.00%</c:formatCode>
                <c:ptCount val="2"/>
                <c:pt idx="0">
                  <c:v>0.9305</c:v>
                </c:pt>
                <c:pt idx="1">
                  <c:v>0.0695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e661d62-8847-446a-830d-e163ac341ec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zh-CN" sz="1400" b="0" i="0" u="none" strike="noStrike" baseline="0">
                <a:effectLst/>
              </a:rPr>
              <a:t>图</a:t>
            </a:r>
            <a:r>
              <a:rPr lang="en-US" altLang="zh-CN" sz="1400" b="0" i="0" u="none" strike="noStrike" baseline="0">
                <a:effectLst/>
              </a:rPr>
              <a:t>3</a:t>
            </a:r>
            <a:r>
              <a:rPr lang="zh-CN" altLang="en-US" sz="1400" b="0" i="0" u="none" strike="noStrike" baseline="0">
                <a:effectLst/>
              </a:rPr>
              <a:t>：</a:t>
            </a:r>
            <a:r>
              <a:rPr lang="en-US" altLang="zh-CN" sz="1400" b="0" i="0" u="none" strike="noStrike" baseline="0">
                <a:effectLst/>
              </a:rPr>
              <a:t> 2025</a:t>
            </a:r>
            <a:r>
              <a:rPr lang="zh-CN" altLang="zh-CN" sz="1400" b="0" i="0" u="none" strike="noStrike" baseline="0">
                <a:effectLst/>
              </a:rPr>
              <a:t>年支出决算结构</a:t>
            </a:r>
            <a:endParaRPr lang="zh-CN" altLang="en-US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金额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elete val="1"/>
          </c:dLbls>
          <c:cat>
            <c:strRef>
              <c:f>Sheet1!$A$2:$A$3</c:f>
              <c:strCache>
                <c:ptCount val="2"/>
                <c:pt idx="0">
                  <c:v>基本支出</c:v>
                </c:pt>
                <c:pt idx="1">
                  <c:v>项目支出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238.96</c:v>
                </c:pt>
                <c:pt idx="1">
                  <c:v>46.51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占总支出比重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elete val="1"/>
          </c:dLbls>
          <c:cat>
            <c:strRef>
              <c:f>Sheet1!$A$2:$A$3</c:f>
              <c:strCache>
                <c:ptCount val="2"/>
                <c:pt idx="0">
                  <c:v>基本支出</c:v>
                </c:pt>
                <c:pt idx="1">
                  <c:v>项目支出</c:v>
                </c:pt>
              </c:strCache>
            </c:strRef>
          </c:cat>
          <c:val>
            <c:numRef>
              <c:f>Sheet1!$C$2:$C$3</c:f>
              <c:numCache>
                <c:formatCode>0.00%</c:formatCode>
                <c:ptCount val="2"/>
                <c:pt idx="0">
                  <c:v>0.8371</c:v>
                </c:pt>
                <c:pt idx="1">
                  <c:v>0.1629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f434d6f-353f-4693-a2b1-da92cb1b819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zh-CN" sz="1400" b="0" i="0" u="none" strike="noStrike" baseline="0">
                <a:effectLst/>
              </a:rPr>
              <a:t>图</a:t>
            </a:r>
            <a:r>
              <a:rPr lang="en-US" altLang="zh-CN" sz="1400" b="0" i="0" u="none" strike="noStrike" baseline="0">
                <a:effectLst/>
              </a:rPr>
              <a:t>4</a:t>
            </a:r>
            <a:r>
              <a:rPr lang="zh-CN" altLang="zh-CN" sz="1400" b="0" i="0" u="none" strike="noStrike" baseline="0">
                <a:effectLst/>
              </a:rPr>
              <a:t>：财政拨款收、支决算总计变动情况图</a:t>
            </a:r>
            <a:endParaRPr lang="zh-CN" altLang="en-US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财政拨款收入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</c:numCache>
            </c:numRef>
          </c:cat>
          <c:val>
            <c:numRef>
              <c:f>Sheet1!$B$2:$B$5</c:f>
              <c:numCache>
                <c:formatCode>General</c:formatCode>
                <c:ptCount val="4"/>
                <c:pt idx="0">
                  <c:v>228.21</c:v>
                </c:pt>
                <c:pt idx="1">
                  <c:v>276.01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财政拨款支出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</c:numCache>
            </c:numRef>
          </c:cat>
          <c:val>
            <c:numRef>
              <c:f>Sheet1!$C$2:$C$5</c:f>
              <c:numCache>
                <c:formatCode>General</c:formatCode>
                <c:ptCount val="4"/>
                <c:pt idx="0">
                  <c:v>228.21</c:v>
                </c:pt>
                <c:pt idx="1">
                  <c:v>276.01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</c:numCache>
            </c:numRef>
          </c:cat>
          <c:val>
            <c:numRef>
              <c:f>Sheet1!$D$2:$D$5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98764760"/>
        <c:axId val="598767056"/>
      </c:barChart>
      <c:catAx>
        <c:axId val="598764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98767056"/>
        <c:crosses val="autoZero"/>
        <c:auto val="1"/>
        <c:lblAlgn val="ctr"/>
        <c:lblOffset val="100"/>
        <c:noMultiLvlLbl val="0"/>
      </c:catAx>
      <c:valAx>
        <c:axId val="598767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98764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2109155-9d60-4dc3-b651-a034cabfb4f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zh-CN" sz="1400" b="0" i="0" u="none" strike="noStrike" baseline="0">
                <a:effectLst/>
              </a:rPr>
              <a:t>图</a:t>
            </a:r>
            <a:r>
              <a:rPr lang="en-US" altLang="zh-CN" sz="1400" b="0" i="0" u="none" strike="noStrike" baseline="0">
                <a:effectLst/>
              </a:rPr>
              <a:t>5</a:t>
            </a:r>
            <a:r>
              <a:rPr lang="zh-CN" altLang="zh-CN" sz="1400" b="0" i="0" u="none" strike="noStrike" baseline="0">
                <a:effectLst/>
              </a:rPr>
              <a:t>：一般公共预算财政拨款支出决算变动情况图</a:t>
            </a:r>
            <a:endParaRPr lang="zh-CN" altLang="en-US"/>
          </a:p>
        </c:rich>
      </c:tx>
      <c:layout>
        <c:manualLayout>
          <c:xMode val="edge"/>
          <c:yMode val="edge"/>
          <c:x val="0.0951119672525885"/>
          <c:y val="0.00995024875621891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一般公共预算财政拨款支出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Sheet1!$A$2:$A$3</c:f>
              <c:numCache>
                <c:formatCode>General</c:formatCode>
                <c:ptCount val="2"/>
                <c:pt idx="0">
                  <c:v>2024</c:v>
                </c:pt>
                <c:pt idx="1">
                  <c:v>2025</c:v>
                </c:pt>
              </c:numCache>
            </c:numRef>
          </c:cat>
          <c:val>
            <c:numRef>
              <c:f>Sheet1!$B$2:$B$3</c:f>
              <c:numCache>
                <c:formatCode>General</c:formatCode>
                <c:ptCount val="2"/>
                <c:pt idx="0">
                  <c:v>228.21</c:v>
                </c:pt>
                <c:pt idx="1">
                  <c:v>276.01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5867848"/>
        <c:axId val="605868176"/>
      </c:barChart>
      <c:catAx>
        <c:axId val="605867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05868176"/>
        <c:crosses val="autoZero"/>
        <c:auto val="1"/>
        <c:lblAlgn val="ctr"/>
        <c:lblOffset val="100"/>
        <c:noMultiLvlLbl val="0"/>
      </c:catAx>
      <c:valAx>
        <c:axId val="605868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05867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e7513e6f-27a5-4a83-bc3c-41af432137a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zh-CN" sz="1400" b="0" i="0" u="none" strike="noStrike" baseline="0">
                <a:effectLst/>
              </a:rPr>
              <a:t>图</a:t>
            </a:r>
            <a:r>
              <a:rPr lang="en-US" altLang="zh-CN" sz="1400" b="0" i="0" u="none" strike="noStrike" baseline="0">
                <a:effectLst/>
              </a:rPr>
              <a:t>6</a:t>
            </a:r>
            <a:r>
              <a:rPr lang="zh-CN" altLang="zh-CN" sz="1400" b="0" i="0" u="none" strike="noStrike" baseline="0">
                <a:effectLst/>
              </a:rPr>
              <a:t>：一般公共预算财政拨款支出决算结构图</a:t>
            </a:r>
            <a:endParaRPr lang="zh-CN" altLang="en-US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金额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</c:dPt>
          <c:dLbls>
            <c:delete val="1"/>
          </c:dLbls>
          <c:cat>
            <c:strRef>
              <c:f>Sheet1!$A$2:$A$6</c:f>
              <c:strCache>
                <c:ptCount val="5"/>
                <c:pt idx="0">
                  <c:v>科学技术支出</c:v>
                </c:pt>
                <c:pt idx="1">
                  <c:v>文化旅游体育与传媒支出</c:v>
                </c:pt>
                <c:pt idx="2">
                  <c:v>社会保障和就业支出</c:v>
                </c:pt>
                <c:pt idx="3">
                  <c:v>卫生健康支出</c:v>
                </c:pt>
                <c:pt idx="4">
                  <c:v>住房保障支出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22.44</c:v>
                </c:pt>
                <c:pt idx="1">
                  <c:v>192.65</c:v>
                </c:pt>
                <c:pt idx="2">
                  <c:v>31.8</c:v>
                </c:pt>
                <c:pt idx="3">
                  <c:v>11.64</c:v>
                </c:pt>
                <c:pt idx="4">
                  <c:v>17.47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f81f8df-8c3a-4eeb-bb62-feb47886cac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zh-CN" sz="1400" b="0" i="0" u="none" strike="noStrike" baseline="0">
                <a:effectLst/>
              </a:rPr>
              <a:t>图</a:t>
            </a:r>
            <a:r>
              <a:rPr lang="en-US" altLang="zh-CN" sz="1400" b="0" i="0" u="none" strike="noStrike" baseline="0">
                <a:effectLst/>
              </a:rPr>
              <a:t>7</a:t>
            </a:r>
            <a:r>
              <a:rPr lang="zh-CN" altLang="zh-CN" sz="1400" b="0" i="0" u="none" strike="noStrike" baseline="0">
                <a:effectLst/>
              </a:rPr>
              <a:t>：财政拨款“三公”经费结构饼图</a:t>
            </a:r>
            <a:endParaRPr lang="zh-CN" altLang="en-US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金额（万元）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</c:dPt>
          <c:dLbls>
            <c:delete val="1"/>
          </c:dLbls>
          <c:cat>
            <c:strRef>
              <c:f>Sheet1!$A$2:$A$4</c:f>
              <c:strCache>
                <c:ptCount val="3"/>
                <c:pt idx="0">
                  <c:v>因公出国（境）费</c:v>
                </c:pt>
                <c:pt idx="1">
                  <c:v>公务用车购置及运行维护费</c:v>
                </c:pt>
                <c:pt idx="2">
                  <c:v>公务接待费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c66ac9a-444f-4bf7-bde8-6d914fb7b3e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3438</Words>
  <Characters>4034</Characters>
  <Lines>14</Lines>
  <Paragraphs>18</Paragraphs>
  <TotalTime>8</TotalTime>
  <ScaleCrop>false</ScaleCrop>
  <LinksUpToDate>false</LinksUpToDate>
  <CharactersWithSpaces>4045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2026-09-07T21:01:00Z</dcterms:created>
  <dc:creator>Administrator</dc:creator>
  <cp:lastModifiedBy>Liu</cp:lastModifiedBy>
  <dcterms:modified xsi:type="dcterms:W3CDTF">2026-09-08T17:05:14Z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A810004E7955499DA8F08CF04C2541BE_13</vt:lpwstr>
  </property>
  <property fmtid="{D5CDD505-2E9C-101B-9397-08002B2CF9AE}" pid="4" name="KSOTemplateDocerSaveRecord">
    <vt:lpwstr>eyJoZGlkIjoiYjhjOGI3MDEwYzI2NjI2ZjY5OGVhNzU1NTIxMGI4MmYiLCJ1c2VySWQiOiIyNjUyMDY2NiJ9</vt:lpwstr>
  </property>
</Properties>
</file>